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March 31, 2004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142240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4" w:lineRule="exact"/>
        <w:rPr>
          <w:sz w:val="24"/>
          <w:szCs w:val="24"/>
          <w:color w:val="auto"/>
        </w:rPr>
      </w:pPr>
    </w:p>
    <w:tbl>
      <w:tblPr>
        <w:tblLayout w:type="fixed"/>
        <w:tblInd w:w="580" w:type="dxa"/>
        <w:tblCellMar>
          <w:top w:w="0" w:type="dxa"/>
          <w:left w:w="0" w:type="dxa"/>
          <w:bottom w:w="0" w:type="dxa"/>
          <w:right w:w="0" w:type="dxa"/>
        </w:tblCellMar>
      </w:tblPr>
      <w:tr>
        <w:trPr>
          <w:trHeight w:val="218"/>
        </w:trPr>
        <w:tc>
          <w:tcPr>
            <w:tcW w:w="5980" w:type="dxa"/>
            <w:vAlign w:val="bottom"/>
          </w:tcPr>
          <w:p>
            <w:pPr>
              <w:jc w:val="center"/>
              <w:ind w:right="1560"/>
              <w:spacing w:after="0"/>
              <w:rPr>
                <w:sz w:val="20"/>
                <w:szCs w:val="20"/>
                <w:color w:val="auto"/>
              </w:rPr>
            </w:pPr>
            <w:r>
              <w:rPr>
                <w:rFonts w:ascii="Arial" w:cs="Arial" w:eastAsia="Arial" w:hAnsi="Arial"/>
                <w:sz w:val="18"/>
                <w:szCs w:val="18"/>
                <w:b w:val="1"/>
                <w:bCs w:val="1"/>
                <w:color w:val="auto"/>
                <w:w w:val="98"/>
              </w:rPr>
              <w:t>NETHERLANDS ANTILLES</w:t>
            </w:r>
          </w:p>
        </w:tc>
        <w:tc>
          <w:tcPr>
            <w:tcW w:w="2700" w:type="dxa"/>
            <w:vAlign w:val="bottom"/>
          </w:tcPr>
          <w:p>
            <w:pPr>
              <w:jc w:val="center"/>
              <w:ind w:left="158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5980" w:type="dxa"/>
            <w:vAlign w:val="bottom"/>
          </w:tcPr>
          <w:p>
            <w:pPr>
              <w:jc w:val="center"/>
              <w:ind w:right="156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7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5980" w:type="dxa"/>
            <w:vAlign w:val="bottom"/>
          </w:tcPr>
          <w:p>
            <w:pPr>
              <w:jc w:val="center"/>
              <w:ind w:right="1560"/>
              <w:spacing w:after="0"/>
              <w:rPr>
                <w:sz w:val="20"/>
                <w:szCs w:val="20"/>
                <w:color w:val="auto"/>
              </w:rPr>
            </w:pPr>
            <w:r>
              <w:rPr>
                <w:rFonts w:ascii="Arial" w:cs="Arial" w:eastAsia="Arial" w:hAnsi="Arial"/>
                <w:sz w:val="14"/>
                <w:szCs w:val="14"/>
                <w:b w:val="1"/>
                <w:bCs w:val="1"/>
                <w:color w:val="auto"/>
                <w:w w:val="89"/>
              </w:rPr>
              <w:t>incorporation or organization)</w:t>
            </w:r>
          </w:p>
        </w:tc>
        <w:tc>
          <w:tcPr>
            <w:tcW w:w="2700" w:type="dxa"/>
            <w:vAlign w:val="bottom"/>
          </w:tcPr>
          <w:p>
            <w:pPr>
              <w:jc w:val="center"/>
              <w:ind w:left="1581"/>
              <w:spacing w:after="0"/>
              <w:rPr>
                <w:sz w:val="20"/>
                <w:szCs w:val="20"/>
                <w:color w:val="auto"/>
              </w:rPr>
            </w:pPr>
            <w:r>
              <w:rPr>
                <w:rFonts w:ascii="Arial" w:cs="Arial" w:eastAsia="Arial" w:hAnsi="Arial"/>
                <w:sz w:val="14"/>
                <w:szCs w:val="14"/>
                <w:b w:val="1"/>
                <w:bCs w:val="1"/>
                <w:color w:val="auto"/>
                <w:w w:val="87"/>
              </w:rPr>
              <w:t>Identification No.)</w:t>
            </w:r>
          </w:p>
        </w:tc>
      </w:tr>
      <w:tr>
        <w:trPr>
          <w:trHeight w:val="310"/>
        </w:trPr>
        <w:tc>
          <w:tcPr>
            <w:tcW w:w="5980" w:type="dxa"/>
            <w:vAlign w:val="bottom"/>
          </w:tcPr>
          <w:p>
            <w:pPr>
              <w:jc w:val="center"/>
              <w:ind w:right="1560"/>
              <w:spacing w:after="0"/>
              <w:rPr>
                <w:sz w:val="20"/>
                <w:szCs w:val="20"/>
                <w:color w:val="auto"/>
              </w:rPr>
            </w:pPr>
            <w:r>
              <w:rPr>
                <w:rFonts w:ascii="Arial" w:cs="Arial" w:eastAsia="Arial" w:hAnsi="Arial"/>
                <w:sz w:val="18"/>
                <w:szCs w:val="18"/>
                <w:b w:val="1"/>
                <w:bCs w:val="1"/>
                <w:color w:val="auto"/>
                <w:w w:val="91"/>
              </w:rPr>
              <w:t>153 EAST 53 STREET, 57</w:t>
            </w:r>
            <w:r>
              <w:rPr>
                <w:rFonts w:ascii="Arial" w:cs="Arial" w:eastAsia="Arial" w:hAnsi="Arial"/>
                <w:sz w:val="22"/>
                <w:szCs w:val="22"/>
                <w:b w:val="1"/>
                <w:bCs w:val="1"/>
                <w:color w:val="auto"/>
                <w:w w:val="91"/>
                <w:vertAlign w:val="superscript"/>
              </w:rPr>
              <w:t>th</w:t>
            </w:r>
            <w:r>
              <w:rPr>
                <w:rFonts w:ascii="Arial" w:cs="Arial" w:eastAsia="Arial" w:hAnsi="Arial"/>
                <w:sz w:val="18"/>
                <w:szCs w:val="18"/>
                <w:b w:val="1"/>
                <w:bCs w:val="1"/>
                <w:color w:val="auto"/>
                <w:w w:val="91"/>
              </w:rPr>
              <w:t xml:space="preserve"> Floor</w:t>
            </w:r>
          </w:p>
        </w:tc>
        <w:tc>
          <w:tcPr>
            <w:tcW w:w="2700" w:type="dxa"/>
            <w:vAlign w:val="bottom"/>
          </w:tcPr>
          <w:p>
            <w:pPr>
              <w:jc w:val="center"/>
              <w:ind w:left="1581"/>
              <w:spacing w:after="0"/>
              <w:rPr>
                <w:sz w:val="20"/>
                <w:szCs w:val="20"/>
                <w:color w:val="auto"/>
              </w:rPr>
            </w:pPr>
            <w:r>
              <w:rPr>
                <w:rFonts w:ascii="Arial" w:cs="Arial" w:eastAsia="Arial" w:hAnsi="Arial"/>
                <w:sz w:val="18"/>
                <w:szCs w:val="18"/>
                <w:b w:val="1"/>
                <w:bCs w:val="1"/>
                <w:color w:val="auto"/>
                <w:w w:val="87"/>
              </w:rPr>
              <w:t>10022</w:t>
            </w:r>
          </w:p>
        </w:tc>
      </w:tr>
      <w:tr>
        <w:trPr>
          <w:trHeight w:val="228"/>
        </w:trPr>
        <w:tc>
          <w:tcPr>
            <w:tcW w:w="5980" w:type="dxa"/>
            <w:vAlign w:val="bottom"/>
          </w:tcPr>
          <w:p>
            <w:pPr>
              <w:jc w:val="center"/>
              <w:ind w:right="1560"/>
              <w:spacing w:after="0"/>
              <w:rPr>
                <w:sz w:val="20"/>
                <w:szCs w:val="20"/>
                <w:color w:val="auto"/>
              </w:rPr>
            </w:pPr>
            <w:r>
              <w:rPr>
                <w:rFonts w:ascii="Arial" w:cs="Arial" w:eastAsia="Arial" w:hAnsi="Arial"/>
                <w:sz w:val="18"/>
                <w:szCs w:val="18"/>
                <w:b w:val="1"/>
                <w:bCs w:val="1"/>
                <w:color w:val="auto"/>
                <w:w w:val="96"/>
              </w:rPr>
              <w:t>NEW YORK, NEW YORK, U.S.A.</w:t>
            </w:r>
          </w:p>
        </w:tc>
        <w:tc>
          <w:tcPr>
            <w:tcW w:w="2700" w:type="dxa"/>
            <w:vAlign w:val="bottom"/>
          </w:tcPr>
          <w:p>
            <w:pPr>
              <w:spacing w:after="0"/>
              <w:rPr>
                <w:sz w:val="19"/>
                <w:szCs w:val="19"/>
                <w:color w:val="auto"/>
              </w:rPr>
            </w:pPr>
          </w:p>
        </w:tc>
      </w:tr>
      <w:tr>
        <w:trPr>
          <w:trHeight w:val="338"/>
        </w:trPr>
        <w:tc>
          <w:tcPr>
            <w:tcW w:w="5980" w:type="dxa"/>
            <w:vAlign w:val="bottom"/>
          </w:tcPr>
          <w:p>
            <w:pPr>
              <w:jc w:val="center"/>
              <w:ind w:right="1560"/>
              <w:spacing w:after="0"/>
              <w:rPr>
                <w:sz w:val="20"/>
                <w:szCs w:val="20"/>
                <w:color w:val="auto"/>
              </w:rPr>
            </w:pPr>
            <w:r>
              <w:rPr>
                <w:rFonts w:ascii="Arial" w:cs="Arial" w:eastAsia="Arial" w:hAnsi="Arial"/>
                <w:sz w:val="18"/>
                <w:szCs w:val="18"/>
                <w:b w:val="1"/>
                <w:bCs w:val="1"/>
                <w:color w:val="auto"/>
                <w:w w:val="97"/>
              </w:rPr>
              <w:t>42 RUE SAINT-DOMINIQUE PARIS, FRANCE</w:t>
            </w:r>
          </w:p>
        </w:tc>
        <w:tc>
          <w:tcPr>
            <w:tcW w:w="2700" w:type="dxa"/>
            <w:vAlign w:val="bottom"/>
          </w:tcPr>
          <w:p>
            <w:pPr>
              <w:jc w:val="center"/>
              <w:ind w:left="1581"/>
              <w:spacing w:after="0"/>
              <w:rPr>
                <w:sz w:val="20"/>
                <w:szCs w:val="20"/>
                <w:color w:val="auto"/>
              </w:rPr>
            </w:pPr>
            <w:r>
              <w:rPr>
                <w:rFonts w:ascii="Arial" w:cs="Arial" w:eastAsia="Arial" w:hAnsi="Arial"/>
                <w:sz w:val="18"/>
                <w:szCs w:val="18"/>
                <w:b w:val="1"/>
                <w:bCs w:val="1"/>
                <w:color w:val="auto"/>
                <w:w w:val="87"/>
              </w:rPr>
              <w:t>75007</w:t>
            </w:r>
          </w:p>
        </w:tc>
      </w:tr>
      <w:tr>
        <w:trPr>
          <w:trHeight w:val="313"/>
        </w:trPr>
        <w:tc>
          <w:tcPr>
            <w:tcW w:w="5980" w:type="dxa"/>
            <w:vAlign w:val="bottom"/>
          </w:tcPr>
          <w:p>
            <w:pPr>
              <w:jc w:val="center"/>
              <w:ind w:right="1560"/>
              <w:spacing w:after="0"/>
              <w:rPr>
                <w:sz w:val="20"/>
                <w:szCs w:val="20"/>
                <w:color w:val="auto"/>
              </w:rPr>
            </w:pPr>
            <w:r>
              <w:rPr>
                <w:rFonts w:ascii="Arial" w:cs="Arial" w:eastAsia="Arial" w:hAnsi="Arial"/>
                <w:sz w:val="18"/>
                <w:szCs w:val="18"/>
                <w:b w:val="1"/>
                <w:bCs w:val="1"/>
                <w:color w:val="auto"/>
                <w:w w:val="97"/>
              </w:rPr>
              <w:t>PARKSTRAAT 83 THE HAGUE, THE NETHERLANDS</w:t>
            </w:r>
          </w:p>
        </w:tc>
        <w:tc>
          <w:tcPr>
            <w:tcW w:w="270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5980" w:type="dxa"/>
            <w:vAlign w:val="bottom"/>
          </w:tcPr>
          <w:p>
            <w:pPr>
              <w:jc w:val="center"/>
              <w:ind w:right="1560"/>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700" w:type="dxa"/>
            <w:vAlign w:val="bottom"/>
          </w:tcPr>
          <w:p>
            <w:pPr>
              <w:jc w:val="center"/>
              <w:ind w:left="1581"/>
              <w:spacing w:after="0"/>
              <w:rPr>
                <w:sz w:val="20"/>
                <w:szCs w:val="20"/>
                <w:color w:val="auto"/>
              </w:rPr>
            </w:pPr>
            <w:r>
              <w:rPr>
                <w:rFonts w:ascii="Arial" w:cs="Arial" w:eastAsia="Arial" w:hAnsi="Arial"/>
                <w:sz w:val="14"/>
                <w:szCs w:val="14"/>
                <w:b w:val="1"/>
                <w:bCs w:val="1"/>
                <w:color w:val="auto"/>
                <w:w w:val="88"/>
              </w:rPr>
              <w:t>(Zip Codes)</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(212) 350-9400</w:t>
      </w:r>
    </w:p>
    <w:p>
      <w:pPr>
        <w:spacing w:after="0" w:line="164"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1" w:lineRule="exact"/>
        <w:rPr>
          <w:sz w:val="24"/>
          <w:szCs w:val="24"/>
          <w:color w:val="auto"/>
        </w:rPr>
      </w:pPr>
    </w:p>
    <w:p>
      <w:pPr>
        <w:ind w:right="172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4600" w:type="dxa"/>
            <w:vAlign w:val="bottom"/>
            <w:gridSpan w:val="2"/>
          </w:tcPr>
          <w:p>
            <w:pPr>
              <w:jc w:val="center"/>
              <w:ind w:right="4020"/>
              <w:spacing w:after="0"/>
              <w:rPr>
                <w:sz w:val="20"/>
                <w:szCs w:val="20"/>
                <w:color w:val="auto"/>
              </w:rPr>
            </w:pPr>
            <w:r>
              <w:rPr>
                <w:rFonts w:ascii="Arial" w:cs="Arial" w:eastAsia="Arial" w:hAnsi="Arial"/>
                <w:sz w:val="14"/>
                <w:szCs w:val="14"/>
                <w:b w:val="1"/>
                <w:bCs w:val="1"/>
                <w:color w:val="auto"/>
                <w:w w:val="80"/>
              </w:rPr>
              <w:t>Class</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8"/>
              </w:rPr>
              <w:t>Outstanding at March 31, 2004</w:t>
            </w:r>
          </w:p>
        </w:tc>
        <w:tc>
          <w:tcPr>
            <w:tcW w:w="980" w:type="dxa"/>
            <w:vAlign w:val="bottom"/>
          </w:tcPr>
          <w:p>
            <w:pPr>
              <w:spacing w:after="0"/>
              <w:rPr>
                <w:sz w:val="15"/>
                <w:szCs w:val="15"/>
                <w:color w:val="auto"/>
              </w:rPr>
            </w:pPr>
          </w:p>
        </w:tc>
      </w:tr>
      <w:tr>
        <w:trPr>
          <w:trHeight w:val="95"/>
        </w:trPr>
        <w:tc>
          <w:tcPr>
            <w:tcW w:w="2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r>
      <w:tr>
        <w:trPr>
          <w:trHeight w:val="316"/>
        </w:trPr>
        <w:tc>
          <w:tcPr>
            <w:tcW w:w="7060" w:type="dxa"/>
            <w:vAlign w:val="bottom"/>
            <w:gridSpan w:val="3"/>
          </w:tcPr>
          <w:p>
            <w:pPr>
              <w:jc w:val="center"/>
              <w:ind w:right="1560"/>
              <w:spacing w:after="0"/>
              <w:rPr>
                <w:sz w:val="20"/>
                <w:szCs w:val="20"/>
                <w:color w:val="auto"/>
              </w:rPr>
            </w:pPr>
            <w:r>
              <w:rPr>
                <w:rFonts w:ascii="Arial" w:cs="Arial" w:eastAsia="Arial" w:hAnsi="Arial"/>
                <w:sz w:val="18"/>
                <w:szCs w:val="18"/>
                <w:color w:val="auto"/>
                <w:w w:val="92"/>
              </w:rPr>
              <w:t>COMMON STOCK, $0.01 PAR VALUE</w:t>
            </w:r>
          </w:p>
        </w:tc>
        <w:tc>
          <w:tcPr>
            <w:tcW w:w="3380" w:type="dxa"/>
            <w:vAlign w:val="bottom"/>
          </w:tcPr>
          <w:p>
            <w:pPr>
              <w:jc w:val="right"/>
              <w:ind w:right="1182"/>
              <w:spacing w:after="0"/>
              <w:rPr>
                <w:sz w:val="20"/>
                <w:szCs w:val="20"/>
                <w:color w:val="auto"/>
              </w:rPr>
            </w:pPr>
            <w:r>
              <w:rPr>
                <w:rFonts w:ascii="Arial" w:cs="Arial" w:eastAsia="Arial" w:hAnsi="Arial"/>
                <w:sz w:val="18"/>
                <w:szCs w:val="18"/>
                <w:color w:val="auto"/>
              </w:rPr>
              <w:t>589,165,007</w:t>
            </w:r>
          </w:p>
        </w:tc>
        <w:tc>
          <w:tcPr>
            <w:tcW w:w="980" w:type="dxa"/>
            <w:vAlign w:val="bottom"/>
          </w:tcPr>
          <w:p>
            <w:pPr>
              <w:spacing w:after="0"/>
              <w:rPr>
                <w:sz w:val="24"/>
                <w:szCs w:val="24"/>
                <w:color w:val="auto"/>
              </w:rPr>
            </w:pPr>
          </w:p>
        </w:tc>
      </w:tr>
      <w:tr>
        <w:trPr>
          <w:trHeight w:val="201"/>
        </w:trPr>
        <w:tc>
          <w:tcPr>
            <w:tcW w:w="24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Period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3,018,323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2,654,226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&amp; other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3,041,217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2,683,884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Cost of goods sold &amp; services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2,364,108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2,120,980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46,513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Debt extinguishment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2,855,120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2,473,070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56,276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4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93,447</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587,738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611,860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-2222500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-2222500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-2222500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-2222500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-2222500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-2222500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-1365250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-1365250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-1365250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-1365250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-1365250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-1365250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-507365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-507365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-507365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-507365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-507365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Mar. 31, 2004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(Unaudited)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89"/>
              </w:rPr>
              <w:t>(Stated 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9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157,328</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2,675,677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2,874,781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 (2004 - $130,023; 2003 - $128,199)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2,819,721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2,568,425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862,944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355,368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321,285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242,723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3,237,841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Investment in Atos Origin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585,502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8,020,548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10,369,121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182,476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797,169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3,618,568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3,799,711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462,512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3,198,760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3,284,254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400,608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301,508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354,155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17,336,304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20,041,325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LIABILITIES &amp; STOCKHOLDERS’ EQUITY</w:t>
            </w:r>
          </w:p>
        </w:tc>
        <w:tc>
          <w:tcPr>
            <w:tcW w:w="5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92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3,409,287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3,247,546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839,851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Long-term debt - current portion</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1,149,457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889,678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603,959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Liabilities held for sale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85,769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1,217,568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6,199,359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6,794,730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4,221,924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6,097,418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635,244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158,977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11,215,504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13,761,706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403,116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2,327,169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2,258,488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5,615,655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5,505,744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(1,448,523)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(1,508,239)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(776,617)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(374,704)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5,717,684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5,881,289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17,336,304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20,041,325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540" w:type="dxa"/>
            <w:vAlign w:val="bottom"/>
            <w:vMerge w:val="restart"/>
          </w:tcPr>
          <w:p>
            <w:pPr>
              <w:jc w:val="center"/>
              <w:ind w:right="792"/>
              <w:spacing w:after="0"/>
              <w:rPr>
                <w:sz w:val="20"/>
                <w:szCs w:val="20"/>
                <w:color w:val="auto"/>
              </w:rPr>
            </w:pPr>
            <w:r>
              <w:rPr>
                <w:rFonts w:ascii="Arial" w:cs="Arial" w:eastAsia="Arial" w:hAnsi="Arial"/>
                <w:sz w:val="18"/>
                <w:szCs w:val="18"/>
                <w:color w:val="auto"/>
                <w:w w:val="87"/>
              </w:rPr>
              <w:t>See Notes to Consolidated Financial Statements</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20" w:type="dxa"/>
            <w:vAlign w:val="bottom"/>
            <w:gridSpan w:val="4"/>
          </w:tcPr>
          <w:p>
            <w:pPr>
              <w:jc w:val="right"/>
              <w:ind w:right="30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-4545330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-4545330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-4545330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-4545330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-4545330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-4545330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-557530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-557530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-557530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-557530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31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Three Months Ended Mar.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79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9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88"/>
              </w:rPr>
              <w:t>(Stated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tcPr>
          <w:p>
            <w:pPr>
              <w:jc w:val="right"/>
              <w:spacing w:after="0"/>
              <w:rPr>
                <w:sz w:val="20"/>
                <w:szCs w:val="20"/>
                <w:color w:val="auto"/>
              </w:rPr>
            </w:pPr>
            <w:r>
              <w:rPr>
                <w:rFonts w:ascii="Arial" w:cs="Arial" w:eastAsia="Arial" w:hAnsi="Arial"/>
                <w:sz w:val="18"/>
                <w:szCs w:val="18"/>
                <w:color w:val="auto"/>
              </w:rPr>
              <w:t>126,839</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income from continuing operations to cash provided by operating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347,598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346,986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860"/>
              <w:spacing w:after="0" w:line="217"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2"/>
                <w:szCs w:val="22"/>
                <w:color w:val="auto"/>
                <w:vertAlign w:val="superscript"/>
              </w:rPr>
              <w:t>(2)</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152,163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90" w:type="dxa"/>
            <w:vAlign w:val="bottom"/>
          </w:tcPr>
          <w:p>
            <w:pPr>
              <w:spacing w:after="0"/>
              <w:rPr>
                <w:sz w:val="18"/>
                <w:szCs w:val="18"/>
                <w:color w:val="auto"/>
              </w:rPr>
            </w:pPr>
          </w:p>
        </w:tc>
        <w:tc>
          <w:tcPr>
            <w:tcW w:w="930" w:type="dxa"/>
            <w:vAlign w:val="bottom"/>
            <w:gridSpan w:val="2"/>
          </w:tcPr>
          <w:p>
            <w:pPr>
              <w:jc w:val="right"/>
              <w:ind w:right="80"/>
              <w:spacing w:after="0"/>
              <w:rPr>
                <w:sz w:val="20"/>
                <w:szCs w:val="20"/>
                <w:color w:val="auto"/>
              </w:rPr>
            </w:pPr>
            <w:r>
              <w:rPr>
                <w:rFonts w:ascii="Arial" w:cs="Arial" w:eastAsia="Arial" w:hAnsi="Arial"/>
                <w:sz w:val="18"/>
                <w:szCs w:val="18"/>
                <w:color w:val="auto"/>
              </w:rPr>
              <w:t>(23,291)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decrease in deferred taxes</w:t>
            </w:r>
          </w:p>
        </w:tc>
        <w:tc>
          <w:tcPr>
            <w:tcW w:w="9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5,174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operating assets and liabilities: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860"/>
              <w:spacing w:after="0"/>
              <w:rPr>
                <w:sz w:val="20"/>
                <w:szCs w:val="20"/>
                <w:color w:val="auto"/>
              </w:rPr>
            </w:pPr>
            <w:r>
              <w:rPr>
                <w:rFonts w:ascii="Arial" w:cs="Arial" w:eastAsia="Arial" w:hAnsi="Arial"/>
                <w:sz w:val="18"/>
                <w:szCs w:val="18"/>
                <w:color w:val="auto"/>
              </w:rPr>
              <w:t>Increase in receivables</w:t>
            </w:r>
          </w:p>
        </w:tc>
        <w:tc>
          <w:tcPr>
            <w:tcW w:w="90" w:type="dxa"/>
            <w:vAlign w:val="bottom"/>
          </w:tcPr>
          <w:p>
            <w:pPr>
              <w:spacing w:after="0"/>
              <w:rPr>
                <w:sz w:val="18"/>
                <w:szCs w:val="18"/>
                <w:color w:val="auto"/>
              </w:rPr>
            </w:pPr>
          </w:p>
        </w:tc>
        <w:tc>
          <w:tcPr>
            <w:tcW w:w="930" w:type="dxa"/>
            <w:vAlign w:val="bottom"/>
            <w:gridSpan w:val="2"/>
          </w:tcPr>
          <w:p>
            <w:pPr>
              <w:jc w:val="right"/>
              <w:ind w:right="80"/>
              <w:spacing w:after="0"/>
              <w:rPr>
                <w:sz w:val="20"/>
                <w:szCs w:val="20"/>
                <w:color w:val="auto"/>
              </w:rPr>
            </w:pPr>
            <w:r>
              <w:rPr>
                <w:rFonts w:ascii="Arial" w:cs="Arial" w:eastAsia="Arial" w:hAnsi="Arial"/>
                <w:sz w:val="18"/>
                <w:szCs w:val="18"/>
                <w:color w:val="auto"/>
              </w:rPr>
              <w:t>(300,068)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decrease in inventories</w:t>
            </w:r>
          </w:p>
        </w:tc>
        <w:tc>
          <w:tcPr>
            <w:tcW w:w="9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860"/>
              <w:spacing w:after="0"/>
              <w:rPr>
                <w:sz w:val="20"/>
                <w:szCs w:val="20"/>
                <w:color w:val="auto"/>
              </w:rPr>
            </w:pPr>
            <w:r>
              <w:rPr>
                <w:rFonts w:ascii="Arial" w:cs="Arial" w:eastAsia="Arial" w:hAnsi="Arial"/>
                <w:sz w:val="18"/>
                <w:szCs w:val="18"/>
                <w:color w:val="auto"/>
              </w:rPr>
              <w:t>Decrease (increase) in other current assets</w:t>
            </w: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4,733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 accounts payable and accrued liabilities</w:t>
            </w:r>
          </w:p>
        </w:tc>
        <w:tc>
          <w:tcPr>
            <w:tcW w:w="9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(321,051)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860"/>
              <w:spacing w:after="0"/>
              <w:rPr>
                <w:sz w:val="20"/>
                <w:szCs w:val="20"/>
                <w:color w:val="auto"/>
              </w:rPr>
            </w:pPr>
            <w:r>
              <w:rPr>
                <w:rFonts w:ascii="Arial" w:cs="Arial" w:eastAsia="Arial" w:hAnsi="Arial"/>
                <w:sz w:val="18"/>
                <w:szCs w:val="18"/>
                <w:color w:val="auto"/>
              </w:rPr>
              <w:t>Increase (decrease) in estimated liability for taxes on income</w:t>
            </w: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38,945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Postretirement benefits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ind w:left="860"/>
              <w:spacing w:after="0"/>
              <w:rPr>
                <w:sz w:val="20"/>
                <w:szCs w:val="20"/>
                <w:color w:val="auto"/>
              </w:rPr>
            </w:pPr>
            <w:r>
              <w:rPr>
                <w:rFonts w:ascii="Arial" w:cs="Arial" w:eastAsia="Arial" w:hAnsi="Arial"/>
                <w:sz w:val="18"/>
                <w:szCs w:val="18"/>
                <w:color w:val="auto"/>
              </w:rPr>
              <w:t>Other – net</w:t>
            </w:r>
          </w:p>
        </w:tc>
        <w:tc>
          <w:tcPr>
            <w:tcW w:w="9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32,496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179,454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Purchase of fixed assets</w:t>
            </w:r>
          </w:p>
        </w:tc>
        <w:tc>
          <w:tcPr>
            <w:tcW w:w="90" w:type="dxa"/>
            <w:vAlign w:val="bottom"/>
          </w:tcPr>
          <w:p>
            <w:pPr>
              <w:spacing w:after="0"/>
              <w:rPr>
                <w:sz w:val="18"/>
                <w:szCs w:val="18"/>
                <w:color w:val="auto"/>
              </w:rPr>
            </w:pPr>
          </w:p>
        </w:tc>
        <w:tc>
          <w:tcPr>
            <w:tcW w:w="930" w:type="dxa"/>
            <w:vAlign w:val="bottom"/>
            <w:gridSpan w:val="2"/>
          </w:tcPr>
          <w:p>
            <w:pPr>
              <w:jc w:val="right"/>
              <w:ind w:right="80"/>
              <w:spacing w:after="0"/>
              <w:rPr>
                <w:sz w:val="20"/>
                <w:szCs w:val="20"/>
                <w:color w:val="auto"/>
              </w:rPr>
            </w:pPr>
            <w:r>
              <w:rPr>
                <w:rFonts w:ascii="Arial" w:cs="Arial" w:eastAsia="Arial" w:hAnsi="Arial"/>
                <w:sz w:val="18"/>
                <w:szCs w:val="18"/>
                <w:color w:val="auto"/>
              </w:rPr>
              <w:t>(208,252)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(196,202)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9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Capitalization of intangible assets</w:t>
            </w:r>
          </w:p>
        </w:tc>
        <w:tc>
          <w:tcPr>
            <w:tcW w:w="90" w:type="dxa"/>
            <w:vAlign w:val="bottom"/>
          </w:tcPr>
          <w:p>
            <w:pPr>
              <w:spacing w:after="0"/>
              <w:rPr>
                <w:sz w:val="18"/>
                <w:szCs w:val="18"/>
                <w:color w:val="auto"/>
              </w:rPr>
            </w:pPr>
          </w:p>
        </w:tc>
        <w:tc>
          <w:tcPr>
            <w:tcW w:w="930" w:type="dxa"/>
            <w:vAlign w:val="bottom"/>
            <w:gridSpan w:val="2"/>
          </w:tcPr>
          <w:p>
            <w:pPr>
              <w:jc w:val="right"/>
              <w:ind w:right="80"/>
              <w:spacing w:after="0"/>
              <w:rPr>
                <w:sz w:val="20"/>
                <w:szCs w:val="20"/>
                <w:color w:val="auto"/>
              </w:rPr>
            </w:pPr>
            <w:r>
              <w:rPr>
                <w:rFonts w:ascii="Arial" w:cs="Arial" w:eastAsia="Arial" w:hAnsi="Arial"/>
                <w:sz w:val="18"/>
                <w:szCs w:val="18"/>
                <w:color w:val="auto"/>
              </w:rPr>
              <w:t>(10,983)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Retirement of fixed assets &amp; other</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Proceeds from the sale of SchlumbergerSema business</w:t>
            </w: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555,303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Infodata business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Proceeds from the sale of Telecom Billing Software business</w:t>
            </w: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36,900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Atos Origin shares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613,440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Sale of investments, net</w:t>
            </w:r>
          </w:p>
        </w:tc>
        <w:tc>
          <w:tcPr>
            <w:tcW w:w="9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241,404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270,853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1,325,879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90" w:type="dxa"/>
            <w:vAlign w:val="bottom"/>
          </w:tcPr>
          <w:p>
            <w:pPr>
              <w:spacing w:after="0"/>
              <w:rPr>
                <w:sz w:val="18"/>
                <w:szCs w:val="18"/>
                <w:color w:val="auto"/>
              </w:rPr>
            </w:pPr>
          </w:p>
        </w:tc>
        <w:tc>
          <w:tcPr>
            <w:tcW w:w="930" w:type="dxa"/>
            <w:vAlign w:val="bottom"/>
            <w:gridSpan w:val="2"/>
          </w:tcPr>
          <w:p>
            <w:pPr>
              <w:jc w:val="right"/>
              <w:ind w:right="80"/>
              <w:spacing w:after="0"/>
              <w:rPr>
                <w:sz w:val="20"/>
                <w:szCs w:val="20"/>
                <w:color w:val="auto"/>
              </w:rPr>
            </w:pPr>
            <w:r>
              <w:rPr>
                <w:rFonts w:ascii="Arial" w:cs="Arial" w:eastAsia="Arial" w:hAnsi="Arial"/>
                <w:sz w:val="18"/>
                <w:szCs w:val="18"/>
                <w:color w:val="auto"/>
              </w:rPr>
              <w:t>(109,849)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(108,903)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82,572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commercial paper</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Debt extinguishment costs</w:t>
            </w:r>
          </w:p>
        </w:tc>
        <w:tc>
          <w:tcPr>
            <w:tcW w:w="90" w:type="dxa"/>
            <w:vAlign w:val="bottom"/>
          </w:tcPr>
          <w:p>
            <w:pPr>
              <w:spacing w:after="0"/>
              <w:rPr>
                <w:sz w:val="18"/>
                <w:szCs w:val="18"/>
                <w:color w:val="auto"/>
              </w:rPr>
            </w:pPr>
          </w:p>
        </w:tc>
        <w:tc>
          <w:tcPr>
            <w:tcW w:w="930" w:type="dxa"/>
            <w:vAlign w:val="bottom"/>
            <w:gridSpan w:val="2"/>
          </w:tcPr>
          <w:p>
            <w:pPr>
              <w:jc w:val="right"/>
              <w:ind w:right="80"/>
              <w:spacing w:after="0"/>
              <w:rPr>
                <w:sz w:val="20"/>
                <w:szCs w:val="20"/>
                <w:color w:val="auto"/>
              </w:rPr>
            </w:pPr>
            <w:r>
              <w:rPr>
                <w:rFonts w:ascii="Arial" w:cs="Arial" w:eastAsia="Arial" w:hAnsi="Arial"/>
                <w:sz w:val="18"/>
                <w:szCs w:val="18"/>
                <w:color w:val="auto"/>
              </w:rPr>
              <w:t>(76,281)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of principal on commercial paper and long-term debt</w:t>
            </w:r>
          </w:p>
        </w:tc>
        <w:tc>
          <w:tcPr>
            <w:tcW w:w="9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(1,618,497)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(100,639)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Net increase (decrease) in short-term debt</w:t>
            </w:r>
          </w:p>
        </w:tc>
        <w:tc>
          <w:tcPr>
            <w:tcW w:w="9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83,620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(63,402)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9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(1,568,427)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(174,480)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9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before translation</w:t>
            </w:r>
          </w:p>
        </w:tc>
        <w:tc>
          <w:tcPr>
            <w:tcW w:w="9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90" w:type="dxa"/>
            <w:vAlign w:val="bottom"/>
          </w:tcPr>
          <w:p>
            <w:pPr>
              <w:spacing w:after="0"/>
              <w:rPr>
                <w:sz w:val="18"/>
                <w:szCs w:val="18"/>
                <w:color w:val="auto"/>
              </w:rPr>
            </w:pPr>
          </w:p>
        </w:tc>
        <w:tc>
          <w:tcPr>
            <w:tcW w:w="93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8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8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-172720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-172720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-172720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 excluding impairment charges.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 xml:space="preserve">See Note 4 – </w:t>
      </w:r>
      <w:r>
        <w:rPr>
          <w:rFonts w:ascii="Arial" w:cs="Arial" w:eastAsia="Arial" w:hAnsi="Arial"/>
          <w:sz w:val="18"/>
          <w:szCs w:val="18"/>
          <w:i w:val="1"/>
          <w:iCs w:val="1"/>
          <w:color w:val="auto"/>
        </w:rPr>
        <w:t>Charges – Continuing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161"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13"/>
          </w:tcPr>
          <w:p>
            <w:pPr>
              <w:jc w:val="center"/>
              <w:ind w:right="380"/>
              <w:spacing w:after="0"/>
              <w:rPr>
                <w:sz w:val="20"/>
                <w:szCs w:val="20"/>
                <w:color w:val="auto"/>
              </w:rPr>
            </w:pPr>
            <w:r>
              <w:rPr>
                <w:rFonts w:ascii="Arial" w:cs="Arial" w:eastAsia="Arial" w:hAnsi="Arial"/>
                <w:sz w:val="14"/>
                <w:szCs w:val="14"/>
                <w:b w:val="1"/>
                <w:bCs w:val="1"/>
                <w:color w:val="auto"/>
                <w:w w:val="87"/>
              </w:rPr>
              <w:t>Accumulated Other Comprehensive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Income (Loss)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80" w:type="dxa"/>
            <w:vAlign w:val="bottom"/>
            <w:gridSpan w:val="7"/>
            <w:vMerge w:val="restart"/>
          </w:tcPr>
          <w:p>
            <w:pPr>
              <w:jc w:val="right"/>
              <w:ind w:right="86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80" w:type="dxa"/>
            <w:vAlign w:val="bottom"/>
            <w:gridSpan w:val="7"/>
            <w:vMerge w:val="continue"/>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Retained</w:t>
            </w:r>
          </w:p>
        </w:tc>
        <w:tc>
          <w:tcPr>
            <w:tcW w:w="240" w:type="dxa"/>
            <w:vAlign w:val="bottom"/>
          </w:tcPr>
          <w:p>
            <w:pPr>
              <w:spacing w:after="0"/>
              <w:rPr>
                <w:sz w:val="8"/>
                <w:szCs w:val="8"/>
                <w:color w:val="auto"/>
              </w:rPr>
            </w:pPr>
          </w:p>
        </w:tc>
        <w:tc>
          <w:tcPr>
            <w:tcW w:w="78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3"/>
              </w:rPr>
              <w:t>Marked to</w:t>
            </w:r>
          </w:p>
        </w:tc>
        <w:tc>
          <w:tcPr>
            <w:tcW w:w="380" w:type="dxa"/>
            <w:vAlign w:val="bottom"/>
            <w:vMerge w:val="restart"/>
          </w:tcPr>
          <w:p>
            <w:pPr>
              <w:spacing w:after="0"/>
              <w:rPr>
                <w:sz w:val="8"/>
                <w:szCs w:val="8"/>
                <w:color w:val="auto"/>
              </w:rPr>
            </w:pPr>
          </w:p>
        </w:tc>
        <w:tc>
          <w:tcPr>
            <w:tcW w:w="9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Pension</w:t>
            </w:r>
          </w:p>
        </w:tc>
        <w:tc>
          <w:tcPr>
            <w:tcW w:w="340" w:type="dxa"/>
            <w:vAlign w:val="bottom"/>
            <w:vMerge w:val="restart"/>
          </w:tcPr>
          <w:p>
            <w:pPr>
              <w:spacing w:after="0"/>
              <w:rPr>
                <w:sz w:val="8"/>
                <w:szCs w:val="8"/>
                <w:color w:val="auto"/>
              </w:rPr>
            </w:pPr>
          </w:p>
        </w:tc>
        <w:tc>
          <w:tcPr>
            <w:tcW w:w="88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0"/>
              </w:rPr>
              <w:t>Translation</w:t>
            </w:r>
          </w:p>
        </w:tc>
        <w:tc>
          <w:tcPr>
            <w:tcW w:w="24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5"/>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80" w:type="dxa"/>
            <w:vAlign w:val="bottom"/>
            <w:gridSpan w:val="5"/>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Issued</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In Treasury</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Income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2"/>
              </w:rPr>
              <w:t>Market</w:t>
            </w:r>
          </w:p>
        </w:tc>
        <w:tc>
          <w:tcPr>
            <w:tcW w:w="380" w:type="dxa"/>
            <w:vAlign w:val="bottom"/>
          </w:tcPr>
          <w:p>
            <w:pPr>
              <w:spacing w:after="0"/>
              <w:rPr>
                <w:sz w:val="15"/>
                <w:szCs w:val="15"/>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Liability</w:t>
            </w:r>
          </w:p>
        </w:tc>
        <w:tc>
          <w:tcPr>
            <w:tcW w:w="340" w:type="dxa"/>
            <w:vAlign w:val="bottom"/>
          </w:tcPr>
          <w:p>
            <w:pPr>
              <w:spacing w:after="0"/>
              <w:rPr>
                <w:sz w:val="15"/>
                <w:szCs w:val="15"/>
                <w:color w:val="auto"/>
              </w:rPr>
            </w:pPr>
          </w:p>
        </w:tc>
        <w:tc>
          <w:tcPr>
            <w:tcW w:w="8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0"/>
              </w:rPr>
              <w:t>Adjustment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6"/>
          </w:tcPr>
          <w:p>
            <w:pPr>
              <w:jc w:val="right"/>
              <w:ind w:right="120"/>
              <w:spacing w:after="0"/>
              <w:rPr>
                <w:sz w:val="20"/>
                <w:szCs w:val="20"/>
                <w:color w:val="auto"/>
              </w:rPr>
            </w:pPr>
            <w:r>
              <w:rPr>
                <w:rFonts w:ascii="Arial" w:cs="Arial" w:eastAsia="Arial" w:hAnsi="Arial"/>
                <w:sz w:val="14"/>
                <w:szCs w:val="14"/>
                <w:b w:val="1"/>
                <w:bCs w:val="1"/>
                <w:i w:val="1"/>
                <w:iCs w:val="1"/>
                <w:color w:val="auto"/>
                <w:w w:val="88"/>
              </w:rPr>
              <w:t>(Stated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2,258,488</w:t>
            </w:r>
          </w:p>
        </w:tc>
        <w:tc>
          <w:tcPr>
            <w:tcW w:w="15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(1,508,239)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$ 5,505,744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(22,504)</w:t>
            </w: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(283,075)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(69,125)</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220,286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220,286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Derivatives &amp; investments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marked to market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Interest rate swap</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42,562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21,508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Sale of SchlumbergerSema</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75,346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88"/>
              </w:rPr>
              <w:t>(552,000)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(US/UK Plans)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Tax benefit on minimum</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pension liability</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(553)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(110,375)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(DSPP)</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22,641</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16,726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Shares sold to optionees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39,582</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42,990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Stock based compensation cost</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6,458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2,327,169</w:t>
            </w:r>
          </w:p>
        </w:tc>
        <w:tc>
          <w:tcPr>
            <w:tcW w:w="15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(1,448,523)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$ 5,615,655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28,219</w:t>
            </w: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(205,219)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8"/>
              </w:rPr>
              <w:t>(599,617)</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295,027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13"/>
          </w:tcPr>
          <w:p>
            <w:pPr>
              <w:jc w:val="right"/>
              <w:ind w:right="540"/>
              <w:spacing w:after="0"/>
              <w:rPr>
                <w:sz w:val="20"/>
                <w:szCs w:val="20"/>
                <w:color w:val="auto"/>
              </w:rPr>
            </w:pPr>
            <w:r>
              <w:rPr>
                <w:rFonts w:ascii="Arial" w:cs="Arial" w:eastAsia="Arial" w:hAnsi="Arial"/>
                <w:sz w:val="18"/>
                <w:szCs w:val="18"/>
                <w:b w:val="1"/>
                <w:bCs w:val="1"/>
                <w:color w:val="auto"/>
              </w:rPr>
              <w:t>SHARES OF COMMON STOCK</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(Unaudited)</w:t>
            </w: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Issued</w:t>
            </w:r>
          </w:p>
        </w:tc>
        <w:tc>
          <w:tcPr>
            <w:tcW w:w="12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667,105,988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(81,157,660)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585,948,328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68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900,254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900,254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02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Shares sold to optionees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8"/>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2,316,425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2,316,425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Borders>
              <w:bottom w:val="single" w:sz="8" w:color="auto"/>
            </w:tcBorders>
            <w:gridSpan w:val="3"/>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667,105,988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(77,940,981)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589,165,007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-1821815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-1821815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-1821815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-1821815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-1821815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-1821815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-1821815</wp:posOffset>
            </wp:positionV>
            <wp:extent cx="377761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7761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three month period ended March 31, 2004 are not necessarily indicative of the results that may be expected for the full year ending December 31, 2004. The December 31, 2003 balance sheet information has been derived from the audited 2003 financial statements. For further information, refer to the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w:t>
      </w:r>
      <w:r>
        <w:rPr>
          <w:rFonts w:ascii="Arial" w:cs="Arial" w:eastAsia="Arial" w:hAnsi="Arial"/>
          <w:sz w:val="16"/>
          <w:szCs w:val="16"/>
          <w:color w:val="auto"/>
        </w:rPr>
        <w:t>and notes thereto, included in Schlumberger’s Annual Report on Form 10-K, filed with the Securities and Exchange Commission on March 3, 2004,</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fiscal year ended December 31, 2003.</w:t>
      </w:r>
    </w:p>
    <w:p>
      <w:pPr>
        <w:spacing w:after="0" w:line="10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8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 xml:space="preserve">The sale of the SchlumbergerSema business was completed in January 2004. Schlumberger received €443 million ($555 million) in cash and 19.3 million shares of common stock of Atos Origin with a value of €1.02 billion ($1.275 billion). The results of SchlumbergerSema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 xml:space="preserve">Consolidated Statement of Income </w:t>
      </w:r>
      <w:r>
        <w:rPr>
          <w:rFonts w:ascii="Arial" w:cs="Arial" w:eastAsia="Arial" w:hAnsi="Arial"/>
          <w:sz w:val="18"/>
          <w:szCs w:val="18"/>
          <w:color w:val="auto"/>
        </w:rPr>
        <w:t>and include, in the first quarter of 2004, a gain of $26 million on the sale. The net assets sold were approximately $2.2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9 for further information.</w:t>
      </w:r>
    </w:p>
    <w:p>
      <w:pPr>
        <w:spacing w:after="0" w:line="130"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 xml:space="preserve">On March 19, 2004, Schlumberger sold its Infodata business for an all-cash amount of $104 million. The results of Infodata are reported as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w:t>
      </w:r>
      <w:r>
        <w:rPr>
          <w:rFonts w:ascii="Arial" w:cs="Arial" w:eastAsia="Arial" w:hAnsi="Arial"/>
          <w:sz w:val="18"/>
          <w:szCs w:val="18"/>
          <w:color w:val="auto"/>
        </w:rPr>
        <w:t>and include, in the first quarter of 2004, a gain of $50 million on the sale. The net assets sold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 million.</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On February 18, 2004, Schlumberger sold its Telecom Billing Software business for an all-cash amount of $37 million, excluding future cash payments of $10 million. The results of Telecom Billing Software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 in the first quarter of 2004, a gain of $17 million on the sale. The net assets sold were approximately $17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from discontinued operations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88"/>
              </w:rPr>
              <w:t>(Stated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SchlumbergerSema</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Revenue</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637,363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40" w:type="dxa"/>
            <w:vAlign w:val="bottom"/>
            <w:gridSpan w:val="2"/>
          </w:tcPr>
          <w:p>
            <w:pPr>
              <w:spacing w:after="0"/>
              <w:rPr>
                <w:sz w:val="20"/>
                <w:szCs w:val="20"/>
                <w:color w:val="auto"/>
              </w:rPr>
            </w:pPr>
            <w:r>
              <w:rPr>
                <w:rFonts w:ascii="Arial" w:cs="Arial" w:eastAsia="Arial" w:hAnsi="Arial"/>
                <w:sz w:val="18"/>
                <w:szCs w:val="18"/>
                <w:color w:val="auto"/>
              </w:rPr>
              <w:t>Infodata</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17,937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2,282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Telecom Billing Software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Revenue</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loss</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Reclassification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 from continuing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90" w:type="dxa"/>
            <w:vAlign w:val="bottom"/>
          </w:tcPr>
          <w:p>
            <w:pPr>
              <w:spacing w:after="0"/>
              <w:rPr>
                <w:sz w:val="15"/>
                <w:szCs w:val="15"/>
                <w:color w:val="auto"/>
              </w:rPr>
            </w:pPr>
          </w:p>
        </w:tc>
        <w:tc>
          <w:tcPr>
            <w:tcW w:w="1400" w:type="dxa"/>
            <w:vAlign w:val="bottom"/>
            <w:gridSpan w:val="2"/>
          </w:tcPr>
          <w:p>
            <w:pPr>
              <w:jc w:val="center"/>
              <w:ind w:left="520"/>
              <w:spacing w:after="0"/>
              <w:rPr>
                <w:sz w:val="20"/>
                <w:szCs w:val="20"/>
                <w:color w:val="auto"/>
              </w:rPr>
            </w:pPr>
            <w:r>
              <w:rPr>
                <w:rFonts w:ascii="Arial" w:cs="Arial" w:eastAsia="Arial" w:hAnsi="Arial"/>
                <w:sz w:val="14"/>
                <w:szCs w:val="14"/>
                <w:b w:val="1"/>
                <w:bCs w:val="1"/>
                <w:color w:val="auto"/>
                <w:w w:val="89"/>
              </w:rPr>
              <w:t>2003</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Earnings Per</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Share from</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6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Continuing</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Shares</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Continuing</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6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Continuing</w:t>
            </w:r>
          </w:p>
        </w:tc>
        <w:tc>
          <w:tcPr>
            <w:tcW w:w="0" w:type="dxa"/>
            <w:vAlign w:val="bottom"/>
          </w:tcPr>
          <w:p>
            <w:pPr>
              <w:spacing w:after="0"/>
              <w:rPr>
                <w:sz w:val="1"/>
                <w:szCs w:val="1"/>
                <w:color w:val="auto"/>
              </w:rPr>
            </w:pPr>
          </w:p>
        </w:tc>
      </w:tr>
      <w:tr>
        <w:trPr>
          <w:trHeight w:val="174"/>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Operations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Outstanding</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Operations</w:t>
            </w:r>
          </w:p>
        </w:tc>
        <w:tc>
          <w:tcPr>
            <w:tcW w:w="6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690" w:type="dxa"/>
            <w:vAlign w:val="bottom"/>
          </w:tcPr>
          <w:p>
            <w:pPr>
              <w:spacing w:after="0"/>
              <w:rPr>
                <w:sz w:val="21"/>
                <w:szCs w:val="21"/>
                <w:color w:val="auto"/>
              </w:rPr>
            </w:pPr>
          </w:p>
        </w:tc>
        <w:tc>
          <w:tcPr>
            <w:tcW w:w="2800" w:type="dxa"/>
            <w:vAlign w:val="bottom"/>
            <w:gridSpan w:val="7"/>
          </w:tcPr>
          <w:p>
            <w:pPr>
              <w:jc w:val="right"/>
              <w:ind w:right="20"/>
              <w:spacing w:after="0"/>
              <w:rPr>
                <w:sz w:val="20"/>
                <w:szCs w:val="20"/>
                <w:color w:val="auto"/>
              </w:rPr>
            </w:pPr>
            <w:r>
              <w:rPr>
                <w:rFonts w:ascii="Arial" w:cs="Arial" w:eastAsia="Arial" w:hAnsi="Arial"/>
                <w:sz w:val="14"/>
                <w:szCs w:val="14"/>
                <w:b w:val="1"/>
                <w:bCs w:val="1"/>
                <w:i w:val="1"/>
                <w:iCs w:val="1"/>
                <w:color w:val="auto"/>
                <w:w w:val="86"/>
              </w:rPr>
              <w:t>(Stated 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126,839</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587,738</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71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582,209</w:t>
            </w:r>
          </w:p>
        </w:tc>
        <w:tc>
          <w:tcPr>
            <w:tcW w:w="8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69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7,197</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19,105</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700" w:type="dxa"/>
            <w:vAlign w:val="bottom"/>
            <w:gridSpan w:val="3"/>
          </w:tcPr>
          <w:p>
            <w:pPr>
              <w:spacing w:after="0"/>
              <w:rPr>
                <w:sz w:val="20"/>
                <w:szCs w:val="20"/>
                <w:color w:val="auto"/>
              </w:rPr>
            </w:pPr>
            <w:r>
              <w:rPr>
                <w:rFonts w:ascii="Arial" w:cs="Arial" w:eastAsia="Arial" w:hAnsi="Arial"/>
                <w:sz w:val="18"/>
                <w:szCs w:val="18"/>
                <w:color w:val="auto"/>
              </w:rPr>
              <w:t>Dilutive effect of options</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5,017</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1,772</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134,036</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611,860</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71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583,981</w:t>
            </w:r>
          </w:p>
        </w:tc>
        <w:tc>
          <w:tcPr>
            <w:tcW w:w="8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-817880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-817880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-817880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-817880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-817880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-817880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u w:val="single" w:color="auto"/>
          <w:color w:val="auto"/>
        </w:rPr>
        <w:t>Charges – Continuing Operations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Debt Extinguishment Costs</w:t>
      </w:r>
    </w:p>
    <w:p>
      <w:pPr>
        <w:spacing w:after="0" w:line="77"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 xml:space="preserve">In March 2004 Schlumberger plc (SPLC) accepted tenders for the outstanding £175 million SPLC 6.50% Guaranteed Bonds due 2032. In addition, Schlumberger SA (SSA) bought back €25 million of the outstanding €274 million SSA 5.25% Guaranteed Bonds due 2008 and €8 million of the outstanding €259 million SSA 5.875% Guaranteed Bonds due 2011. As a result, Schlumberger recorded a pretax and after-tax charge of $77 million ($0.13 per share), which includes market and tender premiums, and transaction costs. The pretax charge is classified in </w:t>
      </w:r>
      <w:r>
        <w:rPr>
          <w:rFonts w:ascii="Arial" w:cs="Arial" w:eastAsia="Arial" w:hAnsi="Arial"/>
          <w:sz w:val="15"/>
          <w:szCs w:val="15"/>
          <w:i w:val="1"/>
          <w:iCs w:val="1"/>
          <w:color w:val="auto"/>
        </w:rPr>
        <w:t>Debt extinguishment costs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Charges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charges for the first quarter of 2004 are as follows:</w:t>
      </w:r>
    </w:p>
    <w:p>
      <w:pPr>
        <w:spacing w:after="0" w:line="77" w:lineRule="exact"/>
        <w:rPr>
          <w:sz w:val="20"/>
          <w:szCs w:val="20"/>
          <w:color w:val="auto"/>
        </w:rPr>
      </w:pPr>
    </w:p>
    <w:p>
      <w:pPr>
        <w:ind w:left="800" w:right="60" w:hanging="346"/>
        <w:spacing w:after="0" w:line="256" w:lineRule="auto"/>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Schlumberger paid off its commercial paper program in the US. As a result, the $500 million US interest-rate swaps that were designated as cash-flow hedges became ineffective. Schlumberger recorded a pretax non-cash charge of $73 million ($46 million after-tax - $0.08 per share)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jc w:val="both"/>
        <w:ind w:left="800" w:right="220" w:hanging="346"/>
        <w:spacing w:after="0" w:line="306" w:lineRule="auto"/>
        <w:tabs>
          <w:tab w:leader="none" w:pos="800"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Schlumberger sold 9.6 million ordinary shares of Atos Origin SA at a price of €52.95 per share. The net proceeds for the sale were $625 million and Schlumberger recorded a pretax and after-tax loss of $14 million ($0.02 per share) on this transaction which reflects both banking fees and currency effect. The pretax charge is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 w:lineRule="exact"/>
        <w:rPr>
          <w:rFonts w:ascii="Arial" w:cs="Arial" w:eastAsia="Arial" w:hAnsi="Arial"/>
          <w:sz w:val="16"/>
          <w:szCs w:val="16"/>
          <w:color w:val="auto"/>
        </w:rPr>
      </w:pPr>
    </w:p>
    <w:p>
      <w:pPr>
        <w:ind w:left="800" w:right="20" w:hanging="346"/>
        <w:spacing w:after="0" w:line="332" w:lineRule="auto"/>
        <w:tabs>
          <w:tab w:leader="none" w:pos="800"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Schlumberger is undertaking a restructuring program in order to reduce overhead. Consequently, a pretax charge of $20 million ($14 million after-tax - $0.02 per share) was taken in the quarter and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Schlumberger and Smith International Inc. operate a drilling fluids joint venture of which Schlumberger owns a 40% interest and records income using the equity method of accounting. Schlumberger’s investment on March 31, 2004 was $674 million and on December 31, 2003 was $657 million. Schlumberger’s equity income from this joint venture was $17 million in the first quarter of 2004 ($11 million in the first quarter of 2003) and is included in </w:t>
      </w:r>
      <w:r>
        <w:rPr>
          <w:rFonts w:ascii="Arial" w:cs="Arial" w:eastAsia="Arial" w:hAnsi="Arial"/>
          <w:sz w:val="18"/>
          <w:szCs w:val="18"/>
          <w:i w:val="1"/>
          <w:iCs w:val="1"/>
          <w:color w:val="auto"/>
        </w:rPr>
        <w:t>Interest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2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Accounting Standards</w:t>
      </w:r>
    </w:p>
    <w:p>
      <w:pPr>
        <w:spacing w:after="0" w:line="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January 2003, the Emerging Issues Task Force (EITF) issued No. 00-21 (</w:t>
      </w:r>
      <w:r>
        <w:rPr>
          <w:rFonts w:ascii="Arial" w:cs="Arial" w:eastAsia="Arial" w:hAnsi="Arial"/>
          <w:sz w:val="18"/>
          <w:szCs w:val="18"/>
          <w:i w:val="1"/>
          <w:iCs w:val="1"/>
          <w:color w:val="auto"/>
        </w:rPr>
        <w:t>Accounting for Revenue Arrangements with Multiple Deliverables</w:t>
      </w:r>
      <w:r>
        <w:rPr>
          <w:rFonts w:ascii="Arial" w:cs="Arial" w:eastAsia="Arial" w:hAnsi="Arial"/>
          <w:sz w:val="18"/>
          <w:szCs w:val="18"/>
          <w:color w:val="auto"/>
        </w:rPr>
        <w:t>). This EITF establishes the criteria for recognizing revenue in arrangements when several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items are bundled into one agreement. EITF 00-21 does not allow revenue recognition unless the fair value of the undelivered element(s) is available and the delivered element has stand-alone value to the customer. EITF 00-21 also provides guidance on allocating the total contract revenue to the individual elements based upon the available fair value of each deliverable. The implementation of this pronouncement did not have a material impact on Schlumberger’s financial position or results of operations.</w:t>
      </w:r>
    </w:p>
    <w:p>
      <w:pPr>
        <w:spacing w:after="0" w:line="13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January 2003, the Financial Accounting Standards Board issued FASB Interpretation No. 46, (</w:t>
      </w:r>
      <w:r>
        <w:rPr>
          <w:rFonts w:ascii="Arial" w:cs="Arial" w:eastAsia="Arial" w:hAnsi="Arial"/>
          <w:sz w:val="16"/>
          <w:szCs w:val="16"/>
          <w:i w:val="1"/>
          <w:iCs w:val="1"/>
          <w:color w:val="auto"/>
        </w:rPr>
        <w:t>Consolidation of Variable Interest Entities, an Interpretation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ARB No. 51). </w:t>
      </w:r>
      <w:r>
        <w:rPr>
          <w:rFonts w:ascii="Arial" w:cs="Arial" w:eastAsia="Arial" w:hAnsi="Arial"/>
          <w:sz w:val="16"/>
          <w:szCs w:val="16"/>
          <w:color w:val="auto"/>
        </w:rPr>
        <w:t>The primary objective of the interpretation is to provide guidance on the identification of, and financial reporting for entities over which control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achieved through means other than voting rights; such entities are known as variable-interest entities (VIE’s). FIN 46 provides guidance that determines (1) whether consolidation is required under the “controlling financial interest” model of Accounting Research Bulletin No. 51 (ARB 51),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or other existing authoritative guidance, or, alternative, (2) whether the variable-interest model under FIN 46 should be used to account for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new entities. The adoption of this statement did not have a material effect on Schlumberger’s financial position or results of operations.</w:t>
      </w:r>
    </w:p>
    <w:p>
      <w:pPr>
        <w:spacing w:after="0" w:line="10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April 2003, the Financial Accounting Standards Board issued SFAS No. 149 (</w:t>
      </w:r>
      <w:r>
        <w:rPr>
          <w:rFonts w:ascii="Arial" w:cs="Arial" w:eastAsia="Arial" w:hAnsi="Arial"/>
          <w:sz w:val="16"/>
          <w:szCs w:val="16"/>
          <w:i w:val="1"/>
          <w:iCs w:val="1"/>
          <w:color w:val="auto"/>
        </w:rPr>
        <w:t>Amendment of Statement 133 on Derivative Instruments and Hedging Activities</w:t>
      </w:r>
      <w:r>
        <w:rPr>
          <w:rFonts w:ascii="Arial" w:cs="Arial" w:eastAsia="Arial" w:hAnsi="Arial"/>
          <w:sz w:val="16"/>
          <w:szCs w:val="16"/>
          <w:color w:val="auto"/>
        </w:rPr>
        <w:t>) which amends and clarifies financial accounting and reporting for derivative instruments, including certain derivative instruments embedded in other contracts and for hedging activities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149, which is to be applied prospectively, is effective for contracts entered into or modified after June 30, 2003, and for hedging relationships designated after June 30, 2003. The adoption of this new standard did not have a material impact on Schlumberger’s financial position or results of operations.</w:t>
      </w:r>
    </w:p>
    <w:p>
      <w:pPr>
        <w:spacing w:after="0" w:line="10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May 2003, the Financial Accounting Standards Board issued SFAS No. 150, (</w:t>
      </w:r>
      <w:r>
        <w:rPr>
          <w:rFonts w:ascii="Arial" w:cs="Arial" w:eastAsia="Arial" w:hAnsi="Arial"/>
          <w:sz w:val="16"/>
          <w:szCs w:val="16"/>
          <w:i w:val="1"/>
          <w:iCs w:val="1"/>
          <w:color w:val="auto"/>
        </w:rPr>
        <w:t>Accounting for Certain Financial Instruments with Characteristics of Both</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and Equity</w:t>
      </w:r>
      <w:r>
        <w:rPr>
          <w:rFonts w:ascii="Arial" w:cs="Arial" w:eastAsia="Arial" w:hAnsi="Arial"/>
          <w:sz w:val="16"/>
          <w:szCs w:val="16"/>
          <w:color w:val="auto"/>
        </w:rPr>
        <w:t>). The Standard specifies that instruments within its scope embody obligations of the issuer and therefore, the issuer must classify them as</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The Standard was effective July 1, 2003, and had no material effect on Schlumberger’s financial position.</w:t>
      </w:r>
    </w:p>
    <w:p>
      <w:pPr>
        <w:spacing w:after="0" w:line="9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January 2004, the Financial Accounting Standards Board issued FSP No. FAS 106-1 (</w:t>
      </w:r>
      <w:r>
        <w:rPr>
          <w:rFonts w:ascii="Arial" w:cs="Arial" w:eastAsia="Arial" w:hAnsi="Arial"/>
          <w:sz w:val="16"/>
          <w:szCs w:val="16"/>
          <w:i w:val="1"/>
          <w:iCs w:val="1"/>
          <w:color w:val="auto"/>
        </w:rPr>
        <w:t>Accounting and Disclosure Requirements Related to the Medicare</w:t>
      </w:r>
      <w:r>
        <w:rPr>
          <w:rFonts w:ascii="Arial" w:cs="Arial" w:eastAsia="Arial" w:hAnsi="Arial"/>
          <w:sz w:val="16"/>
          <w:szCs w:val="16"/>
          <w:color w:val="auto"/>
        </w:rPr>
        <w:t xml:space="preserve"> </w:t>
      </w:r>
      <w:r>
        <w:rPr>
          <w:rFonts w:ascii="Arial" w:cs="Arial" w:eastAsia="Arial" w:hAnsi="Arial"/>
          <w:sz w:val="16"/>
          <w:szCs w:val="16"/>
          <w:i w:val="1"/>
          <w:iCs w:val="1"/>
          <w:color w:val="auto"/>
        </w:rPr>
        <w:t>Prescription Drug Improvement and Modernization Act of 2003</w:t>
      </w:r>
      <w:r>
        <w:rPr>
          <w:rFonts w:ascii="Arial" w:cs="Arial" w:eastAsia="Arial" w:hAnsi="Arial"/>
          <w:sz w:val="16"/>
          <w:szCs w:val="16"/>
          <w:color w:val="auto"/>
        </w:rPr>
        <w:t>). The statement permits the deferral of accounting related to the effects of the legislation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issuance of final accounting guidance by the FASB or a significant plan amendment/curtailment event requiring remeasurement, occurring after January 31, 2004. Schlumberger expects the new legislation will significantly reduce future postretirement medical costs.</w:t>
      </w:r>
    </w:p>
    <w:p>
      <w:pPr>
        <w:spacing w:after="0" w:line="9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which was subsequently amended up to $250 million. The amount of receivables sold under this agreement totaled $232 million at March 31, 2004. Unless extended by amendment, the agreement expires in September 2004.</w:t>
      </w:r>
    </w:p>
    <w:p>
      <w:pPr>
        <w:spacing w:after="0" w:line="8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Financing</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March 2004 Schlumberger plc (SPLC) accepted tenders for the outstanding £175 million SPLC 6.5% Guaranteed Bonds due 2032. In addition, Schlumberger SA (SSA) bought back € 25 million of the outstanding €274 million SSA 5.25% Guaranteed Bonds due 2008 and €8 million of the outstanding €259 million SSA 5.875% Guaranteed Bonds due 2011. See Note 4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In March 2004 Schlumberger Technology Corporation (STC) paid off its commercial paper program in the US. See Note 4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In April 2004, STC liquidated the interest-rate swaps resulting in a pretax gain of $10 million.</w:t>
      </w:r>
    </w:p>
    <w:p>
      <w:pPr>
        <w:spacing w:after="0" w:line="11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SchlumbergerSema to Atos Origin and Investment in Atos Origin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On September 22, 2003, Schlumberger announced the signing of an agreement with Atos Origin for the sale of the SchlumbergerSema business.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8" w:name="page9"/>
    <w:bookmarkEnd w:id="8"/>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January 29, 2004 the sale transaction was completed. As consideration for the transaction, Schlumberger received €443 million ($550 million) in cash which included a working capital adjustment, and 19.3 million shares of common stock of Atos Origin with a value of €1.02 billion ($1.275 billion), which represented approximately 29% of the outstanding common shares of Atos Origin after the transaction was completed.</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February 2, 2004 Schlumberger sold 9.6 million of the Atos Origin shares for a net consideration of €500 million ($625 million). As a result of this sale, Schlumberger’s investment was reduced to approximately 15% of the outstanding common shares of Atos Origin. The equity in earnings representing Schlumberger’s interest in Atos Origin for the four days ending February 2, 2004 was not material. This investment was accounted for using the cost method as of February 2, 2004.</w:t>
      </w:r>
    </w:p>
    <w:p>
      <w:pPr>
        <w:spacing w:after="0" w:line="13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On April 30, 2004 Schlumberger sold its remaining holding of 9.7 million Atos Origin shares for a net consideration after expenses of €465 million ($550 million). The estimated loss on the sale will not be material.</w:t>
      </w:r>
    </w:p>
    <w:p>
      <w:pPr>
        <w:spacing w:after="0" w:line="112"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Mar. 31</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Dec. 31</w:t>
            </w:r>
          </w:p>
        </w:tc>
      </w:tr>
      <w:tr>
        <w:trPr>
          <w:trHeight w:val="174"/>
        </w:trPr>
        <w:tc>
          <w:tcPr>
            <w:tcW w:w="5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2004</w:t>
            </w:r>
          </w:p>
        </w:tc>
        <w:tc>
          <w:tcPr>
            <w:tcW w:w="11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r>
      <w:tr>
        <w:trPr>
          <w:trHeight w:val="95"/>
        </w:trPr>
        <w:tc>
          <w:tcPr>
            <w:tcW w:w="54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50"/>
        </w:trPr>
        <w:tc>
          <w:tcPr>
            <w:tcW w:w="54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i w:val="1"/>
                <w:iCs w:val="1"/>
                <w:color w:val="auto"/>
                <w:w w:val="87"/>
              </w:rPr>
              <w:t>(Stated in millions)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$ 778</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Work in Process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108"/>
        </w:trPr>
        <w:tc>
          <w:tcPr>
            <w:tcW w:w="54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r>
      <w:tr>
        <w:trPr>
          <w:trHeight w:val="102"/>
        </w:trPr>
        <w:tc>
          <w:tcPr>
            <w:tcW w:w="54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4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1,001</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r>
      <w:tr>
        <w:trPr>
          <w:trHeight w:val="228"/>
        </w:trPr>
        <w:tc>
          <w:tcPr>
            <w:tcW w:w="5480" w:type="dxa"/>
            <w:vAlign w:val="bottom"/>
          </w:tcPr>
          <w:p>
            <w:pPr>
              <w:spacing w:after="0"/>
              <w:rPr>
                <w:sz w:val="20"/>
                <w:szCs w:val="20"/>
                <w:color w:val="auto"/>
              </w:rPr>
            </w:pPr>
            <w:r>
              <w:rPr>
                <w:rFonts w:ascii="Arial" w:cs="Arial" w:eastAsia="Arial" w:hAnsi="Arial"/>
                <w:sz w:val="18"/>
                <w:szCs w:val="18"/>
                <w:color w:val="auto"/>
              </w:rPr>
              <w:t>Less: Reserves</w:t>
            </w: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139</w:t>
            </w:r>
          </w:p>
        </w:tc>
      </w:tr>
      <w:tr>
        <w:trPr>
          <w:trHeight w:val="96"/>
        </w:trPr>
        <w:tc>
          <w:tcPr>
            <w:tcW w:w="54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102"/>
        </w:trPr>
        <w:tc>
          <w:tcPr>
            <w:tcW w:w="54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4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$ 797</w:t>
            </w:r>
          </w:p>
        </w:tc>
      </w:tr>
      <w:tr>
        <w:trPr>
          <w:trHeight w:val="132"/>
        </w:trPr>
        <w:tc>
          <w:tcPr>
            <w:tcW w:w="54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698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1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held for sale and Liabilities held for sale</w:t>
      </w:r>
    </w:p>
    <w:p>
      <w:pPr>
        <w:spacing w:after="0" w:line="83" w:lineRule="exact"/>
        <w:rPr>
          <w:sz w:val="20"/>
          <w:szCs w:val="20"/>
          <w:color w:val="auto"/>
        </w:rPr>
      </w:pPr>
    </w:p>
    <w:p>
      <w:pPr>
        <w:jc w:val="both"/>
        <w:ind w:right="640"/>
        <w:spacing w:after="0" w:line="306" w:lineRule="auto"/>
        <w:rPr>
          <w:sz w:val="20"/>
          <w:szCs w:val="20"/>
          <w:color w:val="auto"/>
        </w:rPr>
      </w:pPr>
      <w:r>
        <w:rPr>
          <w:rFonts w:ascii="Arial" w:cs="Arial" w:eastAsia="Arial" w:hAnsi="Arial"/>
          <w:sz w:val="16"/>
          <w:szCs w:val="16"/>
          <w:color w:val="auto"/>
        </w:rPr>
        <w:t xml:space="preserve">In April 2004, Schlumberger sold the Business Continuity Services business. In accordance with generally accepted accounting principles, the assets and liabilities which will be eliminated from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subsequent to the sale have been aggregated and presented on the </w:t>
      </w:r>
      <w:r>
        <w:rPr>
          <w:rFonts w:ascii="Arial" w:cs="Arial" w:eastAsia="Arial" w:hAnsi="Arial"/>
          <w:sz w:val="16"/>
          <w:szCs w:val="16"/>
          <w:i w:val="1"/>
          <w:iCs w:val="1"/>
          <w:color w:val="auto"/>
        </w:rPr>
        <w:t xml:space="preserve">Consolidated Balance Sheet </w:t>
      </w:r>
      <w:r>
        <w:rPr>
          <w:rFonts w:ascii="Arial" w:cs="Arial" w:eastAsia="Arial" w:hAnsi="Arial"/>
          <w:sz w:val="16"/>
          <w:szCs w:val="16"/>
          <w:color w:val="auto"/>
        </w:rPr>
        <w:t>at March 31, 2004 as</w:t>
      </w:r>
      <w:r>
        <w:rPr>
          <w:rFonts w:ascii="Arial" w:cs="Arial" w:eastAsia="Arial" w:hAnsi="Arial"/>
          <w:sz w:val="16"/>
          <w:szCs w:val="16"/>
          <w:i w:val="1"/>
          <w:iCs w:val="1"/>
          <w:color w:val="auto"/>
        </w:rPr>
        <w:t xml:space="preserve"> Assets held for sale </w:t>
      </w:r>
      <w:r>
        <w:rPr>
          <w:rFonts w:ascii="Arial" w:cs="Arial" w:eastAsia="Arial" w:hAnsi="Arial"/>
          <w:sz w:val="16"/>
          <w:szCs w:val="16"/>
          <w:color w:val="auto"/>
        </w:rPr>
        <w:t>($243 million) and</w:t>
      </w:r>
      <w:r>
        <w:rPr>
          <w:rFonts w:ascii="Arial" w:cs="Arial" w:eastAsia="Arial" w:hAnsi="Arial"/>
          <w:sz w:val="16"/>
          <w:szCs w:val="16"/>
          <w:i w:val="1"/>
          <w:iCs w:val="1"/>
          <w:color w:val="auto"/>
        </w:rPr>
        <w:t xml:space="preserve"> Liabilities held for sale </w:t>
      </w:r>
      <w:r>
        <w:rPr>
          <w:rFonts w:ascii="Arial" w:cs="Arial" w:eastAsia="Arial" w:hAnsi="Arial"/>
          <w:sz w:val="16"/>
          <w:szCs w:val="16"/>
          <w:color w:val="auto"/>
        </w:rPr>
        <w:t>($86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proceeds on the sale were approximately $233 million (including inter-company settlements) and the transaction will result in a net gain.</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Results and operating income from the Business Continuity Services business which are included in Schlumberger’s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are as follows:</w:t>
      </w:r>
    </w:p>
    <w:p>
      <w:pPr>
        <w:spacing w:after="0" w:line="11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w:t>
      </w:r>
    </w:p>
    <w:p>
      <w:pPr>
        <w:spacing w:after="0" w:line="1"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60325</wp:posOffset>
            </wp:positionV>
            <wp:extent cx="10979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02"/>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9"/>
              <w:spacing w:after="0"/>
              <w:rPr>
                <w:sz w:val="20"/>
                <w:szCs w:val="20"/>
                <w:color w:val="auto"/>
              </w:rPr>
            </w:pPr>
            <w:r>
              <w:rPr>
                <w:rFonts w:ascii="Arial" w:cs="Arial" w:eastAsia="Arial" w:hAnsi="Arial"/>
                <w:sz w:val="14"/>
                <w:szCs w:val="14"/>
                <w:b w:val="1"/>
                <w:bCs w:val="1"/>
                <w:color w:val="auto"/>
              </w:rPr>
              <w:t>2003</w:t>
            </w:r>
          </w:p>
        </w:tc>
      </w:tr>
      <w:tr>
        <w:trPr>
          <w:trHeight w:val="95"/>
        </w:trPr>
        <w:tc>
          <w:tcPr>
            <w:tcW w:w="31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r>
      <w:tr>
        <w:trPr>
          <w:trHeight w:val="250"/>
        </w:trPr>
        <w:tc>
          <w:tcPr>
            <w:tcW w:w="316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(Stated in thousands)</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37,872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33,008</w:t>
            </w:r>
          </w:p>
        </w:tc>
      </w:tr>
      <w:tr>
        <w:trPr>
          <w:trHeight w:val="228"/>
        </w:trPr>
        <w:tc>
          <w:tcPr>
            <w:tcW w:w="3160" w:type="dxa"/>
            <w:vAlign w:val="bottom"/>
          </w:tcPr>
          <w:p>
            <w:pPr>
              <w:spacing w:after="0"/>
              <w:rPr>
                <w:sz w:val="20"/>
                <w:szCs w:val="20"/>
                <w:color w:val="auto"/>
              </w:rPr>
            </w:pPr>
            <w:r>
              <w:rPr>
                <w:rFonts w:ascii="Arial" w:cs="Arial" w:eastAsia="Arial" w:hAnsi="Arial"/>
                <w:sz w:val="18"/>
                <w:szCs w:val="18"/>
                <w:color w:val="auto"/>
              </w:rPr>
              <w:t>Operating Income</w:t>
            </w:r>
          </w:p>
        </w:tc>
        <w:tc>
          <w:tcPr>
            <w:tcW w:w="5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1,121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1,474</w:t>
            </w:r>
          </w:p>
        </w:tc>
      </w:tr>
      <w:tr>
        <w:trPr>
          <w:trHeight w:val="350"/>
        </w:trPr>
        <w:tc>
          <w:tcPr>
            <w:tcW w:w="3160" w:type="dxa"/>
            <w:vAlign w:val="bottom"/>
          </w:tcPr>
          <w:p>
            <w:pPr>
              <w:spacing w:after="0"/>
              <w:rPr>
                <w:sz w:val="24"/>
                <w:szCs w:val="24"/>
                <w:color w:val="auto"/>
              </w:rPr>
            </w:pPr>
          </w:p>
        </w:tc>
        <w:tc>
          <w:tcPr>
            <w:tcW w:w="5380" w:type="dxa"/>
            <w:vAlign w:val="bottom"/>
          </w:tcPr>
          <w:p>
            <w:pPr>
              <w:jc w:val="right"/>
              <w:ind w:right="32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analysis of the Assets and Liabilities held for sale at March 31, 2004 is as follows: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260" w:type="dxa"/>
            <w:vAlign w:val="bottom"/>
            <w:gridSpan w:val="3"/>
          </w:tcPr>
          <w:p>
            <w:pPr>
              <w:ind w:left="3200"/>
              <w:spacing w:after="0"/>
              <w:rPr>
                <w:sz w:val="20"/>
                <w:szCs w:val="20"/>
                <w:color w:val="auto"/>
              </w:rPr>
            </w:pPr>
            <w:r>
              <w:rPr>
                <w:rFonts w:ascii="Arial" w:cs="Arial" w:eastAsia="Arial" w:hAnsi="Arial"/>
                <w:sz w:val="14"/>
                <w:szCs w:val="14"/>
                <w:b w:val="1"/>
                <w:bCs w:val="1"/>
                <w:i w:val="1"/>
                <w:iCs w:val="1"/>
                <w:color w:val="auto"/>
                <w:w w:val="83"/>
              </w:rPr>
              <w:t>(Stated in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held for sale</w:t>
            </w:r>
          </w:p>
        </w:tc>
        <w:tc>
          <w:tcPr>
            <w:tcW w:w="3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20" w:type="dxa"/>
            <w:vAlign w:val="bottom"/>
            <w:gridSpan w:val="2"/>
          </w:tcPr>
          <w:p>
            <w:pPr>
              <w:spacing w:after="0"/>
              <w:rPr>
                <w:sz w:val="20"/>
                <w:szCs w:val="20"/>
                <w:color w:val="auto"/>
              </w:rPr>
            </w:pPr>
            <w:r>
              <w:rPr>
                <w:rFonts w:ascii="Arial" w:cs="Arial" w:eastAsia="Arial" w:hAnsi="Arial"/>
                <w:sz w:val="18"/>
                <w:szCs w:val="18"/>
                <w:color w:val="auto"/>
              </w:rPr>
              <w:t>Cash</w:t>
            </w:r>
          </w:p>
        </w:tc>
        <w:tc>
          <w:tcPr>
            <w:tcW w:w="364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Receivables</w:t>
            </w:r>
          </w:p>
        </w:tc>
        <w:tc>
          <w:tcPr>
            <w:tcW w:w="3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Fixed assets</w:t>
            </w:r>
          </w:p>
        </w:tc>
        <w:tc>
          <w:tcPr>
            <w:tcW w:w="3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Deferred taxes</w:t>
            </w:r>
          </w:p>
        </w:tc>
        <w:tc>
          <w:tcPr>
            <w:tcW w:w="3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 held for sale</w:t>
            </w:r>
          </w:p>
        </w:tc>
        <w:tc>
          <w:tcPr>
            <w:tcW w:w="3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20" w:type="dxa"/>
            <w:vAlign w:val="bottom"/>
            <w:gridSpan w:val="2"/>
          </w:tcPr>
          <w:p>
            <w:pPr>
              <w:spacing w:after="0"/>
              <w:rPr>
                <w:sz w:val="20"/>
                <w:szCs w:val="20"/>
                <w:color w:val="auto"/>
              </w:rPr>
            </w:pPr>
            <w:r>
              <w:rPr>
                <w:rFonts w:ascii="Arial" w:cs="Arial" w:eastAsia="Arial" w:hAnsi="Arial"/>
                <w:sz w:val="18"/>
                <w:szCs w:val="18"/>
                <w:color w:val="auto"/>
              </w:rPr>
              <w:t>Suppliers</w:t>
            </w:r>
          </w:p>
        </w:tc>
        <w:tc>
          <w:tcPr>
            <w:tcW w:w="364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Liability for taxes on income</w:t>
            </w:r>
          </w:p>
        </w:tc>
        <w:tc>
          <w:tcPr>
            <w:tcW w:w="3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3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liabilities</w:t>
            </w:r>
          </w:p>
        </w:tc>
        <w:tc>
          <w:tcPr>
            <w:tcW w:w="3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-1367155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-1367155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-1367155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At December 31, 2003 the </w:t>
      </w:r>
      <w:r>
        <w:rPr>
          <w:rFonts w:ascii="Arial" w:cs="Arial" w:eastAsia="Arial" w:hAnsi="Arial"/>
          <w:sz w:val="18"/>
          <w:szCs w:val="18"/>
          <w:i w:val="1"/>
          <w:iCs w:val="1"/>
          <w:color w:val="auto"/>
        </w:rPr>
        <w:t>Assets held for sale</w:t>
      </w:r>
      <w:r>
        <w:rPr>
          <w:rFonts w:ascii="Arial" w:cs="Arial" w:eastAsia="Arial" w:hAnsi="Arial"/>
          <w:sz w:val="18"/>
          <w:szCs w:val="18"/>
          <w:color w:val="auto"/>
        </w:rPr>
        <w:t xml:space="preserve"> ($3.24 billion) and </w:t>
      </w:r>
      <w:r>
        <w:rPr>
          <w:rFonts w:ascii="Arial" w:cs="Arial" w:eastAsia="Arial" w:hAnsi="Arial"/>
          <w:sz w:val="18"/>
          <w:szCs w:val="18"/>
          <w:i w:val="1"/>
          <w:iCs w:val="1"/>
          <w:color w:val="auto"/>
        </w:rPr>
        <w:t>Liabilities held for sale</w:t>
      </w:r>
      <w:r>
        <w:rPr>
          <w:rFonts w:ascii="Arial" w:cs="Arial" w:eastAsia="Arial" w:hAnsi="Arial"/>
          <w:sz w:val="18"/>
          <w:szCs w:val="18"/>
          <w:color w:val="auto"/>
        </w:rPr>
        <w:t xml:space="preserve"> ($1.22 billion) related to the SchlumbergerSema activity which was sold to Atos Origin on January 29,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Assets and Liabilities held for sale at December 31, 2003 is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260" w:type="dxa"/>
            <w:vAlign w:val="bottom"/>
            <w:gridSpan w:val="3"/>
          </w:tcPr>
          <w:p>
            <w:pPr>
              <w:ind w:left="3200"/>
              <w:spacing w:after="0"/>
              <w:rPr>
                <w:sz w:val="20"/>
                <w:szCs w:val="20"/>
                <w:color w:val="auto"/>
              </w:rPr>
            </w:pPr>
            <w:r>
              <w:rPr>
                <w:rFonts w:ascii="Arial" w:cs="Arial" w:eastAsia="Arial" w:hAnsi="Arial"/>
                <w:sz w:val="14"/>
                <w:szCs w:val="14"/>
                <w:b w:val="1"/>
                <w:bCs w:val="1"/>
                <w:i w:val="1"/>
                <w:iCs w:val="1"/>
                <w:color w:val="auto"/>
                <w:w w:val="83"/>
              </w:rPr>
              <w:t>(Stated in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90" w:type="dxa"/>
            <w:vAlign w:val="bottom"/>
          </w:tcPr>
          <w:p>
            <w:pPr>
              <w:spacing w:after="0"/>
              <w:rPr>
                <w:sz w:val="8"/>
                <w:szCs w:val="8"/>
                <w:color w:val="auto"/>
              </w:rPr>
            </w:pPr>
          </w:p>
        </w:tc>
        <w:tc>
          <w:tcPr>
            <w:tcW w:w="87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held for sale</w:t>
            </w:r>
          </w:p>
        </w:tc>
        <w:tc>
          <w:tcPr>
            <w:tcW w:w="320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339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870" w:type="dxa"/>
            <w:vAlign w:val="bottom"/>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20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20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Goodwill</w:t>
            </w:r>
          </w:p>
        </w:tc>
        <w:tc>
          <w:tcPr>
            <w:tcW w:w="320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20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Deferred taxes</w:t>
            </w:r>
          </w:p>
        </w:tc>
        <w:tc>
          <w:tcPr>
            <w:tcW w:w="320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90" w:type="dxa"/>
            <w:vAlign w:val="bottom"/>
          </w:tcPr>
          <w:p>
            <w:pPr>
              <w:spacing w:after="0"/>
              <w:rPr>
                <w:sz w:val="8"/>
                <w:szCs w:val="8"/>
                <w:color w:val="auto"/>
              </w:rPr>
            </w:pPr>
          </w:p>
        </w:tc>
        <w:tc>
          <w:tcPr>
            <w:tcW w:w="87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39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87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90" w:type="dxa"/>
            <w:vAlign w:val="bottom"/>
          </w:tcPr>
          <w:p>
            <w:pPr>
              <w:spacing w:after="0"/>
              <w:rPr>
                <w:sz w:val="9"/>
                <w:szCs w:val="9"/>
                <w:color w:val="auto"/>
              </w:rPr>
            </w:pPr>
          </w:p>
        </w:tc>
        <w:tc>
          <w:tcPr>
            <w:tcW w:w="8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 held for sale</w:t>
            </w:r>
          </w:p>
        </w:tc>
        <w:tc>
          <w:tcPr>
            <w:tcW w:w="320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2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339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870" w:type="dxa"/>
            <w:vAlign w:val="bottom"/>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Liability for taxes on income</w:t>
            </w:r>
          </w:p>
        </w:tc>
        <w:tc>
          <w:tcPr>
            <w:tcW w:w="320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liabilities</w:t>
            </w:r>
          </w:p>
        </w:tc>
        <w:tc>
          <w:tcPr>
            <w:tcW w:w="320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20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90" w:type="dxa"/>
            <w:vAlign w:val="bottom"/>
          </w:tcPr>
          <w:p>
            <w:pPr>
              <w:spacing w:after="0"/>
              <w:rPr>
                <w:sz w:val="8"/>
                <w:szCs w:val="8"/>
                <w:color w:val="auto"/>
              </w:rPr>
            </w:pPr>
          </w:p>
        </w:tc>
        <w:tc>
          <w:tcPr>
            <w:tcW w:w="87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39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87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-1229995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-1229995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-1229995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Fixed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97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90" w:type="dxa"/>
            <w:vAlign w:val="bottom"/>
          </w:tcPr>
          <w:p>
            <w:pPr>
              <w:jc w:val="right"/>
              <w:ind w:right="80"/>
              <w:spacing w:after="0"/>
              <w:rPr>
                <w:sz w:val="20"/>
                <w:szCs w:val="20"/>
                <w:color w:val="auto"/>
              </w:rPr>
            </w:pPr>
            <w:r>
              <w:rPr>
                <w:rFonts w:ascii="Arial" w:cs="Arial" w:eastAsia="Arial" w:hAnsi="Arial"/>
                <w:sz w:val="14"/>
                <w:szCs w:val="14"/>
                <w:b w:val="1"/>
                <w:bCs w:val="1"/>
                <w:color w:val="auto"/>
                <w:w w:val="96"/>
              </w:rPr>
              <w:t>2004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7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7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550" w:type="dxa"/>
            <w:vAlign w:val="bottom"/>
            <w:gridSpan w:val="5"/>
          </w:tcPr>
          <w:p>
            <w:pPr>
              <w:jc w:val="center"/>
              <w:ind w:left="370"/>
              <w:spacing w:after="0"/>
              <w:rPr>
                <w:sz w:val="20"/>
                <w:szCs w:val="20"/>
                <w:color w:val="auto"/>
              </w:rPr>
            </w:pPr>
            <w:r>
              <w:rPr>
                <w:rFonts w:ascii="Arial" w:cs="Arial" w:eastAsia="Arial" w:hAnsi="Arial"/>
                <w:sz w:val="14"/>
                <w:szCs w:val="14"/>
                <w:b w:val="1"/>
                <w:bCs w:val="1"/>
                <w:i w:val="1"/>
                <w:iCs w:val="1"/>
                <w:color w:val="auto"/>
                <w:w w:val="84"/>
              </w:rPr>
              <w:t>(Stated in millions)</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10,801</w:t>
            </w:r>
          </w:p>
        </w:tc>
        <w:tc>
          <w:tcPr>
            <w:tcW w:w="5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7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b w:val="1"/>
                <w:bCs w:val="1"/>
                <w:color w:val="auto"/>
              </w:rPr>
              <w:t>7,182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7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3,619</w:t>
            </w:r>
          </w:p>
        </w:tc>
        <w:tc>
          <w:tcPr>
            <w:tcW w:w="5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7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80" w:right="239" w:bottom="1440" w:gutter="0" w:footer="0" w:header="0"/>
          <w:type w:val="continuous"/>
        </w:sectPr>
      </w:pPr>
    </w:p>
    <w:bookmarkStart w:id="10" w:name="page11"/>
    <w:bookmarkEnd w:id="10"/>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Multiclient Seismic Data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700" w:type="dxa"/>
            <w:vAlign w:val="bottom"/>
            <w:gridSpan w:val="5"/>
          </w:tcPr>
          <w:p>
            <w:pPr>
              <w:ind w:left="2560"/>
              <w:spacing w:after="0"/>
              <w:rPr>
                <w:sz w:val="20"/>
                <w:szCs w:val="20"/>
                <w:color w:val="auto"/>
              </w:rPr>
            </w:pPr>
            <w:r>
              <w:rPr>
                <w:rFonts w:ascii="Arial" w:cs="Arial" w:eastAsia="Arial" w:hAnsi="Arial"/>
                <w:sz w:val="14"/>
                <w:szCs w:val="14"/>
                <w:b w:val="1"/>
                <w:bCs w:val="1"/>
                <w:i w:val="1"/>
                <w:iCs w:val="1"/>
                <w:color w:val="auto"/>
                <w:w w:val="89"/>
              </w:rPr>
              <w:t>(Stated in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3000" w:type="dxa"/>
            <w:vAlign w:val="bottom"/>
            <w:gridSpan w:val="3"/>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Capitalized in period</w:t>
            </w: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2004</w:t>
            </w:r>
          </w:p>
        </w:tc>
        <w:tc>
          <w:tcPr>
            <w:tcW w:w="3000" w:type="dxa"/>
            <w:vAlign w:val="bottom"/>
            <w:gridSpan w:val="3"/>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three months ended March 31, 2004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480" w:type="dxa"/>
            <w:vAlign w:val="bottom"/>
            <w:gridSpan w:val="8"/>
          </w:tcPr>
          <w:p>
            <w:pPr>
              <w:ind w:left="2760"/>
              <w:spacing w:after="0"/>
              <w:rPr>
                <w:sz w:val="20"/>
                <w:szCs w:val="20"/>
                <w:color w:val="auto"/>
              </w:rPr>
            </w:pPr>
            <w:r>
              <w:rPr>
                <w:rFonts w:ascii="Arial" w:cs="Arial" w:eastAsia="Arial" w:hAnsi="Arial"/>
                <w:sz w:val="14"/>
                <w:szCs w:val="14"/>
                <w:b w:val="1"/>
                <w:bCs w:val="1"/>
                <w:i w:val="1"/>
                <w:iCs w:val="1"/>
                <w:color w:val="auto"/>
              </w:rPr>
              <w:t>(Stated in millions)</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90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3,284</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Impact of change in exchange rates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2004</w:t>
            </w:r>
          </w:p>
        </w:tc>
        <w:tc>
          <w:tcPr>
            <w:tcW w:w="290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3,199</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3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15. Intangible Assets</w:t>
            </w:r>
          </w:p>
        </w:tc>
        <w:tc>
          <w:tcPr>
            <w:tcW w:w="2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6380" w:type="dxa"/>
            <w:vAlign w:val="bottom"/>
            <w:gridSpan w:val="5"/>
            <w:vMerge w:val="continue"/>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380" w:type="dxa"/>
            <w:vAlign w:val="bottom"/>
            <w:gridSpan w:val="5"/>
          </w:tcPr>
          <w:p>
            <w:pPr>
              <w:spacing w:after="0"/>
              <w:rPr>
                <w:sz w:val="20"/>
                <w:szCs w:val="20"/>
                <w:color w:val="auto"/>
              </w:rPr>
            </w:pPr>
            <w:r>
              <w:rPr>
                <w:rFonts w:ascii="Arial" w:cs="Arial" w:eastAsia="Arial" w:hAnsi="Arial"/>
                <w:sz w:val="18"/>
                <w:szCs w:val="18"/>
                <w:color w:val="auto"/>
              </w:rPr>
              <w:t>A summary of intangible assets follows:</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Mar.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11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gridSpan w:val="3"/>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4"/>
                <w:szCs w:val="14"/>
                <w:b w:val="1"/>
                <w:bCs w:val="1"/>
                <w:i w:val="1"/>
                <w:iCs w:val="1"/>
                <w:color w:val="auto"/>
                <w:w w:val="86"/>
              </w:rPr>
              <w:t>(Stated in millions)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3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$ 758</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$ 796</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33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357</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900" w:type="dxa"/>
            <w:vAlign w:val="bottom"/>
            <w:gridSpan w:val="3"/>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gridSpan w:val="3"/>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$ 401</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$ 403</w:t>
            </w: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-1684655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-1684655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-1684655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charged to income for the first quarter of 2004 was $21 million and $26 million in 2003.</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Intangible assets principally comprise patents, software, technology and other. At March 31, 2004, the gross book value, accumulated amortization and amortization periods of intangible assets were as follows: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3"/>
              </w:rPr>
              <w:t>Gross</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49"/>
        </w:trPr>
        <w:tc>
          <w:tcPr>
            <w:tcW w:w="35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1"/>
              </w:rPr>
              <w:t>Book</w:t>
            </w:r>
          </w:p>
        </w:tc>
        <w:tc>
          <w:tcPr>
            <w:tcW w:w="1620" w:type="dxa"/>
            <w:vAlign w:val="bottom"/>
            <w:gridSpan w:val="3"/>
          </w:tcPr>
          <w:p>
            <w:pPr>
              <w:ind w:left="8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74"/>
        </w:trPr>
        <w:tc>
          <w:tcPr>
            <w:tcW w:w="35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90"/>
              </w:rPr>
              <w:t>Value</w:t>
            </w:r>
          </w:p>
        </w:tc>
        <w:tc>
          <w:tcPr>
            <w:tcW w:w="1620" w:type="dxa"/>
            <w:vAlign w:val="bottom"/>
            <w:gridSpan w:val="3"/>
          </w:tcPr>
          <w:p>
            <w:pPr>
              <w:ind w:left="840"/>
              <w:spacing w:after="0"/>
              <w:rPr>
                <w:sz w:val="20"/>
                <w:szCs w:val="20"/>
                <w:color w:val="auto"/>
              </w:rPr>
            </w:pPr>
            <w:r>
              <w:rPr>
                <w:rFonts w:ascii="Arial" w:cs="Arial" w:eastAsia="Arial" w:hAnsi="Arial"/>
                <w:sz w:val="14"/>
                <w:szCs w:val="14"/>
                <w:b w:val="1"/>
                <w:bCs w:val="1"/>
                <w:color w:val="auto"/>
                <w:w w:val="88"/>
              </w:rPr>
              <w:t>Amortization</w:t>
            </w:r>
          </w:p>
        </w:tc>
        <w:tc>
          <w:tcPr>
            <w:tcW w:w="2100" w:type="dxa"/>
            <w:vAlign w:val="bottom"/>
            <w:gridSpan w:val="2"/>
          </w:tcPr>
          <w:p>
            <w:pPr>
              <w:jc w:val="center"/>
              <w:ind w:left="752"/>
              <w:spacing w:after="0"/>
              <w:rPr>
                <w:sz w:val="20"/>
                <w:szCs w:val="20"/>
                <w:color w:val="auto"/>
              </w:rPr>
            </w:pPr>
            <w:r>
              <w:rPr>
                <w:rFonts w:ascii="Arial" w:cs="Arial" w:eastAsia="Arial" w:hAnsi="Arial"/>
                <w:sz w:val="14"/>
                <w:szCs w:val="14"/>
                <w:b w:val="1"/>
                <w:bCs w:val="1"/>
                <w:color w:val="auto"/>
                <w:w w:val="88"/>
              </w:rPr>
              <w:t>Amortization Periods</w:t>
            </w:r>
          </w:p>
        </w:tc>
      </w:tr>
      <w:tr>
        <w:trPr>
          <w:trHeight w:val="95"/>
        </w:trPr>
        <w:tc>
          <w:tcPr>
            <w:tcW w:w="35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50"/>
        </w:trPr>
        <w:tc>
          <w:tcPr>
            <w:tcW w:w="35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w w:val="92"/>
              </w:rPr>
              <w:t>(Stated in millions)</w:t>
            </w: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5 -10 years</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Technology</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5 -10 years</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5 -10 years</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1 - 15 years</w:t>
            </w:r>
          </w:p>
        </w:tc>
      </w:tr>
      <w:tr>
        <w:trPr>
          <w:trHeight w:val="102"/>
        </w:trPr>
        <w:tc>
          <w:tcPr>
            <w:tcW w:w="35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102"/>
        </w:trPr>
        <w:tc>
          <w:tcPr>
            <w:tcW w:w="35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16"/>
        </w:trPr>
        <w:tc>
          <w:tcPr>
            <w:tcW w:w="35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32"/>
        </w:trPr>
        <w:tc>
          <w:tcPr>
            <w:tcW w:w="35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7.5 years.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240" w:top="274" w:right="799" w:bottom="1440" w:gutter="0" w:footer="0" w:header="0"/>
        </w:sectPr>
      </w:pPr>
    </w:p>
    <w:bookmarkStart w:id="11" w:name="page12"/>
    <w:bookmarkEnd w:id="11"/>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Compensation Plans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As of March 31, 2004, Schlumberger had two types of stock-based compensation plans. Schlumberger recorded stock options expense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of Income </w:t>
      </w:r>
      <w:r>
        <w:rPr>
          <w:rFonts w:ascii="Arial" w:cs="Arial" w:eastAsia="Arial" w:hAnsi="Arial"/>
          <w:sz w:val="16"/>
          <w:szCs w:val="16"/>
          <w:color w:val="auto"/>
        </w:rPr>
        <w:t>commencing in the third quarter of 2003, on a prospective basis for grants after January 1, 2003 (SFAS 123 and SFAS 148). The effect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adoption on the first quarter net income was $6.5 million ($0.01 per share). Schlumberger applied APB25 for grants prior to January 1, 2003. Had compensation cost for the stock-based Schlumberger plans been determined based on the fair value at the grant dates for awards prior to January 1, 2003, consistent with the method of SFAS 123, Schlumberger net income and earnings per share would have been the pro forma amounts indicated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First Quarter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7"/>
          </w:tcPr>
          <w:p>
            <w:pPr>
              <w:jc w:val="right"/>
              <w:ind w:right="100"/>
              <w:spacing w:after="0"/>
              <w:rPr>
                <w:sz w:val="20"/>
                <w:szCs w:val="20"/>
                <w:color w:val="auto"/>
              </w:rPr>
            </w:pPr>
            <w:r>
              <w:rPr>
                <w:rFonts w:ascii="Arial" w:cs="Arial" w:eastAsia="Arial" w:hAnsi="Arial"/>
                <w:sz w:val="14"/>
                <w:szCs w:val="14"/>
                <w:b w:val="1"/>
                <w:bCs w:val="1"/>
                <w:i w:val="1"/>
                <w:iCs w:val="1"/>
                <w:color w:val="auto"/>
                <w:w w:val="92"/>
              </w:rPr>
              <w:t>(Stated in millions</w:t>
            </w: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gridSpan w:val="10"/>
          </w:tcPr>
          <w:p>
            <w:pPr>
              <w:jc w:val="right"/>
              <w:ind w:right="100"/>
              <w:spacing w:after="0" w:line="159" w:lineRule="exact"/>
              <w:rPr>
                <w:sz w:val="20"/>
                <w:szCs w:val="20"/>
                <w:color w:val="auto"/>
              </w:rPr>
            </w:pPr>
            <w:r>
              <w:rPr>
                <w:rFonts w:ascii="Arial" w:cs="Arial" w:eastAsia="Arial" w:hAnsi="Arial"/>
                <w:sz w:val="14"/>
                <w:szCs w:val="14"/>
                <w:b w:val="1"/>
                <w:bCs w:val="1"/>
                <w:i w:val="1"/>
                <w:iCs w:val="1"/>
                <w:color w:val="auto"/>
                <w:w w:val="99"/>
              </w:rPr>
              <w:t>except per share amounts)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tcPr>
          <w:p>
            <w:pPr>
              <w:ind w:left="440"/>
              <w:spacing w:after="0"/>
              <w:rPr>
                <w:sz w:val="20"/>
                <w:szCs w:val="20"/>
                <w:color w:val="auto"/>
              </w:rPr>
            </w:pPr>
            <w:r>
              <w:rPr>
                <w:rFonts w:ascii="Arial" w:cs="Arial" w:eastAsia="Arial" w:hAnsi="Arial"/>
                <w:sz w:val="18"/>
                <w:szCs w:val="18"/>
                <w:color w:val="auto"/>
              </w:rPr>
              <w:t>As reported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Proforma adjustments: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rPr>
              <w:t>Cost of DSPP</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5"/>
          </w:tcPr>
          <w:p>
            <w:pPr>
              <w:ind w:lef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Cost of Stock Options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rPr>
              <w:t>Tax benefit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Proforma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0" w:type="dxa"/>
            <w:vAlign w:val="bottom"/>
            <w:vMerge w:val="restart"/>
          </w:tcPr>
          <w:p>
            <w:pPr>
              <w:spacing w:after="0"/>
              <w:rPr>
                <w:sz w:val="9"/>
                <w:szCs w:val="9"/>
                <w:color w:val="auto"/>
              </w:rPr>
            </w:pPr>
          </w:p>
        </w:tc>
        <w:tc>
          <w:tcPr>
            <w:tcW w:w="30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6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tcPr>
          <w:p>
            <w:pPr>
              <w:ind w:left="440"/>
              <w:spacing w:after="0"/>
              <w:rPr>
                <w:sz w:val="20"/>
                <w:szCs w:val="20"/>
                <w:color w:val="auto"/>
              </w:rPr>
            </w:pPr>
            <w:r>
              <w:rPr>
                <w:rFonts w:ascii="Arial" w:cs="Arial" w:eastAsia="Arial" w:hAnsi="Arial"/>
                <w:sz w:val="18"/>
                <w:szCs w:val="18"/>
                <w:color w:val="auto"/>
              </w:rPr>
              <w:t>As reported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Proforma adjustments: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rPr>
              <w:t>Cost of DSPP</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5"/>
          </w:tcPr>
          <w:p>
            <w:pPr>
              <w:ind w:lef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(0.02)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Cost of Stock Options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3"/>
              </w:rPr>
              <w:t>(0.02)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(0.05)</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0" w:type="dxa"/>
            <w:vAlign w:val="bottom"/>
            <w:vMerge w:val="restart"/>
          </w:tcPr>
          <w:p>
            <w:pPr>
              <w:spacing w:after="0"/>
              <w:rPr>
                <w:sz w:val="9"/>
                <w:szCs w:val="9"/>
                <w:color w:val="auto"/>
              </w:rPr>
            </w:pPr>
          </w:p>
        </w:tc>
        <w:tc>
          <w:tcPr>
            <w:tcW w:w="30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6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tcPr>
          <w:p>
            <w:pPr>
              <w:ind w:left="440"/>
              <w:spacing w:after="0"/>
              <w:rPr>
                <w:sz w:val="20"/>
                <w:szCs w:val="20"/>
                <w:color w:val="auto"/>
              </w:rPr>
            </w:pPr>
            <w:r>
              <w:rPr>
                <w:rFonts w:ascii="Arial" w:cs="Arial" w:eastAsia="Arial" w:hAnsi="Arial"/>
                <w:sz w:val="18"/>
                <w:szCs w:val="18"/>
                <w:color w:val="auto"/>
              </w:rPr>
              <w:t>As reported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Proforma adjustments: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rPr>
              <w:t>Cost of DSPP</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5"/>
          </w:tcPr>
          <w:p>
            <w:pPr>
              <w:ind w:lef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(0.02)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Cost of Stock Options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3"/>
              </w:rPr>
              <w:t>(0.03)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(0.05)</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17. Income Tax</w:t>
            </w: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8080" w:type="dxa"/>
            <w:vAlign w:val="bottom"/>
            <w:gridSpan w:val="4"/>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8080" w:type="dxa"/>
            <w:vAlign w:val="bottom"/>
            <w:gridSpan w:val="4"/>
          </w:tcPr>
          <w:p>
            <w:pPr>
              <w:spacing w:after="0"/>
              <w:rPr>
                <w:sz w:val="20"/>
                <w:szCs w:val="20"/>
                <w:color w:val="auto"/>
              </w:rPr>
            </w:pPr>
            <w:r>
              <w:rPr>
                <w:rFonts w:ascii="Arial" w:cs="Arial" w:eastAsia="Arial" w:hAnsi="Arial"/>
                <w:sz w:val="18"/>
                <w:szCs w:val="18"/>
                <w:color w:val="auto"/>
                <w:w w:val="97"/>
              </w:rPr>
              <w:t>Pretax book income from continuing operations subject to US and non-US income taxes was as follows: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gridSpan w:val="4"/>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7"/>
          </w:tcPr>
          <w:p>
            <w:pPr>
              <w:jc w:val="center"/>
              <w:ind w:left="72"/>
              <w:spacing w:after="0"/>
              <w:rPr>
                <w:sz w:val="20"/>
                <w:szCs w:val="20"/>
                <w:color w:val="auto"/>
              </w:rPr>
            </w:pPr>
            <w:r>
              <w:rPr>
                <w:rFonts w:ascii="Arial" w:cs="Arial" w:eastAsia="Arial" w:hAnsi="Arial"/>
                <w:sz w:val="14"/>
                <w:szCs w:val="14"/>
                <w:b w:val="1"/>
                <w:bCs w:val="1"/>
                <w:i w:val="1"/>
                <w:iCs w:val="1"/>
                <w:color w:val="auto"/>
                <w:w w:val="84"/>
              </w:rPr>
              <w:t>(Stated in millions)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$ 22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$ 59</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Outside United States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b w:val="1"/>
                <w:bCs w:val="1"/>
                <w:color w:val="auto"/>
              </w:rPr>
              <w:t>164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$ 211</w:t>
            </w:r>
          </w:p>
        </w:tc>
        <w:tc>
          <w:tcPr>
            <w:tcW w:w="0" w:type="dxa"/>
            <w:vAlign w:val="bottom"/>
          </w:tcPr>
          <w:p>
            <w:pPr>
              <w:spacing w:after="0"/>
              <w:rPr>
                <w:sz w:val="1"/>
                <w:szCs w:val="1"/>
                <w:color w:val="auto"/>
              </w:rPr>
            </w:pPr>
          </w:p>
        </w:tc>
      </w:tr>
      <w:tr>
        <w:trPr>
          <w:trHeight w:val="132"/>
        </w:trPr>
        <w:tc>
          <w:tcPr>
            <w:tcW w:w="8080" w:type="dxa"/>
            <w:vAlign w:val="bottom"/>
            <w:gridSpan w:val="4"/>
            <w:vMerge w:val="restart"/>
          </w:tcPr>
          <w:p>
            <w:pPr>
              <w:jc w:val="right"/>
              <w:ind w:right="2132"/>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080" w:type="dxa"/>
            <w:vAlign w:val="bottom"/>
            <w:gridSpan w:val="4"/>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-4391025</wp:posOffset>
            </wp:positionV>
            <wp:extent cx="34734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-4391025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-4391025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-4391025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-3258820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-3258820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-3258820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-3258820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-3258820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-3258820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-2127250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-2127250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-2127250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-2127250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-2127250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-2127250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140"/>
          </w:cols>
          <w:pgMar w:left="240" w:top="274" w:right="519" w:bottom="1440" w:gutter="0" w:footer="0" w:header="0"/>
        </w:sectPr>
      </w:pPr>
    </w:p>
    <w:bookmarkStart w:id="12" w:name="page13"/>
    <w:bookmarkEnd w:id="12"/>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US pretax results in the first quarter 2004 included charges of $93 million related to the US Interest Rate Swap and the restructuring program. Outside the US pretax results included charges of $91 million related to the debt extinguishment costs and the loss on sale of Atos Origin common stock.</w:t>
      </w:r>
    </w:p>
    <w:p>
      <w:pPr>
        <w:spacing w:after="0" w:line="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Schlumberger had net deferred tax assets of $657 million on March 31, 2004 including a partial valuation allowance of $321 million relating to a certain European net operating loss, and $632 million on December 31, 2003. Significant components of net deferred tax assets at March 31, 2004 included postretirement and other long-term benefits ($216 million), current employee benefits ($185 million), fixed assets, inventory and other ($210 million) and net operating losses ($367 million less a partial valuation allowance of $321 million). At December 31, 2003, net deferred tax assets included postretirement and other long-term benefits ($213 million), current employee benefits ($183 million), fixed assets, inventory and other ($194 million) and net operating losses ($367 million less a partial valuation allowance of $325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First Quarter</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5"/>
          </w:tcPr>
          <w:p>
            <w:pPr>
              <w:jc w:val="right"/>
              <w:ind w:right="100"/>
              <w:spacing w:after="0"/>
              <w:rPr>
                <w:sz w:val="20"/>
                <w:szCs w:val="20"/>
                <w:color w:val="auto"/>
              </w:rPr>
            </w:pPr>
            <w:r>
              <w:rPr>
                <w:rFonts w:ascii="Arial" w:cs="Arial" w:eastAsia="Arial" w:hAnsi="Arial"/>
                <w:sz w:val="14"/>
                <w:szCs w:val="14"/>
                <w:b w:val="1"/>
                <w:bCs w:val="1"/>
                <w:i w:val="1"/>
                <w:iCs w:val="1"/>
                <w:color w:val="auto"/>
                <w:w w:val="84"/>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3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3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taxes on income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Schlumberger reported charges in continuing operations in 2004 and 2003. These are more fully described in the note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A reconciliation of the US statutory federal tax rate (35%) to the consolidated effective tax rate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1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3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US state income taxes</w:t>
            </w:r>
          </w:p>
        </w:tc>
        <w:tc>
          <w:tcPr>
            <w:tcW w:w="3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3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Valuation allowance (net of charges)</w:t>
            </w:r>
          </w:p>
        </w:tc>
        <w:tc>
          <w:tcPr>
            <w:tcW w:w="3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Charges</w:t>
            </w:r>
          </w:p>
        </w:tc>
        <w:tc>
          <w:tcPr>
            <w:tcW w:w="346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Schlumberger’s effective tax rate excluding charges in the first quarter of 2004 was 24% and 31% in 2003.</w:t>
      </w:r>
    </w:p>
    <w:p>
      <w:pPr>
        <w:spacing w:after="0" w:line="152"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jc w:val="both"/>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Consolidated Balance sheet includes accruals for estimated future expenditures associated with business divestitures which have been completed. In the opinion of management, such additional expenditures are not expected to be material relative to consolidated liquidity, financial position or future results of operations.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24"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three reportable business segments: Oilfield Services, WesternGeco and Other.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Prior periods have been restated so as to be comparable with our current reporting structure.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FIRST QUARTER 2004</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FIRST QUARTER 2003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7"/>
              </w:rPr>
              <w:t>Income</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Income</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120" w:type="dxa"/>
            <w:vAlign w:val="bottom"/>
          </w:tcPr>
          <w:p>
            <w:pPr>
              <w:spacing w:after="0"/>
              <w:rPr>
                <w:sz w:val="12"/>
                <w:szCs w:val="12"/>
                <w:color w:val="auto"/>
              </w:rPr>
            </w:pPr>
          </w:p>
        </w:tc>
        <w:tc>
          <w:tcPr>
            <w:tcW w:w="8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2"/>
              </w:rPr>
              <w:t>Tax</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after tax</w:t>
            </w:r>
          </w:p>
        </w:tc>
        <w:tc>
          <w:tcPr>
            <w:tcW w:w="4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20" w:type="dxa"/>
            <w:vAlign w:val="bottom"/>
          </w:tcPr>
          <w:p>
            <w:pPr>
              <w:spacing w:after="0"/>
              <w:rPr>
                <w:sz w:val="12"/>
                <w:szCs w:val="12"/>
                <w:color w:val="auto"/>
              </w:rPr>
            </w:pPr>
          </w:p>
        </w:tc>
        <w:tc>
          <w:tcPr>
            <w:tcW w:w="8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2"/>
              </w:rPr>
              <w:t>Tax</w:t>
            </w:r>
          </w:p>
        </w:tc>
        <w:tc>
          <w:tcPr>
            <w:tcW w:w="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86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&amp; MI</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5"/>
                <w:szCs w:val="15"/>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Revenue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&amp; MI</w:t>
            </w:r>
          </w:p>
        </w:tc>
        <w:tc>
          <w:tcPr>
            <w:tcW w:w="400" w:type="dxa"/>
            <w:vAlign w:val="bottom"/>
          </w:tcPr>
          <w:p>
            <w:pPr>
              <w:spacing w:after="0"/>
              <w:rPr>
                <w:sz w:val="15"/>
                <w:szCs w:val="15"/>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Interest</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6"/>
          </w:tcPr>
          <w:p>
            <w:pPr>
              <w:jc w:val="right"/>
              <w:ind w:right="100"/>
              <w:spacing w:after="0"/>
              <w:rPr>
                <w:sz w:val="20"/>
                <w:szCs w:val="20"/>
                <w:color w:val="auto"/>
              </w:rPr>
            </w:pPr>
            <w:r>
              <w:rPr>
                <w:rFonts w:ascii="Arial" w:cs="Arial" w:eastAsia="Arial" w:hAnsi="Arial"/>
                <w:sz w:val="14"/>
                <w:szCs w:val="14"/>
                <w:b w:val="1"/>
                <w:bCs w:val="1"/>
                <w:i w:val="1"/>
                <w:iCs w:val="1"/>
                <w:color w:val="auto"/>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618</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00" w:type="dxa"/>
            <w:vAlign w:val="bottom"/>
            <w:gridSpan w:val="2"/>
          </w:tcPr>
          <w:p>
            <w:pPr>
              <w:ind w:left="420"/>
              <w:spacing w:after="0"/>
              <w:rPr>
                <w:sz w:val="20"/>
                <w:szCs w:val="20"/>
                <w:color w:val="auto"/>
              </w:rPr>
            </w:pPr>
            <w:r>
              <w:rPr>
                <w:rFonts w:ascii="Arial" w:cs="Arial" w:eastAsia="Arial" w:hAnsi="Arial"/>
                <w:sz w:val="18"/>
                <w:szCs w:val="18"/>
                <w:color w:val="auto"/>
              </w:rPr>
              <w:t>Europe/CIS/W.</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gridSpan w:val="2"/>
          </w:tcPr>
          <w:p>
            <w:pPr>
              <w:ind w:left="640"/>
              <w:spacing w:after="0"/>
              <w:rPr>
                <w:sz w:val="20"/>
                <w:szCs w:val="20"/>
                <w:color w:val="auto"/>
              </w:rPr>
            </w:pPr>
            <w:r>
              <w:rPr>
                <w:rFonts w:ascii="Arial" w:cs="Arial" w:eastAsia="Arial" w:hAnsi="Arial"/>
                <w:sz w:val="18"/>
                <w:szCs w:val="18"/>
                <w:color w:val="auto"/>
              </w:rPr>
              <w:t>Africa</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Asia</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2,359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2,051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Elims &amp; Other</w:t>
            </w:r>
          </w:p>
        </w:tc>
        <w:tc>
          <w:tcPr>
            <w:tcW w:w="100" w:type="dxa"/>
            <w:vAlign w:val="bottom"/>
          </w:tcPr>
          <w:p>
            <w:pPr>
              <w:spacing w:after="0"/>
              <w:rPr>
                <w:sz w:val="19"/>
                <w:szCs w:val="19"/>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860" w:type="dxa"/>
            <w:vAlign w:val="bottom"/>
            <w:gridSpan w:val="2"/>
          </w:tcPr>
          <w:p>
            <w:pPr>
              <w:jc w:val="right"/>
              <w:ind w:right="312"/>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3,018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2,654</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-1030605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-1030605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-1030605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-1030605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-1030605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-1030605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-1030605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-1030605</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-1030605</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-1030605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-1030605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-1030605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-1030605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-1030605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-1030605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-1030605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-1030605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-1030605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-1030605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-1030605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-1030605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-1030605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-1030605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-1030605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-172720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-172720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-172720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-172720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-172720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4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Excludes interest expense included in the Segment results ($1 million in 2004; $2 million in 2003). The first quarter 2004 excludes the $73 million charge related to the US interest rate swap – see Note 4 </w:t>
      </w:r>
      <w:r>
        <w:rPr>
          <w:rFonts w:ascii="Arial" w:cs="Arial" w:eastAsia="Arial" w:hAnsi="Arial"/>
          <w:sz w:val="18"/>
          <w:szCs w:val="18"/>
          <w:i w:val="1"/>
          <w:iCs w:val="1"/>
          <w:color w:val="auto"/>
        </w:rPr>
        <w:t>Charges – Continuing Operations.</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Charges – Continuing Operations.</w:t>
      </w:r>
    </w:p>
    <w:p>
      <w:pPr>
        <w:spacing w:after="0" w:line="14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US for the first quarter of 2004 and 2003 included the following components: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First Quarter</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gridSpan w:val="7"/>
          </w:tcPr>
          <w:p>
            <w:pPr>
              <w:jc w:val="right"/>
              <w:ind w:right="380"/>
              <w:spacing w:after="0"/>
              <w:rPr>
                <w:sz w:val="20"/>
                <w:szCs w:val="20"/>
                <w:color w:val="auto"/>
              </w:rPr>
            </w:pPr>
            <w:r>
              <w:rPr>
                <w:rFonts w:ascii="Arial" w:cs="Arial" w:eastAsia="Arial" w:hAnsi="Arial"/>
                <w:sz w:val="14"/>
                <w:szCs w:val="14"/>
                <w:b w:val="1"/>
                <w:bCs w:val="1"/>
                <w:i w:val="1"/>
                <w:iCs w:val="1"/>
                <w:color w:val="auto"/>
                <w:w w:val="97"/>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Amortization of prior service cost/other</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143"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80" w:right="239" w:bottom="1143" w:gutter="0" w:footer="0" w:header="0"/>
          <w:type w:val="continuous"/>
        </w:sectPr>
      </w:pPr>
    </w:p>
    <w:bookmarkStart w:id="14" w:name="page15"/>
    <w:bookmarkEnd w:id="1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previously disclosed in the financial statements for the year ended December 31, 2003, the contribution in 2004 is expected to be between $40 million and $150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UK plan for the first quarter of 2004 and 2003 included the following components: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5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First Quarter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30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98"/>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283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25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1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Amortization of unrecognized loss</w:t>
            </w:r>
          </w:p>
        </w:tc>
        <w:tc>
          <w:tcPr>
            <w:tcW w:w="2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25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25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283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2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postretirement benefit cost in the US for the first quarter of 2004 and 2003 included the following components: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First Quarter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43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95"/>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4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4"/>
              </w:rPr>
              <w:t>Interest cost on accumulated postretirement benefit obligation</w:t>
            </w: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loss/other</w:t>
            </w:r>
          </w:p>
        </w:tc>
        <w:tc>
          <w:tcPr>
            <w:tcW w:w="3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postirement benefit cost</w:t>
            </w:r>
          </w:p>
        </w:tc>
        <w:tc>
          <w:tcPr>
            <w:tcW w:w="4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880" w:type="dxa"/>
            <w:vAlign w:val="bottom"/>
            <w:vMerge w:val="restart"/>
          </w:tcPr>
          <w:p>
            <w:pPr>
              <w:jc w:val="right"/>
              <w:ind w:right="3177"/>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-325755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-325755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100"/>
          </w:cols>
          <w:pgMar w:left="240" w:top="280" w:right="5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gridSpan w:val="4"/>
          </w:tcPr>
          <w:p>
            <w:pPr>
              <w:ind w:left="360"/>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2004</w:t>
            </w:r>
            <w:r>
              <w:rPr>
                <w:rFonts w:ascii="Arial" w:cs="Arial" w:eastAsia="Arial" w:hAnsi="Arial"/>
                <w:sz w:val="22"/>
                <w:szCs w:val="22"/>
                <w:b w:val="1"/>
                <w:bCs w:val="1"/>
                <w:color w:val="auto"/>
                <w:w w:val="85"/>
                <w:vertAlign w:val="superscript"/>
              </w:rPr>
              <w:t>(1)</w:t>
            </w:r>
          </w:p>
        </w:tc>
        <w:tc>
          <w:tcPr>
            <w:tcW w:w="6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2003</w:t>
            </w:r>
            <w:r>
              <w:rPr>
                <w:rFonts w:ascii="Arial" w:cs="Arial" w:eastAsia="Arial" w:hAnsi="Arial"/>
                <w:sz w:val="22"/>
                <w:szCs w:val="22"/>
                <w:b w:val="1"/>
                <w:bCs w:val="1"/>
                <w:color w:val="auto"/>
                <w:w w:val="85"/>
                <w:vertAlign w:val="superscript"/>
              </w:rPr>
              <w:t>(1)</w:t>
            </w:r>
          </w:p>
        </w:tc>
        <w:tc>
          <w:tcPr>
            <w:tcW w:w="32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%chg</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gridSpan w:val="5"/>
          </w:tcPr>
          <w:p>
            <w:pPr>
              <w:jc w:val="right"/>
              <w:ind w:right="160"/>
              <w:spacing w:after="0"/>
              <w:rPr>
                <w:sz w:val="20"/>
                <w:szCs w:val="20"/>
                <w:color w:val="auto"/>
              </w:rPr>
            </w:pPr>
            <w:r>
              <w:rPr>
                <w:rFonts w:ascii="Arial" w:cs="Arial" w:eastAsia="Arial" w:hAnsi="Arial"/>
                <w:sz w:val="14"/>
                <w:szCs w:val="14"/>
                <w:b w:val="1"/>
                <w:bCs w:val="1"/>
                <w:i w:val="1"/>
                <w:iCs w:val="1"/>
                <w:color w:val="auto"/>
              </w:rPr>
              <w:t>(Stated in millions)</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Oilfield Services</w:t>
            </w:r>
          </w:p>
        </w:tc>
        <w:tc>
          <w:tcPr>
            <w:tcW w:w="2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Operating Revenue</w:t>
            </w: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2,359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2,051</w:t>
            </w:r>
          </w:p>
        </w:tc>
        <w:tc>
          <w:tcPr>
            <w:tcW w:w="3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4"/>
        </w:trPr>
        <w:tc>
          <w:tcPr>
            <w:tcW w:w="5260" w:type="dxa"/>
            <w:vAlign w:val="bottom"/>
            <w:gridSpan w:val="7"/>
          </w:tcPr>
          <w:p>
            <w:pPr>
              <w:ind w:left="580"/>
              <w:spacing w:after="0"/>
              <w:rPr>
                <w:sz w:val="20"/>
                <w:szCs w:val="20"/>
                <w:color w:val="auto"/>
              </w:rPr>
            </w:pPr>
            <w:r>
              <w:rPr>
                <w:rFonts w:ascii="Arial" w:cs="Arial" w:eastAsia="Arial" w:hAnsi="Arial"/>
                <w:sz w:val="18"/>
                <w:szCs w:val="18"/>
                <w:b w:val="1"/>
                <w:bCs w:val="1"/>
                <w:color w:val="auto"/>
              </w:rPr>
              <w:t>WesternGeco</w:t>
            </w: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Pretax Operating Income</w:t>
            </w: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96"/>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66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0"/>
                <w:szCs w:val="20"/>
                <w:b w:val="1"/>
                <w:bCs w:val="1"/>
                <w:color w:val="auto"/>
                <w:vertAlign w:val="superscript"/>
              </w:rPr>
              <w:t>(2)</w:t>
            </w:r>
          </w:p>
        </w:tc>
        <w:tc>
          <w:tcPr>
            <w:tcW w:w="2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Operating Revenue</w:t>
            </w: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Pretax operating income represents income before taxes, charges and minority interest, excluding interest income, interest expense and amortization of certain intangibles.</w:t>
      </w:r>
    </w:p>
    <w:p>
      <w:pPr>
        <w:spacing w:after="0" w:line="118" w:lineRule="exact"/>
        <w:rPr>
          <w:rFonts w:ascii="Arial" w:cs="Arial" w:eastAsia="Arial" w:hAnsi="Arial"/>
          <w:sz w:val="18"/>
          <w:szCs w:val="18"/>
          <w:color w:val="auto"/>
        </w:rPr>
      </w:pPr>
    </w:p>
    <w:p>
      <w:pPr>
        <w:ind w:left="460" w:right="300"/>
        <w:spacing w:after="0" w:line="259" w:lineRule="auto"/>
        <w:rPr>
          <w:rFonts w:ascii="Arial" w:cs="Arial" w:eastAsia="Arial" w:hAnsi="Arial"/>
          <w:sz w:val="18"/>
          <w:szCs w:val="18"/>
          <w:color w:val="auto"/>
        </w:rPr>
      </w:pPr>
      <w:r>
        <w:rPr>
          <w:rFonts w:ascii="Arial" w:cs="Arial" w:eastAsia="Arial" w:hAnsi="Arial"/>
          <w:sz w:val="18"/>
          <w:szCs w:val="18"/>
          <w:color w:val="auto"/>
        </w:rPr>
        <w:t>The first quarter of 2004 excludes a pretax charge of $73 million for the US Interest Rate Swap, a pretax loss of $14 million on the sale of Atos Origin shares, a pretax charge of $77 million of debt extinguishment costs and a pretax charge of $20 million related to the restructuring program in the United States.</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Principally comprises the Cards, Business Continuity and Meters North America activities.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Quarter 2004 Compared to First Quarter 2003</w:t>
      </w:r>
    </w:p>
    <w:p>
      <w:pPr>
        <w:spacing w:after="0" w:line="16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Operating revenue for the first quarter was $3.02 billion versus $2.65 billion in 2003, an increase of 14%. Income from continuing operations was $127 million ($0.22 per share) and included charges for (i) debt extinguishment costs of $77 million; (ii) the US Interest Rate Swap of $46 million; (iii) the loss on the sale of Atos Origin shares of $14 million; and (iv) the US restructuring program of $14 million. These charges aggregated $152 million ($0.25 per share).</w:t>
      </w:r>
    </w:p>
    <w:p>
      <w:pPr>
        <w:spacing w:after="0" w:line="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Discontinued operations recorded a gain of $93 million ($0.15 per share) in the quarter reflecting the gains on the sale of the SchlumbergerSema activity ($26 million), the Infodata activity ($50 million) and the Telecom Billing Software activity ($17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$220 million, $0.37 per share.</w:t>
      </w:r>
    </w:p>
    <w:p>
      <w:pPr>
        <w:spacing w:after="0" w:line="15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Oilfield Services revenue of $2.36 billion increased 2% compared to the fourth quarter of 2003, and 15% compared to the same quarter of last year. Pretax operating income of $423 million increased 1% sequentially and 31% year-on-year.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WesternGeco revenue of $313 million was 2% higher sequentially and year-on-year. Pretax operating income of $34 million improved $1 million sequentially and compared to break-even in the first quarter of 2003.</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Other activities, which comprise mainly Axalto, Electricity Meters North America and Business Continuity had revenue of $349 million and pretax operating income of $26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8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First quarter revenue of $2.36 billion was 2% higher sequentially and increased 15% year-on-year. Pretax operating income of $423 million increased 1% sequentially and rose 31% year-on-year.</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Sequential growth was strongest in the Canada, US Land, West Africa and India GeoMarkets. Demand was particularly strong for Integrated Project Management services while Drilling &amp; Measurements, Well Services and Wireline technologies grew sequentially. Demand for the PowerDrive* rotary steerable family continued to increase particularly in the Gulf of Mexico and the Middle East.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Many regions experienced year-on-year growth, which, due to high operating leverages, generally translated into significant increases in pretax operating income. Canada, US Land, Mexico, Indonesia and the East Mediterranean GeoMarkets posted the highest revenue growth year-on-year, slightly offset by decreased activity in Saudi Arabia and the Gulf Coast GeoMarkets. Demand for all technology segments increased significantly, but particularly for Integrated Project Management, Well Services and Drilling &amp; Measurements.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Oilfield Services after-tax return on sales (ROS) in the first quarter 2004 was 13.8% versus 14.2% in the fourth quarter 2003. The deterioration in ROS was principally due to a negative currency effect in ECA, lower margins in Nigeria, the Norwegian sector of the North Sea and in South East Asia, and lower activity level in Venezuela.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Revenue of $725 million increased 7% sequentially and 17% year-on-year. Pretax operating income of $123 million increased 16% sequentially and 66% year-on-year due to improved market dynamics such as higher natural gas prices together with optimism in the US economy.</w:t>
      </w:r>
    </w:p>
    <w:p>
      <w:pPr>
        <w:spacing w:after="0" w:line="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US Land delivered robust revenue growth both sequentially and year-on-year principally fueled by Well Services and Wireline due to the expansion of the unconventional gas market, an improved pricing environment as a result of tighter resource availability and strong overall market demand. Seasonal activity increases, pricing improvements, market share gain and a strengthening Canadian dollar were contributing factors to the strong sequential and year-on-year growth in Canada, along with increased Well Services and Wireline activity. Reduced rig activity on the shelf resulted in a year-on-year revenue decline in the Gulf of Mexico, partially mitigated by growth in Integrated Project Management. Sequentially, strong Drilling &amp; Measurement activity was fueled by high demand for PowerDrive* and PowerDrive Xceed* which continue to increase drilling performance and reduce total well construction costs for the E&amp;P industry.</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conducted two of the largest borehole seismic surveys ever using the new 40 shuttle VSI* Versatile Seismic Imager tool for sub-salt imaging in the Gulf of Mexico. Both surveys used the new Enhanced Digital Telemetry System (EDTS), allowing for a record-breaking time while providing rapid acquisition rates without sacrificing data quality.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Revenue of $395 million declined 3% sequentially but was 32% higher year-on-year. Pretax operating income of $61 million was 8% lower sequentially but increased 81% year-on-year.</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Year-on-year growth was reflected in all GeoMarkets, with large integrated projects continuing to drive revenue by utilizing services from most technology segments. In Latin America South the completion of the first dozen wells of the Repsol-YPF D-150 contract fueled sequential and year-on-year growth. An increase in Wireline activity associated with the Peruvian jungle operations produced strong year-on-year growth while drilling times were reduced by more than half of the first well using the Data &amp; Consulting Services and Drilling &amp; Measurements No Drilling Surprises process.</w:t>
      </w:r>
    </w:p>
    <w:p>
      <w:pPr>
        <w:spacing w:after="0" w:line="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Sequentially, revenue in Venezuela decreased substantially with both PDVSA and international operators reducing their activity. Activity is expected to further decline in the near term due to political uncertainty and on-going contractual issues.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Revenue of $648 million decreased 3% sequentially but increased 5% year-on-year. Pretax operating income of $106 million declined 8% sequentially but increased 4% year-on-year.</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Sequential declines were due to reduced Caspian activity following strong Well Completions &amp; Productivity sales of artificial lift pumps and PhaseWatcher* equipment in the previous quarter, less Integrated Project Management work and delayed stimulation activity in Russia, continued weak market conditions in the North Sea, and overall decreased seasonal activity for Schlumberger Information Solutions. This was partially offset by strong sequential revenue growth in West and South Africa led by Wireline and Well Completions &amp; Productivity.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Year-on-year increases were notable in the Caspian, Continental Europe and West &amp; South Africa GeoMarkets. Pretax operating income was negatively impacted by $6 million sequentially and $11 million year-on-year, through the appreciation of a number of local currencies against the US dollar.</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Integrated Project Management was selected by the Russian oil and gas company OAO RITEK as the main contractor for a drilling project of ten horizontal wells in the Sredne-Khulymskoye field to enhance oil production. This is the first time in Russia that a service company will act as project manager to execute a horizontal well field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Revenue of $559 million rose 4% sequentially and 11% year-on-year. Pretax operating income of $139 million was up 6% sequentially and 20% year-on-year.</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India recorded significant sequential and year-on-year revenue increases with the ramp-up in deepwater activity for ONGC and deepwater exploration activity for Reliance Industries Ltd. Sequential revenue growth was driven by strong LWD activity in Japan as well as increased completion and artificial lift sales in China. The Arabian GeoMarket also exhibited robust sequential growth mainly due to an offshore Coil Tubing campaign as well as increased Drilling &amp; Measurements and Wireline activity. Market share gains and expansion in hydraulic fracturing in the East Africa and East Mediterranean GeoMarket also contributed to the sequential and year-on-year revenue growth. Indonesia contributed strong demand for Wireline, Drilling &amp; Measurements, Integrated Project Management and Well Services technologies. Overall, the sequential improvement was partially offset by lower activity in the Gulf States and Malaysia/Brunei/Philippines GeoMarkets.</w:t>
      </w:r>
    </w:p>
    <w:p>
      <w:pPr>
        <w:spacing w:after="0" w:line="13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exceptional success of the first year of Coiled Tubing Drilling (CTD) operations on the Sharjah project in UAE for BP led to a two-year contract extension. Operations were run with no accidents or spills and production increased significantly. Elsewhere a CTD record was broken with the deepest exit ever at 16,049 feet measured depth to drill a 1,976 feet lateral section.</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PhaseWatcher Vx multiphase fluid monitoring system is being implemented on a large scale after a two-year validation phase. The largest order ever was placed for a single field bringing the total number of meters to 33. Some of the meters include real-time data delivery via InterAct* real-time monitoring and data delivery service in order to improve production monitoring and production allocation accuracy.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WESTERNGECO</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First quarter revenue of $313 million was 2% higher both sequentially and year-on-year. Pretax operating income of $34 million, including a $7 million release of employee related provisions, improved $1 million sequentially and $34 million year-on-year.</w:t>
      </w:r>
    </w:p>
    <w:p>
      <w:pPr>
        <w:spacing w:after="0" w:line="11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Sequentially, Multiclient survey sales of $135 million grew 22% driven by the Central Gulf of Mexico lease sale partially offset by lower sales in the North Sea and West Africa. About 50% of the surveys sold had no net book value with about 7% of the revenue coming from surveys considered impaired in September 2003. Land seismic was higher mainly in the Middle East on the start up of projects in Chad, Egypt, Saudi Arabia, and the Petronas Land project in Malaysia. Marine seismic activity decreased 21% mainly in the Gulf of Mexico and the Caspian for seasonal reasons.</w:t>
      </w:r>
    </w:p>
    <w:p>
      <w:pPr>
        <w:spacing w:after="0" w:line="9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Year-on-year revenue growth was mainly due to a 25% increase in Multiclient sales driven by the Central Gulf of Mexico lease sale and by execution of a long-term Multiclient volume agreement signed in December 2003. This result was offset by lower Land seismic activity after the shutdown of crews in Alaska and in the Middle East.</w:t>
      </w:r>
    </w:p>
    <w:p>
      <w:pPr>
        <w:spacing w:after="0" w:line="127" w:lineRule="exact"/>
        <w:rPr>
          <w:sz w:val="20"/>
          <w:szCs w:val="20"/>
          <w:color w:val="auto"/>
        </w:rPr>
      </w:pPr>
    </w:p>
    <w:p>
      <w:pPr>
        <w:jc w:val="both"/>
        <w:ind w:right="40"/>
        <w:spacing w:after="0" w:line="332" w:lineRule="auto"/>
        <w:rPr>
          <w:sz w:val="20"/>
          <w:szCs w:val="20"/>
          <w:color w:val="auto"/>
        </w:rPr>
      </w:pPr>
      <w:r>
        <w:rPr>
          <w:rFonts w:ascii="Arial" w:cs="Arial" w:eastAsia="Arial" w:hAnsi="Arial"/>
          <w:sz w:val="16"/>
          <w:szCs w:val="16"/>
          <w:color w:val="auto"/>
        </w:rPr>
        <w:t>Year-on-year increase in pretax operating income was mainly attributable to higher Multiclient sales coupled with savings related to restructuring measures taken in 2003. Multiclient drove sequential improvement in pretax operating income due to increased sales partially offset by sluggish Marine seismic activity.</w:t>
      </w:r>
    </w:p>
    <w:p>
      <w:pPr>
        <w:spacing w:after="0" w:line="72" w:lineRule="exact"/>
        <w:rPr>
          <w:sz w:val="20"/>
          <w:szCs w:val="20"/>
          <w:color w:val="auto"/>
        </w:rPr>
      </w:pPr>
    </w:p>
    <w:p>
      <w:pPr>
        <w:ind w:right="1120"/>
        <w:spacing w:after="0" w:line="375" w:lineRule="auto"/>
        <w:rPr>
          <w:sz w:val="20"/>
          <w:szCs w:val="20"/>
          <w:color w:val="auto"/>
        </w:rPr>
      </w:pPr>
      <w:r>
        <w:rPr>
          <w:rFonts w:ascii="Arial" w:cs="Arial" w:eastAsia="Arial" w:hAnsi="Arial"/>
          <w:sz w:val="18"/>
          <w:szCs w:val="18"/>
          <w:color w:val="auto"/>
        </w:rPr>
        <w:t xml:space="preserve">Including Multiclient pre-commitments, the backlog at the end of the first quarter reached $479 million, a 17% increase over the previous quarter. </w:t>
      </w:r>
      <w:r>
        <w:rPr>
          <w:rFonts w:ascii="Arial" w:cs="Arial" w:eastAsia="Arial" w:hAnsi="Arial"/>
          <w:sz w:val="18"/>
          <w:szCs w:val="18"/>
          <w:b w:val="1"/>
          <w:bCs w:val="1"/>
          <w:color w:val="auto"/>
        </w:rPr>
        <w:t>OTHER</w:t>
      </w:r>
    </w:p>
    <w:p>
      <w:pPr>
        <w:spacing w:after="0" w:line="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Axalto revenue of $203 million increased by 26% year-on-year. Excluding the effect of the change in exchange rates, revenue increased by 16%. All segments of the smart cards business contributed to the growth. Axalto recorded a significant year-on-year increase in SIM (Subscriber Identity Module) cards volumes, up 26% to 49 million units in the quarter, in all geographic regions, while average sales prices decreased by 9%. Volume of microprocessor financial cards grew year-on-year 49% to 21 million units. In early May 2004, Axalto commenced the marketing phase of its Initial Public Offering.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8" w:name="page19"/>
    <w:bookmarkEnd w:id="18"/>
    <w:p>
      <w:pPr>
        <w:ind w:right="138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Electricity Meters North America revenue of $76 million grew 18% year-on-year mainly as the product mix shifted towards solid-state meters. </w:t>
      </w:r>
      <w:r>
        <w:rPr>
          <w:rFonts w:ascii="Arial" w:cs="Arial" w:eastAsia="Arial" w:hAnsi="Arial"/>
          <w:sz w:val="18"/>
          <w:szCs w:val="18"/>
          <w:b w:val="1"/>
          <w:bCs w:val="1"/>
          <w:color w:val="auto"/>
        </w:rPr>
        <w:t>INCOME STATEMENT</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Interest income of $14 million decreased 2% compared to the same quarter last year. The average return on investment decreased from 3.6% to 1.8%. The average investment balance of $3.1 billion was up $1.5 billion over last year due to liquidity generated by operations and business divestiture proceeds. Gross margin of 22% was 2 percentage points above last year. As a percentage of revenue, marketing expense was 0.1% less than last year and research and engineering expense decreased 0.4% from last year. General expense as a percentage of revenue decreased from 3.5% to 3.1%. Interest expense of $142.8 million increased $49.9 million compared to same quarter last year and decreased $23.6 million excluding the $73.5 million charge related to the US Interest Rate Swap. Excluding this charge the average borrowing rates decreased from 5.3% to 4.0%. The average debt balance decreased $217 million compared to the same quarter last year. The effective tax rate for the first quarter, excluding the charges of $185 million, was 24% compared to 31% for the same period last year. The major cause of the decrease over last year was the country mix of WesternGeco’s results and reduced losses for which valuation allowances were required in 2003.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first quarter, cash provided by operations was $179 million as net income plus depreciation/amortization and charges including the extinguishment of European debt and the US Interest Rate Swap were only partially offset by increases in customer receivables, and a decrease in accounts payable and accrued liabilities. The decrease in accounts payable and accrued liabilities was primarily due to the first quarter traditional, normal funding of employee benefits. Cash provided by investing activities was $1.33 billion with proceeds from the sales of the SchlumbergerSema business ($555 million), the Infodata business ($104 million), the Telecom Billing Software business ($37 million), the proceeds from the sale of the Atos Origin shares ($613 million) and a net change in investments ($241 million) only partially offset by investments in fixed assets ($208 million). Cash used by financing activities was $1.6 billion, the payment of dividends to shareholders ($110 million) and debt extinguishment costs ($76 million) which were only partially offset by the proceeds from employee stock plans ($122 million).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is gross debt less cash, short-term investments and fixed income investments held to maturity. Details of the Net Debt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640" w:type="dxa"/>
            <w:vAlign w:val="bottom"/>
            <w:gridSpan w:val="4"/>
          </w:tcPr>
          <w:p>
            <w:pPr>
              <w:spacing w:after="0"/>
              <w:rPr>
                <w:sz w:val="20"/>
                <w:szCs w:val="20"/>
                <w:color w:val="auto"/>
              </w:rPr>
            </w:pPr>
            <w:r>
              <w:rPr>
                <w:rFonts w:ascii="Arial" w:cs="Arial" w:eastAsia="Arial" w:hAnsi="Arial"/>
                <w:sz w:val="14"/>
                <w:szCs w:val="14"/>
                <w:b w:val="1"/>
                <w:bCs w:val="1"/>
                <w:color w:val="auto"/>
              </w:rPr>
              <w:t>First Quarter</w:t>
            </w:r>
          </w:p>
        </w:tc>
        <w:tc>
          <w:tcPr>
            <w:tcW w:w="1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7"/>
          </w:tcPr>
          <w:p>
            <w:pPr>
              <w:ind w:left="80"/>
              <w:spacing w:after="0"/>
              <w:rPr>
                <w:sz w:val="20"/>
                <w:szCs w:val="20"/>
                <w:color w:val="auto"/>
              </w:rPr>
            </w:pPr>
            <w:r>
              <w:rPr>
                <w:rFonts w:ascii="Arial" w:cs="Arial" w:eastAsia="Arial" w:hAnsi="Arial"/>
                <w:sz w:val="14"/>
                <w:szCs w:val="14"/>
                <w:b w:val="1"/>
                <w:bCs w:val="1"/>
                <w:i w:val="1"/>
                <w:iCs w:val="1"/>
                <w:color w:val="auto"/>
                <w:w w:val="90"/>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42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Change in working capital</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420"/>
              <w:spacing w:after="0"/>
              <w:rPr>
                <w:sz w:val="20"/>
                <w:szCs w:val="20"/>
                <w:color w:val="auto"/>
              </w:rPr>
            </w:pPr>
            <w:r>
              <w:rPr>
                <w:rFonts w:ascii="Arial" w:cs="Arial" w:eastAsia="Arial" w:hAnsi="Arial"/>
                <w:sz w:val="18"/>
                <w:szCs w:val="18"/>
                <w:color w:val="auto"/>
              </w:rPr>
              <w:t>Capital expenditures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420"/>
              <w:spacing w:after="0"/>
              <w:rPr>
                <w:sz w:val="20"/>
                <w:szCs w:val="20"/>
                <w:color w:val="auto"/>
              </w:rPr>
            </w:pPr>
            <w:r>
              <w:rPr>
                <w:rFonts w:ascii="Arial" w:cs="Arial" w:eastAsia="Arial" w:hAnsi="Arial"/>
                <w:sz w:val="18"/>
                <w:szCs w:val="18"/>
                <w:color w:val="auto"/>
              </w:rPr>
              <w:t>Employee stock plans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SchlumbergerSema activity</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Telecom Billing Software activity</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Infodata activity</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Atos Origin shares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Mar.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6640" w:type="dxa"/>
            <w:vAlign w:val="bottom"/>
            <w:gridSpan w:val="4"/>
          </w:tcPr>
          <w:p>
            <w:pPr>
              <w:spacing w:after="0"/>
              <w:rPr>
                <w:sz w:val="20"/>
                <w:szCs w:val="20"/>
                <w:color w:val="auto"/>
              </w:rPr>
            </w:pPr>
            <w:r>
              <w:rPr>
                <w:rFonts w:ascii="Arial" w:cs="Arial" w:eastAsia="Arial" w:hAnsi="Arial"/>
                <w:sz w:val="14"/>
                <w:szCs w:val="14"/>
                <w:b w:val="1"/>
                <w:bCs w:val="1"/>
                <w:color w:val="auto"/>
              </w:rPr>
              <w:t>Components of Net Debt</w:t>
            </w:r>
          </w:p>
        </w:tc>
        <w:tc>
          <w:tcPr>
            <w:tcW w:w="23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7"/>
          </w:tcPr>
          <w:p>
            <w:pPr>
              <w:ind w:left="60"/>
              <w:spacing w:after="0"/>
              <w:rPr>
                <w:sz w:val="20"/>
                <w:szCs w:val="20"/>
                <w:color w:val="auto"/>
              </w:rPr>
            </w:pPr>
            <w:r>
              <w:rPr>
                <w:rFonts w:ascii="Arial" w:cs="Arial" w:eastAsia="Arial" w:hAnsi="Arial"/>
                <w:sz w:val="14"/>
                <w:szCs w:val="14"/>
                <w:b w:val="1"/>
                <w:bCs w:val="1"/>
                <w:i w:val="1"/>
                <w:iCs w:val="1"/>
                <w:color w:val="auto"/>
                <w:w w:val="92"/>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$ 2,833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2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(4,222)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-1546860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-1546860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-1546860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16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NON-GAAP MEASURE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financial results determined in accordance with generally accepted accounting principles (GAAP) this document also includes the following non-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w:t>
      </w:r>
    </w:p>
    <w:p>
      <w:pPr>
        <w:spacing w:after="0" w:line="70" w:lineRule="exact"/>
        <w:rPr>
          <w:sz w:val="20"/>
          <w:szCs w:val="20"/>
          <w:color w:val="auto"/>
        </w:rPr>
      </w:pPr>
    </w:p>
    <w:p>
      <w:pPr>
        <w:ind w:left="800" w:right="60" w:hanging="346"/>
        <w:spacing w:after="0" w:line="306"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 debt”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foregoing non-GAAP financial measure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10-Q report, the first quarter 2004 earnings release and associated web-based publications and other statements we make contain forward looking statements, which include any statements that are not historical facts, such as our expectations regarding business outlook, economic recovery, expected capex and depreciation and amortization charges, the acquisition of new multiclient surveys, the funding of pension plans and related pension expense, the likelihood and timing of and the benefits to be derived from divestitures, the likelihood and timing of the Axalto IPO, conditions in the oilfield service business, including activity levels during 2004 and higher E&amp;P investment, the introduction of new technologies and services, oil and natural gas production, benefits from contract awards, our ability to achieve our debt reduction goals, future results of operations, interest expense, reductions in overhead expense, pricing and future effective tax rates. These statements involve risks and uncertainties, including, but not limited to, the extent and timing of a rebound in the global economy; changes in exploration and production spending by major oil companies; recovery of activity levels, improved pricing and realization of cost reduction and cost savings targets associated with the seismic business; market acceptance of Q seismic and other technologies; general economic and business conditions in key regions of the world, including Venezuela; political and economic uncertainty in Venezuela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Nigeria and further socio-political unrest in the Persian Gulf and/or Asia; our ability to complete and benefits to be derived from other divestitures; our ability to achieve growth objectives in IT solutions to upstream E&amp;P business; a rebound in the IT environment and an increase in IT spending; the extent and timing of a recovery in the telecommunications industry; our ability to meet our identified liquidity projections, including the generation of sufficient cash flow from oilfield operating results and the successful completion of certain business divestitures; potential contributions to pension plans; and other factors detailed in our first quarter 2004 earnings release,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 about Market Risk</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 does not believe it has a material exposure to financial market risk. Schlumberger manages the exposure to interest rate changes by using a mix of debt maturities and variable- and fixed-rate debt.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the end of the period covered by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13a-15 of the Securities Exchange Act of 1934 (the “Exchange Act”). Based on that evaluation, the CEO and CFO have concluded that Schlumberger’s disclosure controls and procedures were effective as of March 31, 2004 to ensure that information required to be disclosed by Schlumberger in reports that it files or submits under the Exchange Act is recorded, processed, summarized and reported within the time periods specified in Securities and Exchange Commission rules and forms. There has been no change in our internal controls over financial reporting that occurred during the three months ended March 31, 2004 that has materially affected, or is reasonably likely to materially affect, our internal controls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152"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Changes in Securities, Use of Proceeds and Issuer Purchases of Equity Securities</w:t>
      </w:r>
    </w:p>
    <w:p>
      <w:pPr>
        <w:spacing w:after="0" w:line="8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Submission of Matters to a Vote of Security Holders</w:t>
      </w:r>
    </w:p>
    <w:p>
      <w:pPr>
        <w:spacing w:after="0" w:line="8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Annual General Meeting of Stockholders of the Registrant (“the Meeting”) was held on April 14, 2004.</w:t>
      </w:r>
    </w:p>
    <w:p>
      <w:pPr>
        <w:spacing w:after="0" w:line="76" w:lineRule="exact"/>
        <w:rPr>
          <w:rFonts w:ascii="Arial" w:cs="Arial" w:eastAsia="Arial" w:hAnsi="Arial"/>
          <w:sz w:val="18"/>
          <w:szCs w:val="18"/>
          <w:color w:val="auto"/>
        </w:rPr>
      </w:pPr>
    </w:p>
    <w:p>
      <w:pPr>
        <w:jc w:val="both"/>
        <w:ind w:left="460" w:right="340" w:hanging="452"/>
        <w:spacing w:after="0" w:line="331"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At the Meeting, the number of Directors was fixed at 10 and the following 10 individuals were elected to comprise the entire Board of Directors of the Registrant, each to hold office until the next Annual General Meeting of Stockholders and until a director’s successor is elected and qualified or until a director’s death, resignation or removal. All of the nominees, except Tore I. Sandvold, were directors who were previously elected by the stockholders.</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Jamie S. Gorelick</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Andrew Gould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Tony Isaac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Adrian Lajous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André Lévy-Lang</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Didier Primat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Tore I. Sandvold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Nicolas Seydoux</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Linda Gillespie Stuntz</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ind w:left="460" w:right="80" w:hanging="452"/>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Meeting also voted (i) to adopt and approve the Company’s Consolidated Balance Sheet as at December 31, 2003, its Consolidated Statement of Income for the year ended December 31, 2003, and the declaration of dividends reflected in the Company’s 2003 Annual Report to Stockholders; (ii) to approve and adopt the 2004 Stock and Deferral Plan for Non-Employee Directors; and (iii) to approve the appointment of PricewaterhouseCoopers LLP as independent public auditors to audit the accounts of the Company for the year 2004.</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votes cast were as follows: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520" w:type="dxa"/>
            <w:vAlign w:val="bottom"/>
          </w:tcPr>
          <w:p>
            <w:pPr>
              <w:spacing w:after="0"/>
              <w:rPr>
                <w:sz w:val="15"/>
                <w:szCs w:val="15"/>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auto"/>
              </w:rPr>
              <w:t>For</w:t>
            </w:r>
          </w:p>
        </w:tc>
        <w:tc>
          <w:tcPr>
            <w:tcW w:w="440" w:type="dxa"/>
            <w:vAlign w:val="bottom"/>
          </w:tcPr>
          <w:p>
            <w:pPr>
              <w:spacing w:after="0"/>
              <w:rPr>
                <w:sz w:val="15"/>
                <w:szCs w:val="15"/>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b w:val="1"/>
                <w:bCs w:val="1"/>
                <w:color w:val="auto"/>
              </w:rPr>
              <w:t>Withheld</w:t>
            </w:r>
          </w:p>
        </w:tc>
      </w:tr>
      <w:tr>
        <w:trPr>
          <w:trHeight w:val="95"/>
        </w:trPr>
        <w:tc>
          <w:tcPr>
            <w:tcW w:w="65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309"/>
        </w:trPr>
        <w:tc>
          <w:tcPr>
            <w:tcW w:w="6520" w:type="dxa"/>
            <w:vAlign w:val="bottom"/>
          </w:tcPr>
          <w:p>
            <w:pPr>
              <w:spacing w:after="0"/>
              <w:rPr>
                <w:sz w:val="20"/>
                <w:szCs w:val="20"/>
                <w:color w:val="auto"/>
              </w:rPr>
            </w:pPr>
            <w:r>
              <w:rPr>
                <w:rFonts w:ascii="Arial" w:cs="Arial" w:eastAsia="Arial" w:hAnsi="Arial"/>
                <w:sz w:val="18"/>
                <w:szCs w:val="18"/>
                <w:color w:val="auto"/>
              </w:rPr>
              <w:t>John Deutch</w:t>
            </w:r>
          </w:p>
        </w:tc>
        <w:tc>
          <w:tcPr>
            <w:tcW w:w="1180" w:type="dxa"/>
            <w:vAlign w:val="bottom"/>
          </w:tcPr>
          <w:p>
            <w:pPr>
              <w:jc w:val="right"/>
              <w:spacing w:after="0"/>
              <w:rPr>
                <w:sz w:val="20"/>
                <w:szCs w:val="20"/>
                <w:color w:val="auto"/>
              </w:rPr>
            </w:pPr>
            <w:r>
              <w:rPr>
                <w:rFonts w:ascii="Arial" w:cs="Arial" w:eastAsia="Arial" w:hAnsi="Arial"/>
                <w:sz w:val="18"/>
                <w:szCs w:val="18"/>
                <w:color w:val="auto"/>
              </w:rPr>
              <w:t>475,878,267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26,507,415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Jamie S. Gorelick</w:t>
            </w:r>
          </w:p>
        </w:tc>
        <w:tc>
          <w:tcPr>
            <w:tcW w:w="1180" w:type="dxa"/>
            <w:vAlign w:val="bottom"/>
          </w:tcPr>
          <w:p>
            <w:pPr>
              <w:jc w:val="right"/>
              <w:spacing w:after="0"/>
              <w:rPr>
                <w:sz w:val="20"/>
                <w:szCs w:val="20"/>
                <w:color w:val="auto"/>
              </w:rPr>
            </w:pPr>
            <w:r>
              <w:rPr>
                <w:rFonts w:ascii="Arial" w:cs="Arial" w:eastAsia="Arial" w:hAnsi="Arial"/>
                <w:sz w:val="18"/>
                <w:szCs w:val="18"/>
                <w:color w:val="auto"/>
              </w:rPr>
              <w:t>479,195,087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23,190,595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Andrew Gould</w:t>
            </w:r>
          </w:p>
        </w:tc>
        <w:tc>
          <w:tcPr>
            <w:tcW w:w="1180" w:type="dxa"/>
            <w:vAlign w:val="bottom"/>
          </w:tcPr>
          <w:p>
            <w:pPr>
              <w:jc w:val="right"/>
              <w:spacing w:after="0"/>
              <w:rPr>
                <w:sz w:val="20"/>
                <w:szCs w:val="20"/>
                <w:color w:val="auto"/>
              </w:rPr>
            </w:pPr>
            <w:r>
              <w:rPr>
                <w:rFonts w:ascii="Arial" w:cs="Arial" w:eastAsia="Arial" w:hAnsi="Arial"/>
                <w:sz w:val="18"/>
                <w:szCs w:val="18"/>
                <w:color w:val="auto"/>
              </w:rPr>
              <w:t>494,443,793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7,941,889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Tony Isaac</w:t>
            </w:r>
          </w:p>
        </w:tc>
        <w:tc>
          <w:tcPr>
            <w:tcW w:w="1180" w:type="dxa"/>
            <w:vAlign w:val="bottom"/>
          </w:tcPr>
          <w:p>
            <w:pPr>
              <w:jc w:val="right"/>
              <w:spacing w:after="0"/>
              <w:rPr>
                <w:sz w:val="20"/>
                <w:szCs w:val="20"/>
                <w:color w:val="auto"/>
              </w:rPr>
            </w:pPr>
            <w:r>
              <w:rPr>
                <w:rFonts w:ascii="Arial" w:cs="Arial" w:eastAsia="Arial" w:hAnsi="Arial"/>
                <w:sz w:val="18"/>
                <w:szCs w:val="18"/>
                <w:color w:val="auto"/>
              </w:rPr>
              <w:t>494,308,717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8,076,965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Adrian Lajous</w:t>
            </w:r>
          </w:p>
        </w:tc>
        <w:tc>
          <w:tcPr>
            <w:tcW w:w="1180" w:type="dxa"/>
            <w:vAlign w:val="bottom"/>
          </w:tcPr>
          <w:p>
            <w:pPr>
              <w:jc w:val="right"/>
              <w:spacing w:after="0"/>
              <w:rPr>
                <w:sz w:val="20"/>
                <w:szCs w:val="20"/>
                <w:color w:val="auto"/>
              </w:rPr>
            </w:pPr>
            <w:r>
              <w:rPr>
                <w:rFonts w:ascii="Arial" w:cs="Arial" w:eastAsia="Arial" w:hAnsi="Arial"/>
                <w:sz w:val="18"/>
                <w:szCs w:val="18"/>
                <w:color w:val="auto"/>
              </w:rPr>
              <w:t>497,684,957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4,700,725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André Lévy-Lang</w:t>
            </w:r>
          </w:p>
        </w:tc>
        <w:tc>
          <w:tcPr>
            <w:tcW w:w="1180" w:type="dxa"/>
            <w:vAlign w:val="bottom"/>
          </w:tcPr>
          <w:p>
            <w:pPr>
              <w:jc w:val="right"/>
              <w:spacing w:after="0"/>
              <w:rPr>
                <w:sz w:val="20"/>
                <w:szCs w:val="20"/>
                <w:color w:val="auto"/>
              </w:rPr>
            </w:pPr>
            <w:r>
              <w:rPr>
                <w:rFonts w:ascii="Arial" w:cs="Arial" w:eastAsia="Arial" w:hAnsi="Arial"/>
                <w:sz w:val="18"/>
                <w:szCs w:val="18"/>
                <w:color w:val="auto"/>
              </w:rPr>
              <w:t>494,949,693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7,435,989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Didier Primat</w:t>
            </w:r>
          </w:p>
        </w:tc>
        <w:tc>
          <w:tcPr>
            <w:tcW w:w="1180" w:type="dxa"/>
            <w:vAlign w:val="bottom"/>
          </w:tcPr>
          <w:p>
            <w:pPr>
              <w:jc w:val="right"/>
              <w:spacing w:after="0"/>
              <w:rPr>
                <w:sz w:val="20"/>
                <w:szCs w:val="20"/>
                <w:color w:val="auto"/>
              </w:rPr>
            </w:pPr>
            <w:r>
              <w:rPr>
                <w:rFonts w:ascii="Arial" w:cs="Arial" w:eastAsia="Arial" w:hAnsi="Arial"/>
                <w:sz w:val="18"/>
                <w:szCs w:val="18"/>
                <w:color w:val="auto"/>
              </w:rPr>
              <w:t>494,987,399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7,398,283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Tore I. Sandvold</w:t>
            </w:r>
          </w:p>
        </w:tc>
        <w:tc>
          <w:tcPr>
            <w:tcW w:w="1180" w:type="dxa"/>
            <w:vAlign w:val="bottom"/>
          </w:tcPr>
          <w:p>
            <w:pPr>
              <w:jc w:val="right"/>
              <w:spacing w:after="0"/>
              <w:rPr>
                <w:sz w:val="20"/>
                <w:szCs w:val="20"/>
                <w:color w:val="auto"/>
              </w:rPr>
            </w:pPr>
            <w:r>
              <w:rPr>
                <w:rFonts w:ascii="Arial" w:cs="Arial" w:eastAsia="Arial" w:hAnsi="Arial"/>
                <w:sz w:val="18"/>
                <w:szCs w:val="18"/>
                <w:color w:val="auto"/>
              </w:rPr>
              <w:t>497,257,650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5,128,032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Nicolas Seydoux</w:t>
            </w:r>
          </w:p>
        </w:tc>
        <w:tc>
          <w:tcPr>
            <w:tcW w:w="1180" w:type="dxa"/>
            <w:vAlign w:val="bottom"/>
          </w:tcPr>
          <w:p>
            <w:pPr>
              <w:jc w:val="right"/>
              <w:spacing w:after="0"/>
              <w:rPr>
                <w:sz w:val="20"/>
                <w:szCs w:val="20"/>
                <w:color w:val="auto"/>
              </w:rPr>
            </w:pPr>
            <w:r>
              <w:rPr>
                <w:rFonts w:ascii="Arial" w:cs="Arial" w:eastAsia="Arial" w:hAnsi="Arial"/>
                <w:sz w:val="18"/>
                <w:szCs w:val="18"/>
                <w:color w:val="auto"/>
              </w:rPr>
              <w:t>497,615,913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4,769,769</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Linda Gillespie Stuntz</w:t>
            </w:r>
          </w:p>
        </w:tc>
        <w:tc>
          <w:tcPr>
            <w:tcW w:w="1180" w:type="dxa"/>
            <w:vAlign w:val="bottom"/>
          </w:tcPr>
          <w:p>
            <w:pPr>
              <w:jc w:val="right"/>
              <w:spacing w:after="0"/>
              <w:rPr>
                <w:sz w:val="20"/>
                <w:szCs w:val="20"/>
                <w:color w:val="auto"/>
              </w:rPr>
            </w:pPr>
            <w:r>
              <w:rPr>
                <w:rFonts w:ascii="Arial" w:cs="Arial" w:eastAsia="Arial" w:hAnsi="Arial"/>
                <w:sz w:val="18"/>
                <w:szCs w:val="18"/>
                <w:color w:val="auto"/>
              </w:rPr>
              <w:t>494,963,225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7,422,457</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Financials:</w:t>
      </w:r>
    </w:p>
    <w:p>
      <w:pPr>
        <w:spacing w:after="0" w:line="15" w:lineRule="exact"/>
        <w:rPr>
          <w:sz w:val="20"/>
          <w:szCs w:val="20"/>
          <w:color w:val="auto"/>
        </w:rPr>
      </w:pPr>
    </w:p>
    <w:p>
      <w:pPr>
        <w:ind w:left="8020"/>
        <w:spacing w:after="0"/>
        <w:tabs>
          <w:tab w:leader="none" w:pos="9300" w:val="left"/>
          <w:tab w:leader="none" w:pos="106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62230</wp:posOffset>
            </wp:positionV>
            <wp:extent cx="24523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20" w:type="dxa"/>
            <w:vAlign w:val="bottom"/>
            <w:gridSpan w:val="3"/>
          </w:tcPr>
          <w:p>
            <w:pPr>
              <w:jc w:val="right"/>
              <w:ind w:right="320"/>
              <w:spacing w:after="0"/>
              <w:rPr>
                <w:sz w:val="20"/>
                <w:szCs w:val="20"/>
                <w:color w:val="auto"/>
              </w:rPr>
            </w:pPr>
            <w:r>
              <w:rPr>
                <w:rFonts w:ascii="Arial" w:cs="Arial" w:eastAsia="Arial" w:hAnsi="Arial"/>
                <w:sz w:val="18"/>
                <w:szCs w:val="18"/>
                <w:color w:val="auto"/>
              </w:rPr>
              <w:t>481,228,839</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777,041</w:t>
            </w:r>
          </w:p>
        </w:tc>
        <w:tc>
          <w:tcPr>
            <w:tcW w:w="1020" w:type="dxa"/>
            <w:vAlign w:val="bottom"/>
          </w:tcPr>
          <w:p>
            <w:pPr>
              <w:jc w:val="right"/>
              <w:spacing w:after="0"/>
              <w:rPr>
                <w:sz w:val="20"/>
                <w:szCs w:val="20"/>
                <w:color w:val="auto"/>
              </w:rPr>
            </w:pPr>
            <w:r>
              <w:rPr>
                <w:rFonts w:ascii="Arial" w:cs="Arial" w:eastAsia="Arial" w:hAnsi="Arial"/>
                <w:sz w:val="18"/>
                <w:szCs w:val="18"/>
                <w:color w:val="auto"/>
              </w:rPr>
              <w:t>20,379,802</w:t>
            </w:r>
          </w:p>
        </w:tc>
      </w:tr>
      <w:tr>
        <w:trPr>
          <w:trHeight w:val="313"/>
        </w:trPr>
        <w:tc>
          <w:tcPr>
            <w:tcW w:w="9020" w:type="dxa"/>
            <w:vAlign w:val="bottom"/>
            <w:gridSpan w:val="3"/>
          </w:tcPr>
          <w:p>
            <w:pPr>
              <w:spacing w:after="0"/>
              <w:rPr>
                <w:sz w:val="20"/>
                <w:szCs w:val="20"/>
                <w:color w:val="auto"/>
              </w:rPr>
            </w:pPr>
            <w:r>
              <w:rPr>
                <w:rFonts w:ascii="Arial" w:cs="Arial" w:eastAsia="Arial" w:hAnsi="Arial"/>
                <w:sz w:val="18"/>
                <w:szCs w:val="18"/>
                <w:color w:val="auto"/>
              </w:rPr>
              <w:t>2004 Stock and Deferral Plan:</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4"/>
        </w:trPr>
        <w:tc>
          <w:tcPr>
            <w:tcW w:w="7560" w:type="dxa"/>
            <w:vAlign w:val="bottom"/>
          </w:tcPr>
          <w:p>
            <w:pPr>
              <w:spacing w:after="0"/>
              <w:rPr>
                <w:sz w:val="15"/>
                <w:szCs w:val="15"/>
                <w:color w:val="auto"/>
              </w:rPr>
            </w:pP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For</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Against</w:t>
            </w:r>
          </w:p>
        </w:tc>
        <w:tc>
          <w:tcPr>
            <w:tcW w:w="1020" w:type="dxa"/>
            <w:vAlign w:val="bottom"/>
          </w:tcPr>
          <w:p>
            <w:pPr>
              <w:jc w:val="right"/>
              <w:ind w:right="200"/>
              <w:spacing w:after="0"/>
              <w:rPr>
                <w:sz w:val="20"/>
                <w:szCs w:val="20"/>
                <w:color w:val="auto"/>
              </w:rPr>
            </w:pPr>
            <w:r>
              <w:rPr>
                <w:rFonts w:ascii="Arial" w:cs="Arial" w:eastAsia="Arial" w:hAnsi="Arial"/>
                <w:sz w:val="14"/>
                <w:szCs w:val="14"/>
                <w:b w:val="1"/>
                <w:bCs w:val="1"/>
                <w:color w:val="auto"/>
              </w:rPr>
              <w:t>Abstain</w:t>
            </w:r>
          </w:p>
        </w:tc>
      </w:tr>
      <w:tr>
        <w:trPr>
          <w:trHeight w:val="95"/>
        </w:trPr>
        <w:tc>
          <w:tcPr>
            <w:tcW w:w="75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316"/>
        </w:trPr>
        <w:tc>
          <w:tcPr>
            <w:tcW w:w="9020" w:type="dxa"/>
            <w:vAlign w:val="bottom"/>
            <w:gridSpan w:val="3"/>
          </w:tcPr>
          <w:p>
            <w:pPr>
              <w:jc w:val="right"/>
              <w:ind w:right="320"/>
              <w:spacing w:after="0"/>
              <w:rPr>
                <w:sz w:val="20"/>
                <w:szCs w:val="20"/>
                <w:color w:val="auto"/>
              </w:rPr>
            </w:pPr>
            <w:r>
              <w:rPr>
                <w:rFonts w:ascii="Arial" w:cs="Arial" w:eastAsia="Arial" w:hAnsi="Arial"/>
                <w:sz w:val="18"/>
                <w:szCs w:val="18"/>
                <w:color w:val="auto"/>
              </w:rPr>
              <w:t>369,788,198</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53,788,109</w:t>
            </w:r>
          </w:p>
        </w:tc>
        <w:tc>
          <w:tcPr>
            <w:tcW w:w="1020" w:type="dxa"/>
            <w:vAlign w:val="bottom"/>
          </w:tcPr>
          <w:p>
            <w:pPr>
              <w:jc w:val="right"/>
              <w:spacing w:after="0"/>
              <w:rPr>
                <w:sz w:val="20"/>
                <w:szCs w:val="20"/>
                <w:color w:val="auto"/>
              </w:rPr>
            </w:pPr>
            <w:r>
              <w:rPr>
                <w:rFonts w:ascii="Arial" w:cs="Arial" w:eastAsia="Arial" w:hAnsi="Arial"/>
                <w:sz w:val="18"/>
                <w:szCs w:val="18"/>
                <w:color w:val="auto"/>
              </w:rPr>
              <w:t>4,819,781</w:t>
            </w:r>
          </w:p>
        </w:tc>
      </w:tr>
      <w:tr>
        <w:trPr>
          <w:trHeight w:val="313"/>
        </w:trPr>
        <w:tc>
          <w:tcPr>
            <w:tcW w:w="9020" w:type="dxa"/>
            <w:vAlign w:val="bottom"/>
            <w:gridSpan w:val="3"/>
          </w:tcPr>
          <w:p>
            <w:pPr>
              <w:spacing w:after="0"/>
              <w:rPr>
                <w:sz w:val="20"/>
                <w:szCs w:val="20"/>
                <w:color w:val="auto"/>
              </w:rPr>
            </w:pPr>
            <w:r>
              <w:rPr>
                <w:rFonts w:ascii="Arial" w:cs="Arial" w:eastAsia="Arial" w:hAnsi="Arial"/>
                <w:sz w:val="18"/>
                <w:szCs w:val="18"/>
                <w:color w:val="auto"/>
              </w:rPr>
              <w:t>PricewaterhouseCoopers:</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4"/>
        </w:trPr>
        <w:tc>
          <w:tcPr>
            <w:tcW w:w="7560" w:type="dxa"/>
            <w:vAlign w:val="bottom"/>
          </w:tcPr>
          <w:p>
            <w:pPr>
              <w:spacing w:after="0"/>
              <w:rPr>
                <w:sz w:val="15"/>
                <w:szCs w:val="15"/>
                <w:color w:val="auto"/>
              </w:rPr>
            </w:pP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For</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Against</w:t>
            </w:r>
          </w:p>
        </w:tc>
        <w:tc>
          <w:tcPr>
            <w:tcW w:w="1020" w:type="dxa"/>
            <w:vAlign w:val="bottom"/>
          </w:tcPr>
          <w:p>
            <w:pPr>
              <w:jc w:val="right"/>
              <w:ind w:right="200"/>
              <w:spacing w:after="0"/>
              <w:rPr>
                <w:sz w:val="20"/>
                <w:szCs w:val="20"/>
                <w:color w:val="auto"/>
              </w:rPr>
            </w:pPr>
            <w:r>
              <w:rPr>
                <w:rFonts w:ascii="Arial" w:cs="Arial" w:eastAsia="Arial" w:hAnsi="Arial"/>
                <w:sz w:val="14"/>
                <w:szCs w:val="14"/>
                <w:b w:val="1"/>
                <w:bCs w:val="1"/>
                <w:color w:val="auto"/>
              </w:rPr>
              <w:t>Abstain</w:t>
            </w:r>
          </w:p>
        </w:tc>
      </w:tr>
      <w:tr>
        <w:trPr>
          <w:trHeight w:val="95"/>
        </w:trPr>
        <w:tc>
          <w:tcPr>
            <w:tcW w:w="75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316"/>
        </w:trPr>
        <w:tc>
          <w:tcPr>
            <w:tcW w:w="9020" w:type="dxa"/>
            <w:vAlign w:val="bottom"/>
            <w:gridSpan w:val="3"/>
          </w:tcPr>
          <w:p>
            <w:pPr>
              <w:jc w:val="right"/>
              <w:ind w:right="320"/>
              <w:spacing w:after="0"/>
              <w:rPr>
                <w:sz w:val="20"/>
                <w:szCs w:val="20"/>
                <w:color w:val="auto"/>
              </w:rPr>
            </w:pPr>
            <w:r>
              <w:rPr>
                <w:rFonts w:ascii="Arial" w:cs="Arial" w:eastAsia="Arial" w:hAnsi="Arial"/>
                <w:sz w:val="18"/>
                <w:szCs w:val="18"/>
                <w:color w:val="auto"/>
              </w:rPr>
              <w:t>492,958,404</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5,261,984</w:t>
            </w:r>
          </w:p>
        </w:tc>
        <w:tc>
          <w:tcPr>
            <w:tcW w:w="1020" w:type="dxa"/>
            <w:vAlign w:val="bottom"/>
          </w:tcPr>
          <w:p>
            <w:pPr>
              <w:jc w:val="right"/>
              <w:spacing w:after="0"/>
              <w:rPr>
                <w:sz w:val="20"/>
                <w:szCs w:val="20"/>
                <w:color w:val="auto"/>
              </w:rPr>
            </w:pPr>
            <w:r>
              <w:rPr>
                <w:rFonts w:ascii="Arial" w:cs="Arial" w:eastAsia="Arial" w:hAnsi="Arial"/>
                <w:sz w:val="18"/>
                <w:szCs w:val="18"/>
                <w:color w:val="auto"/>
              </w:rPr>
              <w:t>4,165,294</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 and Reports on Form 8-K</w:t>
      </w:r>
    </w:p>
    <w:p>
      <w:pPr>
        <w:spacing w:after="0" w:line="8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Exhibit 3.1 Deed of Incorporation of Schlumberger Limited as last amended on May 4, 2001, incorporated by reference to Exhibit 3 (a) to Form 10-Q for the period ended June 30, 2001.</w:t>
      </w:r>
    </w:p>
    <w:p>
      <w:pPr>
        <w:spacing w:after="0" w:line="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Exhibit 3.2 Amended and Restated Bylaws of Schlumberger Limited incorporated by reference to Exhibit 3 to Form 8-K filed April 17, 2003.</w:t>
      </w:r>
    </w:p>
    <w:p>
      <w:pPr>
        <w:spacing w:after="0" w:line="99" w:lineRule="exact"/>
        <w:rPr>
          <w:rFonts w:ascii="Arial" w:cs="Arial" w:eastAsia="Arial" w:hAnsi="Arial"/>
          <w:sz w:val="18"/>
          <w:szCs w:val="18"/>
          <w:color w:val="auto"/>
        </w:rPr>
      </w:pPr>
    </w:p>
    <w:p>
      <w:pPr>
        <w:ind w:left="460" w:right="40"/>
        <w:spacing w:after="0" w:line="268" w:lineRule="auto"/>
        <w:rPr>
          <w:rFonts w:ascii="Arial" w:cs="Arial" w:eastAsia="Arial" w:hAnsi="Arial"/>
          <w:sz w:val="18"/>
          <w:szCs w:val="18"/>
          <w:color w:val="auto"/>
        </w:rPr>
      </w:pPr>
      <w:r>
        <w:rPr>
          <w:rFonts w:ascii="Arial" w:cs="Arial" w:eastAsia="Arial" w:hAnsi="Arial"/>
          <w:sz w:val="18"/>
          <w:szCs w:val="18"/>
          <w:color w:val="auto"/>
        </w:rPr>
        <w:t>Exhibit 31.1 Certification of Chief Executive Officer pursuant to Form of Rule 13a-14(a) as Adopted Pursuant to Section 302 of the Sarbanes-Oxley Act of 2002.</w:t>
      </w:r>
    </w:p>
    <w:p>
      <w:pPr>
        <w:spacing w:after="0" w:line="37"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Exhibit 31.2 Certification of Chief Financial Officer pursuant to Form of Rule 13a-14(a) as Adopted Pursuant to Section 302 of the Sarbanes-Oxley Act of 2002.</w:t>
      </w:r>
    </w:p>
    <w:p>
      <w:pPr>
        <w:spacing w:after="0" w:line="37"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Exhibit 32.1 Certification of Chief Executive Officer pursuant to 18 U.S.C. Section 1350, as Adopted Pursuant to Section 906 of the Sarbanes-Oxley Act of 2002.</w:t>
      </w:r>
    </w:p>
    <w:p>
      <w:pPr>
        <w:spacing w:after="0" w:line="37"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Exhibit 32.2 Certification Chief Financial Officer pursuant to 18 U.S.C. Section 1350, as Adopted Pursuant to Section 906 of the Sarbanes-Oxley Act of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Reports on Form 8-K:</w:t>
      </w:r>
    </w:p>
    <w:p>
      <w:pPr>
        <w:spacing w:after="0" w:line="76" w:lineRule="exact"/>
        <w:rPr>
          <w:rFonts w:ascii="Arial" w:cs="Arial" w:eastAsia="Arial" w:hAnsi="Arial"/>
          <w:sz w:val="18"/>
          <w:szCs w:val="18"/>
          <w:color w:val="auto"/>
        </w:rPr>
      </w:pPr>
    </w:p>
    <w:p>
      <w:pPr>
        <w:ind w:left="452" w:right="8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January 23, 2004 and furnished on January 23, 2004 to report the Fourth Quarter Press Release and the Question and Answer relating to the Press Release.</w:t>
      </w:r>
    </w:p>
    <w:p>
      <w:pPr>
        <w:spacing w:after="0" w:line="3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Report 8-K dated January 29, 2004 and filed on January 30, 2004 to report the sale of the majority of its SchlumbergerSema businesses to Atos Origin.</w:t>
      </w:r>
    </w:p>
    <w:p>
      <w:pPr>
        <w:spacing w:after="0" w:line="99"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Report 8-K dated February 2, 2004 and filed on February 4, 2004 to report the agreement to sell 9.6 million shares of Atos Origin in a private placement to institutional investors.</w:t>
      </w:r>
    </w:p>
    <w:p>
      <w:pPr>
        <w:spacing w:after="0" w:line="37" w:lineRule="exact"/>
        <w:rPr>
          <w:rFonts w:ascii="Arial" w:cs="Arial" w:eastAsia="Arial" w:hAnsi="Arial"/>
          <w:sz w:val="18"/>
          <w:szCs w:val="18"/>
          <w:color w:val="auto"/>
        </w:rPr>
      </w:pPr>
    </w:p>
    <w:p>
      <w:pPr>
        <w:ind w:left="452" w:right="1260"/>
        <w:spacing w:after="0" w:line="268" w:lineRule="auto"/>
        <w:rPr>
          <w:rFonts w:ascii="Arial" w:cs="Arial" w:eastAsia="Arial" w:hAnsi="Arial"/>
          <w:sz w:val="18"/>
          <w:szCs w:val="18"/>
          <w:color w:val="auto"/>
        </w:rPr>
      </w:pPr>
      <w:r>
        <w:rPr>
          <w:rFonts w:ascii="Arial" w:cs="Arial" w:eastAsia="Arial" w:hAnsi="Arial"/>
          <w:sz w:val="18"/>
          <w:szCs w:val="18"/>
          <w:color w:val="auto"/>
        </w:rPr>
        <w:t>Report 8-K/A dated January 29, 2004 and filed on March 15, 2004 to furnish updated financial information with respect to the sale of the SchlumbergerSema business.</w:t>
      </w:r>
    </w:p>
    <w:p>
      <w:pPr>
        <w:spacing w:after="0" w:line="3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Report 8-K dated March 24, 2004 and filed on March 24, 2004 to report the plan for Initial Public Offering of Axalto Common Stock.</w:t>
      </w:r>
    </w:p>
    <w:p>
      <w:pPr>
        <w:spacing w:after="0" w:line="76" w:lineRule="exact"/>
        <w:rPr>
          <w:rFonts w:ascii="Arial" w:cs="Arial" w:eastAsia="Arial" w:hAnsi="Arial"/>
          <w:sz w:val="18"/>
          <w:szCs w:val="18"/>
          <w:color w:val="auto"/>
        </w:rPr>
      </w:pPr>
    </w:p>
    <w:p>
      <w:pPr>
        <w:ind w:left="452" w:right="26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March 29, 2004 and furnished on March 30, 2004 to report a presentation by Andrew Gould, Chairman and CEO to the Howard Weil Energy Conference.</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52"/>
          </w:cols>
          <w:pgMar w:left="248" w:top="280" w:right="299" w:bottom="1440" w:gutter="0" w:footer="0" w:header="0"/>
        </w:sectPr>
      </w:pPr>
    </w:p>
    <w:bookmarkStart w:id="23" w:name="page24"/>
    <w:bookmarkEnd w:id="23"/>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Frank A. Sorgie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-65405</wp:posOffset>
            </wp:positionV>
            <wp:extent cx="33274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Frank A. Sorgie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Accounting Officer and Duly Authorized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Signatory</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40"/>
          </w:cols>
          <w:pgMar w:left="240" w:top="280" w:right="11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firstLine="464"/>
        <w:spacing w:after="0" w:line="259" w:lineRule="auto"/>
        <w:tabs>
          <w:tab w:leader="none" w:pos="6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60" w:firstLine="464"/>
        <w:spacing w:after="0" w:line="268" w:lineRule="auto"/>
        <w:tabs>
          <w:tab w:leader="none" w:pos="6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7, 2004</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3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firstLine="464"/>
        <w:spacing w:after="0" w:line="259"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60" w:firstLine="464"/>
        <w:spacing w:after="0" w:line="268"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7, 2004</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March 31, 2004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17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7, 2004</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ectPr>
          <w:pgSz w:w="11900" w:h="16838" w:orient="portrait"/>
          <w:cols w:equalWidth="0" w:num="1">
            <w:col w:w="11420"/>
          </w:cols>
          <w:pgMar w:left="240" w:top="1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year period March 31, 2004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17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7, 2004</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3"/>
    </w:lvl>
  </w:abstractNum>
  <w:abstractNum w:abstractNumId="2">
    <w:nsid w:val="109CF92E"/>
    <w:multiLevelType w:val="hybridMultilevel"/>
    <w:lvl w:ilvl="0">
      <w:lvlJc w:val="left"/>
      <w:lvlText w:val="%1."/>
      <w:numFmt w:val="decimal"/>
      <w:start w:val="4"/>
    </w:lvl>
    <w:lvl w:ilvl="1">
      <w:lvlJc w:val="left"/>
      <w:lvlText w:val="•"/>
      <w:numFmt w:val="bullet"/>
      <w:start w:val="1"/>
    </w:lvl>
  </w:abstractNum>
  <w:abstractNum w:abstractNumId="3">
    <w:nsid w:val="DED7263"/>
    <w:multiLevelType w:val="hybridMultilevel"/>
    <w:lvl w:ilvl="0">
      <w:lvlJc w:val="left"/>
      <w:lvlText w:val="%1."/>
      <w:numFmt w:val="decimal"/>
      <w:start w:val="6"/>
    </w:lvl>
  </w:abstractNum>
  <w:abstractNum w:abstractNumId="4">
    <w:nsid w:val="7FDCC233"/>
    <w:multiLevelType w:val="hybridMultilevel"/>
    <w:lvl w:ilvl="0">
      <w:lvlJc w:val="left"/>
      <w:lvlText w:val="%1."/>
      <w:numFmt w:val="decimal"/>
      <w:start w:val="7"/>
    </w:lvl>
  </w:abstractNum>
  <w:abstractNum w:abstractNumId="5">
    <w:nsid w:val="1BEFD79F"/>
    <w:multiLevelType w:val="hybridMultilevel"/>
    <w:lvl w:ilvl="0">
      <w:lvlJc w:val="left"/>
      <w:lvlText w:val="%1."/>
      <w:numFmt w:val="decimal"/>
      <w:start w:val="8"/>
    </w:lvl>
  </w:abstractNum>
  <w:abstractNum w:abstractNumId="6">
    <w:nsid w:val="41A7C4C9"/>
    <w:multiLevelType w:val="hybridMultilevel"/>
    <w:lvl w:ilvl="0">
      <w:lvlJc w:val="left"/>
      <w:lvlText w:val="%1."/>
      <w:numFmt w:val="decimal"/>
      <w:start w:val="9"/>
    </w:lvl>
  </w:abstractNum>
  <w:abstractNum w:abstractNumId="7">
    <w:nsid w:val="6B68079A"/>
    <w:multiLevelType w:val="hybridMultilevel"/>
    <w:lvl w:ilvl="0">
      <w:lvlJc w:val="left"/>
      <w:lvlText w:val="%1."/>
      <w:numFmt w:val="decimal"/>
      <w:start w:val="10"/>
    </w:lvl>
  </w:abstractNum>
  <w:abstractNum w:abstractNumId="8">
    <w:nsid w:val="4E6AFB66"/>
    <w:multiLevelType w:val="hybridMultilevel"/>
    <w:lvl w:ilvl="0">
      <w:lvlJc w:val="left"/>
      <w:lvlText w:val="%1."/>
      <w:numFmt w:val="decimal"/>
      <w:start w:val="11"/>
    </w:lvl>
  </w:abstractNum>
  <w:abstractNum w:abstractNumId="9">
    <w:nsid w:val="25E45D32"/>
    <w:multiLevelType w:val="hybridMultilevel"/>
    <w:lvl w:ilvl="0">
      <w:lvlJc w:val="left"/>
      <w:lvlText w:val="%1."/>
      <w:numFmt w:val="decimal"/>
      <w:start w:val="13"/>
    </w:lvl>
  </w:abstractNum>
  <w:abstractNum w:abstractNumId="10">
    <w:nsid w:val="519B500D"/>
    <w:multiLevelType w:val="hybridMultilevel"/>
    <w:lvl w:ilvl="0">
      <w:lvlJc w:val="left"/>
      <w:lvlText w:val="%1."/>
      <w:numFmt w:val="decimal"/>
      <w:start w:val="14"/>
    </w:lvl>
  </w:abstractNum>
  <w:abstractNum w:abstractNumId="11">
    <w:nsid w:val="431BD7B7"/>
    <w:multiLevelType w:val="hybridMultilevel"/>
    <w:lvl w:ilvl="0">
      <w:lvlJc w:val="left"/>
      <w:lvlText w:val="%1."/>
      <w:numFmt w:val="decimal"/>
      <w:start w:val="16"/>
    </w:lvl>
  </w:abstractNum>
  <w:abstractNum w:abstractNumId="12">
    <w:nsid w:val="3F2DBA31"/>
    <w:multiLevelType w:val="hybridMultilevel"/>
    <w:lvl w:ilvl="0">
      <w:lvlJc w:val="left"/>
      <w:lvlText w:val="%1."/>
      <w:numFmt w:val="decimal"/>
      <w:start w:val="18"/>
    </w:lvl>
  </w:abstractNum>
  <w:abstractNum w:abstractNumId="13">
    <w:nsid w:val="7C83E458"/>
    <w:multiLevelType w:val="hybridMultilevel"/>
    <w:lvl w:ilvl="0">
      <w:lvlJc w:val="left"/>
      <w:lvlText w:val="%1."/>
      <w:numFmt w:val="decimal"/>
      <w:start w:val="19"/>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0"/>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3"/>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2019-12-13T06:50:47Z</dcterms:created>
  <dcterms:modified xsi:type="dcterms:W3CDTF">2019-12-13T06:50:47Z</dcterms:modified>
</cp:coreProperties>
</file>