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5217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21779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Kasibhatla Vijay</w:t>
              </w:r>
            </w:hyperlink>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8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20" w:type="dxa"/>
            <w:vAlign w:val="bottom"/>
            <w:tcBorders>
              <w:top w:val="single" w:sz="8" w:color="0000EE"/>
            </w:tcBorders>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620" w:type="dxa"/>
            <w:vAlign w:val="bottom"/>
            <w:tcBorders>
              <w:top w:val="single" w:sz="8" w:color="0000EE"/>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3120" w:type="dxa"/>
            <w:vAlign w:val="bottom"/>
            <w:gridSpan w:val="4"/>
            <w:vMerge w:val="restart"/>
          </w:tcPr>
          <w:p>
            <w:pPr>
              <w:ind w:left="160"/>
              <w:spacing w:after="0" w:line="170" w:lineRule="exact"/>
              <w:rPr>
                <w:sz w:val="20"/>
                <w:szCs w:val="20"/>
                <w:color w:val="auto"/>
              </w:rPr>
            </w:pPr>
            <w:r>
              <w:rPr>
                <w:rFonts w:ascii="Arial" w:cs="Arial" w:eastAsia="Arial" w:hAnsi="Arial"/>
                <w:sz w:val="17"/>
                <w:szCs w:val="17"/>
                <w:color w:val="0000FF"/>
              </w:rPr>
              <w:t>01/19/2022</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3120" w:type="dxa"/>
            <w:vAlign w:val="bottom"/>
            <w:gridSpan w:val="4"/>
            <w:vMerge w:val="continue"/>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5599 SAN FELIPE, 17TH FLOOR</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center"/>
        <w:ind w:right="186"/>
        <w:spacing w:after="0"/>
        <w:rPr>
          <w:sz w:val="20"/>
          <w:szCs w:val="20"/>
          <w:color w:val="auto"/>
        </w:rPr>
      </w:pPr>
      <w:r>
        <w:rPr>
          <w:rFonts w:ascii="Arial" w:cs="Arial" w:eastAsia="Arial" w:hAnsi="Arial"/>
          <w:sz w:val="17"/>
          <w:szCs w:val="17"/>
          <w:color w:val="0000FF"/>
        </w:rPr>
        <w:t>Director, M&amp;A</w:t>
      </w:r>
    </w:p>
    <w:p>
      <w:pPr>
        <w:spacing w:after="0" w:line="313" w:lineRule="exact"/>
        <w:rPr>
          <w:sz w:val="20"/>
          <w:szCs w:val="20"/>
          <w:color w:val="auto"/>
        </w:rPr>
      </w:pPr>
    </w:p>
    <w:p>
      <w:pPr>
        <w:sectPr>
          <w:pgSz w:w="11900" w:h="16838" w:orient="portrait"/>
          <w:cols w:equalWidth="0" w:num="2">
            <w:col w:w="7660" w:space="66"/>
            <w:col w:w="3354"/>
          </w:cols>
          <w:pgMar w:left="460" w:top="222" w:right="359" w:bottom="1440" w:gutter="0" w:footer="0" w:header="0"/>
          <w:type w:val="continuous"/>
        </w:sectPr>
      </w:pP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0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20"/>
              <w:spacing w:after="0"/>
              <w:rPr>
                <w:sz w:val="20"/>
                <w:szCs w:val="20"/>
                <w:color w:val="auto"/>
              </w:rPr>
            </w:pPr>
            <w:r>
              <w:rPr>
                <w:rFonts w:ascii="Arial" w:cs="Arial" w:eastAsia="Arial" w:hAnsi="Arial"/>
                <w:sz w:val="17"/>
                <w:szCs w:val="17"/>
                <w:color w:val="0000FF"/>
              </w:rPr>
              <w:t>77056</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0"/>
          <w:szCs w:val="20"/>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66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6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 $0.01 Par Value Per Share</w:t>
            </w: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40,886</w:t>
            </w:r>
            <w:r>
              <w:rPr>
                <w:rFonts w:ascii="Arial" w:cs="Arial" w:eastAsia="Arial" w:hAnsi="Arial"/>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RSU</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jc w:val="center"/>
              <w:ind w:right="20"/>
              <w:spacing w:after="0" w:line="143" w:lineRule="exact"/>
              <w:rPr>
                <w:sz w:val="20"/>
                <w:szCs w:val="20"/>
                <w:color w:val="auto"/>
              </w:rPr>
            </w:pPr>
            <w:r>
              <w:rPr>
                <w:rFonts w:ascii="Arial" w:cs="Arial" w:eastAsia="Arial" w:hAnsi="Arial"/>
                <w:sz w:val="13"/>
                <w:szCs w:val="13"/>
                <w:color w:val="0000FF"/>
                <w:w w:val="93"/>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restart"/>
          </w:tcPr>
          <w:p>
            <w:pPr>
              <w:jc w:val="center"/>
              <w:ind w:right="20"/>
              <w:spacing w:after="0" w:line="143" w:lineRule="exact"/>
              <w:rPr>
                <w:sz w:val="20"/>
                <w:szCs w:val="20"/>
                <w:color w:val="auto"/>
              </w:rPr>
            </w:pPr>
            <w:r>
              <w:rPr>
                <w:rFonts w:ascii="Arial" w:cs="Arial" w:eastAsia="Arial" w:hAnsi="Arial"/>
                <w:sz w:val="13"/>
                <w:szCs w:val="13"/>
                <w:color w:val="0000FF"/>
                <w:w w:val="92"/>
              </w:rPr>
              <w:t>$0.01</w:t>
            </w: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w w:val="98"/>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continue"/>
          </w:tcPr>
          <w:p>
            <w:pPr>
              <w:spacing w:after="0"/>
              <w:rPr>
                <w:sz w:val="6"/>
                <w:szCs w:val="6"/>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5,580</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rPr>
                <w:sz w:val="20"/>
                <w:szCs w:val="20"/>
                <w:color w:val="auto"/>
              </w:rPr>
            </w:pPr>
            <w:r>
              <w:rPr>
                <w:rFonts w:ascii="Arial" w:cs="Arial" w:eastAsia="Arial" w:hAnsi="Arial"/>
                <w:sz w:val="13"/>
                <w:szCs w:val="13"/>
                <w:color w:val="0000FF"/>
              </w:rPr>
              <w:t>01/19/2022</w:t>
            </w:r>
          </w:p>
        </w:tc>
        <w:tc>
          <w:tcPr>
            <w:tcW w:w="1100" w:type="dxa"/>
            <w:vAlign w:val="bottom"/>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5,580</w:t>
            </w: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vMerge w:val="restart"/>
          </w:tcPr>
          <w:p>
            <w:pPr>
              <w:jc w:val="center"/>
              <w:ind w:right="20"/>
              <w:spacing w:after="0"/>
              <w:rPr>
                <w:sz w:val="20"/>
                <w:szCs w:val="20"/>
                <w:color w:val="auto"/>
              </w:rPr>
            </w:pPr>
            <w:r>
              <w:rPr>
                <w:rFonts w:ascii="Arial" w:cs="Arial" w:eastAsia="Arial" w:hAnsi="Arial"/>
                <w:sz w:val="13"/>
                <w:szCs w:val="13"/>
                <w:color w:val="0000FF"/>
                <w:w w:val="88"/>
              </w:rPr>
              <w:t>Par</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5,580</w:t>
            </w:r>
          </w:p>
        </w:tc>
        <w:tc>
          <w:tcPr>
            <w:tcW w:w="280" w:type="dxa"/>
            <w:vAlign w:val="bottom"/>
          </w:tcPr>
          <w:p>
            <w:pPr>
              <w:spacing w:after="0"/>
              <w:rPr>
                <w:sz w:val="5"/>
                <w:szCs w:val="5"/>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tcPr>
          <w:p>
            <w:pPr>
              <w:ind w:left="60"/>
              <w:spacing w:after="0" w:line="88" w:lineRule="exact"/>
              <w:rPr>
                <w:sz w:val="20"/>
                <w:szCs w:val="20"/>
                <w:color w:val="auto"/>
              </w:rPr>
            </w:pPr>
            <w:r>
              <w:rPr>
                <w:rFonts w:ascii="Arial" w:cs="Arial" w:eastAsia="Arial" w:hAnsi="Arial"/>
                <w:sz w:val="10"/>
                <w:szCs w:val="10"/>
                <w:color w:val="0000FF"/>
              </w:rPr>
              <w:t>Stock</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33"/>
        </w:trPr>
        <w:tc>
          <w:tcPr>
            <w:tcW w:w="3540" w:type="dxa"/>
            <w:vAlign w:val="bottom"/>
            <w:vMerge w:val="restart"/>
          </w:tcPr>
          <w:p>
            <w:pPr>
              <w:spacing w:after="0"/>
              <w:rPr>
                <w:sz w:val="20"/>
                <w:szCs w:val="20"/>
                <w:color w:val="auto"/>
              </w:rPr>
            </w:pPr>
            <w:r>
              <w:rPr>
                <w:rFonts w:ascii="Arial" w:cs="Arial" w:eastAsia="Arial" w:hAnsi="Arial"/>
                <w:sz w:val="13"/>
                <w:szCs w:val="13"/>
                <w:color w:val="0000FF"/>
              </w:rPr>
              <w:t>Unit)</w:t>
            </w:r>
          </w:p>
        </w:tc>
        <w:tc>
          <w:tcPr>
            <w:tcW w:w="3580" w:type="dxa"/>
            <w:vAlign w:val="bottom"/>
          </w:tcPr>
          <w:p>
            <w:pPr>
              <w:jc w:val="center"/>
              <w:ind w:left="3215"/>
              <w:spacing w:after="0" w:line="133" w:lineRule="exact"/>
              <w:rPr>
                <w:sz w:val="20"/>
                <w:szCs w:val="20"/>
                <w:color w:val="auto"/>
              </w:rPr>
            </w:pPr>
            <w:r>
              <w:rPr>
                <w:rFonts w:ascii="Arial" w:cs="Arial" w:eastAsia="Arial" w:hAnsi="Arial"/>
                <w:sz w:val="13"/>
                <w:szCs w:val="13"/>
                <w:color w:val="0000FF"/>
                <w:w w:val="90"/>
              </w:rPr>
              <w:t>Value</w:t>
            </w:r>
          </w:p>
        </w:tc>
        <w:tc>
          <w:tcPr>
            <w:tcW w:w="0" w:type="dxa"/>
            <w:vAlign w:val="bottom"/>
          </w:tcPr>
          <w:p>
            <w:pPr>
              <w:spacing w:after="0"/>
              <w:rPr>
                <w:sz w:val="1"/>
                <w:szCs w:val="1"/>
                <w:color w:val="auto"/>
              </w:rPr>
            </w:pPr>
          </w:p>
        </w:tc>
      </w:tr>
      <w:tr>
        <w:trPr>
          <w:trHeight w:val="86"/>
        </w:trPr>
        <w:tc>
          <w:tcPr>
            <w:tcW w:w="3540" w:type="dxa"/>
            <w:vAlign w:val="bottom"/>
            <w:vMerge w:val="continue"/>
          </w:tcPr>
          <w:p>
            <w:pPr>
              <w:spacing w:after="0"/>
              <w:rPr>
                <w:sz w:val="7"/>
                <w:szCs w:val="7"/>
                <w:color w:val="auto"/>
              </w:rPr>
            </w:pPr>
          </w:p>
        </w:tc>
        <w:tc>
          <w:tcPr>
            <w:tcW w:w="3580" w:type="dxa"/>
            <w:vAlign w:val="bottom"/>
            <w:vMerge w:val="restart"/>
          </w:tcPr>
          <w:p>
            <w:pPr>
              <w:jc w:val="center"/>
              <w:ind w:left="3215"/>
              <w:spacing w:after="0" w:line="143" w:lineRule="exact"/>
              <w:rPr>
                <w:sz w:val="20"/>
                <w:szCs w:val="20"/>
                <w:color w:val="auto"/>
              </w:rPr>
            </w:pPr>
            <w:r>
              <w:rPr>
                <w:rFonts w:ascii="Arial" w:cs="Arial" w:eastAsia="Arial" w:hAnsi="Arial"/>
                <w:sz w:val="13"/>
                <w:szCs w:val="13"/>
                <w:color w:val="0000FF"/>
                <w:w w:val="88"/>
              </w:rPr>
              <w:t>Per</w:t>
            </w:r>
          </w:p>
        </w:tc>
        <w:tc>
          <w:tcPr>
            <w:tcW w:w="0" w:type="dxa"/>
            <w:vAlign w:val="bottom"/>
          </w:tcPr>
          <w:p>
            <w:pPr>
              <w:spacing w:after="0"/>
              <w:rPr>
                <w:sz w:val="1"/>
                <w:szCs w:val="1"/>
                <w:color w:val="auto"/>
              </w:rPr>
            </w:pPr>
          </w:p>
        </w:tc>
      </w:tr>
      <w:tr>
        <w:trPr>
          <w:trHeight w:val="57"/>
        </w:trPr>
        <w:tc>
          <w:tcPr>
            <w:tcW w:w="3540" w:type="dxa"/>
            <w:vAlign w:val="bottom"/>
          </w:tcPr>
          <w:p>
            <w:pPr>
              <w:spacing w:after="0"/>
              <w:rPr>
                <w:sz w:val="4"/>
                <w:szCs w:val="4"/>
                <w:color w:val="auto"/>
              </w:rPr>
            </w:pPr>
          </w:p>
        </w:tc>
        <w:tc>
          <w:tcPr>
            <w:tcW w:w="3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3540" w:type="dxa"/>
            <w:vAlign w:val="bottom"/>
          </w:tcPr>
          <w:p>
            <w:pPr>
              <w:spacing w:after="0"/>
              <w:rPr>
                <w:sz w:val="14"/>
                <w:szCs w:val="14"/>
                <w:color w:val="auto"/>
              </w:rPr>
            </w:pPr>
          </w:p>
        </w:tc>
        <w:tc>
          <w:tcPr>
            <w:tcW w:w="3580" w:type="dxa"/>
            <w:vAlign w:val="bottom"/>
          </w:tcPr>
          <w:p>
            <w:pPr>
              <w:jc w:val="center"/>
              <w:ind w:left="3215"/>
              <w:spacing w:after="0"/>
              <w:rPr>
                <w:sz w:val="20"/>
                <w:szCs w:val="20"/>
                <w:color w:val="auto"/>
              </w:rPr>
            </w:pPr>
            <w:r>
              <w:rPr>
                <w:rFonts w:ascii="Arial" w:cs="Arial" w:eastAsia="Arial" w:hAnsi="Arial"/>
                <w:sz w:val="13"/>
                <w:szCs w:val="13"/>
                <w:color w:val="0000FF"/>
                <w:w w:val="86"/>
              </w:rPr>
              <w:t>Share</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568 shares for the period ended June 30, 2021, and 275 shares for the period ended December 31, 2021, that were acquired under the Schlumberger discounted stock purchase plan.</w:t>
      </w:r>
    </w:p>
    <w:p>
      <w:pPr>
        <w:spacing w:after="0" w:line="57"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at settlement, one (1) share of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 award was granted January 19, 2022 and vests 100% on January 19, 2025.</w:t>
      </w:r>
    </w:p>
    <w:p>
      <w:pPr>
        <w:spacing w:after="0" w:line="34"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Samantha Blons,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01/21/2022</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Arial" w:cs="Arial" w:eastAsia="Arial" w:hAnsi="Arial"/>
                <w:sz w:val="17"/>
                <w:szCs w:val="17"/>
                <w:color w:val="0000FF"/>
                <w:w w:val="88"/>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SCHLUMBERGER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99" w:lineRule="exact"/>
        <w:rPr>
          <w:sz w:val="20"/>
          <w:szCs w:val="20"/>
          <w:color w:val="auto"/>
        </w:rPr>
      </w:pPr>
    </w:p>
    <w:p>
      <w:pPr>
        <w:ind w:right="4219" w:firstLine="710"/>
        <w:spacing w:after="0" w:line="258"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Curacao corporation (the "Company"), does hereby appoint each of Dianne B. Ralston, Samantha Blons, and LaToyia Tilley, or 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2" w:lineRule="exact"/>
        <w:rPr>
          <w:sz w:val="20"/>
          <w:szCs w:val="20"/>
          <w:color w:val="auto"/>
        </w:rPr>
      </w:pPr>
    </w:p>
    <w:p>
      <w:pPr>
        <w:ind w:right="4019"/>
        <w:spacing w:after="0" w:line="242" w:lineRule="auto"/>
        <w:rPr>
          <w:sz w:val="20"/>
          <w:szCs w:val="20"/>
          <w:color w:val="auto"/>
        </w:rPr>
      </w:pPr>
      <w:r>
        <w:rPr>
          <w:rFonts w:ascii="Courier New" w:cs="Courier New" w:eastAsia="Courier New" w:hAnsi="Courier New"/>
          <w:sz w:val="17"/>
          <w:szCs w:val="17"/>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202" w:lineRule="exact"/>
        <w:rPr>
          <w:sz w:val="20"/>
          <w:szCs w:val="20"/>
          <w:color w:val="auto"/>
        </w:rPr>
      </w:pPr>
    </w:p>
    <w:p>
      <w:pPr>
        <w:ind w:right="4019" w:firstLine="710"/>
        <w:spacing w:after="0" w:line="242" w:lineRule="auto"/>
        <w:rPr>
          <w:sz w:val="20"/>
          <w:szCs w:val="20"/>
          <w:color w:val="auto"/>
        </w:rPr>
      </w:pPr>
      <w:r>
        <w:rPr>
          <w:rFonts w:ascii="Courier New" w:cs="Courier New" w:eastAsia="Courier New" w:hAnsi="Courier New"/>
          <w:sz w:val="17"/>
          <w:szCs w:val="17"/>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15, 2021</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Vijay Kasibhatla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Vijay Kasibhatla</w:t>
      </w: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5054"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2022-01-21T20:06:27Z</dcterms:created>
  <dcterms:modified xsi:type="dcterms:W3CDTF">2022-01-21T20:06:27Z</dcterms:modified>
</cp:coreProperties>
</file>