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Sonthalia Rajeev</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SCHLUMBERGER LIMITED/NV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SLB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900" w:type="dxa"/>
            <w:vAlign w:val="bottom"/>
            <w:tcBorders>
              <w:top w:val="single" w:sz="8" w:color="0000EE"/>
            </w:tcBorders>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8"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4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9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line="126"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line="126"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3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03/03/2023</w:t>
            </w: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0000FF"/>
              </w:rPr>
              <w:t>Pres Digital &amp; Integration</w:t>
            </w:r>
          </w:p>
        </w:tc>
        <w:tc>
          <w:tcPr>
            <w:tcW w:w="0" w:type="dxa"/>
            <w:vAlign w:val="bottom"/>
          </w:tcPr>
          <w:p>
            <w:pPr>
              <w:spacing w:after="0"/>
              <w:rPr>
                <w:sz w:val="1"/>
                <w:szCs w:val="1"/>
                <w:color w:val="auto"/>
              </w:rPr>
            </w:pPr>
          </w:p>
        </w:tc>
      </w:tr>
      <w:tr>
        <w:trPr>
          <w:trHeight w:val="234"/>
        </w:trPr>
        <w:tc>
          <w:tcPr>
            <w:tcW w:w="8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29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310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6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w:t>
            </w:r>
          </w:p>
        </w:tc>
        <w:tc>
          <w:tcPr>
            <w:tcW w:w="15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0000FF"/>
              </w:rPr>
              <w:t>03/03/2023</w:t>
            </w: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11,400</w:t>
            </w:r>
            <w:r>
              <w:rPr>
                <w:rFonts w:ascii="Times New Roman" w:cs="Times New Roman" w:eastAsia="Times New Roman" w:hAnsi="Times New Roman"/>
                <w:sz w:val="22"/>
                <w:szCs w:val="22"/>
                <w:color w:val="008000"/>
                <w:vertAlign w:val="superscript"/>
              </w:rPr>
              <w:t>(1)</w:t>
            </w:r>
          </w:p>
        </w:tc>
        <w:tc>
          <w:tcPr>
            <w:tcW w:w="42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Pr>
          <w:p>
            <w:pPr>
              <w:spacing w:after="0"/>
              <w:rPr>
                <w:sz w:val="21"/>
                <w:szCs w:val="21"/>
                <w:color w:val="auto"/>
              </w:rPr>
            </w:pPr>
          </w:p>
        </w:tc>
        <w:tc>
          <w:tcPr>
            <w:tcW w:w="400" w:type="dxa"/>
            <w:vAlign w:val="bottom"/>
            <w:gridSpan w:val="2"/>
            <w:vMerge w:val="restart"/>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Pr>
          <w:p>
            <w:pPr>
              <w:spacing w:after="0"/>
              <w:rPr>
                <w:sz w:val="21"/>
                <w:szCs w:val="21"/>
                <w:color w:val="auto"/>
              </w:rPr>
            </w:pPr>
          </w:p>
        </w:tc>
        <w:tc>
          <w:tcPr>
            <w:tcW w:w="12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41,628</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6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w:t>
            </w:r>
          </w:p>
        </w:tc>
        <w:tc>
          <w:tcPr>
            <w:tcW w:w="15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0000FF"/>
              </w:rPr>
              <w:t>03/03/2023</w:t>
            </w: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vMerge w:val="restart"/>
          </w:tcPr>
          <w:p>
            <w:pPr>
              <w:jc w:val="right"/>
              <w:ind w:right="73"/>
              <w:spacing w:after="0"/>
              <w:rPr>
                <w:sz w:val="20"/>
                <w:szCs w:val="20"/>
                <w:color w:val="auto"/>
              </w:rPr>
            </w:pPr>
            <w:r>
              <w:rPr>
                <w:rFonts w:ascii="Times New Roman" w:cs="Times New Roman" w:eastAsia="Times New Roman" w:hAnsi="Times New Roman"/>
                <w:sz w:val="17"/>
                <w:szCs w:val="17"/>
                <w:color w:val="0000FF"/>
              </w:rPr>
              <w:t>5,358</w:t>
            </w:r>
          </w:p>
        </w:tc>
        <w:tc>
          <w:tcPr>
            <w:tcW w:w="42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Pr>
          <w:p>
            <w:pPr>
              <w:spacing w:after="0"/>
              <w:rPr>
                <w:sz w:val="21"/>
                <w:szCs w:val="21"/>
                <w:color w:val="auto"/>
              </w:rPr>
            </w:pPr>
          </w:p>
        </w:tc>
        <w:tc>
          <w:tcPr>
            <w:tcW w:w="600" w:type="dxa"/>
            <w:vAlign w:val="bottom"/>
            <w:gridSpan w:val="3"/>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55.17</w:t>
            </w:r>
          </w:p>
        </w:tc>
        <w:tc>
          <w:tcPr>
            <w:tcW w:w="12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36,270</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gridSpan w:val="3"/>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60" w:type="dxa"/>
            <w:vAlign w:val="bottom"/>
            <w:gridSpan w:val="10"/>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Company granted performance share units ("PSUs") to the reporting person on January 15, 2020. Vesting of the PSUs was based on three-year Company performance relative to select key competitors. Most of these competitors had not reported their 2022 audited financial results when the Company's compensation committee met in January 2023 to certify performance under the PSUs. As a result, the Company's compensation committee approved the issuance of 80% of the shares that the committee determined had been earned according to the information available to the committee at the time. As of March 3, 2023, all such competitors had reported their 2022 audited financial results. Shares of common stock reported hereunder represent shares finally determined to have been earned under the PSUs.</w:t>
      </w:r>
    </w:p>
    <w:p>
      <w:pPr>
        <w:spacing w:after="0" w:line="46"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 xml:space="preserve">/s/ Samantha Blons, Attorney- </w:t>
      </w:r>
      <w:r>
        <w:rPr>
          <w:rFonts w:ascii="Times New Roman" w:cs="Times New Roman" w:eastAsia="Times New Roman" w:hAnsi="Times New Roman"/>
          <w:sz w:val="34"/>
          <w:szCs w:val="34"/>
          <w:color w:val="0000FF"/>
          <w:vertAlign w:val="subscript"/>
        </w:rPr>
        <w:t>03/07/2023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-28575</wp:posOffset>
            </wp:positionV>
            <wp:extent cx="1332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90216"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2023-03-07T17:36:15Z</dcterms:created>
  <dcterms:modified xsi:type="dcterms:W3CDTF">2023-03-07T17:36:15Z</dcterms:modified>
</cp:coreProperties>
</file>