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QUARTERLY REPORT PURSUANT TO SECTION 13 OR 15(d) OF</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EXCHANGE ACT OF 1934</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June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No.: </w:t>
      </w:r>
      <w:r>
        <w:rPr>
          <w:rFonts w:ascii="Arial" w:cs="Arial" w:eastAsia="Arial" w:hAnsi="Arial"/>
          <w:sz w:val="18"/>
          <w:szCs w:val="18"/>
          <w:b w:val="1"/>
          <w:bCs w:val="1"/>
          <w:u w:val="single" w:color="auto"/>
          <w:color w:val="auto"/>
        </w:rPr>
        <w:t>1-4601</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680" w:type="dxa"/>
        <w:tblCellMar>
          <w:top w:w="0" w:type="dxa"/>
          <w:left w:w="0" w:type="dxa"/>
          <w:bottom w:w="0" w:type="dxa"/>
          <w:right w:w="0" w:type="dxa"/>
        </w:tblCellMar>
      </w:tblPr>
      <w:tr>
        <w:trPr>
          <w:trHeight w:val="218"/>
        </w:trPr>
        <w:tc>
          <w:tcPr>
            <w:tcW w:w="4440" w:type="dxa"/>
            <w:vAlign w:val="bottom"/>
          </w:tcPr>
          <w:p>
            <w:pPr>
              <w:jc w:val="center"/>
              <w:ind w:right="1938"/>
              <w:spacing w:after="0"/>
              <w:rPr>
                <w:sz w:val="20"/>
                <w:szCs w:val="20"/>
                <w:color w:val="auto"/>
              </w:rPr>
            </w:pPr>
            <w:r>
              <w:rPr>
                <w:rFonts w:ascii="Arial" w:cs="Arial" w:eastAsia="Arial" w:hAnsi="Arial"/>
                <w:sz w:val="18"/>
                <w:szCs w:val="18"/>
                <w:b w:val="1"/>
                <w:bCs w:val="1"/>
                <w:color w:val="auto"/>
                <w:w w:val="97"/>
              </w:rPr>
              <w:t>CURAÇAO</w:t>
            </w:r>
          </w:p>
        </w:tc>
        <w:tc>
          <w:tcPr>
            <w:tcW w:w="3060" w:type="dxa"/>
            <w:vAlign w:val="bottom"/>
          </w:tcPr>
          <w:p>
            <w:pPr>
              <w:jc w:val="center"/>
              <w:ind w:left="1921"/>
              <w:spacing w:after="0"/>
              <w:rPr>
                <w:sz w:val="20"/>
                <w:szCs w:val="20"/>
                <w:color w:val="auto"/>
              </w:rPr>
            </w:pPr>
            <w:r>
              <w:rPr>
                <w:rFonts w:ascii="Arial" w:cs="Arial" w:eastAsia="Arial" w:hAnsi="Arial"/>
                <w:sz w:val="18"/>
                <w:szCs w:val="18"/>
                <w:b w:val="1"/>
                <w:bCs w:val="1"/>
                <w:color w:val="auto"/>
                <w:w w:val="89"/>
              </w:rPr>
              <w:t>52-0684746</w:t>
            </w:r>
          </w:p>
        </w:tc>
      </w:tr>
      <w:tr>
        <w:trPr>
          <w:trHeight w:val="149"/>
        </w:trPr>
        <w:tc>
          <w:tcPr>
            <w:tcW w:w="4440" w:type="dxa"/>
            <w:vAlign w:val="bottom"/>
          </w:tcPr>
          <w:p>
            <w:pPr>
              <w:jc w:val="center"/>
              <w:ind w:right="1938"/>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06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440" w:type="dxa"/>
            <w:vAlign w:val="bottom"/>
          </w:tcPr>
          <w:p>
            <w:pPr>
              <w:jc w:val="center"/>
              <w:ind w:right="1918"/>
              <w:spacing w:after="0"/>
              <w:rPr>
                <w:sz w:val="20"/>
                <w:szCs w:val="20"/>
                <w:color w:val="auto"/>
              </w:rPr>
            </w:pPr>
            <w:r>
              <w:rPr>
                <w:rFonts w:ascii="Arial" w:cs="Arial" w:eastAsia="Arial" w:hAnsi="Arial"/>
                <w:sz w:val="14"/>
                <w:szCs w:val="14"/>
                <w:b w:val="1"/>
                <w:bCs w:val="1"/>
                <w:color w:val="auto"/>
                <w:w w:val="88"/>
              </w:rPr>
              <w:t>incorporation or organization)</w:t>
            </w:r>
          </w:p>
        </w:tc>
        <w:tc>
          <w:tcPr>
            <w:tcW w:w="3060" w:type="dxa"/>
            <w:vAlign w:val="bottom"/>
          </w:tcPr>
          <w:p>
            <w:pPr>
              <w:jc w:val="center"/>
              <w:ind w:left="1921"/>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440" w:type="dxa"/>
            <w:vAlign w:val="bottom"/>
          </w:tcPr>
          <w:p>
            <w:pPr>
              <w:jc w:val="center"/>
              <w:ind w:right="1938"/>
              <w:spacing w:after="0"/>
              <w:rPr>
                <w:sz w:val="20"/>
                <w:szCs w:val="20"/>
                <w:color w:val="auto"/>
              </w:rPr>
            </w:pPr>
            <w:r>
              <w:rPr>
                <w:rFonts w:ascii="Arial" w:cs="Arial" w:eastAsia="Arial" w:hAnsi="Arial"/>
                <w:sz w:val="18"/>
                <w:szCs w:val="18"/>
                <w:b w:val="1"/>
                <w:bCs w:val="1"/>
                <w:color w:val="auto"/>
                <w:w w:val="99"/>
              </w:rPr>
              <w:t>42 RUE SAINT-DOMINIQUE</w:t>
            </w:r>
          </w:p>
        </w:tc>
        <w:tc>
          <w:tcPr>
            <w:tcW w:w="3060" w:type="dxa"/>
            <w:vAlign w:val="bottom"/>
          </w:tcPr>
          <w:p>
            <w:pPr>
              <w:spacing w:after="0"/>
              <w:rPr>
                <w:sz w:val="24"/>
                <w:szCs w:val="24"/>
                <w:color w:val="auto"/>
              </w:rPr>
            </w:pPr>
          </w:p>
        </w:tc>
      </w:tr>
      <w:tr>
        <w:trPr>
          <w:trHeight w:val="228"/>
        </w:trPr>
        <w:tc>
          <w:tcPr>
            <w:tcW w:w="4440" w:type="dxa"/>
            <w:vAlign w:val="bottom"/>
          </w:tcPr>
          <w:p>
            <w:pPr>
              <w:jc w:val="center"/>
              <w:ind w:right="1938"/>
              <w:spacing w:after="0"/>
              <w:rPr>
                <w:sz w:val="20"/>
                <w:szCs w:val="20"/>
                <w:color w:val="auto"/>
              </w:rPr>
            </w:pPr>
            <w:r>
              <w:rPr>
                <w:rFonts w:ascii="Arial" w:cs="Arial" w:eastAsia="Arial" w:hAnsi="Arial"/>
                <w:sz w:val="18"/>
                <w:szCs w:val="18"/>
                <w:b w:val="1"/>
                <w:bCs w:val="1"/>
                <w:color w:val="auto"/>
                <w:w w:val="95"/>
              </w:rPr>
              <w:t>PARIS, FRANCE</w:t>
            </w:r>
          </w:p>
        </w:tc>
        <w:tc>
          <w:tcPr>
            <w:tcW w:w="3060" w:type="dxa"/>
            <w:vAlign w:val="bottom"/>
          </w:tcPr>
          <w:p>
            <w:pPr>
              <w:jc w:val="center"/>
              <w:ind w:left="1941"/>
              <w:spacing w:after="0"/>
              <w:rPr>
                <w:sz w:val="20"/>
                <w:szCs w:val="20"/>
                <w:color w:val="auto"/>
              </w:rPr>
            </w:pPr>
            <w:r>
              <w:rPr>
                <w:rFonts w:ascii="Arial" w:cs="Arial" w:eastAsia="Arial" w:hAnsi="Arial"/>
                <w:sz w:val="18"/>
                <w:szCs w:val="18"/>
                <w:b w:val="1"/>
                <w:bCs w:val="1"/>
                <w:color w:val="auto"/>
                <w:w w:val="87"/>
              </w:rPr>
              <w:t>75007</w:t>
            </w:r>
          </w:p>
        </w:tc>
      </w:tr>
      <w:tr>
        <w:trPr>
          <w:trHeight w:val="420"/>
        </w:trPr>
        <w:tc>
          <w:tcPr>
            <w:tcW w:w="4440" w:type="dxa"/>
            <w:vAlign w:val="bottom"/>
          </w:tcPr>
          <w:p>
            <w:pPr>
              <w:jc w:val="center"/>
              <w:ind w:right="1918"/>
              <w:spacing w:after="0"/>
              <w:rPr>
                <w:sz w:val="20"/>
                <w:szCs w:val="20"/>
                <w:color w:val="auto"/>
              </w:rPr>
            </w:pPr>
            <w:r>
              <w:rPr>
                <w:rFonts w:ascii="Arial" w:cs="Arial" w:eastAsia="Arial" w:hAnsi="Arial"/>
                <w:sz w:val="18"/>
                <w:szCs w:val="18"/>
                <w:b w:val="1"/>
                <w:bCs w:val="1"/>
                <w:color w:val="auto"/>
                <w:w w:val="94"/>
              </w:rPr>
              <w:t>5599 SAN FELIPE, 17</w:t>
            </w:r>
            <w:r>
              <w:rPr>
                <w:rFonts w:ascii="Arial" w:cs="Arial" w:eastAsia="Arial" w:hAnsi="Arial"/>
                <w:sz w:val="11"/>
                <w:szCs w:val="11"/>
                <w:b w:val="1"/>
                <w:bCs w:val="1"/>
                <w:color w:val="auto"/>
                <w:w w:val="94"/>
              </w:rPr>
              <w:t>th</w:t>
            </w:r>
            <w:r>
              <w:rPr>
                <w:rFonts w:ascii="Arial" w:cs="Arial" w:eastAsia="Arial" w:hAnsi="Arial"/>
                <w:sz w:val="18"/>
                <w:szCs w:val="18"/>
                <w:b w:val="1"/>
                <w:bCs w:val="1"/>
                <w:color w:val="auto"/>
                <w:w w:val="94"/>
              </w:rPr>
              <w:t xml:space="preserve"> FLOOR</w:t>
            </w:r>
          </w:p>
        </w:tc>
        <w:tc>
          <w:tcPr>
            <w:tcW w:w="3060" w:type="dxa"/>
            <w:vAlign w:val="bottom"/>
          </w:tcPr>
          <w:p>
            <w:pPr>
              <w:spacing w:after="0"/>
              <w:rPr>
                <w:sz w:val="24"/>
                <w:szCs w:val="24"/>
                <w:color w:val="auto"/>
              </w:rPr>
            </w:pPr>
          </w:p>
        </w:tc>
      </w:tr>
      <w:tr>
        <w:trPr>
          <w:trHeight w:val="228"/>
        </w:trPr>
        <w:tc>
          <w:tcPr>
            <w:tcW w:w="4440" w:type="dxa"/>
            <w:vAlign w:val="bottom"/>
          </w:tcPr>
          <w:p>
            <w:pPr>
              <w:jc w:val="center"/>
              <w:ind w:right="1918"/>
              <w:spacing w:after="0"/>
              <w:rPr>
                <w:sz w:val="20"/>
                <w:szCs w:val="20"/>
                <w:color w:val="auto"/>
              </w:rPr>
            </w:pPr>
            <w:r>
              <w:rPr>
                <w:rFonts w:ascii="Arial" w:cs="Arial" w:eastAsia="Arial" w:hAnsi="Arial"/>
                <w:sz w:val="18"/>
                <w:szCs w:val="18"/>
                <w:b w:val="1"/>
                <w:bCs w:val="1"/>
                <w:color w:val="auto"/>
                <w:w w:val="95"/>
              </w:rPr>
              <w:t>HOUSTON, TEXAS, U.S.A.</w:t>
            </w:r>
          </w:p>
        </w:tc>
        <w:tc>
          <w:tcPr>
            <w:tcW w:w="3060" w:type="dxa"/>
            <w:vAlign w:val="bottom"/>
          </w:tcPr>
          <w:p>
            <w:pPr>
              <w:jc w:val="center"/>
              <w:ind w:left="1941"/>
              <w:spacing w:after="0"/>
              <w:rPr>
                <w:sz w:val="20"/>
                <w:szCs w:val="20"/>
                <w:color w:val="auto"/>
              </w:rPr>
            </w:pPr>
            <w:r>
              <w:rPr>
                <w:rFonts w:ascii="Arial" w:cs="Arial" w:eastAsia="Arial" w:hAnsi="Arial"/>
                <w:sz w:val="18"/>
                <w:szCs w:val="18"/>
                <w:b w:val="1"/>
                <w:bCs w:val="1"/>
                <w:color w:val="auto"/>
                <w:w w:val="87"/>
              </w:rPr>
              <w:t>77056</w:t>
            </w:r>
          </w:p>
        </w:tc>
      </w:tr>
      <w:tr>
        <w:trPr>
          <w:trHeight w:val="420"/>
        </w:trPr>
        <w:tc>
          <w:tcPr>
            <w:tcW w:w="4440" w:type="dxa"/>
            <w:vAlign w:val="bottom"/>
          </w:tcPr>
          <w:p>
            <w:pPr>
              <w:jc w:val="center"/>
              <w:ind w:right="1918"/>
              <w:spacing w:after="0"/>
              <w:rPr>
                <w:sz w:val="20"/>
                <w:szCs w:val="20"/>
                <w:color w:val="auto"/>
              </w:rPr>
            </w:pPr>
            <w:r>
              <w:rPr>
                <w:rFonts w:ascii="Arial" w:cs="Arial" w:eastAsia="Arial" w:hAnsi="Arial"/>
                <w:sz w:val="18"/>
                <w:szCs w:val="18"/>
                <w:b w:val="1"/>
                <w:bCs w:val="1"/>
                <w:color w:val="auto"/>
                <w:w w:val="93"/>
              </w:rPr>
              <w:t>PARKSTRAAT 83</w:t>
            </w:r>
          </w:p>
        </w:tc>
        <w:tc>
          <w:tcPr>
            <w:tcW w:w="3060" w:type="dxa"/>
            <w:vAlign w:val="bottom"/>
          </w:tcPr>
          <w:p>
            <w:pPr>
              <w:spacing w:after="0"/>
              <w:rPr>
                <w:sz w:val="24"/>
                <w:szCs w:val="24"/>
                <w:color w:val="auto"/>
              </w:rPr>
            </w:pPr>
          </w:p>
        </w:tc>
      </w:tr>
      <w:tr>
        <w:trPr>
          <w:trHeight w:val="216"/>
        </w:trPr>
        <w:tc>
          <w:tcPr>
            <w:tcW w:w="4440" w:type="dxa"/>
            <w:vAlign w:val="bottom"/>
          </w:tcPr>
          <w:p>
            <w:pPr>
              <w:jc w:val="center"/>
              <w:ind w:right="1938"/>
              <w:spacing w:after="0"/>
              <w:rPr>
                <w:sz w:val="20"/>
                <w:szCs w:val="20"/>
                <w:color w:val="auto"/>
              </w:rPr>
            </w:pPr>
            <w:r>
              <w:rPr>
                <w:rFonts w:ascii="Arial" w:cs="Arial" w:eastAsia="Arial" w:hAnsi="Arial"/>
                <w:sz w:val="18"/>
                <w:szCs w:val="18"/>
                <w:b w:val="1"/>
                <w:bCs w:val="1"/>
                <w:color w:val="auto"/>
                <w:w w:val="99"/>
              </w:rPr>
              <w:t>THE HAGUE,</w:t>
            </w:r>
          </w:p>
        </w:tc>
        <w:tc>
          <w:tcPr>
            <w:tcW w:w="3060" w:type="dxa"/>
            <w:vAlign w:val="bottom"/>
          </w:tcPr>
          <w:p>
            <w:pPr>
              <w:spacing w:after="0"/>
              <w:rPr>
                <w:sz w:val="18"/>
                <w:szCs w:val="18"/>
                <w:color w:val="auto"/>
              </w:rPr>
            </w:pPr>
          </w:p>
        </w:tc>
      </w:tr>
      <w:tr>
        <w:trPr>
          <w:trHeight w:val="218"/>
        </w:trPr>
        <w:tc>
          <w:tcPr>
            <w:tcW w:w="4440" w:type="dxa"/>
            <w:vAlign w:val="bottom"/>
          </w:tcPr>
          <w:p>
            <w:pPr>
              <w:jc w:val="center"/>
              <w:ind w:right="1938"/>
              <w:spacing w:after="0"/>
              <w:rPr>
                <w:sz w:val="20"/>
                <w:szCs w:val="20"/>
                <w:color w:val="auto"/>
              </w:rPr>
            </w:pPr>
            <w:r>
              <w:rPr>
                <w:rFonts w:ascii="Arial" w:cs="Arial" w:eastAsia="Arial" w:hAnsi="Arial"/>
                <w:sz w:val="18"/>
                <w:szCs w:val="18"/>
                <w:b w:val="1"/>
                <w:bCs w:val="1"/>
                <w:color w:val="auto"/>
                <w:w w:val="98"/>
              </w:rPr>
              <w:t>THE NETHERLANDS</w:t>
            </w:r>
          </w:p>
        </w:tc>
        <w:tc>
          <w:tcPr>
            <w:tcW w:w="3060" w:type="dxa"/>
            <w:vAlign w:val="bottom"/>
          </w:tcPr>
          <w:p>
            <w:pPr>
              <w:jc w:val="center"/>
              <w:ind w:left="192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440" w:type="dxa"/>
            <w:vAlign w:val="bottom"/>
          </w:tcPr>
          <w:p>
            <w:pPr>
              <w:jc w:val="center"/>
              <w:ind w:right="1938"/>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3060" w:type="dxa"/>
            <w:vAlign w:val="bottom"/>
          </w:tcPr>
          <w:p>
            <w:pPr>
              <w:jc w:val="center"/>
              <w:ind w:left="1941"/>
              <w:spacing w:after="0"/>
              <w:rPr>
                <w:sz w:val="20"/>
                <w:szCs w:val="20"/>
                <w:color w:val="auto"/>
              </w:rPr>
            </w:pPr>
            <w:r>
              <w:rPr>
                <w:rFonts w:ascii="Arial" w:cs="Arial" w:eastAsia="Arial" w:hAnsi="Arial"/>
                <w:sz w:val="14"/>
                <w:szCs w:val="14"/>
                <w:b w:val="1"/>
                <w:bCs w:val="1"/>
                <w:color w:val="auto"/>
                <w:w w:val="88"/>
              </w:rPr>
              <w:t>(Zip Codes)</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(713) 375-3400</w:t>
      </w:r>
    </w:p>
    <w:p>
      <w:pPr>
        <w:spacing w:after="0" w:line="177"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000" w:type="dxa"/>
            <w:vAlign w:val="bottom"/>
            <w:gridSpan w:val="3"/>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gridSpan w:val="2"/>
          </w:tcPr>
          <w:p>
            <w:pPr>
              <w:ind w:left="11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000" w:type="dxa"/>
            <w:vAlign w:val="bottom"/>
            <w:gridSpan w:val="3"/>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gridSpan w:val="2"/>
          </w:tcPr>
          <w:p>
            <w:pPr>
              <w:ind w:left="110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11020" w:type="dxa"/>
            <w:vAlign w:val="bottom"/>
            <w:gridSpan w:val="6"/>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11020" w:type="dxa"/>
            <w:vAlign w:val="bottom"/>
            <w:gridSpan w:val="6"/>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400" w:type="dxa"/>
            <w:vAlign w:val="bottom"/>
          </w:tcPr>
          <w:p>
            <w:pPr>
              <w:spacing w:after="0"/>
              <w:rPr>
                <w:sz w:val="24"/>
                <w:szCs w:val="24"/>
                <w:color w:val="auto"/>
              </w:rPr>
            </w:pPr>
          </w:p>
        </w:tc>
      </w:tr>
      <w:tr>
        <w:trPr>
          <w:trHeight w:val="353"/>
        </w:trPr>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Class</w:t>
            </w:r>
          </w:p>
        </w:tc>
        <w:tc>
          <w:tcPr>
            <w:tcW w:w="4700" w:type="dxa"/>
            <w:vAlign w:val="bottom"/>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 at June 30, 2012</w:t>
            </w: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7760" w:type="dxa"/>
            <w:vAlign w:val="bottom"/>
            <w:gridSpan w:val="4"/>
          </w:tcPr>
          <w:p>
            <w:pPr>
              <w:jc w:val="center"/>
              <w:ind w:right="1960"/>
              <w:spacing w:after="0"/>
              <w:rPr>
                <w:sz w:val="20"/>
                <w:szCs w:val="20"/>
                <w:color w:val="auto"/>
              </w:rPr>
            </w:pPr>
            <w:r>
              <w:rPr>
                <w:rFonts w:ascii="Arial" w:cs="Arial" w:eastAsia="Arial" w:hAnsi="Arial"/>
                <w:sz w:val="18"/>
                <w:szCs w:val="18"/>
                <w:color w:val="auto"/>
                <w:w w:val="92"/>
              </w:rPr>
              <w:t>COMMON STOCK, $0.01 PAR VALUE PER SHARE</w:t>
            </w:r>
          </w:p>
        </w:tc>
        <w:tc>
          <w:tcPr>
            <w:tcW w:w="1780" w:type="dxa"/>
            <w:vAlign w:val="bottom"/>
          </w:tcPr>
          <w:p>
            <w:pPr>
              <w:jc w:val="right"/>
              <w:ind w:right="297"/>
              <w:spacing w:after="0"/>
              <w:rPr>
                <w:sz w:val="20"/>
                <w:szCs w:val="20"/>
                <w:color w:val="auto"/>
              </w:rPr>
            </w:pPr>
            <w:r>
              <w:rPr>
                <w:rFonts w:ascii="Arial" w:cs="Arial" w:eastAsia="Arial" w:hAnsi="Arial"/>
                <w:sz w:val="18"/>
                <w:szCs w:val="18"/>
                <w:color w:val="auto"/>
              </w:rPr>
              <w:t>1,327,028,158</w:t>
            </w: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Second Quarter 2012 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w w:val="94"/>
              </w:rPr>
              <w:t>PART I</w:t>
            </w:r>
          </w:p>
        </w:tc>
        <w:tc>
          <w:tcPr>
            <w:tcW w:w="300" w:type="dxa"/>
            <w:vAlign w:val="bottom"/>
            <w:gridSpan w:val="2"/>
            <w:vMerge w:val="restart"/>
          </w:tcPr>
          <w:p>
            <w:pPr>
              <w:spacing w:after="0"/>
              <w:rPr>
                <w:sz w:val="14"/>
                <w:szCs w:val="14"/>
                <w:color w:val="auto"/>
              </w:rPr>
            </w:pPr>
          </w:p>
        </w:tc>
        <w:tc>
          <w:tcPr>
            <w:tcW w:w="10160" w:type="dxa"/>
            <w:vAlign w:val="bottom"/>
            <w:gridSpan w:val="13"/>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58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10160" w:type="dxa"/>
            <w:vAlign w:val="bottom"/>
            <w:gridSpan w:val="13"/>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Item 1.</w:t>
            </w:r>
          </w:p>
        </w:tc>
        <w:tc>
          <w:tcPr>
            <w:tcW w:w="300" w:type="dxa"/>
            <w:vAlign w:val="bottom"/>
            <w:gridSpan w:val="2"/>
          </w:tcPr>
          <w:p>
            <w:pPr>
              <w:spacing w:after="0"/>
              <w:rPr>
                <w:sz w:val="24"/>
                <w:szCs w:val="24"/>
                <w:color w:val="auto"/>
              </w:rPr>
            </w:pPr>
          </w:p>
        </w:tc>
        <w:tc>
          <w:tcPr>
            <w:tcW w:w="14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180" w:type="dxa"/>
            <w:vAlign w:val="bottom"/>
            <w:tcBorders>
              <w:top w:val="single" w:sz="8" w:color="0000EE"/>
            </w:tcBorders>
          </w:tcPr>
          <w:p>
            <w:pPr>
              <w:spacing w:after="0"/>
              <w:rPr>
                <w:sz w:val="24"/>
                <w:szCs w:val="24"/>
                <w:color w:val="auto"/>
              </w:rPr>
            </w:pPr>
          </w:p>
        </w:tc>
        <w:tc>
          <w:tcPr>
            <w:tcW w:w="850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8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10160" w:type="dxa"/>
            <w:vAlign w:val="bottom"/>
            <w:gridSpan w:val="1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880" w:type="dxa"/>
            <w:vAlign w:val="bottom"/>
            <w:gridSpan w:val="3"/>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3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8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6"/>
              </w:rPr>
            </w:pPr>
            <w:hyperlink w:anchor="page28">
              <w:r>
                <w:rPr>
                  <w:rFonts w:ascii="Arial" w:cs="Arial" w:eastAsia="Arial" w:hAnsi="Arial"/>
                  <w:sz w:val="18"/>
                  <w:szCs w:val="18"/>
                  <w:color w:val="0000EE"/>
                  <w:w w:val="86"/>
                </w:rPr>
                <w:t>Controls and Procedures</w:t>
              </w:r>
            </w:hyperlink>
          </w:p>
        </w:tc>
        <w:tc>
          <w:tcPr>
            <w:tcW w:w="2460" w:type="dxa"/>
            <w:vAlign w:val="bottom"/>
            <w:tcBorders>
              <w:top w:val="single" w:sz="8" w:color="0000EE"/>
            </w:tcBorders>
            <w:gridSpan w:val="2"/>
          </w:tcPr>
          <w:p>
            <w:pPr>
              <w:spacing w:after="0"/>
              <w:rPr>
                <w:sz w:val="24"/>
                <w:szCs w:val="24"/>
                <w:color w:val="auto"/>
              </w:rPr>
            </w:pPr>
          </w:p>
        </w:tc>
        <w:tc>
          <w:tcPr>
            <w:tcW w:w="59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10160" w:type="dxa"/>
            <w:vAlign w:val="bottom"/>
            <w:gridSpan w:val="13"/>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Item 1.</w:t>
            </w:r>
          </w:p>
        </w:tc>
        <w:tc>
          <w:tcPr>
            <w:tcW w:w="240" w:type="dxa"/>
            <w:vAlign w:val="bottom"/>
          </w:tcPr>
          <w:p>
            <w:pPr>
              <w:spacing w:after="0"/>
              <w:rPr>
                <w:sz w:val="24"/>
                <w:szCs w:val="24"/>
                <w:color w:val="auto"/>
              </w:rPr>
            </w:pPr>
          </w:p>
        </w:tc>
        <w:tc>
          <w:tcPr>
            <w:tcW w:w="1420" w:type="dxa"/>
            <w:vAlign w:val="bottom"/>
            <w:tcBorders>
              <w:top w:val="single" w:sz="8" w:color="0000EE"/>
            </w:tcBorders>
            <w:gridSpan w:val="5"/>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Legal Proceedings</w:t>
              </w:r>
            </w:hyperlink>
          </w:p>
        </w:tc>
        <w:tc>
          <w:tcPr>
            <w:tcW w:w="874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88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886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88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10160" w:type="dxa"/>
            <w:vAlign w:val="bottom"/>
            <w:gridSpan w:val="1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88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2"/>
          </w:tcPr>
          <w:p>
            <w:pPr>
              <w:spacing w:after="0"/>
              <w:rPr>
                <w:sz w:val="24"/>
                <w:szCs w:val="24"/>
                <w:color w:val="auto"/>
              </w:rPr>
            </w:pPr>
          </w:p>
        </w:tc>
        <w:tc>
          <w:tcPr>
            <w:tcW w:w="59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8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Mine Safety Disclosures</w:t>
              </w:r>
            </w:hyperlink>
          </w:p>
        </w:tc>
        <w:tc>
          <w:tcPr>
            <w:tcW w:w="84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88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0160" w:type="dxa"/>
            <w:vAlign w:val="bottom"/>
            <w:gridSpan w:val="1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88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24"/>
                <w:szCs w:val="24"/>
                <w:color w:val="auto"/>
              </w:rPr>
            </w:pPr>
          </w:p>
        </w:tc>
        <w:tc>
          <w:tcPr>
            <w:tcW w:w="888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51"/>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60" w:type="dxa"/>
            <w:vAlign w:val="bottom"/>
            <w:gridSpan w:val="13"/>
          </w:tcPr>
          <w:p>
            <w:pPr>
              <w:spacing w:after="0"/>
              <w:rPr>
                <w:sz w:val="20"/>
                <w:szCs w:val="20"/>
                <w:color w:val="auto"/>
              </w:rPr>
            </w:pPr>
            <w:r>
              <w:rPr>
                <w:rFonts w:ascii="Arial" w:cs="Arial" w:eastAsia="Arial" w:hAnsi="Arial"/>
                <w:sz w:val="18"/>
                <w:szCs w:val="18"/>
                <w:color w:val="auto"/>
              </w:rPr>
              <w:t>Certifications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00" w:type="dxa"/>
            <w:vAlign w:val="bottom"/>
            <w:gridSpan w:val="12"/>
          </w:tcPr>
          <w:p>
            <w:pPr>
              <w:ind w:left="4800"/>
              <w:spacing w:after="0"/>
              <w:rPr>
                <w:sz w:val="20"/>
                <w:szCs w:val="20"/>
                <w:color w:val="auto"/>
              </w:rPr>
            </w:pPr>
            <w:r>
              <w:rPr>
                <w:rFonts w:ascii="Arial" w:cs="Arial" w:eastAsia="Arial" w:hAnsi="Arial"/>
                <w:sz w:val="18"/>
                <w:szCs w:val="18"/>
                <w:color w:val="auto"/>
              </w:rPr>
              <w:t>2</w:t>
            </w:r>
          </w:p>
        </w:tc>
        <w:tc>
          <w:tcPr>
            <w:tcW w:w="3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Financial Statements.</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7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CONSOLIDATED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80" w:type="dxa"/>
            <w:vAlign w:val="bottom"/>
            <w:gridSpan w:val="10"/>
          </w:tcPr>
          <w:p>
            <w:pPr>
              <w:ind w:left="100"/>
              <w:spacing w:after="0"/>
              <w:rPr>
                <w:sz w:val="20"/>
                <w:szCs w:val="20"/>
                <w:color w:val="auto"/>
              </w:rPr>
            </w:pPr>
            <w:r>
              <w:rPr>
                <w:rFonts w:ascii="Arial" w:cs="Arial" w:eastAsia="Arial" w:hAnsi="Arial"/>
                <w:sz w:val="14"/>
                <w:szCs w:val="14"/>
                <w:i w:val="1"/>
                <w:iCs w:val="1"/>
                <w:color w:val="auto"/>
                <w:w w:val="89"/>
              </w:rPr>
              <w:t>(Stated in millions, except per share amounts)</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8"/>
              </w:rPr>
              <w:t>Second Quarter</w:t>
            </w:r>
          </w:p>
        </w:tc>
        <w:tc>
          <w:tcPr>
            <w:tcW w:w="80" w:type="dxa"/>
            <w:vAlign w:val="bottom"/>
          </w:tcPr>
          <w:p>
            <w:pPr>
              <w:spacing w:after="0"/>
              <w:rPr>
                <w:sz w:val="24"/>
                <w:szCs w:val="24"/>
                <w:color w:val="auto"/>
              </w:rPr>
            </w:pPr>
          </w:p>
        </w:tc>
        <w:tc>
          <w:tcPr>
            <w:tcW w:w="148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3"/>
              </w:rPr>
              <w:t>2011</w:t>
            </w:r>
          </w:p>
        </w:tc>
        <w:tc>
          <w:tcPr>
            <w:tcW w:w="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Revenue</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10,448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8,990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20,366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i w:val="1"/>
                <w:iCs w:val="1"/>
                <w:color w:val="auto"/>
              </w:rPr>
              <w:t>Interest &amp; other income</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8,162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7,023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15,973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&amp; engineering</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General &amp; administrative</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Merger &amp; integration</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Interest</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before taxes</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1,475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Taxes on income</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1,109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i w:val="1"/>
                <w:iCs w:val="1"/>
                <w:color w:val="auto"/>
              </w:rPr>
              <w:t>Income from discontinued operations</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1,342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Schlumberger amounts attributable to:</w:t>
            </w:r>
          </w:p>
        </w:tc>
        <w:tc>
          <w:tcPr>
            <w:tcW w:w="2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gridSpan w:val="3"/>
            <w:vMerge w:val="continue"/>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1,106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2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gridSpan w:val="3"/>
            <w:vMerge w:val="continue"/>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1"/>
                <w:szCs w:val="11"/>
                <w:color w:val="auto"/>
              </w:rPr>
              <w:t>(1)</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2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gridSpan w:val="3"/>
            <w:vMerge w:val="continue"/>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Average shares outstanding:</w:t>
            </w:r>
          </w:p>
        </w:tc>
        <w:tc>
          <w:tcPr>
            <w:tcW w:w="2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gridSpan w:val="3"/>
            <w:vMerge w:val="continue"/>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1,352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Assuming dilution</w:t>
            </w:r>
          </w:p>
        </w:tc>
        <w:tc>
          <w:tcPr>
            <w:tcW w:w="2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1,339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1,366</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1,341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280" w:type="dxa"/>
            <w:vAlign w:val="bottom"/>
            <w:gridSpan w:val="2"/>
          </w:tcPr>
          <w:p>
            <w:pPr>
              <w:spacing w:after="0"/>
              <w:rPr>
                <w:sz w:val="20"/>
                <w:szCs w:val="20"/>
                <w:color w:val="auto"/>
              </w:rPr>
            </w:pPr>
            <w:r>
              <w:rPr>
                <w:rFonts w:ascii="Arial" w:cs="Arial" w:eastAsia="Arial" w:hAnsi="Arial"/>
                <w:sz w:val="11"/>
                <w:szCs w:val="11"/>
                <w:color w:val="auto"/>
              </w:rPr>
              <w:t>(1)</w:t>
            </w:r>
          </w:p>
        </w:tc>
        <w:tc>
          <w:tcPr>
            <w:tcW w:w="5780" w:type="dxa"/>
            <w:vAlign w:val="bottom"/>
            <w:vMerge w:val="restart"/>
          </w:tcPr>
          <w:p>
            <w:pPr>
              <w:ind w:left="180"/>
              <w:spacing w:after="0"/>
              <w:rPr>
                <w:sz w:val="20"/>
                <w:szCs w:val="20"/>
                <w:color w:val="auto"/>
              </w:rPr>
            </w:pPr>
            <w:r>
              <w:rPr>
                <w:rFonts w:ascii="Arial" w:cs="Arial" w:eastAsia="Arial" w:hAnsi="Arial"/>
                <w:sz w:val="18"/>
                <w:szCs w:val="18"/>
                <w:color w:val="auto"/>
              </w:rPr>
              <w:t>Amounts may not add due to rounding</w:t>
            </w: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780" w:type="dxa"/>
            <w:vAlign w:val="bottom"/>
            <w:vMerge w:val="continue"/>
          </w:tcPr>
          <w:p>
            <w:pPr>
              <w:spacing w:after="0"/>
              <w:rPr>
                <w:sz w:val="8"/>
                <w:szCs w:val="8"/>
                <w:color w:val="auto"/>
              </w:rPr>
            </w:pPr>
          </w:p>
        </w:tc>
        <w:tc>
          <w:tcPr>
            <w:tcW w:w="2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right"/>
              <w:ind w:right="320"/>
              <w:spacing w:after="0"/>
              <w:rPr>
                <w:sz w:val="20"/>
                <w:szCs w:val="20"/>
                <w:color w:val="auto"/>
              </w:rPr>
            </w:pPr>
            <w:r>
              <w:rPr>
                <w:rFonts w:ascii="Arial" w:cs="Arial" w:eastAsia="Arial" w:hAnsi="Arial"/>
                <w:sz w:val="14"/>
                <w:szCs w:val="14"/>
                <w:i w:val="1"/>
                <w:iCs w:val="1"/>
                <w:color w:val="auto"/>
              </w:rPr>
              <w:t>(Stated in millions)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52"/>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5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Second Quarter</w:t>
            </w:r>
          </w:p>
        </w:tc>
        <w:tc>
          <w:tcPr>
            <w:tcW w:w="120" w:type="dxa"/>
            <w:vAlign w:val="bottom"/>
          </w:tcPr>
          <w:p>
            <w:pPr>
              <w:spacing w:after="0"/>
              <w:rPr>
                <w:sz w:val="24"/>
                <w:szCs w:val="24"/>
                <w:color w:val="auto"/>
              </w:rPr>
            </w:pPr>
          </w:p>
        </w:tc>
        <w:tc>
          <w:tcPr>
            <w:tcW w:w="14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w:t>
            </w: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5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36"/>
              <w:spacing w:after="0" w:line="142" w:lineRule="exact"/>
              <w:rPr>
                <w:sz w:val="20"/>
                <w:szCs w:val="20"/>
                <w:color w:val="auto"/>
              </w:rPr>
            </w:pPr>
            <w:r>
              <w:rPr>
                <w:rFonts w:ascii="Arial" w:cs="Arial" w:eastAsia="Arial" w:hAnsi="Arial"/>
                <w:sz w:val="14"/>
                <w:szCs w:val="14"/>
                <w:color w:val="auto"/>
              </w:rPr>
              <w:t>2011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Net income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$1,415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$1,342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$2,720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net change arising during the period</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(204)</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(93)</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i w:val="1"/>
                <w:iCs w:val="1"/>
                <w:color w:val="auto"/>
              </w:rPr>
              <w:t>Derivatives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derivatives (loss) gain on hedge transactions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(331)</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104</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(177)</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Reclassification to net income of net realized loss (gain)</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260</w:t>
            </w:r>
          </w:p>
        </w:tc>
        <w:tc>
          <w:tcPr>
            <w:tcW w:w="20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(95)</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150</w:t>
            </w:r>
          </w:p>
        </w:tc>
        <w:tc>
          <w:tcPr>
            <w:tcW w:w="2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(322)</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Actuarial gain (loss)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Actuarial gain (loss) arising during the period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Amortization to net income of net actuarial loss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20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33</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86</w:t>
            </w:r>
          </w:p>
        </w:tc>
        <w:tc>
          <w:tcPr>
            <w:tcW w:w="2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Prior service cost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Prior service credit arising during the period</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to net income of net prior service cost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23"/>
        </w:trPr>
        <w:tc>
          <w:tcPr>
            <w:tcW w:w="20" w:type="dxa"/>
            <w:vAlign w:val="bottom"/>
          </w:tcPr>
          <w:p>
            <w:pPr>
              <w:spacing w:after="0"/>
              <w:rPr>
                <w:sz w:val="19"/>
                <w:szCs w:val="19"/>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Income taxes on pension and other postretirement benefit plans</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19</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(23)</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Comprehensive income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Comprehensive income attributable to noncontrolling interests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Comprehensive income attributable to Schlumberger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1,195</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2,687</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2,457</w:t>
            </w: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Jun. 30, 2012</w:t>
            </w:r>
          </w:p>
        </w:tc>
        <w:tc>
          <w:tcPr>
            <w:tcW w:w="3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2"/>
              </w:rPr>
              <w:t>(Unaudited)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Dec.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ASSETS</w:t>
            </w:r>
          </w:p>
        </w:tc>
        <w:tc>
          <w:tcPr>
            <w:tcW w:w="1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60" w:type="dxa"/>
            <w:vAlign w:val="bottom"/>
            <w:gridSpan w:val="2"/>
            <w:shd w:val="clear" w:color="auto" w:fill="CCEEFF"/>
          </w:tcPr>
          <w:p>
            <w:pPr>
              <w:ind w:left="146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1,521</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1,972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less allowance for doubtful accounts (2012 - $169; 2011 - $177)</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10,802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4,762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1,525</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21,040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261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13,689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14,540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Intangible Assets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4,980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1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46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57,013</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55,201</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1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2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660" w:type="dxa"/>
            <w:vAlign w:val="bottom"/>
            <w:gridSpan w:val="2"/>
          </w:tcPr>
          <w:p>
            <w:pPr>
              <w:ind w:left="146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7,422</w:t>
            </w:r>
          </w:p>
        </w:tc>
        <w:tc>
          <w:tcPr>
            <w:tcW w:w="380" w:type="dxa"/>
            <w:vAlign w:val="bottom"/>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 current portion</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Liability for taxes on income</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1,214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Dividends payable</w:t>
            </w:r>
          </w:p>
        </w:tc>
        <w:tc>
          <w:tcPr>
            <w:tcW w:w="1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11,526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7,953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Deferred Taxes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1,490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1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24,046</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Equity</w:t>
            </w:r>
          </w:p>
        </w:tc>
        <w:tc>
          <w:tcPr>
            <w:tcW w:w="14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11,761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(6,209)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30,830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(3,572)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860"/>
              <w:spacing w:after="0"/>
              <w:rPr>
                <w:sz w:val="20"/>
                <w:szCs w:val="20"/>
                <w:color w:val="auto"/>
              </w:rPr>
            </w:pPr>
            <w:r>
              <w:rPr>
                <w:rFonts w:ascii="Arial" w:cs="Arial" w:eastAsia="Arial" w:hAnsi="Arial"/>
                <w:sz w:val="18"/>
                <w:szCs w:val="18"/>
                <w:color w:val="auto"/>
              </w:rPr>
              <w:t>Schlumberger stockholders’ equity</w:t>
            </w:r>
          </w:p>
        </w:tc>
        <w:tc>
          <w:tcPr>
            <w:tcW w:w="1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32,810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1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32,967</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46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57,013</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92"/>
              </w:rPr>
              <w:t>(Stated in millions)</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7"/>
              </w:rPr>
              <w:t>Six Months Ended Jun.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2,720</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Less: Income from discontinued operations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1,706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80" w:type="dxa"/>
            <w:vAlign w:val="bottom"/>
          </w:tcPr>
          <w:p>
            <w:pPr>
              <w:ind w:left="600"/>
              <w:spacing w:after="0"/>
              <w:rPr>
                <w:sz w:val="20"/>
                <w:szCs w:val="20"/>
                <w:color w:val="auto"/>
              </w:rPr>
            </w:pPr>
            <w:r>
              <w:rPr>
                <w:rFonts w:ascii="Arial" w:cs="Arial" w:eastAsia="Arial" w:hAnsi="Arial"/>
                <w:sz w:val="18"/>
                <w:szCs w:val="18"/>
                <w:color w:val="auto"/>
              </w:rPr>
              <w:t>Earnings of companies carried at equity, less dividends received</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income taxes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80" w:type="dxa"/>
            <w:vAlign w:val="bottom"/>
          </w:tcPr>
          <w:p>
            <w:pPr>
              <w:ind w:left="600"/>
              <w:spacing w:after="0"/>
              <w:rPr>
                <w:sz w:val="20"/>
                <w:szCs w:val="20"/>
                <w:color w:val="auto"/>
              </w:rPr>
            </w:pPr>
            <w:r>
              <w:rPr>
                <w:rFonts w:ascii="Arial" w:cs="Arial" w:eastAsia="Arial" w:hAnsi="Arial"/>
                <w:sz w:val="18"/>
                <w:szCs w:val="18"/>
                <w:color w:val="auto"/>
              </w:rPr>
              <w:t>Stock-based compensation expense</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Pension and other postretirement benefits expense</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80" w:type="dxa"/>
            <w:vAlign w:val="bottom"/>
          </w:tcPr>
          <w:p>
            <w:pPr>
              <w:ind w:left="600"/>
              <w:spacing w:after="0"/>
              <w:rPr>
                <w:sz w:val="20"/>
                <w:szCs w:val="20"/>
                <w:color w:val="auto"/>
              </w:rPr>
            </w:pPr>
            <w:r>
              <w:rPr>
                <w:rFonts w:ascii="Arial" w:cs="Arial" w:eastAsia="Arial" w:hAnsi="Arial"/>
                <w:sz w:val="18"/>
                <w:szCs w:val="18"/>
                <w:color w:val="auto"/>
              </w:rPr>
              <w:t>Pension and other postretirement benefits funding</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(338)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Change in assets and liabilities: </w:t>
            </w:r>
            <w:r>
              <w:rPr>
                <w:rFonts w:ascii="Arial" w:cs="Arial" w:eastAsia="Arial" w:hAnsi="Arial"/>
                <w:sz w:val="11"/>
                <w:szCs w:val="11"/>
                <w:color w:val="auto"/>
              </w:rPr>
              <w:t>(2)</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80" w:type="dxa"/>
            <w:vAlign w:val="bottom"/>
          </w:tcPr>
          <w:p>
            <w:pPr>
              <w:ind w:left="600"/>
              <w:spacing w:after="0"/>
              <w:rPr>
                <w:sz w:val="20"/>
                <w:szCs w:val="20"/>
                <w:color w:val="auto"/>
              </w:rPr>
            </w:pPr>
            <w:r>
              <w:rPr>
                <w:rFonts w:ascii="Arial" w:cs="Arial" w:eastAsia="Arial" w:hAnsi="Arial"/>
                <w:sz w:val="18"/>
                <w:szCs w:val="18"/>
                <w:color w:val="auto"/>
              </w:rPr>
              <w:t>Increase in receivables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(1,615)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in inventories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(669)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80" w:type="dxa"/>
            <w:vAlign w:val="bottom"/>
          </w:tcPr>
          <w:p>
            <w:pPr>
              <w:ind w:left="600"/>
              <w:spacing w:after="0"/>
              <w:rPr>
                <w:sz w:val="20"/>
                <w:szCs w:val="20"/>
                <w:color w:val="auto"/>
              </w:rPr>
            </w:pPr>
            <w:r>
              <w:rPr>
                <w:rFonts w:ascii="Arial" w:cs="Arial" w:eastAsia="Arial" w:hAnsi="Arial"/>
                <w:sz w:val="18"/>
                <w:szCs w:val="18"/>
                <w:color w:val="auto"/>
              </w:rPr>
              <w:t>Increase in other current assets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(Decrease) increase in accounts payable and accrued liabilities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80" w:type="dxa"/>
            <w:vAlign w:val="bottom"/>
          </w:tcPr>
          <w:p>
            <w:pPr>
              <w:ind w:left="600"/>
              <w:spacing w:after="0"/>
              <w:rPr>
                <w:sz w:val="20"/>
                <w:szCs w:val="20"/>
                <w:color w:val="auto"/>
              </w:rPr>
            </w:pPr>
            <w:r>
              <w:rPr>
                <w:rFonts w:ascii="Arial" w:cs="Arial" w:eastAsia="Arial" w:hAnsi="Arial"/>
                <w:sz w:val="18"/>
                <w:szCs w:val="18"/>
                <w:color w:val="auto"/>
              </w:rPr>
              <w:t>Decrease in liability for taxes on income</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(Decrease) increase in other liabilities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380" w:type="dxa"/>
            <w:vAlign w:val="bottom"/>
          </w:tcPr>
          <w:p>
            <w:pPr>
              <w:ind w:left="600"/>
              <w:spacing w:after="0"/>
              <w:rPr>
                <w:sz w:val="20"/>
                <w:szCs w:val="20"/>
                <w:color w:val="auto"/>
              </w:rPr>
            </w:pPr>
            <w:r>
              <w:rPr>
                <w:rFonts w:ascii="Arial" w:cs="Arial" w:eastAsia="Arial" w:hAnsi="Arial"/>
                <w:sz w:val="18"/>
                <w:szCs w:val="18"/>
                <w:color w:val="auto"/>
              </w:rPr>
              <w:t>Other - net</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(2,081)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Multiclient seismic data capitalized</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 net of cash acquired</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(682)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Sale (purchase) of investments, net</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1,146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gridSpan w:val="3"/>
            <w:vMerge w:val="continue"/>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4"/>
              </w:rPr>
              <w:t>(1,926)</w:t>
            </w:r>
          </w:p>
        </w:tc>
        <w:tc>
          <w:tcPr>
            <w:tcW w:w="1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(701)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 on stock options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Stock repurchase program</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(823)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Repayment of long-term debt</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short-term borrowings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1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60" w:type="dxa"/>
            <w:vAlign w:val="bottom"/>
            <w:gridSpan w:val="3"/>
            <w:vMerge w:val="continue"/>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(575)</w:t>
            </w:r>
          </w:p>
        </w:tc>
        <w:tc>
          <w:tcPr>
            <w:tcW w:w="1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discontinued operations - operating activities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Cash flows from discontinued operations - investing activities</w:t>
            </w:r>
          </w:p>
        </w:tc>
        <w:tc>
          <w:tcPr>
            <w:tcW w:w="1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discontinued operations</w:t>
            </w:r>
          </w:p>
        </w:tc>
        <w:tc>
          <w:tcPr>
            <w:tcW w:w="1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gridSpan w:val="3"/>
          </w:tcPr>
          <w:p>
            <w:pPr>
              <w:spacing w:after="0"/>
              <w:rPr>
                <w:sz w:val="20"/>
                <w:szCs w:val="20"/>
                <w:color w:val="auto"/>
              </w:rPr>
            </w:pPr>
            <w:r>
              <w:rPr>
                <w:rFonts w:ascii="Arial" w:cs="Arial" w:eastAsia="Arial" w:hAnsi="Arial"/>
                <w:sz w:val="18"/>
                <w:szCs w:val="18"/>
                <w:color w:val="auto"/>
              </w:rPr>
              <w:t>Net decrease in cash before translation effect</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 effect on cash</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Cash, beginning of period</w:t>
            </w:r>
          </w:p>
        </w:tc>
        <w:tc>
          <w:tcPr>
            <w:tcW w:w="1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1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1,521</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0"/>
        </w:trPr>
        <w:tc>
          <w:tcPr>
            <w:tcW w:w="280" w:type="dxa"/>
            <w:vAlign w:val="bottom"/>
            <w:gridSpan w:val="2"/>
            <w:vMerge w:val="restart"/>
          </w:tcPr>
          <w:p>
            <w:pPr>
              <w:spacing w:after="0"/>
              <w:rPr>
                <w:sz w:val="20"/>
                <w:szCs w:val="20"/>
                <w:color w:val="auto"/>
              </w:rPr>
            </w:pPr>
            <w:r>
              <w:rPr>
                <w:rFonts w:ascii="Arial" w:cs="Arial" w:eastAsia="Arial" w:hAnsi="Arial"/>
                <w:sz w:val="11"/>
                <w:szCs w:val="11"/>
                <w:color w:val="auto"/>
              </w:rPr>
              <w:t>(1)</w:t>
            </w:r>
          </w:p>
        </w:tc>
        <w:tc>
          <w:tcPr>
            <w:tcW w:w="7380" w:type="dxa"/>
            <w:vAlign w:val="bottom"/>
            <w:vMerge w:val="restart"/>
          </w:tcPr>
          <w:p>
            <w:pPr>
              <w:ind w:left="180"/>
              <w:spacing w:after="0"/>
              <w:rPr>
                <w:sz w:val="20"/>
                <w:szCs w:val="20"/>
                <w:color w:val="auto"/>
              </w:rPr>
            </w:pPr>
            <w:r>
              <w:rPr>
                <w:rFonts w:ascii="Arial" w:cs="Arial" w:eastAsia="Arial" w:hAnsi="Arial"/>
                <w:sz w:val="18"/>
                <w:szCs w:val="18"/>
                <w:color w:val="auto"/>
              </w:rPr>
              <w:t>Includes multiclient seismic data costs.</w:t>
            </w:r>
          </w:p>
        </w:tc>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80" w:type="dxa"/>
            <w:vAlign w:val="bottom"/>
            <w:gridSpan w:val="2"/>
            <w:vMerge w:val="continue"/>
          </w:tcPr>
          <w:p>
            <w:pPr>
              <w:spacing w:after="0"/>
              <w:rPr>
                <w:sz w:val="24"/>
                <w:szCs w:val="24"/>
                <w:color w:val="auto"/>
              </w:rPr>
            </w:pPr>
          </w:p>
        </w:tc>
        <w:tc>
          <w:tcPr>
            <w:tcW w:w="738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38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(2)</w:t>
            </w:r>
          </w:p>
        </w:tc>
        <w:tc>
          <w:tcPr>
            <w:tcW w:w="4200" w:type="dxa"/>
            <w:vAlign w:val="bottom"/>
            <w:vMerge w:val="restart"/>
          </w:tcPr>
          <w:p>
            <w:pPr>
              <w:ind w:left="160"/>
              <w:spacing w:after="0"/>
              <w:rPr>
                <w:sz w:val="20"/>
                <w:szCs w:val="20"/>
                <w:color w:val="auto"/>
              </w:rPr>
            </w:pPr>
            <w:r>
              <w:rPr>
                <w:rFonts w:ascii="Arial" w:cs="Arial" w:eastAsia="Arial" w:hAnsi="Arial"/>
                <w:sz w:val="18"/>
                <w:szCs w:val="18"/>
                <w:color w:val="auto"/>
                <w:w w:val="87"/>
              </w:rPr>
              <w:t>Net of the effect of business acquisitions and divestitures.</w:t>
            </w:r>
          </w:p>
        </w:tc>
        <w:tc>
          <w:tcPr>
            <w:tcW w:w="0" w:type="dxa"/>
            <w:vAlign w:val="bottom"/>
          </w:tcPr>
          <w:p>
            <w:pPr>
              <w:spacing w:after="0"/>
              <w:rPr>
                <w:sz w:val="1"/>
                <w:szCs w:val="1"/>
                <w:color w:val="auto"/>
              </w:rPr>
            </w:pPr>
          </w:p>
        </w:tc>
      </w:tr>
      <w:tr>
        <w:trPr>
          <w:trHeight w:val="118"/>
        </w:trPr>
        <w:tc>
          <w:tcPr>
            <w:tcW w:w="300" w:type="dxa"/>
            <w:vAlign w:val="bottom"/>
          </w:tcPr>
          <w:p>
            <w:pPr>
              <w:spacing w:after="0"/>
              <w:rPr>
                <w:sz w:val="10"/>
                <w:szCs w:val="10"/>
                <w:color w:val="auto"/>
              </w:rPr>
            </w:pPr>
          </w:p>
        </w:tc>
        <w:tc>
          <w:tcPr>
            <w:tcW w:w="4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vMerge w:val="restart"/>
          </w:tcPr>
          <w:p>
            <w:pPr>
              <w:jc w:val="center"/>
              <w:ind w:right="112"/>
              <w:spacing w:after="0"/>
              <w:rPr>
                <w:sz w:val="20"/>
                <w:szCs w:val="20"/>
                <w:color w:val="auto"/>
              </w:rPr>
            </w:pPr>
            <w:r>
              <w:rPr>
                <w:rFonts w:ascii="Arial" w:cs="Arial" w:eastAsia="Arial" w:hAnsi="Arial"/>
                <w:sz w:val="14"/>
                <w:szCs w:val="14"/>
                <w:color w:val="auto"/>
                <w:w w:val="88"/>
              </w:rPr>
              <w:t>Accumulated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4"/>
          </w:tcPr>
          <w:p>
            <w:pPr>
              <w:jc w:val="center"/>
              <w:ind w:right="100"/>
              <w:spacing w:after="0"/>
              <w:rPr>
                <w:sz w:val="20"/>
                <w:szCs w:val="20"/>
                <w:color w:val="auto"/>
              </w:rPr>
            </w:pPr>
            <w:r>
              <w:rPr>
                <w:rFonts w:ascii="Arial" w:cs="Arial" w:eastAsia="Arial" w:hAnsi="Arial"/>
                <w:sz w:val="14"/>
                <w:szCs w:val="14"/>
                <w:i w:val="1"/>
                <w:iCs w:val="1"/>
                <w:color w:val="auto"/>
                <w:w w:val="85"/>
              </w:rPr>
              <w:t>(Stated in millions)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80" w:type="dxa"/>
            <w:vAlign w:val="bottom"/>
            <w:gridSpan w:val="7"/>
            <w:vMerge w:val="restart"/>
          </w:tcPr>
          <w:p>
            <w:pPr>
              <w:ind w:left="440"/>
              <w:spacing w:after="0"/>
              <w:rPr>
                <w:sz w:val="20"/>
                <w:szCs w:val="20"/>
                <w:color w:val="auto"/>
              </w:rPr>
            </w:pPr>
            <w:r>
              <w:rPr>
                <w:rFonts w:ascii="Arial" w:cs="Arial" w:eastAsia="Arial" w:hAnsi="Arial"/>
                <w:sz w:val="14"/>
                <w:szCs w:val="14"/>
                <w:color w:val="auto"/>
              </w:rPr>
              <w:t>Common Stock</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center"/>
              <w:ind w:right="112"/>
              <w:spacing w:after="0"/>
              <w:rPr>
                <w:sz w:val="20"/>
                <w:szCs w:val="20"/>
                <w:color w:val="auto"/>
              </w:rPr>
            </w:pPr>
            <w:r>
              <w:rPr>
                <w:rFonts w:ascii="Arial" w:cs="Arial" w:eastAsia="Arial" w:hAnsi="Arial"/>
                <w:sz w:val="14"/>
                <w:szCs w:val="14"/>
                <w:color w:val="auto"/>
                <w:w w:val="91"/>
              </w:rPr>
              <w:t>Other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January 1, 2012 - June 30, 2012</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8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ind w:left="60"/>
              <w:spacing w:after="0" w:line="146" w:lineRule="exact"/>
              <w:rPr>
                <w:sz w:val="20"/>
                <w:szCs w:val="20"/>
                <w:color w:val="auto"/>
              </w:rPr>
            </w:pPr>
            <w:r>
              <w:rPr>
                <w:rFonts w:ascii="Arial" w:cs="Arial" w:eastAsia="Arial" w:hAnsi="Arial"/>
                <w:sz w:val="14"/>
                <w:szCs w:val="14"/>
                <w:color w:val="auto"/>
              </w:rPr>
              <w:t>Retained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spacing w:after="0" w:line="146" w:lineRule="exact"/>
              <w:rPr>
                <w:sz w:val="20"/>
                <w:szCs w:val="20"/>
                <w:color w:val="auto"/>
              </w:rPr>
            </w:pPr>
            <w:r>
              <w:rPr>
                <w:rFonts w:ascii="Arial" w:cs="Arial" w:eastAsia="Arial" w:hAnsi="Arial"/>
                <w:sz w:val="14"/>
                <w:szCs w:val="14"/>
                <w:color w:val="auto"/>
              </w:rPr>
              <w:t>Comprehensive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spacing w:after="0" w:line="146" w:lineRule="exact"/>
              <w:rPr>
                <w:sz w:val="20"/>
                <w:szCs w:val="20"/>
                <w:color w:val="auto"/>
              </w:rPr>
            </w:pPr>
            <w:r>
              <w:rPr>
                <w:rFonts w:ascii="Arial" w:cs="Arial" w:eastAsia="Arial" w:hAnsi="Arial"/>
                <w:sz w:val="14"/>
                <w:szCs w:val="14"/>
                <w:color w:val="auto"/>
              </w:rPr>
              <w:t>Noncontrolling</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color w:val="auto"/>
              </w:rPr>
              <w:t>Issued</w:t>
            </w: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1"/>
              </w:rPr>
              <w:t>In Treasury</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4"/>
                <w:szCs w:val="14"/>
                <w:color w:val="auto"/>
              </w:rPr>
              <w:t>Earnings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jc w:val="center"/>
              <w:ind w:right="112"/>
              <w:spacing w:after="0" w:line="129" w:lineRule="exact"/>
              <w:rPr>
                <w:sz w:val="20"/>
                <w:szCs w:val="20"/>
                <w:color w:val="auto"/>
              </w:rPr>
            </w:pPr>
            <w:r>
              <w:rPr>
                <w:rFonts w:ascii="Arial" w:cs="Arial" w:eastAsia="Arial" w:hAnsi="Arial"/>
                <w:sz w:val="14"/>
                <w:szCs w:val="14"/>
                <w:color w:val="auto"/>
                <w:w w:val="81"/>
              </w:rPr>
              <w:t>Loss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ind w:left="180"/>
              <w:spacing w:after="0" w:line="129" w:lineRule="exact"/>
              <w:rPr>
                <w:sz w:val="20"/>
                <w:szCs w:val="20"/>
                <w:color w:val="auto"/>
              </w:rPr>
            </w:pPr>
            <w:r>
              <w:rPr>
                <w:rFonts w:ascii="Arial" w:cs="Arial" w:eastAsia="Arial" w:hAnsi="Arial"/>
                <w:sz w:val="14"/>
                <w:szCs w:val="14"/>
                <w:color w:val="auto"/>
              </w:rPr>
              <w:t>Interests</w:t>
            </w:r>
          </w:p>
        </w:tc>
        <w:tc>
          <w:tcPr>
            <w:tcW w:w="300" w:type="dxa"/>
            <w:vAlign w:val="bottom"/>
          </w:tcPr>
          <w:p>
            <w:pPr>
              <w:spacing w:after="0"/>
              <w:rPr>
                <w:sz w:val="12"/>
                <w:szCs w:val="12"/>
                <w:color w:val="auto"/>
              </w:rPr>
            </w:pPr>
          </w:p>
        </w:tc>
        <w:tc>
          <w:tcPr>
            <w:tcW w:w="680" w:type="dxa"/>
            <w:vAlign w:val="bottom"/>
            <w:gridSpan w:val="2"/>
          </w:tcPr>
          <w:p>
            <w:pPr>
              <w:jc w:val="right"/>
              <w:ind w:right="260"/>
              <w:spacing w:after="0" w:line="12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3"/>
              </w:rPr>
              <w:t>Balance, January 1, 2012</w:t>
            </w:r>
          </w:p>
        </w:tc>
        <w:tc>
          <w:tcPr>
            <w:tcW w:w="20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$11,639</w:t>
            </w:r>
          </w:p>
        </w:tc>
        <w:tc>
          <w:tcPr>
            <w:tcW w:w="4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 (5,679)</w:t>
            </w: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$28,860</w:t>
            </w:r>
          </w:p>
        </w:tc>
        <w:tc>
          <w:tcPr>
            <w:tcW w:w="32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0"/>
              </w:rPr>
              <w:t>(3,557)</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129</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$31,392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2,703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Changes in fair value of derivatives</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3"/>
          </w:tcPr>
          <w:p>
            <w:pPr>
              <w:jc w:val="right"/>
              <w:ind w:right="52"/>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employee benefits liabilities</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Shares sold to optionees, less shares exchanged</w:t>
            </w:r>
          </w:p>
        </w:tc>
        <w:tc>
          <w:tcPr>
            <w:tcW w:w="2220" w:type="dxa"/>
            <w:vAlign w:val="bottom"/>
            <w:gridSpan w:val="4"/>
          </w:tcPr>
          <w:p>
            <w:pPr>
              <w:jc w:val="right"/>
              <w:ind w:right="380"/>
              <w:spacing w:after="0"/>
              <w:rPr>
                <w:sz w:val="20"/>
                <w:szCs w:val="20"/>
                <w:color w:val="auto"/>
              </w:rPr>
            </w:pPr>
            <w:r>
              <w:rPr>
                <w:rFonts w:ascii="Arial" w:cs="Arial" w:eastAsia="Arial" w:hAnsi="Arial"/>
                <w:sz w:val="18"/>
                <w:szCs w:val="18"/>
                <w:color w:val="auto"/>
              </w:rPr>
              <w:t>(58)</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Vesting of restricted stock</w:t>
            </w:r>
          </w:p>
        </w:tc>
        <w:tc>
          <w:tcPr>
            <w:tcW w:w="2220" w:type="dxa"/>
            <w:vAlign w:val="bottom"/>
            <w:gridSpan w:val="4"/>
          </w:tcPr>
          <w:p>
            <w:pPr>
              <w:jc w:val="right"/>
              <w:ind w:right="380"/>
              <w:spacing w:after="0"/>
              <w:rPr>
                <w:sz w:val="20"/>
                <w:szCs w:val="20"/>
                <w:color w:val="auto"/>
              </w:rPr>
            </w:pPr>
            <w:r>
              <w:rPr>
                <w:rFonts w:ascii="Arial" w:cs="Arial" w:eastAsia="Arial" w:hAnsi="Arial"/>
                <w:sz w:val="18"/>
                <w:szCs w:val="18"/>
                <w:color w:val="auto"/>
              </w:rPr>
              <w:t>(12)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Shares issued under employee stock purchase plan</w:t>
            </w:r>
          </w:p>
        </w:tc>
        <w:tc>
          <w:tcPr>
            <w:tcW w:w="22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Stock repurchase program</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(823)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Dividends declared ($0.55 per share)</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(733)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benefits on stock options</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0" w:type="dxa"/>
            <w:vAlign w:val="bottom"/>
            <w:gridSpan w:val="2"/>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2012</w:t>
            </w:r>
          </w:p>
        </w:tc>
        <w:tc>
          <w:tcPr>
            <w:tcW w:w="120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11,761</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 (6,209)</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30,830</w:t>
            </w:r>
          </w:p>
        </w:tc>
        <w:tc>
          <w:tcPr>
            <w:tcW w:w="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w w:val="91"/>
              </w:rPr>
              <w:t>(3,572)</w:t>
            </w:r>
          </w:p>
        </w:tc>
        <w:tc>
          <w:tcPr>
            <w:tcW w:w="4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4"/>
            <w:vMerge w:val="restart"/>
          </w:tcPr>
          <w:p>
            <w:pPr>
              <w:jc w:val="center"/>
              <w:ind w:right="152"/>
              <w:spacing w:after="0"/>
              <w:rPr>
                <w:sz w:val="20"/>
                <w:szCs w:val="20"/>
                <w:color w:val="auto"/>
              </w:rPr>
            </w:pPr>
            <w:r>
              <w:rPr>
                <w:rFonts w:ascii="Arial" w:cs="Arial" w:eastAsia="Arial" w:hAnsi="Arial"/>
                <w:sz w:val="14"/>
                <w:szCs w:val="14"/>
                <w:color w:val="auto"/>
                <w:w w:val="88"/>
              </w:rPr>
              <w:t>Accumulated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4"/>
          </w:tcPr>
          <w:p>
            <w:pPr>
              <w:jc w:val="center"/>
              <w:ind w:right="100"/>
              <w:spacing w:after="0"/>
              <w:rPr>
                <w:sz w:val="20"/>
                <w:szCs w:val="20"/>
                <w:color w:val="auto"/>
              </w:rPr>
            </w:pPr>
            <w:r>
              <w:rPr>
                <w:rFonts w:ascii="Arial" w:cs="Arial" w:eastAsia="Arial" w:hAnsi="Arial"/>
                <w:sz w:val="14"/>
                <w:szCs w:val="14"/>
                <w:i w:val="1"/>
                <w:iCs w:val="1"/>
                <w:color w:val="auto"/>
                <w:w w:val="85"/>
              </w:rPr>
              <w:t>(Stated in millions)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80" w:type="dxa"/>
            <w:vAlign w:val="bottom"/>
            <w:gridSpan w:val="7"/>
            <w:vMerge w:val="restart"/>
          </w:tcPr>
          <w:p>
            <w:pPr>
              <w:ind w:left="420"/>
              <w:spacing w:after="0"/>
              <w:rPr>
                <w:sz w:val="20"/>
                <w:szCs w:val="20"/>
                <w:color w:val="auto"/>
              </w:rPr>
            </w:pPr>
            <w:r>
              <w:rPr>
                <w:rFonts w:ascii="Arial" w:cs="Arial" w:eastAsia="Arial" w:hAnsi="Arial"/>
                <w:sz w:val="14"/>
                <w:szCs w:val="14"/>
                <w:color w:val="auto"/>
              </w:rPr>
              <w:t>Common Stock</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8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ind w:left="240"/>
              <w:spacing w:after="0" w:line="146" w:lineRule="exact"/>
              <w:rPr>
                <w:sz w:val="20"/>
                <w:szCs w:val="20"/>
                <w:color w:val="auto"/>
              </w:rPr>
            </w:pPr>
            <w:r>
              <w:rPr>
                <w:rFonts w:ascii="Arial" w:cs="Arial" w:eastAsia="Arial" w:hAnsi="Arial"/>
                <w:sz w:val="14"/>
                <w:szCs w:val="14"/>
                <w:color w:val="auto"/>
              </w:rPr>
              <w:t>Other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January 1, 2011 - June 30, 2011</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40"/>
              <w:spacing w:after="0" w:line="131" w:lineRule="exact"/>
              <w:rPr>
                <w:sz w:val="20"/>
                <w:szCs w:val="20"/>
                <w:color w:val="auto"/>
              </w:rPr>
            </w:pPr>
            <w:r>
              <w:rPr>
                <w:rFonts w:ascii="Arial" w:cs="Arial" w:eastAsia="Arial" w:hAnsi="Arial"/>
                <w:sz w:val="14"/>
                <w:szCs w:val="14"/>
                <w:color w:val="auto"/>
              </w:rPr>
              <w:t>Retained</w:t>
            </w:r>
          </w:p>
        </w:tc>
        <w:tc>
          <w:tcPr>
            <w:tcW w:w="80" w:type="dxa"/>
            <w:vAlign w:val="bottom"/>
          </w:tcPr>
          <w:p>
            <w:pPr>
              <w:spacing w:after="0"/>
              <w:rPr>
                <w:sz w:val="11"/>
                <w:szCs w:val="11"/>
                <w:color w:val="auto"/>
              </w:rPr>
            </w:pPr>
          </w:p>
        </w:tc>
        <w:tc>
          <w:tcPr>
            <w:tcW w:w="1040" w:type="dxa"/>
            <w:vAlign w:val="bottom"/>
            <w:gridSpan w:val="5"/>
          </w:tcPr>
          <w:p>
            <w:pPr>
              <w:spacing w:after="0" w:line="131" w:lineRule="exact"/>
              <w:rPr>
                <w:sz w:val="20"/>
                <w:szCs w:val="20"/>
                <w:color w:val="auto"/>
              </w:rPr>
            </w:pPr>
            <w:r>
              <w:rPr>
                <w:rFonts w:ascii="Arial" w:cs="Arial" w:eastAsia="Arial" w:hAnsi="Arial"/>
                <w:sz w:val="14"/>
                <w:szCs w:val="14"/>
                <w:color w:val="auto"/>
              </w:rPr>
              <w:t>Comprehensive</w:t>
            </w:r>
          </w:p>
        </w:tc>
        <w:tc>
          <w:tcPr>
            <w:tcW w:w="200" w:type="dxa"/>
            <w:vAlign w:val="bottom"/>
          </w:tcPr>
          <w:p>
            <w:pPr>
              <w:spacing w:after="0"/>
              <w:rPr>
                <w:sz w:val="11"/>
                <w:szCs w:val="11"/>
                <w:color w:val="auto"/>
              </w:rPr>
            </w:pPr>
          </w:p>
        </w:tc>
        <w:tc>
          <w:tcPr>
            <w:tcW w:w="940" w:type="dxa"/>
            <w:vAlign w:val="bottom"/>
            <w:gridSpan w:val="5"/>
          </w:tcPr>
          <w:p>
            <w:pPr>
              <w:spacing w:after="0" w:line="131" w:lineRule="exact"/>
              <w:rPr>
                <w:sz w:val="20"/>
                <w:szCs w:val="20"/>
                <w:color w:val="auto"/>
              </w:rPr>
            </w:pPr>
            <w:r>
              <w:rPr>
                <w:rFonts w:ascii="Arial" w:cs="Arial" w:eastAsia="Arial" w:hAnsi="Arial"/>
                <w:sz w:val="14"/>
                <w:szCs w:val="14"/>
                <w:color w:val="auto"/>
              </w:rPr>
              <w:t>Noncontrolling</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00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gridSpan w:val="2"/>
          </w:tcPr>
          <w:p>
            <w:pPr>
              <w:jc w:val="right"/>
              <w:ind w:right="540"/>
              <w:spacing w:after="0" w:line="146" w:lineRule="exact"/>
              <w:rPr>
                <w:sz w:val="20"/>
                <w:szCs w:val="20"/>
                <w:color w:val="auto"/>
              </w:rPr>
            </w:pPr>
            <w:r>
              <w:rPr>
                <w:rFonts w:ascii="Arial" w:cs="Arial" w:eastAsia="Arial" w:hAnsi="Arial"/>
                <w:sz w:val="14"/>
                <w:szCs w:val="14"/>
                <w:color w:val="auto"/>
              </w:rPr>
              <w:t>Issued</w:t>
            </w:r>
          </w:p>
        </w:tc>
        <w:tc>
          <w:tcPr>
            <w:tcW w:w="60" w:type="dxa"/>
            <w:vAlign w:val="bottom"/>
          </w:tcPr>
          <w:p>
            <w:pPr>
              <w:spacing w:after="0"/>
              <w:rPr>
                <w:sz w:val="14"/>
                <w:szCs w:val="14"/>
                <w:color w:val="auto"/>
              </w:rPr>
            </w:pPr>
          </w:p>
        </w:tc>
        <w:tc>
          <w:tcPr>
            <w:tcW w:w="1000" w:type="dxa"/>
            <w:vAlign w:val="bottom"/>
            <w:gridSpan w:val="4"/>
          </w:tcPr>
          <w:p>
            <w:pPr>
              <w:jc w:val="right"/>
              <w:ind w:right="380"/>
              <w:spacing w:after="0" w:line="146" w:lineRule="exact"/>
              <w:rPr>
                <w:sz w:val="20"/>
                <w:szCs w:val="20"/>
                <w:color w:val="auto"/>
              </w:rPr>
            </w:pPr>
            <w:r>
              <w:rPr>
                <w:rFonts w:ascii="Arial" w:cs="Arial" w:eastAsia="Arial" w:hAnsi="Arial"/>
                <w:sz w:val="14"/>
                <w:szCs w:val="14"/>
                <w:color w:val="auto"/>
                <w:w w:val="84"/>
              </w:rPr>
              <w:t>In Treasury</w:t>
            </w:r>
          </w:p>
        </w:tc>
        <w:tc>
          <w:tcPr>
            <w:tcW w:w="20" w:type="dxa"/>
            <w:vAlign w:val="bottom"/>
          </w:tcPr>
          <w:p>
            <w:pPr>
              <w:spacing w:after="0"/>
              <w:rPr>
                <w:sz w:val="14"/>
                <w:szCs w:val="14"/>
                <w:color w:val="auto"/>
              </w:rPr>
            </w:pPr>
          </w:p>
        </w:tc>
        <w:tc>
          <w:tcPr>
            <w:tcW w:w="88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Earnings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center"/>
              <w:ind w:right="132"/>
              <w:spacing w:after="0" w:line="146" w:lineRule="exact"/>
              <w:rPr>
                <w:sz w:val="20"/>
                <w:szCs w:val="20"/>
                <w:color w:val="auto"/>
              </w:rPr>
            </w:pPr>
            <w:r>
              <w:rPr>
                <w:rFonts w:ascii="Arial" w:cs="Arial" w:eastAsia="Arial" w:hAnsi="Arial"/>
                <w:sz w:val="14"/>
                <w:szCs w:val="14"/>
                <w:color w:val="auto"/>
                <w:w w:val="87"/>
              </w:rPr>
              <w:t>Loss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ind w:left="180"/>
              <w:spacing w:after="0" w:line="146" w:lineRule="exact"/>
              <w:rPr>
                <w:sz w:val="20"/>
                <w:szCs w:val="20"/>
                <w:color w:val="auto"/>
              </w:rPr>
            </w:pPr>
            <w:r>
              <w:rPr>
                <w:rFonts w:ascii="Arial" w:cs="Arial" w:eastAsia="Arial" w:hAnsi="Arial"/>
                <w:sz w:val="14"/>
                <w:szCs w:val="14"/>
                <w:color w:val="auto"/>
              </w:rPr>
              <w:t>Interests</w:t>
            </w:r>
          </w:p>
        </w:tc>
        <w:tc>
          <w:tcPr>
            <w:tcW w:w="300" w:type="dxa"/>
            <w:vAlign w:val="bottom"/>
          </w:tcPr>
          <w:p>
            <w:pPr>
              <w:spacing w:after="0"/>
              <w:rPr>
                <w:sz w:val="14"/>
                <w:szCs w:val="14"/>
                <w:color w:val="auto"/>
              </w:rPr>
            </w:pPr>
          </w:p>
        </w:tc>
        <w:tc>
          <w:tcPr>
            <w:tcW w:w="680" w:type="dxa"/>
            <w:vAlign w:val="bottom"/>
            <w:gridSpan w:val="2"/>
          </w:tcPr>
          <w:p>
            <w:pPr>
              <w:jc w:val="right"/>
              <w:ind w:right="260"/>
              <w:spacing w:after="0" w:line="146"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3"/>
              </w:rPr>
              <w:t>Balance, January 1, 2011</w:t>
            </w:r>
          </w:p>
        </w:tc>
        <w:tc>
          <w:tcPr>
            <w:tcW w:w="20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$11,920</w:t>
            </w:r>
          </w:p>
        </w:tc>
        <w:tc>
          <w:tcPr>
            <w:tcW w:w="4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(3,136)</w:t>
            </w: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$25,210</w:t>
            </w:r>
          </w:p>
        </w:tc>
        <w:tc>
          <w:tcPr>
            <w:tcW w:w="32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(2,768)</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218</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$31,444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2,283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Changes in fair value of derivatives</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3"/>
          </w:tcPr>
          <w:p>
            <w:pPr>
              <w:jc w:val="right"/>
              <w:ind w:right="72"/>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employee benefits liabilities</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Shares sold to optionees, less shares exchanged</w:t>
            </w:r>
          </w:p>
        </w:tc>
        <w:tc>
          <w:tcPr>
            <w:tcW w:w="2220" w:type="dxa"/>
            <w:vAlign w:val="bottom"/>
            <w:gridSpan w:val="4"/>
          </w:tcPr>
          <w:p>
            <w:pPr>
              <w:jc w:val="right"/>
              <w:ind w:right="380"/>
              <w:spacing w:after="0"/>
              <w:rPr>
                <w:sz w:val="20"/>
                <w:szCs w:val="20"/>
                <w:color w:val="auto"/>
              </w:rPr>
            </w:pPr>
            <w:r>
              <w:rPr>
                <w:rFonts w:ascii="Arial" w:cs="Arial" w:eastAsia="Arial" w:hAnsi="Arial"/>
                <w:sz w:val="18"/>
                <w:szCs w:val="18"/>
                <w:color w:val="auto"/>
              </w:rPr>
              <w:t>(11)</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Vesting of restricted stock</w:t>
            </w:r>
          </w:p>
        </w:tc>
        <w:tc>
          <w:tcPr>
            <w:tcW w:w="2220" w:type="dxa"/>
            <w:vAlign w:val="bottom"/>
            <w:gridSpan w:val="4"/>
          </w:tcPr>
          <w:p>
            <w:pPr>
              <w:jc w:val="right"/>
              <w:ind w:right="380"/>
              <w:spacing w:after="0"/>
              <w:rPr>
                <w:sz w:val="20"/>
                <w:szCs w:val="20"/>
                <w:color w:val="auto"/>
              </w:rPr>
            </w:pPr>
            <w:r>
              <w:rPr>
                <w:rFonts w:ascii="Arial" w:cs="Arial" w:eastAsia="Arial" w:hAnsi="Arial"/>
                <w:sz w:val="18"/>
                <w:szCs w:val="18"/>
                <w:color w:val="auto"/>
              </w:rPr>
              <w:t>(12)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Shares issued under employee stock purchase plan</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Stock repurchase program</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(1,551)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Dividends declared ($0.50 per share)</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(678)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rPr>
                <w:sz w:val="20"/>
                <w:szCs w:val="20"/>
                <w:color w:val="auto"/>
              </w:rPr>
            </w:pPr>
            <w:r>
              <w:rPr>
                <w:rFonts w:ascii="Arial" w:cs="Arial" w:eastAsia="Arial" w:hAnsi="Arial"/>
                <w:sz w:val="18"/>
                <w:szCs w:val="18"/>
                <w:color w:val="auto"/>
              </w:rPr>
              <w:t>Balance, June 30, 2011</w:t>
            </w: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00" w:type="dxa"/>
            <w:vAlign w:val="bottom"/>
            <w:gridSpan w:val="3"/>
            <w:vMerge w:val="continue"/>
          </w:tcPr>
          <w:p>
            <w:pPr>
              <w:spacing w:after="0"/>
              <w:rPr>
                <w:sz w:val="19"/>
                <w:szCs w:val="19"/>
                <w:color w:val="auto"/>
              </w:rPr>
            </w:pPr>
          </w:p>
        </w:tc>
        <w:tc>
          <w:tcPr>
            <w:tcW w:w="1200" w:type="dxa"/>
            <w:vAlign w:val="bottom"/>
            <w:gridSpan w:val="2"/>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12,044</w:t>
            </w:r>
          </w:p>
        </w:tc>
        <w:tc>
          <w:tcPr>
            <w:tcW w:w="440" w:type="dxa"/>
            <w:vAlign w:val="bottom"/>
          </w:tcPr>
          <w:p>
            <w:pPr>
              <w:spacing w:after="0"/>
              <w:rPr>
                <w:sz w:val="19"/>
                <w:szCs w:val="19"/>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w w:val="99"/>
              </w:rPr>
              <w:t>$ (4,417)</w:t>
            </w:r>
          </w:p>
        </w:tc>
        <w:tc>
          <w:tcPr>
            <w:tcW w:w="3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26,815</w:t>
            </w:r>
          </w:p>
        </w:tc>
        <w:tc>
          <w:tcPr>
            <w:tcW w:w="320" w:type="dxa"/>
            <w:vAlign w:val="bottom"/>
          </w:tcPr>
          <w:p>
            <w:pPr>
              <w:spacing w:after="0"/>
              <w:rPr>
                <w:sz w:val="19"/>
                <w:szCs w:val="19"/>
                <w:color w:val="auto"/>
              </w:rPr>
            </w:pPr>
          </w:p>
        </w:tc>
        <w:tc>
          <w:tcPr>
            <w:tcW w:w="4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72"/>
              <w:spacing w:after="0"/>
              <w:rPr>
                <w:sz w:val="20"/>
                <w:szCs w:val="20"/>
                <w:color w:val="auto"/>
              </w:rPr>
            </w:pPr>
            <w:r>
              <w:rPr>
                <w:rFonts w:ascii="Arial" w:cs="Arial" w:eastAsia="Arial" w:hAnsi="Arial"/>
                <w:sz w:val="18"/>
                <w:szCs w:val="18"/>
                <w:color w:val="auto"/>
                <w:w w:val="87"/>
              </w:rPr>
              <w:t>(2,594)</w:t>
            </w:r>
          </w:p>
        </w:tc>
        <w:tc>
          <w:tcPr>
            <w:tcW w:w="4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80" w:type="dxa"/>
            <w:vAlign w:val="bottom"/>
            <w:gridSpan w:val="9"/>
          </w:tcPr>
          <w:p>
            <w:pPr>
              <w:ind w:left="440"/>
              <w:spacing w:after="0"/>
              <w:rPr>
                <w:sz w:val="20"/>
                <w:szCs w:val="20"/>
                <w:color w:val="auto"/>
              </w:rPr>
            </w:pPr>
            <w:r>
              <w:rPr>
                <w:rFonts w:ascii="Arial" w:cs="Arial" w:eastAsia="Arial" w:hAnsi="Arial"/>
                <w:sz w:val="18"/>
                <w:szCs w:val="18"/>
                <w:b w:val="1"/>
                <w:bCs w:val="1"/>
                <w:color w:val="auto"/>
              </w:rPr>
              <w:t>SHARES OF COMMON STOCK</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3"/>
              </w:rPr>
              <w:t>(Unaudited)</w:t>
            </w: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4"/>
          </w:tcPr>
          <w:p>
            <w:pPr>
              <w:jc w:val="center"/>
              <w:ind w:right="100"/>
              <w:spacing w:after="0"/>
              <w:rPr>
                <w:sz w:val="20"/>
                <w:szCs w:val="20"/>
                <w:color w:val="auto"/>
              </w:rPr>
            </w:pPr>
            <w:r>
              <w:rPr>
                <w:rFonts w:ascii="Arial" w:cs="Arial" w:eastAsia="Arial" w:hAnsi="Arial"/>
                <w:sz w:val="14"/>
                <w:szCs w:val="14"/>
                <w:i w:val="1"/>
                <w:iCs w:val="1"/>
                <w:color w:val="auto"/>
                <w:w w:val="85"/>
              </w:rPr>
              <w:t>(Stated in millions)</w:t>
            </w: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color w:val="auto"/>
                <w:w w:val="81"/>
              </w:rPr>
              <w:t>Shares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gridSpan w:val="3"/>
          </w:tcPr>
          <w:p>
            <w:pPr>
              <w:ind w:left="60"/>
              <w:spacing w:after="0" w:line="159" w:lineRule="exact"/>
              <w:rPr>
                <w:sz w:val="20"/>
                <w:szCs w:val="20"/>
                <w:color w:val="auto"/>
              </w:rPr>
            </w:pPr>
            <w:r>
              <w:rPr>
                <w:rFonts w:ascii="Arial" w:cs="Arial" w:eastAsia="Arial" w:hAnsi="Arial"/>
                <w:sz w:val="14"/>
                <w:szCs w:val="14"/>
                <w:color w:val="auto"/>
                <w:w w:val="92"/>
              </w:rPr>
              <w:t>Issued</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5"/>
          </w:tcPr>
          <w:p>
            <w:pPr>
              <w:jc w:val="right"/>
              <w:ind w:right="180"/>
              <w:spacing w:after="0" w:line="159" w:lineRule="exact"/>
              <w:rPr>
                <w:sz w:val="20"/>
                <w:szCs w:val="20"/>
                <w:color w:val="auto"/>
              </w:rPr>
            </w:pPr>
            <w:r>
              <w:rPr>
                <w:rFonts w:ascii="Arial" w:cs="Arial" w:eastAsia="Arial" w:hAnsi="Arial"/>
                <w:sz w:val="14"/>
                <w:szCs w:val="14"/>
                <w:color w:val="auto"/>
                <w:w w:val="84"/>
              </w:rPr>
              <w:t>In Treasury</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center"/>
              <w:ind w:right="280"/>
              <w:spacing w:after="0" w:line="159" w:lineRule="exact"/>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left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w w:val="84"/>
              </w:rPr>
              <w:t>1,434</w:t>
            </w: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left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Shares sold to optionees, less shares exchanged</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Shares issued under employee stock purchase plan</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Stock repurchase program</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4"/>
          </w:tcPr>
          <w:p>
            <w:pPr>
              <w:jc w:val="right"/>
              <w:ind w:right="12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2012</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84"/>
              </w:rPr>
              <w:t>1,434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71" w:lineRule="exact"/>
        <w:rPr>
          <w:sz w:val="20"/>
          <w:szCs w:val="20"/>
          <w:color w:val="auto"/>
        </w:rPr>
      </w:pPr>
    </w:p>
    <w:p>
      <w:pPr>
        <w:ind w:left="342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The accompanying unaudited consolidated financial statements of Schlumberger Limited and its subsidiaries (“Schlumberger”)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six-month period ended June 30, 2012 are not necessarily indicative of the results that may be expected for the full year ending December 31, 2012. The December 31, 2011 balance sheet information has been derived from the Schlumberger 2011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the Schlumberger Annual Report on Form 10-K for the year ended December 31, 2011, filed with the Securities and Exchange Commission on February 1, 2012.</w:t>
      </w:r>
    </w:p>
    <w:p>
      <w:pPr>
        <w:spacing w:after="0" w:line="195"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during the first six months of 2012 and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2012:</w:t>
      </w:r>
    </w:p>
    <w:p>
      <w:pPr>
        <w:spacing w:after="0" w:line="90" w:lineRule="exact"/>
        <w:rPr>
          <w:sz w:val="20"/>
          <w:szCs w:val="20"/>
          <w:color w:val="auto"/>
        </w:rPr>
      </w:pPr>
    </w:p>
    <w:p>
      <w:pPr>
        <w:ind w:left="900" w:right="8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Schlumberger recorded $22 million of pretax merger and integration-related charges ($21 million after-tax) primarily relating to its August 27, 2010 acquisition of Smith International, Inc. (“Smith”). This amount is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2012:</w:t>
      </w:r>
    </w:p>
    <w:p>
      <w:pPr>
        <w:spacing w:after="0" w:line="90" w:lineRule="exact"/>
        <w:rPr>
          <w:sz w:val="20"/>
          <w:szCs w:val="20"/>
          <w:color w:val="auto"/>
        </w:rPr>
      </w:pPr>
    </w:p>
    <w:p>
      <w:pPr>
        <w:ind w:left="900" w:right="3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Schlumberger recorded $15 million of pretax merger and integration-related charges ($13 million after-tax) in connection with the acquisition of Smith. This amount is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2011:</w:t>
      </w:r>
    </w:p>
    <w:p>
      <w:pPr>
        <w:spacing w:after="0" w:line="90" w:lineRule="exact"/>
        <w:rPr>
          <w:sz w:val="20"/>
          <w:szCs w:val="20"/>
          <w:color w:val="auto"/>
        </w:rPr>
      </w:pPr>
    </w:p>
    <w:p>
      <w:pPr>
        <w:ind w:left="900" w:right="160" w:hanging="325"/>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Schlumberger made a $50 million grant to the Schlumberger Foundation to support the Foundation’s Faculty for the Future program. This program supports talented women scientists from the developing world by helping them pursue advanced graduate studies in scientific disciplines at leading universities worldwide. This $50 million charge ($40 million after-tax) is classified in </w:t>
      </w:r>
      <w:r>
        <w:rPr>
          <w:rFonts w:ascii="Arial" w:cs="Arial" w:eastAsia="Arial" w:hAnsi="Arial"/>
          <w:sz w:val="18"/>
          <w:szCs w:val="18"/>
          <w:i w:val="1"/>
          <w:iCs w:val="1"/>
          <w:color w:val="auto"/>
        </w:rPr>
        <w:t>General &amp; administrative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900" w:right="28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Schlumberger recorded $32 million of pretax merger and integration-related charges ($24 million after-tax) in connection with the acquisitions of Smith and Geoservices. This amount is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2011</w:t>
      </w:r>
    </w:p>
    <w:p>
      <w:pPr>
        <w:spacing w:after="0" w:line="90" w:lineRule="exact"/>
        <w:rPr>
          <w:sz w:val="20"/>
          <w:szCs w:val="20"/>
          <w:color w:val="auto"/>
        </w:rPr>
      </w:pPr>
    </w:p>
    <w:p>
      <w:pPr>
        <w:ind w:left="900" w:right="28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Schlumberger recorded $33 million of pretax merger and integration-related charges ($28 million after-tax) in connection with the acquisitions of Smith and Geoservices. This amount is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these 2011 charges: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4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ind w:left="240"/>
              <w:spacing w:after="0"/>
              <w:rPr>
                <w:sz w:val="20"/>
                <w:szCs w:val="20"/>
                <w:color w:val="auto"/>
              </w:rPr>
            </w:pPr>
            <w:r>
              <w:rPr>
                <w:rFonts w:ascii="Arial" w:cs="Arial" w:eastAsia="Arial" w:hAnsi="Arial"/>
                <w:sz w:val="14"/>
                <w:szCs w:val="14"/>
                <w:i w:val="1"/>
                <w:iCs w:val="1"/>
                <w:color w:val="auto"/>
                <w:w w:val="93"/>
              </w:rPr>
              <w:t>(Stated in millions)</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81"/>
              </w:rPr>
              <w:t>Consolidated Statement</w:t>
            </w:r>
          </w:p>
        </w:tc>
        <w:tc>
          <w:tcPr>
            <w:tcW w:w="0" w:type="dxa"/>
            <w:vAlign w:val="bottom"/>
          </w:tcPr>
          <w:p>
            <w:pPr>
              <w:spacing w:after="0"/>
              <w:rPr>
                <w:sz w:val="1"/>
                <w:szCs w:val="1"/>
                <w:color w:val="auto"/>
              </w:rPr>
            </w:pPr>
          </w:p>
        </w:tc>
      </w:tr>
      <w:tr>
        <w:trPr>
          <w:trHeight w:val="136"/>
        </w:trPr>
        <w:tc>
          <w:tcPr>
            <w:tcW w:w="47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color w:val="auto"/>
              </w:rPr>
              <w:t>Pretax</w:t>
            </w:r>
          </w:p>
        </w:tc>
        <w:tc>
          <w:tcPr>
            <w:tcW w:w="2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auto"/>
              </w:rPr>
              <w:t>Tax</w:t>
            </w:r>
          </w:p>
        </w:tc>
        <w:tc>
          <w:tcPr>
            <w:tcW w:w="280" w:type="dxa"/>
            <w:vAlign w:val="bottom"/>
          </w:tcPr>
          <w:p>
            <w:pPr>
              <w:jc w:val="right"/>
              <w:spacing w:after="0"/>
              <w:rPr>
                <w:sz w:val="20"/>
                <w:szCs w:val="20"/>
                <w:color w:val="auto"/>
              </w:rPr>
            </w:pPr>
            <w:r>
              <w:rPr>
                <w:rFonts w:ascii="Arial" w:cs="Arial" w:eastAsia="Arial" w:hAnsi="Arial"/>
                <w:sz w:val="14"/>
                <w:szCs w:val="14"/>
                <w:color w:val="auto"/>
              </w:rPr>
              <w:t>Net</w:t>
            </w:r>
          </w:p>
        </w:tc>
        <w:tc>
          <w:tcPr>
            <w:tcW w:w="4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8"/>
              </w:rPr>
              <w:t xml:space="preserve">of Income </w:t>
            </w:r>
            <w:r>
              <w:rPr>
                <w:rFonts w:ascii="Arial" w:cs="Arial" w:eastAsia="Arial" w:hAnsi="Arial"/>
                <w:sz w:val="14"/>
                <w:szCs w:val="14"/>
                <w:b w:val="1"/>
                <w:bCs w:val="1"/>
                <w:color w:val="auto"/>
                <w:w w:val="88"/>
              </w:rPr>
              <w:t>Classification</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Merger-related integration costs</w:t>
            </w: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$52</w:t>
            </w:r>
          </w:p>
        </w:tc>
        <w:tc>
          <w:tcPr>
            <w:tcW w:w="4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Donation to the Schlumberger Foundation</w:t>
            </w:r>
          </w:p>
        </w:tc>
        <w:tc>
          <w:tcPr>
            <w:tcW w:w="1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i w:val="1"/>
                <w:iCs w:val="1"/>
                <w:color w:val="auto"/>
                <w:w w:val="92"/>
              </w:rPr>
              <w:t>General &amp; administrative</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800"/>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115</w:t>
            </w: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92</w:t>
            </w: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of Schlumberger to diluted earnings per share of Schlumberger: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6"/>
          </w:tcPr>
          <w:p>
            <w:pPr>
              <w:ind w:left="140"/>
              <w:spacing w:after="0"/>
              <w:rPr>
                <w:sz w:val="20"/>
                <w:szCs w:val="20"/>
                <w:color w:val="auto"/>
              </w:rPr>
            </w:pPr>
            <w:r>
              <w:rPr>
                <w:rFonts w:ascii="Arial" w:cs="Arial" w:eastAsia="Arial" w:hAnsi="Arial"/>
                <w:sz w:val="14"/>
                <w:szCs w:val="14"/>
                <w:i w:val="1"/>
                <w:iCs w:val="1"/>
                <w:color w:val="auto"/>
                <w:w w:val="87"/>
              </w:rPr>
              <w:t>(Stated in millions, except per share amounts)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266"/>
              <w:spacing w:after="0" w:line="159" w:lineRule="exact"/>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Schlumberger</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Earnings per</w:t>
            </w:r>
          </w:p>
        </w:tc>
        <w:tc>
          <w:tcPr>
            <w:tcW w:w="44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color w:val="auto"/>
                <w:w w:val="84"/>
              </w:rPr>
              <w:t>Schlumberger</w:t>
            </w: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4"/>
                <w:szCs w:val="14"/>
                <w:color w:val="auto"/>
                <w:w w:val="83"/>
              </w:rPr>
              <w:t>Earnings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Income from</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12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Share from</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Income from</w:t>
            </w: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97"/>
              </w:rPr>
              <w:t>Continuing</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12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Continuing</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Continuing</w:t>
            </w:r>
          </w:p>
        </w:tc>
        <w:tc>
          <w:tcPr>
            <w:tcW w:w="4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3"/>
              </w:rPr>
              <w:t>Average Shares</w:t>
            </w:r>
          </w:p>
        </w:tc>
        <w:tc>
          <w:tcPr>
            <w:tcW w:w="2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9"/>
              </w:rPr>
              <w:t>Continuing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3"/>
              </w:rPr>
              <w:t>Operations</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4"/>
                <w:szCs w:val="14"/>
                <w:color w:val="auto"/>
              </w:rPr>
            </w:pPr>
          </w:p>
        </w:tc>
        <w:tc>
          <w:tcPr>
            <w:tcW w:w="12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Operations</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87"/>
              </w:rPr>
              <w:t>Operations</w:t>
            </w:r>
          </w:p>
        </w:tc>
        <w:tc>
          <w:tcPr>
            <w:tcW w:w="4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Outstanding</w:t>
            </w:r>
          </w:p>
        </w:tc>
        <w:tc>
          <w:tcPr>
            <w:tcW w:w="2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87"/>
              </w:rPr>
              <w:t>Operations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Second Quarter</w:t>
            </w:r>
          </w:p>
        </w:tc>
        <w:tc>
          <w:tcPr>
            <w:tcW w:w="1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Basic</w:t>
            </w:r>
          </w:p>
        </w:tc>
        <w:tc>
          <w:tcPr>
            <w:tcW w:w="22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ind w:left="102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CCEEFF"/>
            </w:tcBorders>
            <w:gridSpan w:val="2"/>
          </w:tcPr>
          <w:p>
            <w:pPr>
              <w:jc w:val="right"/>
              <w:ind w:right="440"/>
              <w:spacing w:after="0"/>
              <w:rPr>
                <w:sz w:val="20"/>
                <w:szCs w:val="20"/>
                <w:color w:val="auto"/>
              </w:rPr>
            </w:pPr>
            <w:r>
              <w:rPr>
                <w:rFonts w:ascii="Arial" w:cs="Arial" w:eastAsia="Arial" w:hAnsi="Arial"/>
                <w:sz w:val="18"/>
                <w:szCs w:val="18"/>
                <w:b w:val="1"/>
                <w:bCs w:val="1"/>
                <w:color w:val="auto"/>
              </w:rPr>
              <w:t>1,382</w:t>
            </w:r>
          </w:p>
        </w:tc>
        <w:tc>
          <w:tcPr>
            <w:tcW w:w="9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b w:val="1"/>
                <w:bCs w:val="1"/>
                <w:color w:val="auto"/>
              </w:rPr>
              <w:t>1,331</w:t>
            </w:r>
          </w:p>
        </w:tc>
        <w:tc>
          <w:tcPr>
            <w:tcW w:w="480" w:type="dxa"/>
            <w:vAlign w:val="bottom"/>
            <w:tcBorders>
              <w:top w:val="single" w:sz="8" w:color="CCEEFF"/>
            </w:tcBorders>
            <w:gridSpan w:val="2"/>
          </w:tcPr>
          <w:p>
            <w:pPr>
              <w:ind w:lef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CCEEFF"/>
            </w:tcBorders>
            <w:gridSpan w:val="2"/>
          </w:tcPr>
          <w:p>
            <w:pPr>
              <w:jc w:val="right"/>
              <w:ind w:right="440"/>
              <w:spacing w:after="0"/>
              <w:rPr>
                <w:sz w:val="20"/>
                <w:szCs w:val="20"/>
                <w:color w:val="auto"/>
              </w:rPr>
            </w:pPr>
            <w:r>
              <w:rPr>
                <w:rFonts w:ascii="Arial" w:cs="Arial" w:eastAsia="Arial" w:hAnsi="Arial"/>
                <w:sz w:val="18"/>
                <w:szCs w:val="18"/>
                <w:b w:val="1"/>
                <w:bCs w:val="1"/>
                <w:color w:val="auto"/>
              </w:rPr>
              <w:t>1.04</w:t>
            </w:r>
          </w:p>
        </w:tc>
        <w:tc>
          <w:tcPr>
            <w:tcW w:w="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w w:val="84"/>
              </w:rPr>
              <w:t>1,106</w:t>
            </w:r>
          </w:p>
        </w:tc>
        <w:tc>
          <w:tcPr>
            <w:tcW w:w="1520" w:type="dxa"/>
            <w:vAlign w:val="bottom"/>
            <w:tcBorders>
              <w:top w:val="single" w:sz="8" w:color="CCEEFF"/>
            </w:tcBorders>
            <w:gridSpan w:val="3"/>
          </w:tcPr>
          <w:p>
            <w:pPr>
              <w:jc w:val="right"/>
              <w:ind w:right="220"/>
              <w:spacing w:after="0"/>
              <w:rPr>
                <w:sz w:val="20"/>
                <w:szCs w:val="20"/>
                <w:color w:val="auto"/>
              </w:rPr>
            </w:pPr>
            <w:r>
              <w:rPr>
                <w:rFonts w:ascii="Arial" w:cs="Arial" w:eastAsia="Arial" w:hAnsi="Arial"/>
                <w:sz w:val="18"/>
                <w:szCs w:val="18"/>
                <w:color w:val="auto"/>
              </w:rPr>
              <w:t>1,352</w:t>
            </w:r>
          </w:p>
        </w:tc>
        <w:tc>
          <w:tcPr>
            <w:tcW w:w="580" w:type="dxa"/>
            <w:vAlign w:val="bottom"/>
            <w:tcBorders>
              <w:top w:val="single" w:sz="8" w:color="CCEEFF"/>
            </w:tcBorders>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5"/>
              </w:rPr>
              <w:t>0.82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Unvested restricted stock</w:t>
            </w:r>
          </w:p>
        </w:tc>
        <w:tc>
          <w:tcPr>
            <w:tcW w:w="1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1,382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1,339</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1.03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1,106</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1,366</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Schlumberger</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Earnings per</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87"/>
              </w:rPr>
              <w:t>Schlumberger</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85"/>
              </w:rPr>
              <w:t>Earnings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Income from</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12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Share from</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Income from</w:t>
            </w: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97"/>
              </w:rPr>
              <w:t>Continuing</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12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Continuing</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Continuing</w:t>
            </w:r>
          </w:p>
        </w:tc>
        <w:tc>
          <w:tcPr>
            <w:tcW w:w="4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3"/>
              </w:rPr>
              <w:t>Average Shares</w:t>
            </w:r>
          </w:p>
        </w:tc>
        <w:tc>
          <w:tcPr>
            <w:tcW w:w="2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9"/>
              </w:rPr>
              <w:t>Continuing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3"/>
              </w:rPr>
              <w:t>Operations</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4"/>
                <w:szCs w:val="14"/>
                <w:color w:val="auto"/>
              </w:rPr>
            </w:pPr>
          </w:p>
        </w:tc>
        <w:tc>
          <w:tcPr>
            <w:tcW w:w="12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Operations</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87"/>
              </w:rPr>
              <w:t>Operations</w:t>
            </w:r>
          </w:p>
        </w:tc>
        <w:tc>
          <w:tcPr>
            <w:tcW w:w="4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Outstanding</w:t>
            </w:r>
          </w:p>
        </w:tc>
        <w:tc>
          <w:tcPr>
            <w:tcW w:w="2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87"/>
              </w:rPr>
              <w:t>Operations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Six Months</w:t>
            </w:r>
          </w:p>
        </w:tc>
        <w:tc>
          <w:tcPr>
            <w:tcW w:w="1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Basic</w:t>
            </w:r>
          </w:p>
        </w:tc>
        <w:tc>
          <w:tcPr>
            <w:tcW w:w="2620" w:type="dxa"/>
            <w:vAlign w:val="bottom"/>
            <w:tcBorders>
              <w:top w:val="single" w:sz="8" w:color="CCEEFF"/>
            </w:tcBorders>
            <w:gridSpan w:val="2"/>
          </w:tcPr>
          <w:p>
            <w:pPr>
              <w:spacing w:after="0"/>
              <w:rPr>
                <w:sz w:val="18"/>
                <w:szCs w:val="18"/>
                <w:color w:val="auto"/>
              </w:rPr>
            </w:pPr>
          </w:p>
        </w:tc>
        <w:tc>
          <w:tcPr>
            <w:tcW w:w="1120" w:type="dxa"/>
            <w:vAlign w:val="bottom"/>
            <w:tcBorders>
              <w:top w:val="single" w:sz="8" w:color="CCEEFF"/>
            </w:tcBorders>
            <w:gridSpan w:val="2"/>
          </w:tcPr>
          <w:p>
            <w:pPr>
              <w:ind w:left="102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CCEEFF"/>
            </w:tcBorders>
            <w:gridSpan w:val="2"/>
          </w:tcPr>
          <w:p>
            <w:pPr>
              <w:jc w:val="right"/>
              <w:ind w:right="440"/>
              <w:spacing w:after="0"/>
              <w:rPr>
                <w:sz w:val="20"/>
                <w:szCs w:val="20"/>
                <w:color w:val="auto"/>
              </w:rPr>
            </w:pPr>
            <w:r>
              <w:rPr>
                <w:rFonts w:ascii="Arial" w:cs="Arial" w:eastAsia="Arial" w:hAnsi="Arial"/>
                <w:sz w:val="18"/>
                <w:szCs w:val="18"/>
                <w:b w:val="1"/>
                <w:bCs w:val="1"/>
                <w:color w:val="auto"/>
              </w:rPr>
              <w:t>2,663</w:t>
            </w:r>
          </w:p>
        </w:tc>
        <w:tc>
          <w:tcPr>
            <w:tcW w:w="9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b w:val="1"/>
                <w:bCs w:val="1"/>
                <w:color w:val="auto"/>
              </w:rPr>
              <w:t>1,333</w:t>
            </w:r>
          </w:p>
        </w:tc>
        <w:tc>
          <w:tcPr>
            <w:tcW w:w="480" w:type="dxa"/>
            <w:vAlign w:val="bottom"/>
            <w:tcBorders>
              <w:top w:val="single" w:sz="8" w:color="CCEEFF"/>
            </w:tcBorders>
            <w:gridSpan w:val="2"/>
          </w:tcPr>
          <w:p>
            <w:pPr>
              <w:ind w:lef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CCEEFF"/>
            </w:tcBorders>
            <w:gridSpan w:val="2"/>
          </w:tcPr>
          <w:p>
            <w:pPr>
              <w:jc w:val="right"/>
              <w:ind w:right="440"/>
              <w:spacing w:after="0"/>
              <w:rPr>
                <w:sz w:val="20"/>
                <w:szCs w:val="20"/>
                <w:color w:val="auto"/>
              </w:rPr>
            </w:pPr>
            <w:r>
              <w:rPr>
                <w:rFonts w:ascii="Arial" w:cs="Arial" w:eastAsia="Arial" w:hAnsi="Arial"/>
                <w:sz w:val="18"/>
                <w:szCs w:val="18"/>
                <w:b w:val="1"/>
                <w:bCs w:val="1"/>
                <w:color w:val="auto"/>
              </w:rPr>
              <w:t>2.00</w:t>
            </w:r>
          </w:p>
        </w:tc>
        <w:tc>
          <w:tcPr>
            <w:tcW w:w="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w w:val="84"/>
              </w:rPr>
              <w:t>2,038</w:t>
            </w:r>
          </w:p>
        </w:tc>
        <w:tc>
          <w:tcPr>
            <w:tcW w:w="1520" w:type="dxa"/>
            <w:vAlign w:val="bottom"/>
            <w:tcBorders>
              <w:top w:val="single" w:sz="8" w:color="CCEEFF"/>
            </w:tcBorders>
            <w:gridSpan w:val="3"/>
          </w:tcPr>
          <w:p>
            <w:pPr>
              <w:jc w:val="right"/>
              <w:ind w:right="220"/>
              <w:spacing w:after="0"/>
              <w:rPr>
                <w:sz w:val="20"/>
                <w:szCs w:val="20"/>
                <w:color w:val="auto"/>
              </w:rPr>
            </w:pPr>
            <w:r>
              <w:rPr>
                <w:rFonts w:ascii="Arial" w:cs="Arial" w:eastAsia="Arial" w:hAnsi="Arial"/>
                <w:sz w:val="18"/>
                <w:szCs w:val="18"/>
                <w:color w:val="auto"/>
              </w:rPr>
              <w:t>1,356</w:t>
            </w:r>
          </w:p>
        </w:tc>
        <w:tc>
          <w:tcPr>
            <w:tcW w:w="580" w:type="dxa"/>
            <w:vAlign w:val="bottom"/>
            <w:tcBorders>
              <w:top w:val="single" w:sz="8" w:color="CCEEFF"/>
            </w:tcBorders>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5"/>
              </w:rPr>
              <w:t>1.</w:t>
            </w:r>
            <w:r>
              <w:rPr>
                <w:rFonts w:ascii="Arial" w:cs="Arial" w:eastAsia="Arial" w:hAnsi="Arial"/>
                <w:sz w:val="18"/>
                <w:szCs w:val="18"/>
                <w:u w:val="single" w:color="auto"/>
                <w:color w:val="auto"/>
                <w:w w:val="85"/>
              </w:rPr>
              <w:t>50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Unvested restricted stock</w:t>
            </w:r>
          </w:p>
        </w:tc>
        <w:tc>
          <w:tcPr>
            <w:tcW w:w="1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w:t>
            </w:r>
          </w:p>
        </w:tc>
        <w:tc>
          <w:tcPr>
            <w:tcW w:w="1120" w:type="dxa"/>
            <w:vAlign w:val="bottom"/>
            <w:gridSpan w:val="2"/>
            <w:shd w:val="clear" w:color="auto" w:fill="CCEEFF"/>
          </w:tcPr>
          <w:p>
            <w:pPr>
              <w:ind w:left="102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2,663</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1,341</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1.99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2,038</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1,370</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w:t>
            </w:r>
            <w:r>
              <w:rPr>
                <w:rFonts w:ascii="Arial" w:cs="Arial" w:eastAsia="Arial" w:hAnsi="Arial"/>
                <w:sz w:val="18"/>
                <w:szCs w:val="18"/>
                <w:u w:val="single" w:color="auto"/>
                <w:color w:val="auto"/>
                <w:w w:val="85"/>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number of outstanding options to purchase shares of Schlumberger common stock which were not included in the computation of diluted earnings per share, because to do so would have had an antidilutive effect, was as follows: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4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120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159"/>
        </w:trPr>
        <w:tc>
          <w:tcPr>
            <w:tcW w:w="2700" w:type="dxa"/>
            <w:vAlign w:val="bottom"/>
          </w:tcPr>
          <w:p>
            <w:pPr>
              <w:spacing w:after="0"/>
              <w:rPr>
                <w:sz w:val="13"/>
                <w:szCs w:val="13"/>
                <w:color w:val="auto"/>
              </w:rPr>
            </w:pPr>
          </w:p>
        </w:tc>
        <w:tc>
          <w:tcPr>
            <w:tcW w:w="4780" w:type="dxa"/>
            <w:vAlign w:val="bottom"/>
            <w:gridSpan w:val="2"/>
            <w:vMerge w:val="continue"/>
          </w:tcPr>
          <w:p>
            <w:pPr>
              <w:spacing w:after="0"/>
              <w:rPr>
                <w:sz w:val="13"/>
                <w:szCs w:val="13"/>
                <w:color w:val="auto"/>
              </w:rPr>
            </w:pPr>
          </w:p>
        </w:tc>
        <w:tc>
          <w:tcPr>
            <w:tcW w:w="11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Second Quarter</w:t>
            </w:r>
          </w:p>
        </w:tc>
        <w:tc>
          <w:tcPr>
            <w:tcW w:w="4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6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00" w:type="dxa"/>
            <w:vAlign w:val="bottom"/>
          </w:tcPr>
          <w:p>
            <w:pPr>
              <w:spacing w:after="0"/>
              <w:rPr>
                <w:sz w:val="20"/>
                <w:szCs w:val="20"/>
                <w:color w:val="auto"/>
              </w:rPr>
            </w:pPr>
            <w:r>
              <w:rPr>
                <w:rFonts w:ascii="Arial" w:cs="Arial" w:eastAsia="Arial" w:hAnsi="Arial"/>
                <w:sz w:val="18"/>
                <w:szCs w:val="18"/>
                <w:color w:val="auto"/>
              </w:rPr>
              <w:t>Six Months</w:t>
            </w:r>
          </w:p>
        </w:tc>
        <w:tc>
          <w:tcPr>
            <w:tcW w:w="4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700" w:type="dxa"/>
            <w:vAlign w:val="bottom"/>
          </w:tcPr>
          <w:p>
            <w:pPr>
              <w:spacing w:after="0"/>
              <w:rPr>
                <w:sz w:val="24"/>
                <w:szCs w:val="24"/>
                <w:color w:val="auto"/>
              </w:rPr>
            </w:pPr>
          </w:p>
        </w:tc>
        <w:tc>
          <w:tcPr>
            <w:tcW w:w="4380" w:type="dxa"/>
            <w:vAlign w:val="bottom"/>
          </w:tcPr>
          <w:p>
            <w:pPr>
              <w:jc w:val="right"/>
              <w:ind w:right="2619"/>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inventories follows: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ind w:left="380"/>
              <w:spacing w:after="0"/>
              <w:rPr>
                <w:sz w:val="20"/>
                <w:szCs w:val="20"/>
                <w:color w:val="auto"/>
              </w:rPr>
            </w:pPr>
            <w:r>
              <w:rPr>
                <w:rFonts w:ascii="Arial" w:cs="Arial" w:eastAsia="Arial" w:hAnsi="Arial"/>
                <w:sz w:val="14"/>
                <w:szCs w:val="14"/>
                <w:i w:val="1"/>
                <w:iCs w:val="1"/>
                <w:color w:val="auto"/>
                <w:w w:val="97"/>
              </w:rPr>
              <w:t>(Stated in millions)</w:t>
            </w:r>
          </w:p>
        </w:tc>
      </w:tr>
      <w:tr>
        <w:trPr>
          <w:trHeight w:val="149"/>
        </w:trPr>
        <w:tc>
          <w:tcPr>
            <w:tcW w:w="7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Jun. 30,</w:t>
            </w:r>
          </w:p>
        </w:tc>
        <w:tc>
          <w:tcPr>
            <w:tcW w:w="44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Dec. 31,</w:t>
            </w:r>
          </w:p>
        </w:tc>
      </w:tr>
      <w:tr>
        <w:trPr>
          <w:trHeight w:val="161"/>
        </w:trPr>
        <w:tc>
          <w:tcPr>
            <w:tcW w:w="714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940" w:type="dxa"/>
            <w:vAlign w:val="bottom"/>
            <w:gridSpan w:val="2"/>
          </w:tcPr>
          <w:p>
            <w:pPr>
              <w:jc w:val="right"/>
              <w:ind w:right="39"/>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r>
      <w:tr>
        <w:trPr>
          <w:trHeight w:val="210"/>
        </w:trPr>
        <w:tc>
          <w:tcPr>
            <w:tcW w:w="7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 &amp; field materials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$2,492</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Work in process</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384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1,886</w:t>
            </w:r>
          </w:p>
        </w:tc>
        <w:tc>
          <w:tcPr>
            <w:tcW w:w="4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8"/>
                <w:szCs w:val="18"/>
                <w:color w:val="auto"/>
              </w:rPr>
            </w:pPr>
          </w:p>
        </w:tc>
      </w:tr>
      <w:tr>
        <w:trPr>
          <w:trHeight w:val="223"/>
        </w:trPr>
        <w:tc>
          <w:tcPr>
            <w:tcW w:w="7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4,762</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4,700</w:t>
            </w:r>
          </w:p>
        </w:tc>
        <w:tc>
          <w:tcPr>
            <w:tcW w:w="10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Fixed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fixed assets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6"/>
          </w:tcPr>
          <w:p>
            <w:pPr>
              <w:ind w:left="40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Jun. 30,</w:t>
            </w:r>
          </w:p>
        </w:tc>
        <w:tc>
          <w:tcPr>
            <w:tcW w:w="360" w:type="dxa"/>
            <w:vAlign w:val="bottom"/>
          </w:tcPr>
          <w:p>
            <w:pPr>
              <w:spacing w:after="0"/>
              <w:rPr>
                <w:sz w:val="12"/>
                <w:szCs w:val="12"/>
                <w:color w:val="auto"/>
              </w:rPr>
            </w:pPr>
          </w:p>
        </w:tc>
        <w:tc>
          <w:tcPr>
            <w:tcW w:w="6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620" w:type="dxa"/>
            <w:vAlign w:val="bottom"/>
            <w:gridSpan w:val="3"/>
          </w:tcPr>
          <w:p>
            <w:pPr>
              <w:ind w:left="2200"/>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940" w:type="dxa"/>
            <w:vAlign w:val="bottom"/>
            <w:gridSpan w:val="3"/>
          </w:tcPr>
          <w:p>
            <w:pPr>
              <w:jc w:val="right"/>
              <w:ind w:right="72"/>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Property, plant &amp; equipment</w:t>
            </w:r>
          </w:p>
        </w:tc>
        <w:tc>
          <w:tcPr>
            <w:tcW w:w="20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$31,024</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$29,551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4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17,335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13,689</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2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32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6"/>
          </w:tcPr>
          <w:p>
            <w:pPr>
              <w:ind w:left="40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940" w:type="dxa"/>
            <w:vAlign w:val="bottom"/>
            <w:gridSpan w:val="3"/>
          </w:tcPr>
          <w:p>
            <w:pPr>
              <w:jc w:val="right"/>
              <w:ind w:right="32"/>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Second Quarter</w:t>
            </w:r>
          </w:p>
        </w:tc>
        <w:tc>
          <w:tcPr>
            <w:tcW w:w="220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  714</w:t>
            </w:r>
          </w:p>
        </w:tc>
        <w:tc>
          <w:tcPr>
            <w:tcW w:w="44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667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Six Months</w:t>
            </w:r>
          </w:p>
        </w:tc>
        <w:tc>
          <w:tcPr>
            <w:tcW w:w="2700" w:type="dxa"/>
            <w:vAlign w:val="bottom"/>
            <w:gridSpan w:val="4"/>
          </w:tcPr>
          <w:p>
            <w:pPr>
              <w:ind w:left="2200"/>
              <w:spacing w:after="0"/>
              <w:rPr>
                <w:sz w:val="20"/>
                <w:szCs w:val="20"/>
                <w:color w:val="auto"/>
              </w:rPr>
            </w:pPr>
            <w:r>
              <w:rPr>
                <w:rFonts w:ascii="Arial" w:cs="Arial" w:eastAsia="Arial" w:hAnsi="Arial"/>
                <w:sz w:val="18"/>
                <w:szCs w:val="18"/>
                <w:b w:val="1"/>
                <w:bCs w:val="1"/>
                <w:color w:val="auto"/>
                <w:w w:val="87"/>
              </w:rPr>
              <w:t>$1,415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six months ended June 30, 2012 was as follows:</w:t>
      </w:r>
    </w:p>
    <w:p>
      <w:pPr>
        <w:sectPr>
          <w:pgSz w:w="11900" w:h="16838" w:orient="portrait"/>
          <w:cols w:equalWidth="0" w:num="1">
            <w:col w:w="11420"/>
          </w:cols>
          <w:pgMar w:left="240" w:top="459" w:right="239" w:bottom="1440" w:gutter="0" w:footer="0" w:header="0"/>
        </w:sectPr>
      </w:pPr>
    </w:p>
    <w:p>
      <w:pPr>
        <w:spacing w:after="0" w:line="360"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Balance at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-103505</wp:posOffset>
            </wp:positionV>
            <wp:extent cx="49225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Capitalized in period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June 30, 2012</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(Stated in millions)</w:t>
      </w:r>
    </w:p>
    <w:p>
      <w:pPr>
        <w:spacing w:after="0" w:line="27" w:lineRule="exact"/>
        <w:rPr>
          <w:sz w:val="20"/>
          <w:szCs w:val="20"/>
          <w:color w:val="auto"/>
        </w:rPr>
      </w:pPr>
    </w:p>
    <w:p>
      <w:pPr>
        <w:ind w:left="780" w:hanging="778"/>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425</w:t>
      </w:r>
    </w:p>
    <w:p>
      <w:pPr>
        <w:spacing w:after="0" w:line="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183</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660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10" w:lineRule="exact"/>
        <w:rPr>
          <w:sz w:val="20"/>
          <w:szCs w:val="20"/>
          <w:color w:val="auto"/>
        </w:rPr>
      </w:pPr>
    </w:p>
    <w:p>
      <w:pPr>
        <w:ind w:left="780" w:hanging="778"/>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60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27940</wp:posOffset>
            </wp:positionV>
            <wp:extent cx="660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980"/>
          </w:cols>
          <w:pgMar w:left="240" w:top="459" w:right="239" w:bottom="1440" w:gutter="0" w:footer="0" w:header="0"/>
          <w:type w:val="continuous"/>
        </w:sectPr>
      </w:pPr>
    </w:p>
    <w:p>
      <w:pPr>
        <w:spacing w:after="0" w:line="100"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reporting unit for the six months ended June 30, 2012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right"/>
              <w:ind w:right="680"/>
              <w:spacing w:after="0"/>
              <w:rPr>
                <w:sz w:val="20"/>
                <w:szCs w:val="20"/>
                <w:color w:val="auto"/>
              </w:rPr>
            </w:pPr>
            <w:r>
              <w:rPr>
                <w:rFonts w:ascii="Arial" w:cs="Arial" w:eastAsia="Arial" w:hAnsi="Arial"/>
                <w:sz w:val="14"/>
                <w:szCs w:val="14"/>
                <w:color w:val="auto"/>
                <w:w w:val="93"/>
              </w:rPr>
              <w:t>Reservoir</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4"/>
          </w:tcPr>
          <w:p>
            <w:pPr>
              <w:jc w:val="right"/>
              <w:ind w:right="46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125"/>
        </w:trPr>
        <w:tc>
          <w:tcPr>
            <w:tcW w:w="41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4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Characterization</w:t>
            </w:r>
          </w:p>
        </w:tc>
        <w:tc>
          <w:tcPr>
            <w:tcW w:w="7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Drilling</w:t>
            </w:r>
          </w:p>
        </w:tc>
        <w:tc>
          <w:tcPr>
            <w:tcW w:w="220" w:type="dxa"/>
            <w:vAlign w:val="bottom"/>
          </w:tcPr>
          <w:p>
            <w:pPr>
              <w:spacing w:after="0"/>
              <w:rPr>
                <w:sz w:val="13"/>
                <w:szCs w:val="13"/>
                <w:color w:val="auto"/>
              </w:rPr>
            </w:pPr>
          </w:p>
        </w:tc>
        <w:tc>
          <w:tcPr>
            <w:tcW w:w="860" w:type="dxa"/>
            <w:vAlign w:val="bottom"/>
            <w:gridSpan w:val="3"/>
          </w:tcPr>
          <w:p>
            <w:pPr>
              <w:spacing w:after="0" w:line="159" w:lineRule="exact"/>
              <w:rPr>
                <w:sz w:val="20"/>
                <w:szCs w:val="20"/>
                <w:color w:val="auto"/>
              </w:rPr>
            </w:pPr>
            <w:r>
              <w:rPr>
                <w:rFonts w:ascii="Arial" w:cs="Arial" w:eastAsia="Arial" w:hAnsi="Arial"/>
                <w:sz w:val="14"/>
                <w:szCs w:val="14"/>
                <w:color w:val="auto"/>
              </w:rPr>
              <w:t>Production</w:t>
            </w:r>
          </w:p>
        </w:tc>
        <w:tc>
          <w:tcPr>
            <w:tcW w:w="220" w:type="dxa"/>
            <w:vAlign w:val="bottom"/>
          </w:tcPr>
          <w:p>
            <w:pPr>
              <w:spacing w:after="0"/>
              <w:rPr>
                <w:sz w:val="13"/>
                <w:szCs w:val="13"/>
                <w:color w:val="auto"/>
              </w:rPr>
            </w:pPr>
          </w:p>
        </w:tc>
        <w:tc>
          <w:tcPr>
            <w:tcW w:w="1160" w:type="dxa"/>
            <w:vAlign w:val="bottom"/>
            <w:gridSpan w:val="3"/>
          </w:tcPr>
          <w:p>
            <w:pPr>
              <w:spacing w:after="0" w:line="159" w:lineRule="exact"/>
              <w:rPr>
                <w:sz w:val="20"/>
                <w:szCs w:val="20"/>
                <w:color w:val="auto"/>
              </w:rPr>
            </w:pPr>
            <w:r>
              <w:rPr>
                <w:rFonts w:ascii="Arial" w:cs="Arial" w:eastAsia="Arial" w:hAnsi="Arial"/>
                <w:sz w:val="14"/>
                <w:szCs w:val="14"/>
                <w:color w:val="auto"/>
              </w:rPr>
              <w:t>Distribution</w:t>
            </w:r>
          </w:p>
        </w:tc>
        <w:tc>
          <w:tcPr>
            <w:tcW w:w="6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2012</w:t>
            </w:r>
          </w:p>
        </w:tc>
        <w:tc>
          <w:tcPr>
            <w:tcW w:w="2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$8,362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2,356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$14,154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Acquisitions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347</w:t>
            </w:r>
          </w:p>
        </w:tc>
        <w:tc>
          <w:tcPr>
            <w:tcW w:w="500" w:type="dxa"/>
            <w:vAlign w:val="bottom"/>
          </w:tcPr>
          <w:p>
            <w:pPr>
              <w:jc w:val="right"/>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Reallocation</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Divestiture</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(76)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Impact of changes in exchange rates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1"/>
        </w:trPr>
        <w:tc>
          <w:tcPr>
            <w:tcW w:w="4100" w:type="dxa"/>
            <w:vAlign w:val="bottom"/>
          </w:tcPr>
          <w:p>
            <w:pPr>
              <w:spacing w:after="0"/>
              <w:rPr>
                <w:sz w:val="20"/>
                <w:szCs w:val="20"/>
                <w:color w:val="auto"/>
              </w:rPr>
            </w:pPr>
            <w:r>
              <w:rPr>
                <w:rFonts w:ascii="Arial" w:cs="Arial" w:eastAsia="Arial" w:hAnsi="Arial"/>
                <w:sz w:val="18"/>
                <w:szCs w:val="18"/>
                <w:color w:val="auto"/>
              </w:rPr>
              <w:t>Balance at June 30, 2012</w:t>
            </w:r>
          </w:p>
        </w:tc>
        <w:tc>
          <w:tcPr>
            <w:tcW w:w="20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8,381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2,468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20" w:type="dxa"/>
            <w:vAlign w:val="bottom"/>
            <w:vMerge w:val="restart"/>
          </w:tcPr>
          <w:p>
            <w:pPr>
              <w:jc w:val="right"/>
              <w:ind w:right="232"/>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0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gross book value, accumulated amortization and net book value of intangible assets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Jun. 30, 2012</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5"/>
          </w:tcPr>
          <w:p>
            <w:pPr>
              <w:ind w:left="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59"/>
        </w:trPr>
        <w:tc>
          <w:tcPr>
            <w:tcW w:w="13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6"/>
          </w:tcPr>
          <w:p>
            <w:pPr>
              <w:jc w:val="right"/>
              <w:ind w:right="420"/>
              <w:spacing w:after="0" w:line="159" w:lineRule="exact"/>
              <w:rPr>
                <w:sz w:val="20"/>
                <w:szCs w:val="20"/>
                <w:color w:val="auto"/>
              </w:rPr>
            </w:pPr>
            <w:r>
              <w:rPr>
                <w:rFonts w:ascii="Arial" w:cs="Arial" w:eastAsia="Arial" w:hAnsi="Arial"/>
                <w:sz w:val="14"/>
                <w:szCs w:val="14"/>
                <w:color w:val="auto"/>
                <w:w w:val="96"/>
              </w:rPr>
              <w:t>Dec. 31, 2011</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1"/>
                <w:szCs w:val="11"/>
                <w:color w:val="auto"/>
              </w:rPr>
            </w:pPr>
          </w:p>
        </w:tc>
        <w:tc>
          <w:tcPr>
            <w:tcW w:w="9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Net Book</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3"/>
          </w:tcPr>
          <w:p>
            <w:pPr>
              <w:ind w:left="40"/>
              <w:spacing w:after="0" w:line="129" w:lineRule="exact"/>
              <w:rPr>
                <w:sz w:val="20"/>
                <w:szCs w:val="20"/>
                <w:color w:val="auto"/>
              </w:rPr>
            </w:pPr>
            <w:r>
              <w:rPr>
                <w:rFonts w:ascii="Arial" w:cs="Arial" w:eastAsia="Arial" w:hAnsi="Arial"/>
                <w:sz w:val="14"/>
                <w:szCs w:val="14"/>
                <w:color w:val="auto"/>
              </w:rPr>
              <w:t>Gross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5"/>
          </w:tcPr>
          <w:p>
            <w:pPr>
              <w:jc w:val="right"/>
              <w:ind w:right="380"/>
              <w:spacing w:after="0" w:line="129" w:lineRule="exact"/>
              <w:rPr>
                <w:sz w:val="20"/>
                <w:szCs w:val="20"/>
                <w:color w:val="auto"/>
              </w:rPr>
            </w:pPr>
            <w:r>
              <w:rPr>
                <w:rFonts w:ascii="Arial" w:cs="Arial" w:eastAsia="Arial" w:hAnsi="Arial"/>
                <w:sz w:val="14"/>
                <w:szCs w:val="14"/>
                <w:color w:val="auto"/>
                <w:w w:val="86"/>
              </w:rPr>
              <w:t>Accumulated</w:t>
            </w:r>
          </w:p>
        </w:tc>
        <w:tc>
          <w:tcPr>
            <w:tcW w:w="520" w:type="dxa"/>
            <w:vAlign w:val="bottom"/>
          </w:tcPr>
          <w:p>
            <w:pPr>
              <w:jc w:val="center"/>
              <w:spacing w:after="0" w:line="129" w:lineRule="exact"/>
              <w:rPr>
                <w:sz w:val="20"/>
                <w:szCs w:val="20"/>
                <w:color w:val="auto"/>
              </w:rPr>
            </w:pPr>
            <w:r>
              <w:rPr>
                <w:rFonts w:ascii="Arial" w:cs="Arial" w:eastAsia="Arial" w:hAnsi="Arial"/>
                <w:sz w:val="14"/>
                <w:szCs w:val="14"/>
                <w:color w:val="auto"/>
                <w:w w:val="90"/>
              </w:rPr>
              <w:t>Net Book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3"/>
              </w:rPr>
              <w:t>Book Value</w:t>
            </w:r>
          </w:p>
        </w:tc>
        <w:tc>
          <w:tcPr>
            <w:tcW w:w="3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Arial" w:cs="Arial" w:eastAsia="Arial" w:hAnsi="Arial"/>
                <w:sz w:val="14"/>
                <w:szCs w:val="14"/>
                <w:b w:val="1"/>
                <w:bCs w:val="1"/>
                <w:color w:val="auto"/>
              </w:rPr>
              <w:t>Value</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color w:val="auto"/>
              </w:rPr>
              <w:t>Book 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5"/>
          </w:tcPr>
          <w:p>
            <w:pPr>
              <w:jc w:val="right"/>
              <w:ind w:right="380"/>
              <w:spacing w:after="0"/>
              <w:rPr>
                <w:sz w:val="20"/>
                <w:szCs w:val="20"/>
                <w:color w:val="auto"/>
              </w:rPr>
            </w:pPr>
            <w:r>
              <w:rPr>
                <w:rFonts w:ascii="Arial" w:cs="Arial" w:eastAsia="Arial" w:hAnsi="Arial"/>
                <w:sz w:val="14"/>
                <w:szCs w:val="14"/>
                <w:color w:val="auto"/>
                <w:w w:val="89"/>
              </w:rPr>
              <w:t>Amortization</w:t>
            </w:r>
          </w:p>
        </w:tc>
        <w:tc>
          <w:tcPr>
            <w:tcW w:w="62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Technology/Technical Know-How</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1,872</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$ 1,467</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$ 1,534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Tradenames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1,646</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1,493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right"/>
              <w:ind w:right="380"/>
              <w:spacing w:after="0"/>
              <w:rPr>
                <w:sz w:val="20"/>
                <w:szCs w:val="20"/>
                <w:color w:val="auto"/>
              </w:rPr>
            </w:pPr>
            <w:r>
              <w:rPr>
                <w:rFonts w:ascii="Arial" w:cs="Arial" w:eastAsia="Arial" w:hAnsi="Arial"/>
                <w:sz w:val="18"/>
                <w:szCs w:val="18"/>
                <w:color w:val="auto"/>
              </w:rPr>
              <w:t>131</w:t>
            </w:r>
          </w:p>
        </w:tc>
        <w:tc>
          <w:tcPr>
            <w:tcW w:w="520" w:type="dxa"/>
            <w:vAlign w:val="bottom"/>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1,895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209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436</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311</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right"/>
              <w:ind w:right="380"/>
              <w:spacing w:after="0"/>
              <w:rPr>
                <w:sz w:val="20"/>
                <w:szCs w:val="20"/>
                <w:color w:val="auto"/>
              </w:rPr>
            </w:pPr>
            <w:r>
              <w:rPr>
                <w:rFonts w:ascii="Arial" w:cs="Arial" w:eastAsia="Arial" w:hAnsi="Arial"/>
                <w:sz w:val="18"/>
                <w:szCs w:val="18"/>
                <w:color w:val="auto"/>
              </w:rPr>
              <w:t>299</w:t>
            </w: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6,104</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$ 4,980</w:t>
            </w:r>
          </w:p>
        </w:tc>
        <w:tc>
          <w:tcPr>
            <w:tcW w:w="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5,862</w:t>
            </w:r>
          </w:p>
        </w:tc>
        <w:tc>
          <w:tcPr>
            <w:tcW w:w="360" w:type="dxa"/>
            <w:vAlign w:val="bottom"/>
            <w:gridSpan w:val="3"/>
            <w:shd w:val="clear" w:color="auto" w:fill="CCEEFF"/>
          </w:tcPr>
          <w:p>
            <w:pPr>
              <w:jc w:val="center"/>
              <w:ind w:left="199"/>
              <w:spacing w:after="0"/>
              <w:rPr>
                <w:sz w:val="20"/>
                <w:szCs w:val="20"/>
                <w:color w:val="auto"/>
              </w:rPr>
            </w:pPr>
            <w:r>
              <w:rPr>
                <w:rFonts w:ascii="Arial" w:cs="Arial" w:eastAsia="Arial" w:hAnsi="Arial"/>
                <w:sz w:val="18"/>
                <w:szCs w:val="18"/>
                <w:color w:val="auto"/>
                <w:w w:val="79"/>
              </w:rPr>
              <w:t>$</w:t>
            </w:r>
          </w:p>
        </w:tc>
        <w:tc>
          <w:tcPr>
            <w:tcW w:w="10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980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$ 4,882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Amortization expense charged to income was as follows:</w:t>
            </w: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78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10"/>
          </w:tcPr>
          <w:p>
            <w:pPr>
              <w:jc w:val="right"/>
              <w:ind w:right="840"/>
              <w:spacing w:after="0"/>
              <w:rPr>
                <w:sz w:val="20"/>
                <w:szCs w:val="20"/>
                <w:color w:val="auto"/>
              </w:rPr>
            </w:pPr>
            <w:r>
              <w:rPr>
                <w:rFonts w:ascii="Arial" w:cs="Arial" w:eastAsia="Arial" w:hAnsi="Arial"/>
                <w:sz w:val="14"/>
                <w:szCs w:val="14"/>
                <w:i w:val="1"/>
                <w:iCs w:val="1"/>
                <w:color w:val="auto"/>
                <w:w w:val="98"/>
              </w:rPr>
              <w:t>(Stated in millions)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4"/>
          </w:tcPr>
          <w:p>
            <w:pPr>
              <w:jc w:val="center"/>
              <w:spacing w:after="0"/>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Second Quarter</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79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8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Six Months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b w:val="1"/>
                <w:bCs w:val="1"/>
                <w:color w:val="auto"/>
              </w:rPr>
              <w:t>$ 161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4"/>
          </w:tcPr>
          <w:p>
            <w:pPr>
              <w:jc w:val="center"/>
              <w:spacing w:after="0"/>
              <w:rPr>
                <w:sz w:val="20"/>
                <w:szCs w:val="20"/>
                <w:color w:val="auto"/>
              </w:rPr>
            </w:pPr>
            <w:r>
              <w:rPr>
                <w:rFonts w:ascii="Arial" w:cs="Arial" w:eastAsia="Arial" w:hAnsi="Arial"/>
                <w:sz w:val="18"/>
                <w:szCs w:val="18"/>
                <w:color w:val="auto"/>
              </w:rPr>
              <w:t>$ 163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20 years.</w:t>
      </w:r>
    </w:p>
    <w:p>
      <w:pPr>
        <w:spacing w:after="0" w:line="171" w:lineRule="exact"/>
        <w:rPr>
          <w:sz w:val="20"/>
          <w:szCs w:val="20"/>
          <w:color w:val="auto"/>
        </w:rPr>
      </w:pPr>
    </w:p>
    <w:p>
      <w:pPr>
        <w:jc w:val="both"/>
        <w:ind w:right="200"/>
        <w:spacing w:after="0" w:line="332" w:lineRule="auto"/>
        <w:rPr>
          <w:sz w:val="20"/>
          <w:szCs w:val="20"/>
          <w:color w:val="auto"/>
        </w:rPr>
      </w:pPr>
      <w:r>
        <w:rPr>
          <w:rFonts w:ascii="Arial" w:cs="Arial" w:eastAsia="Arial" w:hAnsi="Arial"/>
          <w:sz w:val="16"/>
          <w:szCs w:val="16"/>
          <w:color w:val="auto"/>
        </w:rPr>
        <w:t>Based on the net book value of intangible assets at June 30, 2012, amortization charged to income for the subsequent five years is estimated to be: remainder of 2012 - $172 million; 2013 - $328 million; 2014 - $322 million; 2015 - $310 million; 2016 - $289 million; and 2017 - $282 million.</w:t>
      </w:r>
    </w:p>
    <w:p>
      <w:pPr>
        <w:spacing w:after="0" w:line="160"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40" w:type="dxa"/>
            <w:vAlign w:val="bottom"/>
            <w:gridSpan w:val="4"/>
          </w:tcPr>
          <w:p>
            <w:pPr>
              <w:ind w:left="400"/>
              <w:spacing w:after="0"/>
              <w:rPr>
                <w:sz w:val="20"/>
                <w:szCs w:val="20"/>
                <w:color w:val="auto"/>
              </w:rPr>
            </w:pPr>
            <w:r>
              <w:rPr>
                <w:rFonts w:ascii="Arial" w:cs="Arial" w:eastAsia="Arial" w:hAnsi="Arial"/>
                <w:sz w:val="14"/>
                <w:szCs w:val="14"/>
                <w:i w:val="1"/>
                <w:iCs w:val="1"/>
                <w:color w:val="auto"/>
                <w:w w:val="97"/>
              </w:rPr>
              <w:t>(Stated in millions)</w:t>
            </w:r>
          </w:p>
        </w:tc>
      </w:tr>
      <w:tr>
        <w:trPr>
          <w:trHeight w:val="149"/>
        </w:trPr>
        <w:tc>
          <w:tcPr>
            <w:tcW w:w="4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Jun. 30,</w:t>
            </w:r>
          </w:p>
        </w:tc>
        <w:tc>
          <w:tcPr>
            <w:tcW w:w="44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Dec. 31,</w:t>
            </w:r>
          </w:p>
        </w:tc>
      </w:tr>
      <w:tr>
        <w:trPr>
          <w:trHeight w:val="161"/>
        </w:trPr>
        <w:tc>
          <w:tcPr>
            <w:tcW w:w="4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7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2012</w:t>
            </w:r>
          </w:p>
        </w:tc>
        <w:tc>
          <w:tcPr>
            <w:tcW w:w="940" w:type="dxa"/>
            <w:vAlign w:val="bottom"/>
            <w:gridSpan w:val="2"/>
          </w:tcPr>
          <w:p>
            <w:pPr>
              <w:jc w:val="right"/>
              <w:ind w:right="37"/>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r>
      <w:tr>
        <w:trPr>
          <w:trHeight w:val="210"/>
        </w:trPr>
        <w:tc>
          <w:tcPr>
            <w:tcW w:w="4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3.300% Senior Notes due 2021</w:t>
            </w:r>
          </w:p>
        </w:tc>
        <w:tc>
          <w:tcPr>
            <w:tcW w:w="2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$1,595</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4.50%</w:t>
            </w:r>
          </w:p>
        </w:tc>
        <w:tc>
          <w:tcPr>
            <w:tcW w:w="4400" w:type="dxa"/>
            <w:vAlign w:val="bottom"/>
          </w:tcPr>
          <w:p>
            <w:pPr>
              <w:ind w:left="20"/>
              <w:spacing w:after="0"/>
              <w:rPr>
                <w:sz w:val="20"/>
                <w:szCs w:val="20"/>
                <w:color w:val="auto"/>
              </w:rPr>
            </w:pPr>
            <w:r>
              <w:rPr>
                <w:rFonts w:ascii="Arial" w:cs="Arial" w:eastAsia="Arial" w:hAnsi="Arial"/>
                <w:sz w:val="18"/>
                <w:szCs w:val="18"/>
                <w:color w:val="auto"/>
              </w:rPr>
              <w:t>Guaranteed Notes due 2014</w:t>
            </w:r>
          </w:p>
        </w:tc>
        <w:tc>
          <w:tcPr>
            <w:tcW w:w="2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1,244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2.75%</w:t>
            </w: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Guranteed Notes due 2015</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1,238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1.950% Senior Notes due 2016</w:t>
            </w:r>
          </w:p>
        </w:tc>
        <w:tc>
          <w:tcPr>
            <w:tcW w:w="2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1,099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8"/>
                <w:szCs w:val="18"/>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4.200% Senior Notes due 2021</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5.25%</w:t>
            </w:r>
          </w:p>
        </w:tc>
        <w:tc>
          <w:tcPr>
            <w:tcW w:w="4400" w:type="dxa"/>
            <w:vAlign w:val="bottom"/>
          </w:tcPr>
          <w:p>
            <w:pPr>
              <w:ind w:left="20"/>
              <w:spacing w:after="0"/>
              <w:rPr>
                <w:sz w:val="20"/>
                <w:szCs w:val="20"/>
                <w:color w:val="auto"/>
              </w:rPr>
            </w:pPr>
            <w:r>
              <w:rPr>
                <w:rFonts w:ascii="Arial" w:cs="Arial" w:eastAsia="Arial" w:hAnsi="Arial"/>
                <w:sz w:val="18"/>
                <w:szCs w:val="18"/>
                <w:color w:val="auto"/>
              </w:rPr>
              <w:t>Guaranteed Notes due 2013</w:t>
            </w:r>
          </w:p>
        </w:tc>
        <w:tc>
          <w:tcPr>
            <w:tcW w:w="2760" w:type="dxa"/>
            <w:vAlign w:val="bottom"/>
            <w:gridSpan w:val="2"/>
          </w:tcPr>
          <w:p>
            <w:pPr>
              <w:jc w:val="right"/>
              <w:spacing w:after="0"/>
              <w:rPr>
                <w:sz w:val="20"/>
                <w:szCs w:val="20"/>
                <w:color w:val="auto"/>
              </w:rPr>
            </w:pPr>
            <w:r>
              <w:rPr>
                <w:rFonts w:ascii="Arial" w:cs="Arial" w:eastAsia="Arial" w:hAnsi="Arial"/>
                <w:sz w:val="18"/>
                <w:szCs w:val="18"/>
                <w:b w:val="1"/>
                <w:bCs w:val="1"/>
                <w:color w:val="auto"/>
              </w:rPr>
              <w:t>622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2.650% Senior Notes due 2016</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3.00%</w:t>
            </w:r>
          </w:p>
        </w:tc>
        <w:tc>
          <w:tcPr>
            <w:tcW w:w="4400" w:type="dxa"/>
            <w:vAlign w:val="bottom"/>
          </w:tcPr>
          <w:p>
            <w:pPr>
              <w:ind w:left="20"/>
              <w:spacing w:after="0"/>
              <w:rPr>
                <w:sz w:val="20"/>
                <w:szCs w:val="20"/>
                <w:color w:val="auto"/>
              </w:rPr>
            </w:pPr>
            <w:r>
              <w:rPr>
                <w:rFonts w:ascii="Arial" w:cs="Arial" w:eastAsia="Arial" w:hAnsi="Arial"/>
                <w:sz w:val="18"/>
                <w:szCs w:val="18"/>
                <w:color w:val="auto"/>
              </w:rPr>
              <w:t>Guaranteed Notes due 2013</w:t>
            </w:r>
          </w:p>
        </w:tc>
        <w:tc>
          <w:tcPr>
            <w:tcW w:w="2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Floating Rate Senior Notes due 2014</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Other variable rate debt</w:t>
            </w:r>
          </w:p>
        </w:tc>
        <w:tc>
          <w:tcPr>
            <w:tcW w:w="22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r>
      <w:tr>
        <w:trPr>
          <w:trHeight w:val="216"/>
        </w:trPr>
        <w:tc>
          <w:tcPr>
            <w:tcW w:w="48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7,953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100" w:type="dxa"/>
            <w:vAlign w:val="bottom"/>
            <w:shd w:val="clear" w:color="auto" w:fill="CCEEFF"/>
          </w:tcPr>
          <w:p>
            <w:pPr>
              <w:spacing w:after="0"/>
              <w:rPr>
                <w:sz w:val="18"/>
                <w:szCs w:val="18"/>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 xml:space="preserve">Fair value adjustment - hedging </w:t>
            </w:r>
            <w:r>
              <w:rPr>
                <w:rFonts w:ascii="Arial" w:cs="Arial" w:eastAsia="Arial" w:hAnsi="Arial"/>
                <w:sz w:val="11"/>
                <w:szCs w:val="11"/>
                <w:color w:val="auto"/>
              </w:rPr>
              <w:t>(1)</w:t>
            </w:r>
          </w:p>
        </w:tc>
        <w:tc>
          <w:tcPr>
            <w:tcW w:w="22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16"/>
        </w:trPr>
        <w:tc>
          <w:tcPr>
            <w:tcW w:w="48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7,953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8,556</w:t>
            </w:r>
          </w:p>
        </w:tc>
        <w:tc>
          <w:tcPr>
            <w:tcW w:w="100" w:type="dxa"/>
            <w:vAlign w:val="bottom"/>
            <w:shd w:val="clear" w:color="auto" w:fill="CCEEFF"/>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320" w:firstLine="8"/>
        <w:spacing w:after="0" w:line="394" w:lineRule="auto"/>
        <w:tabs>
          <w:tab w:leader="none" w:pos="446"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Represents changes in the fair value of the portion of Schlumberger’s fixed rate debt that is hedged through the use of interest rate swaps. During the first quarter of 2011, Schlumberger issued $1.1 billion of 4.200% Senior Notes due 2021.</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first quarter of 2011, Schlumberger issued $500 million of 2.650% Senior Notes due 2016. Schlumberger entered into agreements to swap these dollar notes for euros on the date of issue until maturity, effectively making this a euro denominated debt on which Schlumberger will pay interest in euros at a rate of 2.39%.</w:t>
      </w:r>
    </w:p>
    <w:p>
      <w:pPr>
        <w:spacing w:after="0" w:line="140"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During the first quarter of 2011, Schlumberger repurchased all of the outstanding 9.75% Senior Notes due 2019, the 8.625% Senior Notes due 2014 and the 6.00% Senior Notes due 2016 for approximately $1.26 billion. These transactions did not result in any significant gains or losses.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June 30, 2012 and December 31, 2011, based on quoted market prices, was $8.4 billion and $8.9 billion, respectively.</w:t>
      </w:r>
    </w:p>
    <w:p>
      <w:pPr>
        <w:spacing w:after="0" w:line="207"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9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Schlumberger is exposed to market risks related to fluctuations in foreign currency exchange rates, commodity prices and interest rates. To mitigate these risks, Schlumberger utilizes derivative instruments. Schlumberger does not enter into derivative transactions for speculative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a multinational company, Schlumberger conducts business in approximately 85 countries. Schlumberger’s functional currency is primarily the US dollar, which is consistent with the oil and gas industry.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Schlumberger is exposed to risks on future cash flows to the extent that local currency expenses exceed revenues denominated in local currency that are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6"/>
          <w:szCs w:val="16"/>
          <w:i w:val="1"/>
          <w:iCs w:val="1"/>
          <w:color w:val="auto"/>
        </w:rPr>
        <w:t xml:space="preserve">Consolidated Balance Sheet </w:t>
      </w:r>
      <w:r>
        <w:rPr>
          <w:rFonts w:ascii="Arial" w:cs="Arial" w:eastAsia="Arial" w:hAnsi="Arial"/>
          <w:sz w:val="16"/>
          <w:szCs w:val="16"/>
          <w:color w:val="auto"/>
        </w:rPr>
        <w:t>and in</w:t>
      </w:r>
      <w:r>
        <w:rPr>
          <w:rFonts w:ascii="Arial" w:cs="Arial" w:eastAsia="Arial" w:hAnsi="Arial"/>
          <w:sz w:val="16"/>
          <w:szCs w:val="16"/>
          <w:i w:val="1"/>
          <w:iCs w:val="1"/>
          <w:color w:val="auto"/>
        </w:rPr>
        <w:t xml:space="preserve"> Accumulated Other Comprehensive Loss. </w:t>
      </w:r>
      <w:r>
        <w:rPr>
          <w:rFonts w:ascii="Arial" w:cs="Arial" w:eastAsia="Arial" w:hAnsi="Arial"/>
          <w:sz w:val="16"/>
          <w:szCs w:val="16"/>
          <w:color w:val="auto"/>
        </w:rPr>
        <w:t>Amounts recorded in</w:t>
      </w:r>
      <w:r>
        <w:rPr>
          <w:rFonts w:ascii="Arial" w:cs="Arial" w:eastAsia="Arial" w:hAnsi="Arial"/>
          <w:sz w:val="16"/>
          <w:szCs w:val="16"/>
          <w:i w:val="1"/>
          <w:iCs w:val="1"/>
          <w:color w:val="auto"/>
        </w:rPr>
        <w:t xml:space="preserve"> Accumulated Other Comprehensive Loss </w:t>
      </w:r>
      <w:r>
        <w:rPr>
          <w:rFonts w:ascii="Arial" w:cs="Arial" w:eastAsia="Arial" w:hAnsi="Arial"/>
          <w:sz w:val="16"/>
          <w:szCs w:val="16"/>
          <w:color w:val="auto"/>
        </w:rPr>
        <w:t>are reclassified into</w:t>
      </w:r>
      <w:r>
        <w:rPr>
          <w:rFonts w:ascii="Arial" w:cs="Arial" w:eastAsia="Arial" w:hAnsi="Arial"/>
          <w:sz w:val="16"/>
          <w:szCs w:val="16"/>
          <w:i w:val="1"/>
          <w:iCs w:val="1"/>
          <w:color w:val="auto"/>
        </w:rPr>
        <w:t xml:space="preserve"> </w:t>
      </w:r>
      <w:r>
        <w:rPr>
          <w:rFonts w:ascii="Arial" w:cs="Arial" w:eastAsia="Arial" w:hAnsi="Arial"/>
          <w:sz w:val="16"/>
          <w:szCs w:val="16"/>
          <w:color w:val="auto"/>
        </w:rPr>
        <w:t>earnings in the same period or periods that the hedged item is recognized in earnings. The ineffective portion of changes in the fair value of hedging instruments, if any, is recorded directly to earnings.</w:t>
      </w:r>
    </w:p>
    <w:p>
      <w:pPr>
        <w:spacing w:after="0" w:line="12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 xml:space="preserve">At June 30, 2012, Schlumberger recognized a cumulative net $52 million loss in </w:t>
      </w:r>
      <w:r>
        <w:rPr>
          <w:rFonts w:ascii="Arial" w:cs="Arial" w:eastAsia="Arial" w:hAnsi="Arial"/>
          <w:sz w:val="16"/>
          <w:szCs w:val="16"/>
          <w:i w:val="1"/>
          <w:iCs w:val="1"/>
          <w:color w:val="auto"/>
        </w:rPr>
        <w:t>Equity</w:t>
      </w:r>
      <w:r>
        <w:rPr>
          <w:rFonts w:ascii="Arial" w:cs="Arial" w:eastAsia="Arial" w:hAnsi="Arial"/>
          <w:sz w:val="16"/>
          <w:szCs w:val="16"/>
          <w:color w:val="auto"/>
        </w:rPr>
        <w:t xml:space="preserve"> relating to revaluation of foreign currency forward contracts and foreign currency options designated as cash flow hedges, the majority of which is expected to be reclassified into earnings within the next twelve months.</w:t>
      </w:r>
    </w:p>
    <w:p>
      <w:pPr>
        <w:spacing w:after="0" w:line="85"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 xml:space="preserve">Schlumberger is also exposed to changes in the fair value of assets and liabilities, including certain of its long-term debt, which are denominated in currencies other than the functional currency. Schlumberger uses foreign currency forward contracts and foreign currency options to hedge this exposure as it relates to certain currencies. These contracts are accounted for as fair value hedges with the fair value of the contracts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along with the change in fair value of the hedged item.</w:t>
      </w:r>
    </w:p>
    <w:p>
      <w:pPr>
        <w:spacing w:after="0" w:line="11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At June 30, 2012, contracts were outstanding for the US dollar equivalent of $6.9 billion in various foreign currencies, of which $3.9 billion relate to hedges of debt denominated in currencies other than the functional currency.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Schlumberger is exposed to the impact of market fluctuations in the price of certain commodities, such as metals and fuel. Schlumberger utilizes forward contracts to manage a small percentage of the price risk associated with forecasted metal purchases. The objective of these contracts is to reduce the variability of cash flows associated with the forecasted purchase of those commodities. These contracts do not qualify for hedge accounting treatment and therefore, changes in the fair value of the forward contracts are recorded directly to earnings.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notional amount of outstanding commodity forward contracts was $23 million at June 30,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4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Schlumberger has an outstanding interest rate swap for a notional amount of $450 million in order to hedge changes in the fair value of its $450 million 3.00% Notes due 2013. Under the terms of this swap, Schlumberger receives interest at a fixed rate of 3.0% annually and will pay interest quarterly at a floating rate of three-month LIBOR plus a spread of 0.765%. This interest rate swap is designated as a fair value hedge of the underlying debt. This derivative instrument is marked to market with gains and losses recognized currently in income to offset the respective losses and gains recognized on changes in the fair value of the hedged debt. This results in no net gain or loss being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June 30, 2012, Schlumberger had fixed rate debt aggregating $7.4 billion and variable rate debt aggregating $3.1 billion, after taking into account the effects of the interest rate swaps.</w:t>
      </w:r>
    </w:p>
    <w:p>
      <w:pPr>
        <w:spacing w:after="0" w:line="13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i w:val="1"/>
          <w:iCs w:val="1"/>
          <w:color w:val="auto"/>
        </w:rPr>
        <w:t xml:space="preserve">Short-term investments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Fixed income investments</w:t>
      </w:r>
      <w:r>
        <w:rPr>
          <w:rFonts w:ascii="Arial" w:cs="Arial" w:eastAsia="Arial" w:hAnsi="Arial"/>
          <w:sz w:val="16"/>
          <w:szCs w:val="16"/>
          <w:color w:val="auto"/>
        </w:rPr>
        <w:t>,</w:t>
      </w:r>
      <w:r>
        <w:rPr>
          <w:rFonts w:ascii="Arial" w:cs="Arial" w:eastAsia="Arial" w:hAnsi="Arial"/>
          <w:sz w:val="16"/>
          <w:szCs w:val="16"/>
          <w:i w:val="1"/>
          <w:iCs w:val="1"/>
          <w:color w:val="auto"/>
        </w:rPr>
        <w:t xml:space="preserve"> held to maturity</w:t>
      </w:r>
      <w:r>
        <w:rPr>
          <w:rFonts w:ascii="Arial" w:cs="Arial" w:eastAsia="Arial" w:hAnsi="Arial"/>
          <w:sz w:val="16"/>
          <w:szCs w:val="16"/>
          <w:color w:val="auto"/>
        </w:rPr>
        <w:t>, totaled $2.2 billion at June 30, 2012, and were comprised primarily of money market</w:t>
      </w:r>
      <w:r>
        <w:rPr>
          <w:rFonts w:ascii="Arial" w:cs="Arial" w:eastAsia="Arial" w:hAnsi="Arial"/>
          <w:sz w:val="16"/>
          <w:szCs w:val="16"/>
          <w:i w:val="1"/>
          <w:iCs w:val="1"/>
          <w:color w:val="auto"/>
        </w:rPr>
        <w:t xml:space="preserve"> </w:t>
      </w:r>
      <w:r>
        <w:rPr>
          <w:rFonts w:ascii="Arial" w:cs="Arial" w:eastAsia="Arial" w:hAnsi="Arial"/>
          <w:sz w:val="16"/>
          <w:szCs w:val="16"/>
          <w:color w:val="auto"/>
        </w:rPr>
        <w:t>funds, eurodollar time deposits, certificates of deposit, commercial paper, euro notes and Eurobonds, and were substantially all denominated in US dollars. The carrying value of these investments approximated fair value, which was estimated using quoted market prices for those or similar investments.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outstanding derivative instruments are summarized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tcPr>
          <w:p>
            <w:pPr>
              <w:jc w:val="right"/>
              <w:ind w:right="274"/>
              <w:spacing w:after="0"/>
              <w:rPr>
                <w:sz w:val="20"/>
                <w:szCs w:val="20"/>
                <w:color w:val="auto"/>
              </w:rPr>
            </w:pPr>
            <w:r>
              <w:rPr>
                <w:rFonts w:ascii="Arial" w:cs="Arial" w:eastAsia="Arial" w:hAnsi="Arial"/>
                <w:sz w:val="14"/>
                <w:szCs w:val="14"/>
                <w:i w:val="1"/>
                <w:iCs w:val="1"/>
                <w:color w:val="auto"/>
              </w:rPr>
              <w:t>(Stated in millions)</w:t>
            </w:r>
          </w:p>
        </w:tc>
        <w:tc>
          <w:tcPr>
            <w:tcW w:w="500" w:type="dxa"/>
            <w:vAlign w:val="bottom"/>
          </w:tcPr>
          <w:p>
            <w:pPr>
              <w:spacing w:after="0"/>
              <w:rPr>
                <w:sz w:val="14"/>
                <w:szCs w:val="14"/>
                <w:color w:val="auto"/>
              </w:rPr>
            </w:pPr>
          </w:p>
        </w:tc>
        <w:tc>
          <w:tcPr>
            <w:tcW w:w="2880" w:type="dxa"/>
            <w:vAlign w:val="bottom"/>
            <w:vMerge w:val="restart"/>
          </w:tcPr>
          <w:p>
            <w:pPr>
              <w:ind w:left="260"/>
              <w:spacing w:after="0"/>
              <w:rPr>
                <w:sz w:val="20"/>
                <w:szCs w:val="20"/>
                <w:color w:val="auto"/>
              </w:rPr>
            </w:pPr>
            <w:r>
              <w:rPr>
                <w:rFonts w:ascii="Arial" w:cs="Arial" w:eastAsia="Arial" w:hAnsi="Arial"/>
                <w:sz w:val="14"/>
                <w:szCs w:val="14"/>
                <w:b w:val="1"/>
                <w:bCs w:val="1"/>
                <w:i w:val="1"/>
                <w:iCs w:val="1"/>
                <w:color w:val="auto"/>
                <w:w w:val="91"/>
              </w:rPr>
              <w:t xml:space="preserve">Consolidated Balance Sheet </w:t>
            </w:r>
            <w:r>
              <w:rPr>
                <w:rFonts w:ascii="Arial" w:cs="Arial" w:eastAsia="Arial" w:hAnsi="Arial"/>
                <w:sz w:val="14"/>
                <w:szCs w:val="14"/>
                <w:b w:val="1"/>
                <w:bCs w:val="1"/>
                <w:color w:val="auto"/>
                <w:w w:val="91"/>
              </w:rPr>
              <w:t>Classification</w:t>
            </w:r>
          </w:p>
        </w:tc>
        <w:tc>
          <w:tcPr>
            <w:tcW w:w="0" w:type="dxa"/>
            <w:vAlign w:val="bottom"/>
          </w:tcPr>
          <w:p>
            <w:pPr>
              <w:spacing w:after="0"/>
              <w:rPr>
                <w:sz w:val="1"/>
                <w:szCs w:val="1"/>
                <w:color w:val="auto"/>
              </w:rPr>
            </w:pPr>
          </w:p>
        </w:tc>
      </w:tr>
      <w:tr>
        <w:trPr>
          <w:trHeight w:val="161"/>
        </w:trPr>
        <w:tc>
          <w:tcPr>
            <w:tcW w:w="4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7"/>
              </w:rPr>
              <w:t>Fair Value of Derivatives</w:t>
            </w:r>
          </w:p>
        </w:tc>
        <w:tc>
          <w:tcPr>
            <w:tcW w:w="500" w:type="dxa"/>
            <w:vAlign w:val="bottom"/>
          </w:tcPr>
          <w:p>
            <w:pPr>
              <w:spacing w:after="0"/>
              <w:rPr>
                <w:sz w:val="14"/>
                <w:szCs w:val="14"/>
                <w:color w:val="auto"/>
              </w:rPr>
            </w:pPr>
          </w:p>
        </w:tc>
        <w:tc>
          <w:tcPr>
            <w:tcW w:w="2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4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Jun. 30,</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color w:val="auto"/>
                <w:w w:val="84"/>
              </w:rPr>
              <w:t>Dec. 31,</w:t>
            </w:r>
          </w:p>
        </w:tc>
        <w:tc>
          <w:tcPr>
            <w:tcW w:w="5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2011</w:t>
            </w:r>
          </w:p>
        </w:tc>
        <w:tc>
          <w:tcPr>
            <w:tcW w:w="500" w:type="dxa"/>
            <w:vAlign w:val="bottom"/>
            <w:tcBorders>
              <w:bottom w:val="single" w:sz="8" w:color="CCEEFF"/>
            </w:tcBorders>
          </w:tcPr>
          <w:p>
            <w:pPr>
              <w:spacing w:after="0"/>
              <w:rPr>
                <w:sz w:val="14"/>
                <w:szCs w:val="14"/>
                <w:color w:val="auto"/>
              </w:rPr>
            </w:pPr>
          </w:p>
        </w:tc>
        <w:tc>
          <w:tcPr>
            <w:tcW w:w="28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23"/>
        </w:trPr>
        <w:tc>
          <w:tcPr>
            <w:tcW w:w="444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Derivatives not designated as hedges:</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23"/>
        </w:trPr>
        <w:tc>
          <w:tcPr>
            <w:tcW w:w="444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89"/>
              </w:rPr>
              <w:t>Accounts payable and accrued liabilities</w:t>
            </w:r>
          </w:p>
        </w:tc>
        <w:tc>
          <w:tcPr>
            <w:tcW w:w="0" w:type="dxa"/>
            <w:vAlign w:val="bottom"/>
          </w:tcPr>
          <w:p>
            <w:pPr>
              <w:spacing w:after="0"/>
              <w:rPr>
                <w:sz w:val="1"/>
                <w:szCs w:val="1"/>
                <w:color w:val="auto"/>
              </w:rPr>
            </w:pPr>
          </w:p>
        </w:tc>
      </w:tr>
      <w:tr>
        <w:trPr>
          <w:trHeight w:val="223"/>
        </w:trPr>
        <w:tc>
          <w:tcPr>
            <w:tcW w:w="444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50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i w:val="1"/>
                <w:iCs w:val="1"/>
                <w:color w:val="auto"/>
              </w:rPr>
              <w:t>Other Liabilities</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5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Derivatives not designated as hedges:</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89"/>
              </w:rPr>
              <w:t>Accounts payable and accrued liabilities</w:t>
            </w:r>
          </w:p>
        </w:tc>
        <w:tc>
          <w:tcPr>
            <w:tcW w:w="0" w:type="dxa"/>
            <w:vAlign w:val="bottom"/>
          </w:tcPr>
          <w:p>
            <w:pPr>
              <w:spacing w:after="0"/>
              <w:rPr>
                <w:sz w:val="1"/>
                <w:szCs w:val="1"/>
                <w:color w:val="auto"/>
              </w:rPr>
            </w:pPr>
          </w:p>
        </w:tc>
      </w:tr>
      <w:tr>
        <w:trPr>
          <w:trHeight w:val="223"/>
        </w:trPr>
        <w:tc>
          <w:tcPr>
            <w:tcW w:w="4440" w:type="dxa"/>
            <w:vAlign w:val="bottom"/>
          </w:tcPr>
          <w:p>
            <w:pPr>
              <w:ind w:left="440"/>
              <w:spacing w:after="0"/>
              <w:rPr>
                <w:sz w:val="20"/>
                <w:szCs w:val="20"/>
                <w:color w:val="auto"/>
              </w:rPr>
            </w:pPr>
            <w:r>
              <w:rPr>
                <w:rFonts w:ascii="Arial" w:cs="Arial" w:eastAsia="Arial" w:hAnsi="Arial"/>
                <w:sz w:val="18"/>
                <w:szCs w:val="18"/>
                <w:color w:val="auto"/>
              </w:rPr>
              <w:t>Commodity contacts</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i w:val="1"/>
                <w:iCs w:val="1"/>
                <w:color w:val="auto"/>
                <w:w w:val="89"/>
              </w:rPr>
              <w:t>Accounts payable and accrued liabilities</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189</w:t>
            </w:r>
          </w:p>
        </w:tc>
        <w:tc>
          <w:tcPr>
            <w:tcW w:w="5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fair value of all outstanding derivatives was determined using a model with inputs that are observable in the market or can be derived from or corroborated by observable data.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effect on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 xml:space="preserve"> of derivative instruments designated as fair value hedges and those not designated as hedges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7"/>
          </w:tcPr>
          <w:p>
            <w:pPr>
              <w:jc w:val="right"/>
              <w:ind w:right="380"/>
              <w:spacing w:after="0"/>
              <w:rPr>
                <w:sz w:val="20"/>
                <w:szCs w:val="20"/>
                <w:color w:val="auto"/>
              </w:rPr>
            </w:pPr>
            <w:r>
              <w:rPr>
                <w:rFonts w:ascii="Arial" w:cs="Arial" w:eastAsia="Arial" w:hAnsi="Arial"/>
                <w:sz w:val="14"/>
                <w:szCs w:val="14"/>
                <w:i w:val="1"/>
                <w:iCs w:val="1"/>
                <w:color w:val="auto"/>
                <w:w w:val="95"/>
              </w:rPr>
              <w:t>(Stated in millions)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10"/>
          </w:tcPr>
          <w:p>
            <w:pPr>
              <w:ind w:left="320"/>
              <w:spacing w:after="0" w:line="149" w:lineRule="exact"/>
              <w:rPr>
                <w:sz w:val="20"/>
                <w:szCs w:val="20"/>
                <w:color w:val="auto"/>
              </w:rPr>
            </w:pPr>
            <w:r>
              <w:rPr>
                <w:rFonts w:ascii="Arial" w:cs="Arial" w:eastAsia="Arial" w:hAnsi="Arial"/>
                <w:sz w:val="14"/>
                <w:szCs w:val="14"/>
                <w:b w:val="1"/>
                <w:bCs w:val="1"/>
                <w:color w:val="auto"/>
                <w:w w:val="93"/>
              </w:rPr>
              <w:t>Gain (Loss) Recognized in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Income</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81"/>
              </w:rPr>
              <w:t>Consolidated Statement</w:t>
            </w: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7"/>
          </w:tcPr>
          <w:p>
            <w:pPr>
              <w:jc w:val="right"/>
              <w:ind w:right="400"/>
              <w:spacing w:after="0" w:line="142" w:lineRule="exact"/>
              <w:rPr>
                <w:sz w:val="20"/>
                <w:szCs w:val="20"/>
                <w:color w:val="auto"/>
              </w:rPr>
            </w:pPr>
            <w:r>
              <w:rPr>
                <w:rFonts w:ascii="Arial" w:cs="Arial" w:eastAsia="Arial" w:hAnsi="Arial"/>
                <w:sz w:val="14"/>
                <w:szCs w:val="14"/>
                <w:b w:val="1"/>
                <w:bCs w:val="1"/>
                <w:color w:val="auto"/>
                <w:w w:val="85"/>
              </w:rPr>
              <w:t>Second Quarter</w:t>
            </w:r>
          </w:p>
        </w:tc>
        <w:tc>
          <w:tcPr>
            <w:tcW w:w="80" w:type="dxa"/>
            <w:vAlign w:val="bottom"/>
          </w:tcPr>
          <w:p>
            <w:pPr>
              <w:spacing w:after="0"/>
              <w:rPr>
                <w:sz w:val="12"/>
                <w:szCs w:val="12"/>
                <w:color w:val="auto"/>
              </w:rPr>
            </w:pPr>
          </w:p>
        </w:tc>
        <w:tc>
          <w:tcPr>
            <w:tcW w:w="840" w:type="dxa"/>
            <w:vAlign w:val="bottom"/>
            <w:gridSpan w:val="4"/>
          </w:tcPr>
          <w:p>
            <w:pPr>
              <w:jc w:val="right"/>
              <w:ind w:right="52"/>
              <w:spacing w:after="0" w:line="142" w:lineRule="exact"/>
              <w:rPr>
                <w:sz w:val="20"/>
                <w:szCs w:val="20"/>
                <w:color w:val="auto"/>
              </w:rPr>
            </w:pPr>
            <w:r>
              <w:rPr>
                <w:rFonts w:ascii="Arial" w:cs="Arial" w:eastAsia="Arial" w:hAnsi="Arial"/>
                <w:sz w:val="14"/>
                <w:szCs w:val="14"/>
                <w:b w:val="1"/>
                <w:bCs w:val="1"/>
                <w:color w:val="auto"/>
                <w:w w:val="90"/>
              </w:rPr>
              <w:t>Six Months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2011</w:t>
            </w:r>
          </w:p>
        </w:tc>
        <w:tc>
          <w:tcPr>
            <w:tcW w:w="32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6"/>
              </w:rPr>
              <w:t>2011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jc w:val="center"/>
              <w:spacing w:after="0" w:line="142" w:lineRule="exact"/>
              <w:rPr>
                <w:sz w:val="20"/>
                <w:szCs w:val="20"/>
                <w:color w:val="auto"/>
              </w:rPr>
            </w:pPr>
            <w:r>
              <w:rPr>
                <w:rFonts w:ascii="Arial" w:cs="Arial" w:eastAsia="Arial" w:hAnsi="Arial"/>
                <w:sz w:val="14"/>
                <w:szCs w:val="14"/>
                <w:b w:val="1"/>
                <w:bCs w:val="1"/>
                <w:i w:val="1"/>
                <w:iCs w:val="1"/>
                <w:color w:val="auto"/>
                <w:w w:val="85"/>
              </w:rPr>
              <w:t xml:space="preserve">of Income </w:t>
            </w:r>
            <w:r>
              <w:rPr>
                <w:rFonts w:ascii="Arial" w:cs="Arial" w:eastAsia="Arial" w:hAnsi="Arial"/>
                <w:sz w:val="14"/>
                <w:szCs w:val="14"/>
                <w:b w:val="1"/>
                <w:bCs w:val="1"/>
                <w:color w:val="auto"/>
                <w:w w:val="85"/>
              </w:rPr>
              <w:t>Classification</w:t>
            </w:r>
          </w:p>
        </w:tc>
        <w:tc>
          <w:tcPr>
            <w:tcW w:w="0" w:type="dxa"/>
            <w:vAlign w:val="bottom"/>
          </w:tcPr>
          <w:p>
            <w:pPr>
              <w:spacing w:after="0"/>
              <w:rPr>
                <w:sz w:val="1"/>
                <w:szCs w:val="1"/>
                <w:color w:val="auto"/>
              </w:rPr>
            </w:pPr>
          </w:p>
        </w:tc>
      </w:tr>
      <w:tr>
        <w:trPr>
          <w:trHeight w:val="196"/>
        </w:trPr>
        <w:tc>
          <w:tcPr>
            <w:tcW w:w="7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designated as fair value hedges: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8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900" w:type="dxa"/>
            <w:vAlign w:val="bottom"/>
            <w:gridSpan w:val="2"/>
          </w:tcPr>
          <w:p>
            <w:pPr>
              <w:ind w:left="12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10</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8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59</w:t>
            </w:r>
          </w:p>
        </w:tc>
        <w:tc>
          <w:tcPr>
            <w:tcW w:w="14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36</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15</w:t>
            </w:r>
          </w:p>
        </w:tc>
        <w:tc>
          <w:tcPr>
            <w:tcW w:w="200" w:type="dxa"/>
            <w:vAlign w:val="bottom"/>
          </w:tcPr>
          <w:p>
            <w:pPr>
              <w:spacing w:after="0"/>
              <w:rPr>
                <w:sz w:val="18"/>
                <w:szCs w:val="18"/>
                <w:color w:val="auto"/>
              </w:rPr>
            </w:pPr>
          </w:p>
        </w:tc>
        <w:tc>
          <w:tcPr>
            <w:tcW w:w="1900" w:type="dxa"/>
            <w:vAlign w:val="bottom"/>
            <w:gridSpan w:val="2"/>
          </w:tcPr>
          <w:p>
            <w:pPr>
              <w:ind w:left="12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Commodity contracts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w:t>
            </w:r>
          </w:p>
        </w:tc>
        <w:tc>
          <w:tcPr>
            <w:tcW w:w="190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33</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instruments in cash flow hedging relationships on income and other comprehensive income (OCI)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5"/>
          </w:tcPr>
          <w:p>
            <w:pPr>
              <w:ind w:left="60"/>
              <w:spacing w:after="0"/>
              <w:rPr>
                <w:sz w:val="20"/>
                <w:szCs w:val="20"/>
                <w:color w:val="auto"/>
              </w:rPr>
            </w:pPr>
            <w:r>
              <w:rPr>
                <w:rFonts w:ascii="Arial" w:cs="Arial" w:eastAsia="Arial" w:hAnsi="Arial"/>
                <w:sz w:val="14"/>
                <w:szCs w:val="14"/>
                <w:i w:val="1"/>
                <w:iCs w:val="1"/>
                <w:color w:val="auto"/>
              </w:rPr>
              <w:t>(Stated in millions)</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100" w:type="dxa"/>
            <w:vAlign w:val="bottom"/>
            <w:gridSpan w:val="6"/>
          </w:tcPr>
          <w:p>
            <w:pPr>
              <w:jc w:val="center"/>
              <w:ind w:left="286"/>
              <w:spacing w:after="0" w:line="149" w:lineRule="exact"/>
              <w:rPr>
                <w:sz w:val="20"/>
                <w:szCs w:val="20"/>
                <w:color w:val="auto"/>
              </w:rPr>
            </w:pPr>
            <w:r>
              <w:rPr>
                <w:rFonts w:ascii="Arial" w:cs="Arial" w:eastAsia="Arial" w:hAnsi="Arial"/>
                <w:sz w:val="14"/>
                <w:szCs w:val="14"/>
                <w:b w:val="1"/>
                <w:bCs w:val="1"/>
                <w:color w:val="auto"/>
                <w:w w:val="86"/>
              </w:rPr>
              <w:t>Gain (Loss) Reclassified from</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78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w w:val="89"/>
              </w:rPr>
              <w:t>Accumulated OCI into Income</w:t>
            </w:r>
          </w:p>
        </w:tc>
        <w:tc>
          <w:tcPr>
            <w:tcW w:w="2020" w:type="dxa"/>
            <w:vAlign w:val="bottom"/>
            <w:vMerge w:val="restart"/>
          </w:tcPr>
          <w:p>
            <w:pPr>
              <w:jc w:val="right"/>
              <w:ind w:right="282"/>
              <w:spacing w:after="0"/>
              <w:rPr>
                <w:sz w:val="20"/>
                <w:szCs w:val="20"/>
                <w:color w:val="auto"/>
              </w:rPr>
            </w:pPr>
            <w:r>
              <w:rPr>
                <w:rFonts w:ascii="Arial" w:cs="Arial" w:eastAsia="Arial" w:hAnsi="Arial"/>
                <w:sz w:val="14"/>
                <w:szCs w:val="14"/>
                <w:b w:val="1"/>
                <w:bCs w:val="1"/>
                <w:i w:val="1"/>
                <w:iCs w:val="1"/>
                <w:color w:val="auto"/>
              </w:rPr>
              <w:t>Consolidated Statement</w:t>
            </w: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3"/>
              </w:rPr>
              <w:t>Second Quarter</w:t>
            </w:r>
          </w:p>
        </w:tc>
        <w:tc>
          <w:tcPr>
            <w:tcW w:w="30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4"/>
          </w:tcPr>
          <w:p>
            <w:pPr>
              <w:jc w:val="right"/>
              <w:ind w:right="132"/>
              <w:spacing w:after="0" w:line="142" w:lineRule="exact"/>
              <w:rPr>
                <w:sz w:val="20"/>
                <w:szCs w:val="20"/>
                <w:color w:val="auto"/>
              </w:rPr>
            </w:pPr>
            <w:r>
              <w:rPr>
                <w:rFonts w:ascii="Arial" w:cs="Arial" w:eastAsia="Arial" w:hAnsi="Arial"/>
                <w:sz w:val="14"/>
                <w:szCs w:val="14"/>
                <w:b w:val="1"/>
                <w:bCs w:val="1"/>
                <w:color w:val="auto"/>
              </w:rPr>
              <w:t>Six Months</w:t>
            </w:r>
          </w:p>
        </w:tc>
        <w:tc>
          <w:tcPr>
            <w:tcW w:w="30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60" w:type="dxa"/>
            <w:vAlign w:val="bottom"/>
          </w:tcPr>
          <w:p>
            <w:pPr>
              <w:jc w:val="right"/>
              <w:ind w:right="26"/>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color w:val="auto"/>
                <w:w w:val="83"/>
              </w:rPr>
              <w:t>2011</w:t>
            </w:r>
          </w:p>
        </w:tc>
        <w:tc>
          <w:tcPr>
            <w:tcW w:w="300" w:type="dxa"/>
            <w:vAlign w:val="bottom"/>
          </w:tcPr>
          <w:p>
            <w:pPr>
              <w:spacing w:after="0"/>
              <w:rPr>
                <w:sz w:val="12"/>
                <w:szCs w:val="12"/>
                <w:color w:val="auto"/>
              </w:rPr>
            </w:pPr>
          </w:p>
        </w:tc>
        <w:tc>
          <w:tcPr>
            <w:tcW w:w="420" w:type="dxa"/>
            <w:vAlign w:val="bottom"/>
          </w:tcPr>
          <w:p>
            <w:pPr>
              <w:jc w:val="right"/>
              <w:ind w:right="7"/>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2011</w:t>
            </w:r>
          </w:p>
        </w:tc>
        <w:tc>
          <w:tcPr>
            <w:tcW w:w="300" w:type="dxa"/>
            <w:vAlign w:val="bottom"/>
          </w:tcPr>
          <w:p>
            <w:pPr>
              <w:spacing w:after="0"/>
              <w:rPr>
                <w:sz w:val="12"/>
                <w:szCs w:val="12"/>
                <w:color w:val="auto"/>
              </w:rPr>
            </w:pPr>
          </w:p>
        </w:tc>
        <w:tc>
          <w:tcPr>
            <w:tcW w:w="2020" w:type="dxa"/>
            <w:vAlign w:val="bottom"/>
          </w:tcPr>
          <w:p>
            <w:pPr>
              <w:jc w:val="right"/>
              <w:ind w:right="242"/>
              <w:spacing w:after="0" w:line="142" w:lineRule="exact"/>
              <w:rPr>
                <w:sz w:val="20"/>
                <w:szCs w:val="20"/>
                <w:color w:val="auto"/>
              </w:rPr>
            </w:pPr>
            <w:r>
              <w:rPr>
                <w:rFonts w:ascii="Arial" w:cs="Arial" w:eastAsia="Arial" w:hAnsi="Arial"/>
                <w:sz w:val="14"/>
                <w:szCs w:val="14"/>
                <w:b w:val="1"/>
                <w:bCs w:val="1"/>
                <w:i w:val="1"/>
                <w:iCs w:val="1"/>
                <w:color w:val="auto"/>
              </w:rPr>
              <w:t xml:space="preserve">of Income </w:t>
            </w: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2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7"/>
              </w:rPr>
              <w:t>$ (257)</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$ 89</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6"/>
              </w:rPr>
              <w:t>$(145)</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$314</w:t>
            </w:r>
          </w:p>
        </w:tc>
        <w:tc>
          <w:tcPr>
            <w:tcW w:w="3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862"/>
              <w:spacing w:after="0"/>
              <w:rPr>
                <w:sz w:val="20"/>
                <w:szCs w:val="20"/>
                <w:color w:val="auto"/>
              </w:rPr>
            </w:pPr>
            <w:r>
              <w:rPr>
                <w:rFonts w:ascii="Arial" w:cs="Arial" w:eastAsia="Arial" w:hAnsi="Arial"/>
                <w:sz w:val="18"/>
                <w:szCs w:val="18"/>
                <w:i w:val="1"/>
                <w:iCs w:val="1"/>
                <w:color w:val="auto"/>
                <w:w w:val="83"/>
              </w:rPr>
              <w:t>Cost of revenue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23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2020" w:type="dxa"/>
            <w:vAlign w:val="bottom"/>
          </w:tcPr>
          <w:p>
            <w:pPr>
              <w:jc w:val="right"/>
              <w:ind w:right="242"/>
              <w:spacing w:after="0"/>
              <w:rPr>
                <w:sz w:val="20"/>
                <w:szCs w:val="20"/>
                <w:color w:val="auto"/>
              </w:rPr>
            </w:pPr>
            <w:r>
              <w:rPr>
                <w:rFonts w:ascii="Arial" w:cs="Arial" w:eastAsia="Arial" w:hAnsi="Arial"/>
                <w:sz w:val="18"/>
                <w:szCs w:val="18"/>
                <w:i w:val="1"/>
                <w:iCs w:val="1"/>
                <w:color w:val="auto"/>
                <w:w w:val="86"/>
              </w:rPr>
              <w:t>Research &amp; engineering</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 (260)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$ 95</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322</w:t>
            </w:r>
          </w:p>
        </w:tc>
        <w:tc>
          <w:tcPr>
            <w:tcW w:w="3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94"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Income before taxes </w:t>
      </w:r>
      <w:r>
        <w:rPr>
          <w:rFonts w:ascii="Arial" w:cs="Arial" w:eastAsia="Arial" w:hAnsi="Arial"/>
          <w:sz w:val="15"/>
          <w:szCs w:val="15"/>
          <w:color w:val="auto"/>
        </w:rPr>
        <w:t>which was subject to US and non-US income taxes was as follows: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Outside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27940</wp:posOffset>
            </wp:positionV>
            <wp:extent cx="666369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140"/>
        <w:spacing w:after="0"/>
        <w:rPr>
          <w:sz w:val="20"/>
          <w:szCs w:val="20"/>
          <w:color w:val="auto"/>
        </w:rPr>
      </w:pPr>
      <w:r>
        <w:rPr>
          <w:rFonts w:ascii="Arial" w:cs="Arial" w:eastAsia="Arial" w:hAnsi="Arial"/>
          <w:sz w:val="12"/>
          <w:szCs w:val="12"/>
          <w:i w:val="1"/>
          <w:iCs w:val="1"/>
          <w:color w:val="auto"/>
        </w:rPr>
        <w:t>(Stated in millions)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Gain (Loss) Recognized in OCI</w:t>
      </w:r>
    </w:p>
    <w:tbl>
      <w:tblPr>
        <w:tblLayout w:type="fixed"/>
        <w:tblInd w:w="4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560" w:type="dxa"/>
            <w:vAlign w:val="bottom"/>
            <w:tcBorders>
              <w:top w:val="single" w:sz="8" w:color="auto"/>
            </w:tcBorders>
            <w:gridSpan w:val="6"/>
          </w:tcPr>
          <w:p>
            <w:pPr>
              <w:ind w:left="120"/>
              <w:spacing w:after="0" w:line="142" w:lineRule="exact"/>
              <w:rPr>
                <w:sz w:val="20"/>
                <w:szCs w:val="20"/>
                <w:color w:val="auto"/>
              </w:rPr>
            </w:pPr>
            <w:r>
              <w:rPr>
                <w:rFonts w:ascii="Arial" w:cs="Arial" w:eastAsia="Arial" w:hAnsi="Arial"/>
                <w:sz w:val="14"/>
                <w:szCs w:val="14"/>
                <w:b w:val="1"/>
                <w:bCs w:val="1"/>
                <w:color w:val="auto"/>
              </w:rPr>
              <w:t>Second Quarter</w:t>
            </w:r>
          </w:p>
        </w:tc>
        <w:tc>
          <w:tcPr>
            <w:tcW w:w="1180" w:type="dxa"/>
            <w:vAlign w:val="bottom"/>
            <w:tcBorders>
              <w:top w:val="single" w:sz="8" w:color="auto"/>
            </w:tcBorders>
            <w:gridSpan w:val="4"/>
          </w:tcPr>
          <w:p>
            <w:pPr>
              <w:ind w:left="260"/>
              <w:spacing w:after="0" w:line="142" w:lineRule="exact"/>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Borders>
              <w:top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w w:val="96"/>
              </w:rPr>
              <w:t>2012</w:t>
            </w:r>
          </w:p>
        </w:tc>
        <w:tc>
          <w:tcPr>
            <w:tcW w:w="220" w:type="dxa"/>
            <w:vAlign w:val="bottom"/>
            <w:tcBorders>
              <w:top w:val="single" w:sz="8" w:color="auto"/>
            </w:tcBorders>
            <w:gridSpan w:val="2"/>
            <w:vMerge w:val="restart"/>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2011</w:t>
            </w:r>
          </w:p>
        </w:tc>
        <w:tc>
          <w:tcPr>
            <w:tcW w:w="400" w:type="dxa"/>
            <w:vAlign w:val="bottom"/>
          </w:tcPr>
          <w:p>
            <w:pPr>
              <w:spacing w:after="0"/>
              <w:rPr>
                <w:sz w:val="12"/>
                <w:szCs w:val="12"/>
                <w:color w:val="auto"/>
              </w:rPr>
            </w:pPr>
          </w:p>
        </w:tc>
        <w:tc>
          <w:tcPr>
            <w:tcW w:w="420" w:type="dxa"/>
            <w:vAlign w:val="bottom"/>
            <w:tcBorders>
              <w:top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6"/>
                <w:szCs w:val="16"/>
                <w:b w:val="1"/>
                <w:bCs w:val="1"/>
                <w:color w:val="auto"/>
                <w:w w:val="74"/>
              </w:rPr>
              <w:t>)</w:t>
            </w: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(331</w:t>
            </w:r>
          </w:p>
        </w:tc>
        <w:tc>
          <w:tcPr>
            <w:tcW w:w="220" w:type="dxa"/>
            <w:vAlign w:val="bottom"/>
            <w:tcBorders>
              <w:top w:val="single" w:sz="8" w:color="auto"/>
            </w:tcBorders>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104</w:t>
            </w:r>
          </w:p>
        </w:tc>
        <w:tc>
          <w:tcPr>
            <w:tcW w:w="400" w:type="dxa"/>
            <w:vAlign w:val="bottom"/>
          </w:tcPr>
          <w:p>
            <w:pPr>
              <w:spacing w:after="0"/>
              <w:rPr>
                <w:sz w:val="18"/>
                <w:szCs w:val="18"/>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(177</w:t>
            </w:r>
          </w:p>
        </w:tc>
        <w:tc>
          <w:tcPr>
            <w:tcW w:w="220" w:type="dxa"/>
            <w:vAlign w:val="bottom"/>
            <w:tcBorders>
              <w:top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296</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500" w:type="dxa"/>
            <w:vAlign w:val="bottom"/>
            <w:gridSpan w:val="5"/>
          </w:tcPr>
          <w:p>
            <w:pPr>
              <w:jc w:val="right"/>
              <w:ind w:right="460"/>
              <w:spacing w:after="0" w:line="159" w:lineRule="exact"/>
              <w:rPr>
                <w:sz w:val="20"/>
                <w:szCs w:val="20"/>
                <w:color w:val="auto"/>
              </w:rPr>
            </w:pPr>
            <w:r>
              <w:rPr>
                <w:rFonts w:ascii="Arial" w:cs="Arial" w:eastAsia="Arial" w:hAnsi="Arial"/>
                <w:sz w:val="14"/>
                <w:szCs w:val="14"/>
                <w:color w:val="auto"/>
              </w:rPr>
              <w:t>Second Quarter</w:t>
            </w:r>
          </w:p>
        </w:tc>
        <w:tc>
          <w:tcPr>
            <w:tcW w:w="200" w:type="dxa"/>
            <w:vAlign w:val="bottom"/>
          </w:tcPr>
          <w:p>
            <w:pPr>
              <w:spacing w:after="0"/>
              <w:rPr>
                <w:sz w:val="13"/>
                <w:szCs w:val="13"/>
                <w:color w:val="auto"/>
              </w:rPr>
            </w:pPr>
          </w:p>
        </w:tc>
        <w:tc>
          <w:tcPr>
            <w:tcW w:w="1380" w:type="dxa"/>
            <w:vAlign w:val="bottom"/>
            <w:gridSpan w:val="4"/>
          </w:tcPr>
          <w:p>
            <w:pPr>
              <w:jc w:val="right"/>
              <w:ind w:right="297"/>
              <w:spacing w:after="0" w:line="159" w:lineRule="exact"/>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42"/>
        </w:trPr>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2012</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3"/>
              </w:rPr>
              <w:t>2011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3"/>
              </w:rPr>
              <w:t>2011</w:t>
            </w:r>
          </w:p>
        </w:tc>
        <w:tc>
          <w:tcPr>
            <w:tcW w:w="0" w:type="dxa"/>
            <w:vAlign w:val="bottom"/>
          </w:tcPr>
          <w:p>
            <w:pPr>
              <w:spacing w:after="0"/>
              <w:rPr>
                <w:sz w:val="1"/>
                <w:szCs w:val="1"/>
                <w:color w:val="auto"/>
              </w:rPr>
            </w:pPr>
          </w:p>
        </w:tc>
      </w:tr>
      <w:tr>
        <w:trPr>
          <w:trHeight w:val="195"/>
        </w:trPr>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553</w:t>
            </w:r>
          </w:p>
        </w:tc>
        <w:tc>
          <w:tcPr>
            <w:tcW w:w="38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195" w:lineRule="exact"/>
              <w:rPr>
                <w:sz w:val="20"/>
                <w:szCs w:val="20"/>
                <w:color w:val="auto"/>
              </w:rPr>
            </w:pPr>
            <w:r>
              <w:rPr>
                <w:rFonts w:ascii="Arial" w:cs="Arial" w:eastAsia="Arial" w:hAnsi="Arial"/>
                <w:sz w:val="18"/>
                <w:szCs w:val="18"/>
                <w:color w:val="auto"/>
              </w:rPr>
              <w:t>539</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line="195" w:lineRule="exact"/>
              <w:rPr>
                <w:sz w:val="20"/>
                <w:szCs w:val="20"/>
                <w:color w:val="auto"/>
              </w:rPr>
            </w:pPr>
            <w:r>
              <w:rPr>
                <w:rFonts w:ascii="Arial" w:cs="Arial" w:eastAsia="Arial" w:hAnsi="Arial"/>
                <w:sz w:val="18"/>
                <w:szCs w:val="18"/>
                <w:b w:val="1"/>
                <w:bCs w:val="1"/>
                <w:color w:val="auto"/>
                <w:w w:val="87"/>
              </w:rPr>
              <w:t>$1,123</w:t>
            </w:r>
          </w:p>
        </w:tc>
        <w:tc>
          <w:tcPr>
            <w:tcW w:w="38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195" w:lineRule="exact"/>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1,286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936</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2,402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1,804</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1,839</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1,475</w:t>
            </w:r>
          </w:p>
        </w:tc>
        <w:tc>
          <w:tcPr>
            <w:tcW w:w="2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3,525</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2,692</w:t>
            </w:r>
          </w:p>
        </w:tc>
        <w:tc>
          <w:tcPr>
            <w:tcW w:w="0" w:type="dxa"/>
            <w:vAlign w:val="bottom"/>
          </w:tcPr>
          <w:p>
            <w:pPr>
              <w:spacing w:after="0"/>
              <w:rPr>
                <w:sz w:val="1"/>
                <w:szCs w:val="1"/>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6980" w:space="720"/>
            <w:col w:w="3720"/>
          </w:cols>
          <w:pgMar w:left="240" w:top="459" w:right="239" w:bottom="1440" w:gutter="0" w:footer="0" w:header="0"/>
          <w:type w:val="continuous"/>
        </w:sectPr>
      </w:pPr>
    </w:p>
    <w:p>
      <w:pPr>
        <w:ind w:right="380"/>
        <w:spacing w:after="0" w:line="268" w:lineRule="auto"/>
        <w:rPr>
          <w:sz w:val="20"/>
          <w:szCs w:val="20"/>
          <w:color w:val="auto"/>
        </w:rPr>
      </w:pPr>
      <w:r>
        <w:rPr>
          <w:rFonts w:ascii="Arial" w:cs="Arial" w:eastAsia="Arial" w:hAnsi="Arial"/>
          <w:sz w:val="18"/>
          <w:szCs w:val="18"/>
          <w:color w:val="auto"/>
        </w:rPr>
        <w:t>Schlumberger recorded pretax charges of $22 million ($11 million in the US and $11 million outside of the US) during the second quarter of 2012 and pretax charges of $82 million during the second quarter of 2011 ($44 million in the US and $38 million outside of the US).</w:t>
      </w:r>
    </w:p>
    <w:p>
      <w:pPr>
        <w:spacing w:after="0" w:line="132"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Schlumberger recorded pretax charges of $37 million during the six months ended June 30, 2012 ($22 million in the US and $15 million outside of the US) and pretax charges of $115 million during the six months ended June 30, 2011 ($67 million in the US and $48 million outside of the US).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These charges are included in the table above and are more fully described in Note 2 – </w:t>
      </w:r>
      <w:r>
        <w:rPr>
          <w:rFonts w:ascii="Arial" w:cs="Arial" w:eastAsia="Arial" w:hAnsi="Arial"/>
          <w:sz w:val="18"/>
          <w:szCs w:val="18"/>
          <w:i w:val="1"/>
          <w:iCs w:val="1"/>
          <w:color w:val="auto"/>
        </w:rPr>
        <w:t>Charges and credits.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(liabilities) were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w w:val="90"/>
              </w:rPr>
              <w:t>(Stated in millions)</w:t>
            </w:r>
          </w:p>
        </w:tc>
      </w:tr>
      <w:tr>
        <w:trPr>
          <w:trHeight w:val="149"/>
        </w:trPr>
        <w:tc>
          <w:tcPr>
            <w:tcW w:w="47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40" w:type="dxa"/>
            <w:vAlign w:val="bottom"/>
            <w:gridSpan w:val="3"/>
          </w:tcPr>
          <w:p>
            <w:pPr>
              <w:jc w:val="right"/>
              <w:ind w:right="272"/>
              <w:spacing w:after="0" w:line="149" w:lineRule="exact"/>
              <w:rPr>
                <w:sz w:val="20"/>
                <w:szCs w:val="20"/>
                <w:color w:val="auto"/>
              </w:rPr>
            </w:pPr>
            <w:r>
              <w:rPr>
                <w:rFonts w:ascii="Arial" w:cs="Arial" w:eastAsia="Arial" w:hAnsi="Arial"/>
                <w:sz w:val="14"/>
                <w:szCs w:val="14"/>
                <w:b w:val="1"/>
                <w:bCs w:val="1"/>
                <w:color w:val="auto"/>
                <w:w w:val="91"/>
              </w:rPr>
              <w:t>Jun. 30,</w:t>
            </w:r>
          </w:p>
        </w:tc>
        <w:tc>
          <w:tcPr>
            <w:tcW w:w="24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1"/>
              </w:rPr>
              <w:t>Dec. 31,</w:t>
            </w:r>
          </w:p>
        </w:tc>
      </w:tr>
      <w:tr>
        <w:trPr>
          <w:trHeight w:val="161"/>
        </w:trPr>
        <w:tc>
          <w:tcPr>
            <w:tcW w:w="47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w w:val="96"/>
              </w:rPr>
              <w:t>2011</w:t>
            </w:r>
          </w:p>
        </w:tc>
        <w:tc>
          <w:tcPr>
            <w:tcW w:w="120" w:type="dxa"/>
            <w:vAlign w:val="bottom"/>
            <w:tcBorders>
              <w:bottom w:val="single" w:sz="8" w:color="CCEEFF"/>
            </w:tcBorders>
          </w:tcPr>
          <w:p>
            <w:pPr>
              <w:spacing w:after="0"/>
              <w:rPr>
                <w:sz w:val="14"/>
                <w:szCs w:val="14"/>
                <w:color w:val="auto"/>
              </w:rPr>
            </w:pPr>
          </w:p>
        </w:tc>
      </w:tr>
      <w:tr>
        <w:trPr>
          <w:trHeight w:val="210"/>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Postretirement benefits, net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Intangible assets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w w:val="87"/>
              </w:rPr>
              <w:t>(1,496)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(1,498)</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non-US subsidiaries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(348)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w:t>
            </w: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Other, net</w:t>
            </w:r>
          </w:p>
        </w:tc>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r>
      <w:tr>
        <w:trPr>
          <w:trHeight w:val="216"/>
        </w:trPr>
        <w:tc>
          <w:tcPr>
            <w:tcW w:w="47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7"/>
              </w:rPr>
              <w:t>(1,342)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(1,275)</w:t>
            </w:r>
          </w:p>
        </w:tc>
      </w:tr>
      <w:tr>
        <w:trPr>
          <w:trHeight w:val="20"/>
        </w:trPr>
        <w:tc>
          <w:tcPr>
            <w:tcW w:w="4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above deferred tax balances at June 30, 2012 and December 31, 2011 were net of valuation allowances relating to net operating losses in certain countries of $249 million and $239 million,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consolidated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8"/>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6"/>
          </w:tcPr>
          <w:p>
            <w:pPr>
              <w:jc w:val="right"/>
              <w:ind w:right="660"/>
              <w:spacing w:after="0" w:line="159" w:lineRule="exact"/>
              <w:rPr>
                <w:sz w:val="20"/>
                <w:szCs w:val="20"/>
                <w:color w:val="auto"/>
              </w:rPr>
            </w:pPr>
            <w:r>
              <w:rPr>
                <w:rFonts w:ascii="Arial" w:cs="Arial" w:eastAsia="Arial" w:hAnsi="Arial"/>
                <w:sz w:val="14"/>
                <w:szCs w:val="14"/>
                <w:color w:val="auto"/>
                <w:w w:val="93"/>
              </w:rPr>
              <w:t>Second Quarter</w:t>
            </w:r>
          </w:p>
        </w:tc>
        <w:tc>
          <w:tcPr>
            <w:tcW w:w="280" w:type="dxa"/>
            <w:vAlign w:val="bottom"/>
          </w:tcPr>
          <w:p>
            <w:pPr>
              <w:spacing w:after="0"/>
              <w:rPr>
                <w:sz w:val="13"/>
                <w:szCs w:val="13"/>
                <w:color w:val="auto"/>
              </w:rPr>
            </w:pPr>
          </w:p>
        </w:tc>
        <w:tc>
          <w:tcPr>
            <w:tcW w:w="680" w:type="dxa"/>
            <w:vAlign w:val="bottom"/>
            <w:gridSpan w:val="4"/>
          </w:tcPr>
          <w:p>
            <w:pPr>
              <w:jc w:val="right"/>
              <w:spacing w:after="0" w:line="159" w:lineRule="exact"/>
              <w:rPr>
                <w:sz w:val="20"/>
                <w:szCs w:val="20"/>
                <w:color w:val="auto"/>
              </w:rPr>
            </w:pPr>
            <w:r>
              <w:rPr>
                <w:rFonts w:ascii="Arial" w:cs="Arial" w:eastAsia="Arial" w:hAnsi="Arial"/>
                <w:sz w:val="14"/>
                <w:szCs w:val="14"/>
                <w:color w:val="auto"/>
                <w:w w:val="95"/>
              </w:rPr>
              <w:t>Six Months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36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2012</w:t>
            </w: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w w:val="89"/>
              </w:rPr>
              <w:t>2011</w:t>
            </w:r>
          </w:p>
        </w:tc>
        <w:tc>
          <w:tcPr>
            <w:tcW w:w="48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42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Arial" w:cs="Arial" w:eastAsia="Arial" w:hAnsi="Arial"/>
                <w:sz w:val="18"/>
                <w:szCs w:val="18"/>
                <w:color w:val="auto"/>
              </w:rPr>
              <w:t>United States - Federal</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171</w:t>
            </w:r>
          </w:p>
        </w:tc>
        <w:tc>
          <w:tcPr>
            <w:tcW w:w="5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4"/>
              </w:rPr>
              <w:t>$288</w:t>
            </w:r>
          </w:p>
        </w:tc>
        <w:tc>
          <w:tcPr>
            <w:tcW w:w="4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$361</w:t>
            </w:r>
          </w:p>
        </w:tc>
        <w:tc>
          <w:tcPr>
            <w:tcW w:w="3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436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United States - State</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50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420" w:type="dxa"/>
            <w:vAlign w:val="bottom"/>
          </w:tcPr>
          <w:p>
            <w:pPr>
              <w:ind w:left="440"/>
              <w:spacing w:after="0"/>
              <w:rPr>
                <w:sz w:val="20"/>
                <w:szCs w:val="20"/>
                <w:color w:val="auto"/>
              </w:rPr>
            </w:pPr>
            <w:r>
              <w:rPr>
                <w:rFonts w:ascii="Arial" w:cs="Arial" w:eastAsia="Arial" w:hAnsi="Arial"/>
                <w:sz w:val="18"/>
                <w:szCs w:val="18"/>
                <w:color w:val="auto"/>
              </w:rPr>
              <w:t>Outside United States</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269</w:t>
            </w:r>
          </w:p>
        </w:tc>
        <w:tc>
          <w:tcPr>
            <w:tcW w:w="500" w:type="dxa"/>
            <w:vAlign w:val="bottom"/>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168</w:t>
            </w:r>
          </w:p>
        </w:tc>
        <w:tc>
          <w:tcPr>
            <w:tcW w:w="480" w:type="dxa"/>
            <w:vAlign w:val="bottom"/>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478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458</w:t>
            </w:r>
          </w:p>
        </w:tc>
        <w:tc>
          <w:tcPr>
            <w:tcW w:w="50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452</w:t>
            </w:r>
          </w:p>
        </w:tc>
        <w:tc>
          <w:tcPr>
            <w:tcW w:w="48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874</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677</w:t>
            </w:r>
          </w:p>
        </w:tc>
        <w:tc>
          <w:tcPr>
            <w:tcW w:w="0" w:type="dxa"/>
            <w:vAlign w:val="bottom"/>
          </w:tcPr>
          <w:p>
            <w:pPr>
              <w:spacing w:after="0"/>
              <w:rPr>
                <w:sz w:val="1"/>
                <w:szCs w:val="1"/>
                <w:color w:val="auto"/>
              </w:rPr>
            </w:pPr>
          </w:p>
        </w:tc>
      </w:tr>
      <w:tr>
        <w:trPr>
          <w:trHeight w:val="222"/>
        </w:trPr>
        <w:tc>
          <w:tcPr>
            <w:tcW w:w="7880" w:type="dxa"/>
            <w:vAlign w:val="bottom"/>
            <w:gridSpan w:val="2"/>
          </w:tcPr>
          <w:p>
            <w:pPr>
              <w:ind w:left="460"/>
              <w:spacing w:after="0"/>
              <w:rPr>
                <w:sz w:val="20"/>
                <w:szCs w:val="20"/>
                <w:color w:val="auto"/>
              </w:rPr>
            </w:pPr>
            <w:r>
              <w:rPr>
                <w:rFonts w:ascii="Arial" w:cs="Arial" w:eastAsia="Arial" w:hAnsi="Arial"/>
                <w:sz w:val="18"/>
                <w:szCs w:val="18"/>
                <w:color w:val="auto"/>
              </w:rPr>
              <w:t>Deferred:</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United States - Federal</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50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4"/>
              </w:rPr>
              <w:t>$ (95)</w:t>
            </w: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4"/>
              </w:rPr>
              <w:t>$ (24)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5"/>
              </w:rPr>
              <w:t>(123)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Arial" w:cs="Arial" w:eastAsia="Arial" w:hAnsi="Arial"/>
                <w:sz w:val="18"/>
                <w:szCs w:val="18"/>
                <w:color w:val="auto"/>
              </w:rPr>
              <w:t>United States - State</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500" w:type="dxa"/>
            <w:vAlign w:val="bottom"/>
          </w:tcPr>
          <w:p>
            <w:pPr>
              <w:spacing w:after="0"/>
              <w:rPr>
                <w:sz w:val="18"/>
                <w:szCs w:val="18"/>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8"/>
                <w:szCs w:val="18"/>
                <w:color w:val="auto"/>
              </w:rPr>
              <w:t>(13)</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Outside United States</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3"/>
              </w:rPr>
              <w:t>(27)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5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3"/>
              </w:rPr>
              <w:t>(13)</w:t>
            </w:r>
          </w:p>
        </w:tc>
        <w:tc>
          <w:tcPr>
            <w:tcW w:w="84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4"/>
              </w:rPr>
              <w:t>$ (86)</w:t>
            </w: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4"/>
              </w:rPr>
              <w:t>$ (29)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445</w:t>
            </w:r>
          </w:p>
        </w:tc>
        <w:tc>
          <w:tcPr>
            <w:tcW w:w="5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366</w:t>
            </w:r>
          </w:p>
        </w:tc>
        <w:tc>
          <w:tcPr>
            <w:tcW w:w="4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845</w:t>
            </w:r>
          </w:p>
        </w:tc>
        <w:tc>
          <w:tcPr>
            <w:tcW w:w="3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653</w:t>
            </w:r>
          </w:p>
        </w:tc>
        <w:tc>
          <w:tcPr>
            <w:tcW w:w="0" w:type="dxa"/>
            <w:vAlign w:val="bottom"/>
          </w:tcPr>
          <w:p>
            <w:pPr>
              <w:spacing w:after="0"/>
              <w:rPr>
                <w:sz w:val="1"/>
                <w:szCs w:val="1"/>
                <w:color w:val="auto"/>
              </w:rPr>
            </w:pPr>
          </w:p>
        </w:tc>
      </w:tr>
      <w:tr>
        <w:trPr>
          <w:trHeight w:val="20"/>
        </w:trPr>
        <w:tc>
          <w:tcPr>
            <w:tcW w:w="78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980" w:type="dxa"/>
            <w:vAlign w:val="bottom"/>
            <w:gridSpan w:val="3"/>
          </w:tcPr>
          <w:p>
            <w:pPr>
              <w:spacing w:after="0"/>
              <w:rPr>
                <w:sz w:val="20"/>
                <w:szCs w:val="20"/>
                <w:color w:val="auto"/>
              </w:rPr>
            </w:pPr>
            <w:r>
              <w:rPr>
                <w:rFonts w:ascii="Arial" w:cs="Arial" w:eastAsia="Arial" w:hAnsi="Arial"/>
                <w:sz w:val="18"/>
                <w:szCs w:val="18"/>
                <w:color w:val="auto"/>
                <w:w w:val="90"/>
              </w:rPr>
              <w:t>A reconciliation of the US statutory federal tax rate of 35% to the consolidated effective income tax rate follows: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6"/>
          </w:tcPr>
          <w:p>
            <w:pPr>
              <w:jc w:val="right"/>
              <w:ind w:right="740"/>
              <w:spacing w:after="0"/>
              <w:rPr>
                <w:sz w:val="20"/>
                <w:szCs w:val="20"/>
                <w:color w:val="auto"/>
              </w:rPr>
            </w:pPr>
            <w:r>
              <w:rPr>
                <w:rFonts w:ascii="Arial" w:cs="Arial" w:eastAsia="Arial" w:hAnsi="Arial"/>
                <w:sz w:val="14"/>
                <w:szCs w:val="14"/>
                <w:color w:val="auto"/>
                <w:w w:val="84"/>
              </w:rPr>
              <w:t>Second Quarter</w:t>
            </w:r>
          </w:p>
        </w:tc>
        <w:tc>
          <w:tcPr>
            <w:tcW w:w="960" w:type="dxa"/>
            <w:vAlign w:val="bottom"/>
            <w:gridSpan w:val="5"/>
          </w:tcPr>
          <w:p>
            <w:pPr>
              <w:jc w:val="right"/>
              <w:spacing w:after="0"/>
              <w:rPr>
                <w:sz w:val="20"/>
                <w:szCs w:val="20"/>
                <w:color w:val="auto"/>
              </w:rPr>
            </w:pPr>
            <w:r>
              <w:rPr>
                <w:rFonts w:ascii="Arial" w:cs="Arial" w:eastAsia="Arial" w:hAnsi="Arial"/>
                <w:sz w:val="14"/>
                <w:szCs w:val="14"/>
                <w:color w:val="auto"/>
              </w:rPr>
              <w:t>Six Months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4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6"/>
              </w:rPr>
              <w:t>2012</w:t>
            </w:r>
          </w:p>
        </w:tc>
        <w:tc>
          <w:tcPr>
            <w:tcW w:w="1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2011</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2012</w:t>
            </w:r>
          </w:p>
        </w:tc>
        <w:tc>
          <w:tcPr>
            <w:tcW w:w="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3"/>
              </w:rPr>
              <w:t>2011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US federal statutory rate</w:t>
            </w:r>
          </w:p>
        </w:tc>
        <w:tc>
          <w:tcPr>
            <w:tcW w:w="860" w:type="dxa"/>
            <w:vAlign w:val="bottom"/>
            <w:tcBorders>
              <w:right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35%</w:t>
            </w:r>
          </w:p>
        </w:tc>
        <w:tc>
          <w:tcPr>
            <w:tcW w:w="84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35%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US state income taxes</w:t>
            </w:r>
          </w:p>
        </w:tc>
        <w:tc>
          <w:tcPr>
            <w:tcW w:w="860" w:type="dxa"/>
            <w:vAlign w:val="bottom"/>
            <w:gridSpan w:val="4"/>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36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Non-US income taxed at different rates</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3"/>
              </w:rPr>
              <w:t>(11)</w:t>
            </w:r>
          </w:p>
        </w:tc>
        <w:tc>
          <w:tcPr>
            <w:tcW w:w="50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w:t>
            </w:r>
          </w:p>
        </w:tc>
        <w:tc>
          <w:tcPr>
            <w:tcW w:w="48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1"/>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4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860" w:type="dxa"/>
            <w:vAlign w:val="bottom"/>
            <w:tcBorders>
              <w:right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24%</w:t>
            </w:r>
          </w:p>
        </w:tc>
        <w:tc>
          <w:tcPr>
            <w:tcW w:w="84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w:t>
            </w: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2007, Schlumberger received an inquiry from the United States Department of Justice (“DOJ”) related to the DOJ’s investigation of whether certain freight forwarding and customs clearance services of Panalpina, Inc., and other companies provided to oil and oilfield service companies, including Schlumberger, violated the Foreign Corrupt Practices Act. Schlumberger is cooperating with the governmental authorities.</w:t>
      </w:r>
    </w:p>
    <w:p>
      <w:pPr>
        <w:spacing w:after="0" w:line="107"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In 2009, Schlumberger learned that United States officials began a grand jury investigation and an associated regulatory inquiry, both related to certain Schlumberger operations in specified countries that are subject to United States trade and economic sanctions. Also in 2009, prior to being acquired by Schlumberger, Smith received an administrative subpoena with respect to its historical business practices in certain countries that are subject to United States trade and economic sanctions. Schlumberger is cooperating with the governmental authorities.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On April 20, 2010, a fire and explosion occurred onboard the semisubmersible drilling rig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owned by Transocean Ltd. and under contract to a subsidiary of BP plc. Pursuant to a contract between M-I SWACO and BP, M-I SWACO provided certain services under the direction of BP. A number of legal actions, certain of which name an M-I SWACO entity as a defendant, have been filed in connection with the </w:t>
      </w:r>
      <w:r>
        <w:rPr>
          <w:rFonts w:ascii="Arial" w:cs="Arial" w:eastAsia="Arial" w:hAnsi="Arial"/>
          <w:sz w:val="16"/>
          <w:szCs w:val="16"/>
          <w:i w:val="1"/>
          <w:iCs w:val="1"/>
          <w:color w:val="auto"/>
        </w:rPr>
        <w:t>Deepwater Horizon</w:t>
      </w:r>
      <w:r>
        <w:rPr>
          <w:rFonts w:ascii="Arial" w:cs="Arial" w:eastAsia="Arial" w:hAnsi="Arial"/>
          <w:sz w:val="16"/>
          <w:szCs w:val="16"/>
          <w:color w:val="auto"/>
        </w:rPr>
        <w:t xml:space="preserve"> incident, and additional legal actions may be filed in the future. Based on information currently known, the amount of any potential loss attributable to M-I SWACO with respect to potential liabilities related to the incident would not be material to Schlumberger’s consolidated financial statements.</w:t>
      </w:r>
    </w:p>
    <w:p>
      <w:pPr>
        <w:spacing w:after="0" w:line="1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Schlumberger and its subsidiaries are party to various other legal proceedings from time to time. A liability is accrued when a loss is both probable and can be reasonably estimated. Management believes that the probability of a material loss is remote. However, litigation is inherently uncertain and it is not possible to predict the ultimate disposition of these proceedings.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Segment Information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5"/>
          </w:tcPr>
          <w:p>
            <w:pPr>
              <w:ind w:left="400"/>
              <w:spacing w:after="0"/>
              <w:rPr>
                <w:sz w:val="20"/>
                <w:szCs w:val="20"/>
                <w:color w:val="auto"/>
              </w:rPr>
            </w:pPr>
            <w:r>
              <w:rPr>
                <w:rFonts w:ascii="Arial" w:cs="Arial" w:eastAsia="Arial" w:hAnsi="Arial"/>
                <w:sz w:val="14"/>
                <w:szCs w:val="14"/>
                <w:i w:val="1"/>
                <w:iCs w:val="1"/>
                <w:color w:val="auto"/>
                <w:w w:val="97"/>
              </w:rPr>
              <w:t>(Stated in millions)</w:t>
            </w:r>
          </w:p>
        </w:tc>
      </w:tr>
      <w:tr>
        <w:trPr>
          <w:trHeight w:val="161"/>
        </w:trPr>
        <w:tc>
          <w:tcPr>
            <w:tcW w:w="4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87"/>
              </w:rPr>
              <w:t>Second Quarter 2012</w:t>
            </w:r>
          </w:p>
        </w:tc>
        <w:tc>
          <w:tcPr>
            <w:tcW w:w="1540" w:type="dxa"/>
            <w:vAlign w:val="bottom"/>
            <w:gridSpan w:val="5"/>
          </w:tcPr>
          <w:p>
            <w:pPr>
              <w:ind w:left="120"/>
              <w:spacing w:after="0"/>
              <w:rPr>
                <w:sz w:val="20"/>
                <w:szCs w:val="20"/>
                <w:color w:val="auto"/>
              </w:rPr>
            </w:pPr>
            <w:r>
              <w:rPr>
                <w:rFonts w:ascii="Arial" w:cs="Arial" w:eastAsia="Arial" w:hAnsi="Arial"/>
                <w:sz w:val="14"/>
                <w:szCs w:val="14"/>
                <w:b w:val="1"/>
                <w:bCs w:val="1"/>
                <w:color w:val="auto"/>
                <w:w w:val="99"/>
              </w:rPr>
              <w:t>Second Quarter 2011</w:t>
            </w:r>
          </w:p>
        </w:tc>
      </w:tr>
      <w:tr>
        <w:trPr>
          <w:trHeight w:val="129"/>
        </w:trPr>
        <w:tc>
          <w:tcPr>
            <w:tcW w:w="47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4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r>
      <w:tr>
        <w:trPr>
          <w:trHeight w:val="149"/>
        </w:trPr>
        <w:tc>
          <w:tcPr>
            <w:tcW w:w="47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before</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before</w:t>
            </w:r>
          </w:p>
        </w:tc>
      </w:tr>
      <w:tr>
        <w:trPr>
          <w:trHeight w:val="161"/>
        </w:trPr>
        <w:tc>
          <w:tcPr>
            <w:tcW w:w="4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78"/>
              </w:rPr>
              <w:t>taxes</w:t>
            </w: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Revenue</w:t>
            </w:r>
          </w:p>
        </w:tc>
        <w:tc>
          <w:tcPr>
            <w:tcW w:w="80" w:type="dxa"/>
            <w:vAlign w:val="bottom"/>
          </w:tcPr>
          <w:p>
            <w:pPr>
              <w:spacing w:after="0"/>
              <w:rPr>
                <w:sz w:val="14"/>
                <w:szCs w:val="14"/>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4"/>
                <w:szCs w:val="14"/>
                <w:color w:val="auto"/>
                <w:w w:val="83"/>
              </w:rPr>
              <w:t>taxes</w:t>
            </w: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2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Reservoir Characterization</w:t>
            </w:r>
          </w:p>
        </w:tc>
        <w:tc>
          <w:tcPr>
            <w:tcW w:w="2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2,778</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784</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$ 2,461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Drilling </w:t>
            </w:r>
            <w:r>
              <w:rPr>
                <w:rFonts w:ascii="Arial" w:cs="Arial" w:eastAsia="Arial" w:hAnsi="Arial"/>
                <w:sz w:val="11"/>
                <w:szCs w:val="11"/>
                <w:color w:val="auto"/>
              </w:rPr>
              <w:t>(1)</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738</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3,367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 xml:space="preserve">Production </w:t>
            </w:r>
            <w:r>
              <w:rPr>
                <w:rFonts w:ascii="Arial" w:cs="Arial" w:eastAsia="Arial" w:hAnsi="Arial"/>
                <w:sz w:val="11"/>
                <w:szCs w:val="11"/>
                <w:color w:val="auto"/>
              </w:rPr>
              <w:t>(1)</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612</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3,152</w:t>
            </w: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Eliminations &amp; other</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(35)</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22"/>
        </w:trPr>
        <w:tc>
          <w:tcPr>
            <w:tcW w:w="47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10,448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2,099</w:t>
            </w:r>
          </w:p>
        </w:tc>
        <w:tc>
          <w:tcPr>
            <w:tcW w:w="40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8,990</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1,750</w:t>
            </w:r>
          </w:p>
        </w:tc>
        <w:tc>
          <w:tcPr>
            <w:tcW w:w="100" w:type="dxa"/>
            <w:vAlign w:val="bottom"/>
          </w:tcPr>
          <w:p>
            <w:pPr>
              <w:spacing w:after="0"/>
              <w:rPr>
                <w:sz w:val="19"/>
                <w:szCs w:val="19"/>
                <w:color w:val="auto"/>
              </w:rPr>
            </w:pPr>
          </w:p>
        </w:tc>
      </w:tr>
      <w:tr>
        <w:trPr>
          <w:trHeight w:val="217"/>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(169)</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r>
      <w:tr>
        <w:trPr>
          <w:trHeight w:val="216"/>
        </w:trPr>
        <w:tc>
          <w:tcPr>
            <w:tcW w:w="476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7</w:t>
            </w:r>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(76)</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r>
      <w:tr>
        <w:trPr>
          <w:trHeight w:val="216"/>
        </w:trPr>
        <w:tc>
          <w:tcPr>
            <w:tcW w:w="4760" w:type="dxa"/>
            <w:vAlign w:val="bottom"/>
          </w:tcPr>
          <w:p>
            <w:pPr>
              <w:spacing w:after="0"/>
              <w:rPr>
                <w:sz w:val="20"/>
                <w:szCs w:val="20"/>
                <w:color w:val="auto"/>
              </w:rPr>
            </w:pPr>
            <w:r>
              <w:rPr>
                <w:rFonts w:ascii="Arial" w:cs="Arial" w:eastAsia="Arial" w:hAnsi="Arial"/>
                <w:sz w:val="18"/>
                <w:szCs w:val="18"/>
                <w:b w:val="1"/>
                <w:bCs w:val="1"/>
                <w:color w:val="auto"/>
              </w:rPr>
              <w:t xml:space="preserve">Charges and credits </w:t>
            </w:r>
            <w:r>
              <w:rPr>
                <w:rFonts w:ascii="Arial" w:cs="Arial" w:eastAsia="Arial" w:hAnsi="Arial"/>
                <w:sz w:val="18"/>
                <w:szCs w:val="18"/>
                <w:color w:val="auto"/>
              </w:rPr>
              <w:t>(see Note 2)</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(22)</w:t>
            </w:r>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r>
      <w:tr>
        <w:trPr>
          <w:trHeight w:val="27"/>
        </w:trPr>
        <w:tc>
          <w:tcPr>
            <w:tcW w:w="47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3"/>
              </w:rPr>
              <w:t>10,448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4"/>
              </w:rPr>
              <w:t>1,839</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3"/>
              </w:rPr>
              <w:t>$ 8,990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1,475</w:t>
            </w:r>
          </w:p>
        </w:tc>
      </w:tr>
      <w:tr>
        <w:trPr>
          <w:trHeight w:val="20"/>
        </w:trPr>
        <w:tc>
          <w:tcPr>
            <w:tcW w:w="4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40" w:hanging="452"/>
        <w:spacing w:after="0" w:line="228" w:lineRule="auto"/>
        <w:tabs>
          <w:tab w:leader="none" w:pos="46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Effective January 1, 2012, a component of the Drilling Group has been reallocated to the Production Group. Historical segment information has been reclassified to conform to this new presentation.</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Excludes interest expense included in the segment results ($2 million in 2012; $- million in 2011).</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7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2012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2011</w:t>
            </w:r>
          </w:p>
        </w:tc>
        <w:tc>
          <w:tcPr>
            <w:tcW w:w="0" w:type="dxa"/>
            <w:vAlign w:val="bottom"/>
          </w:tcPr>
          <w:p>
            <w:pPr>
              <w:spacing w:after="0"/>
              <w:rPr>
                <w:sz w:val="1"/>
                <w:szCs w:val="1"/>
                <w:color w:val="auto"/>
              </w:rPr>
            </w:pPr>
          </w:p>
        </w:tc>
      </w:tr>
      <w:tr>
        <w:trPr>
          <w:trHeight w:val="129"/>
        </w:trPr>
        <w:tc>
          <w:tcPr>
            <w:tcW w:w="70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before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before</w:t>
            </w:r>
          </w:p>
        </w:tc>
        <w:tc>
          <w:tcPr>
            <w:tcW w:w="0" w:type="dxa"/>
            <w:vAlign w:val="bottom"/>
          </w:tcPr>
          <w:p>
            <w:pPr>
              <w:spacing w:after="0"/>
              <w:rPr>
                <w:sz w:val="1"/>
                <w:szCs w:val="1"/>
                <w:color w:val="auto"/>
              </w:rPr>
            </w:pPr>
          </w:p>
        </w:tc>
      </w:tr>
      <w:tr>
        <w:trPr>
          <w:trHeight w:val="161"/>
        </w:trPr>
        <w:tc>
          <w:tcPr>
            <w:tcW w:w="7060" w:type="dxa"/>
            <w:vAlign w:val="bottom"/>
          </w:tcPr>
          <w:p>
            <w:pPr>
              <w:spacing w:after="0"/>
              <w:rPr>
                <w:sz w:val="14"/>
                <w:szCs w:val="14"/>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8"/>
              </w:rPr>
              <w:t>taxes</w:t>
            </w:r>
          </w:p>
        </w:tc>
        <w:tc>
          <w:tcPr>
            <w:tcW w:w="160" w:type="dxa"/>
            <w:vAlign w:val="bottom"/>
          </w:tcPr>
          <w:p>
            <w:pPr>
              <w:spacing w:after="0"/>
              <w:rPr>
                <w:sz w:val="14"/>
                <w:szCs w:val="14"/>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4"/>
                <w:szCs w:val="14"/>
                <w:color w:val="auto"/>
                <w:w w:val="89"/>
              </w:rPr>
              <w:t>Revenue</w:t>
            </w:r>
          </w:p>
        </w:tc>
        <w:tc>
          <w:tcPr>
            <w:tcW w:w="20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7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Reservoir Characterization</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5,364</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$1,457</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4,654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Drilling </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7,786</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6,479</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 xml:space="preserve">Production </w:t>
            </w:r>
            <w:r>
              <w:rPr>
                <w:rFonts w:ascii="Arial" w:cs="Arial" w:eastAsia="Arial" w:hAnsi="Arial"/>
                <w:sz w:val="11"/>
                <w:szCs w:val="11"/>
                <w:color w:val="auto"/>
              </w:rPr>
              <w:t>(1)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7,276</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1,233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5,960</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Eliminations &amp; other</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20,366</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4,041</w:t>
            </w:r>
          </w:p>
        </w:tc>
        <w:tc>
          <w:tcPr>
            <w:tcW w:w="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17,112</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17"/>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8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b w:val="1"/>
                <w:bCs w:val="1"/>
                <w:color w:val="auto"/>
              </w:rPr>
              <w:t xml:space="preserve">Charges and credits </w:t>
            </w:r>
            <w:r>
              <w:rPr>
                <w:rFonts w:ascii="Arial" w:cs="Arial" w:eastAsia="Arial" w:hAnsi="Arial"/>
                <w:sz w:val="18"/>
                <w:szCs w:val="18"/>
                <w:color w:val="auto"/>
              </w:rPr>
              <w:t>(see Note 2)</w:t>
            </w:r>
          </w:p>
        </w:tc>
        <w:tc>
          <w:tcPr>
            <w:tcW w:w="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20,366</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3,525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17,112</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80" w:hanging="452"/>
        <w:spacing w:after="0" w:line="228" w:lineRule="auto"/>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Effective January 1, 2012, a component of the Drilling Group has been reallocated to the Production Group. Historical segment information has been reclassified to conform to this new presentation.</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Excludes interest expense included in the segment results ($2 million in 2012; $2 million in 2011).</w:t>
      </w:r>
    </w:p>
    <w:p>
      <w:pPr>
        <w:spacing w:after="0" w:line="231"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59"/>
        </w:trPr>
        <w:tc>
          <w:tcPr>
            <w:tcW w:w="43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320"/>
              <w:spacing w:after="0" w:line="159" w:lineRule="exact"/>
              <w:rPr>
                <w:sz w:val="20"/>
                <w:szCs w:val="20"/>
                <w:color w:val="auto"/>
              </w:rPr>
            </w:pPr>
            <w:r>
              <w:rPr>
                <w:rFonts w:ascii="Arial" w:cs="Arial" w:eastAsia="Arial" w:hAnsi="Arial"/>
                <w:sz w:val="14"/>
                <w:szCs w:val="14"/>
                <w:color w:val="auto"/>
                <w:w w:val="88"/>
              </w:rPr>
              <w:t>Second Quarter</w:t>
            </w: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4"/>
          </w:tcPr>
          <w:p>
            <w:pPr>
              <w:jc w:val="right"/>
              <w:ind w:right="240"/>
              <w:spacing w:after="0" w:line="159" w:lineRule="exact"/>
              <w:rPr>
                <w:sz w:val="20"/>
                <w:szCs w:val="20"/>
                <w:color w:val="auto"/>
              </w:rPr>
            </w:pPr>
            <w:r>
              <w:rPr>
                <w:rFonts w:ascii="Arial" w:cs="Arial" w:eastAsia="Arial" w:hAnsi="Arial"/>
                <w:sz w:val="14"/>
                <w:szCs w:val="14"/>
                <w:color w:val="auto"/>
              </w:rPr>
              <w:t>Six Months</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2011</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6"/>
              </w:rPr>
              <w:t>2011</w:t>
            </w: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2"/>
              </w:rPr>
              <w:t>US</w:t>
            </w:r>
          </w:p>
        </w:tc>
        <w:tc>
          <w:tcPr>
            <w:tcW w:w="3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Int’l</w:t>
            </w:r>
          </w:p>
        </w:tc>
        <w:tc>
          <w:tcPr>
            <w:tcW w:w="300" w:type="dxa"/>
            <w:vAlign w:val="bottom"/>
          </w:tcPr>
          <w:p>
            <w:pPr>
              <w:spacing w:after="0"/>
              <w:rPr>
                <w:sz w:val="12"/>
                <w:szCs w:val="12"/>
                <w:color w:val="auto"/>
              </w:rPr>
            </w:pPr>
          </w:p>
        </w:tc>
        <w:tc>
          <w:tcPr>
            <w:tcW w:w="60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US</w:t>
            </w:r>
          </w:p>
        </w:tc>
        <w:tc>
          <w:tcPr>
            <w:tcW w:w="2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color w:val="auto"/>
              </w:rPr>
              <w:t>Int’l</w:t>
            </w:r>
          </w:p>
        </w:tc>
        <w:tc>
          <w:tcPr>
            <w:tcW w:w="280" w:type="dxa"/>
            <w:vAlign w:val="bottom"/>
          </w:tcPr>
          <w:p>
            <w:pPr>
              <w:spacing w:after="0"/>
              <w:rPr>
                <w:sz w:val="12"/>
                <w:szCs w:val="12"/>
                <w:color w:val="auto"/>
              </w:rPr>
            </w:pPr>
          </w:p>
        </w:tc>
        <w:tc>
          <w:tcPr>
            <w:tcW w:w="64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US</w:t>
            </w: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Int’l</w:t>
            </w:r>
          </w:p>
        </w:tc>
        <w:tc>
          <w:tcPr>
            <w:tcW w:w="300" w:type="dxa"/>
            <w:vAlign w:val="bottom"/>
          </w:tcPr>
          <w:p>
            <w:pPr>
              <w:spacing w:after="0"/>
              <w:rPr>
                <w:sz w:val="12"/>
                <w:szCs w:val="12"/>
                <w:color w:val="auto"/>
              </w:rPr>
            </w:pPr>
          </w:p>
        </w:tc>
        <w:tc>
          <w:tcPr>
            <w:tcW w:w="40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US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ind w:right="15"/>
              <w:spacing w:after="0" w:line="142" w:lineRule="exact"/>
              <w:rPr>
                <w:sz w:val="20"/>
                <w:szCs w:val="20"/>
                <w:color w:val="auto"/>
              </w:rPr>
            </w:pPr>
            <w:r>
              <w:rPr>
                <w:rFonts w:ascii="Arial" w:cs="Arial" w:eastAsia="Arial" w:hAnsi="Arial"/>
                <w:sz w:val="14"/>
                <w:szCs w:val="14"/>
                <w:color w:val="auto"/>
              </w:rPr>
              <w:t>Int’l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 - benefits earned during period</w:t>
            </w:r>
          </w:p>
        </w:tc>
        <w:tc>
          <w:tcPr>
            <w:tcW w:w="2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$ 17</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$ 21</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$ 34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$ 30</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7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38</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58</w:t>
            </w: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116</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(47)</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(80)</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(42)</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5"/>
              </w:rPr>
              <w:t>(160)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(141)</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7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3</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2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23</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40" w:type="dxa"/>
            <w:vAlign w:val="bottom"/>
          </w:tcPr>
          <w:p>
            <w:pPr>
              <w:spacing w:after="0"/>
              <w:rPr>
                <w:sz w:val="19"/>
                <w:szCs w:val="19"/>
                <w:color w:val="auto"/>
              </w:rPr>
            </w:pPr>
          </w:p>
        </w:tc>
        <w:tc>
          <w:tcPr>
            <w:tcW w:w="2060" w:type="dxa"/>
            <w:vAlign w:val="bottom"/>
            <w:vMerge w:val="continue"/>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w w:val="96"/>
              </w:rPr>
              <w:t>$ 34</w:t>
            </w:r>
          </w:p>
        </w:tc>
        <w:tc>
          <w:tcPr>
            <w:tcW w:w="300" w:type="dxa"/>
            <w:vAlign w:val="bottom"/>
            <w:vMerge w:val="continue"/>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8"/>
                <w:szCs w:val="18"/>
                <w:b w:val="1"/>
                <w:bCs w:val="1"/>
                <w:color w:val="auto"/>
                <w:w w:val="91"/>
              </w:rPr>
              <w:t>$ 44</w:t>
            </w:r>
          </w:p>
        </w:tc>
        <w:tc>
          <w:tcPr>
            <w:tcW w:w="300" w:type="dxa"/>
            <w:vAlign w:val="bottom"/>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$ 34</w:t>
            </w:r>
          </w:p>
        </w:tc>
        <w:tc>
          <w:tcPr>
            <w:tcW w:w="2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6"/>
              </w:rPr>
              <w:t>$ 41</w:t>
            </w:r>
          </w:p>
        </w:tc>
        <w:tc>
          <w:tcPr>
            <w:tcW w:w="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1"/>
              </w:rPr>
              <w:t>$ 69</w:t>
            </w:r>
          </w:p>
        </w:tc>
        <w:tc>
          <w:tcPr>
            <w:tcW w:w="3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300" w:type="dxa"/>
            <w:vAlign w:val="bottom"/>
            <w:vMerge w:val="continue"/>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$ 70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60" w:type="dxa"/>
            <w:vAlign w:val="bottom"/>
            <w:vMerge w:val="restart"/>
          </w:tcPr>
          <w:p>
            <w:pPr>
              <w:jc w:val="right"/>
              <w:ind w:right="512"/>
              <w:spacing w:after="0"/>
              <w:rPr>
                <w:sz w:val="20"/>
                <w:szCs w:val="20"/>
                <w:color w:val="auto"/>
              </w:rPr>
            </w:pPr>
            <w:r>
              <w:rPr>
                <w:rFonts w:ascii="Arial" w:cs="Arial" w:eastAsia="Arial" w:hAnsi="Arial"/>
                <w:sz w:val="18"/>
                <w:szCs w:val="18"/>
                <w:color w:val="auto"/>
              </w:rPr>
              <w:t>17</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4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cost for the Schlumberger US postretirement medical plan included the following components: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4"/>
          </w:tcPr>
          <w:p>
            <w:pPr>
              <w:ind w:left="40"/>
              <w:spacing w:after="0"/>
              <w:rPr>
                <w:sz w:val="20"/>
                <w:szCs w:val="20"/>
                <w:color w:val="auto"/>
              </w:rPr>
            </w:pPr>
            <w:r>
              <w:rPr>
                <w:rFonts w:ascii="Arial" w:cs="Arial" w:eastAsia="Arial" w:hAnsi="Arial"/>
                <w:sz w:val="14"/>
                <w:szCs w:val="14"/>
                <w:i w:val="1"/>
                <w:iCs w:val="1"/>
                <w:color w:val="auto"/>
                <w:w w:val="97"/>
              </w:rPr>
              <w:t>(Stated in millions)</w:t>
            </w:r>
          </w:p>
        </w:tc>
      </w:tr>
      <w:tr>
        <w:trPr>
          <w:trHeight w:val="159"/>
        </w:trPr>
        <w:tc>
          <w:tcPr>
            <w:tcW w:w="7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7"/>
          </w:tcPr>
          <w:p>
            <w:pPr>
              <w:jc w:val="right"/>
              <w:ind w:right="360"/>
              <w:spacing w:after="0" w:line="159" w:lineRule="exact"/>
              <w:rPr>
                <w:sz w:val="20"/>
                <w:szCs w:val="20"/>
                <w:color w:val="auto"/>
              </w:rPr>
            </w:pPr>
            <w:r>
              <w:rPr>
                <w:rFonts w:ascii="Arial" w:cs="Arial" w:eastAsia="Arial" w:hAnsi="Arial"/>
                <w:sz w:val="14"/>
                <w:szCs w:val="14"/>
                <w:color w:val="auto"/>
                <w:w w:val="84"/>
              </w:rPr>
              <w:t>Second Quarter</w:t>
            </w:r>
          </w:p>
        </w:tc>
        <w:tc>
          <w:tcPr>
            <w:tcW w:w="160" w:type="dxa"/>
            <w:vAlign w:val="bottom"/>
          </w:tcPr>
          <w:p>
            <w:pPr>
              <w:spacing w:after="0"/>
              <w:rPr>
                <w:sz w:val="13"/>
                <w:szCs w:val="13"/>
                <w:color w:val="auto"/>
              </w:rPr>
            </w:pPr>
          </w:p>
        </w:tc>
        <w:tc>
          <w:tcPr>
            <w:tcW w:w="1180" w:type="dxa"/>
            <w:vAlign w:val="bottom"/>
            <w:gridSpan w:val="4"/>
          </w:tcPr>
          <w:p>
            <w:pPr>
              <w:ind w:left="220"/>
              <w:spacing w:after="0" w:line="159" w:lineRule="exact"/>
              <w:rPr>
                <w:sz w:val="20"/>
                <w:szCs w:val="20"/>
                <w:color w:val="auto"/>
              </w:rPr>
            </w:pPr>
            <w:r>
              <w:rPr>
                <w:rFonts w:ascii="Arial" w:cs="Arial" w:eastAsia="Arial" w:hAnsi="Arial"/>
                <w:sz w:val="14"/>
                <w:szCs w:val="14"/>
                <w:color w:val="auto"/>
              </w:rPr>
              <w:t>Six Months</w:t>
            </w:r>
          </w:p>
        </w:tc>
      </w:tr>
      <w:tr>
        <w:trPr>
          <w:trHeight w:val="142"/>
        </w:trPr>
        <w:tc>
          <w:tcPr>
            <w:tcW w:w="7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2011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2012</w:t>
            </w:r>
          </w:p>
        </w:tc>
        <w:tc>
          <w:tcPr>
            <w:tcW w:w="4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2011</w:t>
            </w:r>
          </w:p>
        </w:tc>
        <w:tc>
          <w:tcPr>
            <w:tcW w:w="100" w:type="dxa"/>
            <w:vAlign w:val="bottom"/>
          </w:tcPr>
          <w:p>
            <w:pPr>
              <w:spacing w:after="0"/>
              <w:rPr>
                <w:sz w:val="12"/>
                <w:szCs w:val="12"/>
                <w:color w:val="auto"/>
              </w:rPr>
            </w:pPr>
          </w:p>
        </w:tc>
      </w:tr>
      <w:tr>
        <w:trPr>
          <w:trHeight w:val="210"/>
        </w:trPr>
        <w:tc>
          <w:tcPr>
            <w:tcW w:w="7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 - benefits earned during period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$ 14</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4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9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(4)</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4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23"/>
        </w:trPr>
        <w:tc>
          <w:tcPr>
            <w:tcW w:w="7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99"/>
              </w:rPr>
              <w:t>18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w:t>
            </w: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1"/>
              </w:rPr>
              <w:t>$ 36</w:t>
            </w:r>
          </w:p>
        </w:tc>
        <w:tc>
          <w:tcPr>
            <w:tcW w:w="40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$ 31</w:t>
            </w:r>
          </w:p>
        </w:tc>
      </w:tr>
      <w:tr>
        <w:trPr>
          <w:trHeight w:val="20"/>
        </w:trPr>
        <w:tc>
          <w:tcPr>
            <w:tcW w:w="7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the second quarter of 2012, Schlumberger sold its Wilson distribution business to National Oilwell Varco Inc. (“NOV”) for $906 million in cash. A pretax gain of $137 million ($16 million after-tax) was recognized in connection with this transaction.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During July 2012, Schlumberger completed the sale of its 56% interest in CE Franklin Ltd. to NOV for $122 million in cash.</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As Wilson and CE Franklin comprised Schlumberger’s Distribution segment, the results of this entire segment have been classified as discontinued operations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During the second quarter of 2011, Schlumberger completed the divestiture of its Global Connectivity Services business for approximately $385 million in cash. An after-tax gain of $220 million was recognized in connection with this transaction, and is classified in </w:t>
      </w:r>
      <w:r>
        <w:rPr>
          <w:rFonts w:ascii="Arial" w:cs="Arial" w:eastAsia="Arial" w:hAnsi="Arial"/>
          <w:sz w:val="18"/>
          <w:szCs w:val="18"/>
          <w:i w:val="1"/>
          <w:iCs w:val="1"/>
          <w:color w:val="auto"/>
        </w:rPr>
        <w:t>Income from 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of Income</w:t>
      </w:r>
      <w:r>
        <w:rPr>
          <w:rFonts w:ascii="Arial" w:cs="Arial" w:eastAsia="Arial" w:hAnsi="Arial"/>
          <w:sz w:val="18"/>
          <w:szCs w:val="18"/>
          <w:color w:val="auto"/>
        </w:rPr>
        <w:t>. The historical results of this business were not significant to Schlumberger’s consolidated financial statements and, as such, have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reclassified to discontinued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these discontinued operations (in millions):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right"/>
              <w:ind w:right="440"/>
              <w:spacing w:after="0"/>
              <w:rPr>
                <w:sz w:val="20"/>
                <w:szCs w:val="20"/>
                <w:color w:val="auto"/>
              </w:rPr>
            </w:pPr>
            <w:r>
              <w:rPr>
                <w:rFonts w:ascii="Arial" w:cs="Arial" w:eastAsia="Arial" w:hAnsi="Arial"/>
                <w:sz w:val="14"/>
                <w:szCs w:val="14"/>
                <w:color w:val="auto"/>
                <w:w w:val="93"/>
              </w:rPr>
              <w:t>Second Quarter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jc w:val="right"/>
              <w:ind w:right="460"/>
              <w:spacing w:after="0"/>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42"/>
        </w:trPr>
        <w:tc>
          <w:tcPr>
            <w:tcW w:w="436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5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2011</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289</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631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982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Income before taxes</w:t>
            </w:r>
          </w:p>
        </w:tc>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vMerge w:val="continue"/>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Gain on divestiture, net of tax</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Income from discontinued operations</w:t>
            </w:r>
          </w:p>
        </w:tc>
        <w:tc>
          <w:tcPr>
            <w:tcW w:w="29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vMerge w:val="continue"/>
          </w:tcPr>
          <w:p>
            <w:pPr>
              <w:spacing w:after="0"/>
              <w:rPr>
                <w:sz w:val="19"/>
                <w:szCs w:val="19"/>
                <w:color w:val="auto"/>
              </w:rPr>
            </w:pPr>
          </w:p>
        </w:tc>
        <w:tc>
          <w:tcPr>
            <w:tcW w:w="2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5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233</w:t>
            </w:r>
          </w:p>
        </w:tc>
        <w:tc>
          <w:tcPr>
            <w:tcW w:w="26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980" w:type="dxa"/>
            <w:vAlign w:val="bottom"/>
            <w:vMerge w:val="restart"/>
          </w:tcPr>
          <w:p>
            <w:pPr>
              <w:jc w:val="right"/>
              <w:ind w:right="1912"/>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6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2.</w:t>
            </w:r>
          </w:p>
        </w:tc>
        <w:tc>
          <w:tcPr>
            <w:tcW w:w="180" w:type="dxa"/>
            <w:vAlign w:val="bottom"/>
          </w:tcPr>
          <w:p>
            <w:pPr>
              <w:spacing w:after="0"/>
              <w:rPr>
                <w:sz w:val="17"/>
                <w:szCs w:val="17"/>
                <w:color w:val="auto"/>
              </w:rPr>
            </w:pPr>
          </w:p>
        </w:tc>
        <w:tc>
          <w:tcPr>
            <w:tcW w:w="7860" w:type="dxa"/>
            <w:vAlign w:val="bottom"/>
            <w:gridSpan w:val="12"/>
          </w:tcPr>
          <w:p>
            <w:pPr>
              <w:ind w:left="320"/>
              <w:spacing w:after="0"/>
              <w:rPr>
                <w:sz w:val="20"/>
                <w:szCs w:val="20"/>
                <w:color w:val="auto"/>
              </w:rPr>
            </w:pPr>
            <w:r>
              <w:rPr>
                <w:rFonts w:ascii="Arial" w:cs="Arial" w:eastAsia="Arial" w:hAnsi="Arial"/>
                <w:sz w:val="18"/>
                <w:szCs w:val="18"/>
                <w:b w:val="1"/>
                <w:bCs w:val="1"/>
                <w:color w:val="auto"/>
                <w:w w:val="97"/>
              </w:rPr>
              <w:t>Management’s Discussion and Analysis of Financial Condition and Results of Operations.</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8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89"/>
              </w:rPr>
              <w:t>Second Quarter 2012 Compared to First Quarter 2012</w:t>
            </w:r>
          </w:p>
        </w:tc>
        <w:tc>
          <w:tcPr>
            <w:tcW w:w="8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40" w:type="dxa"/>
            <w:vAlign w:val="bottom"/>
            <w:gridSpan w:val="9"/>
          </w:tcPr>
          <w:p>
            <w:pPr>
              <w:jc w:val="center"/>
              <w:ind w:right="2180"/>
              <w:spacing w:after="0"/>
              <w:rPr>
                <w:sz w:val="20"/>
                <w:szCs w:val="20"/>
                <w:color w:val="auto"/>
              </w:rPr>
            </w:pPr>
            <w:r>
              <w:rPr>
                <w:rFonts w:ascii="Arial" w:cs="Arial" w:eastAsia="Arial" w:hAnsi="Arial"/>
                <w:sz w:val="18"/>
                <w:szCs w:val="18"/>
                <w:b w:val="1"/>
                <w:bCs w:val="1"/>
                <w:color w:val="auto"/>
                <w:w w:val="87"/>
              </w:rPr>
              <w:t>Product Groups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00" w:type="dxa"/>
            <w:vAlign w:val="bottom"/>
            <w:gridSpan w:val="8"/>
            <w:vMerge w:val="restart"/>
          </w:tcPr>
          <w:p>
            <w:pPr>
              <w:jc w:val="right"/>
              <w:ind w:right="360"/>
              <w:spacing w:after="0"/>
              <w:rPr>
                <w:sz w:val="20"/>
                <w:szCs w:val="20"/>
                <w:color w:val="auto"/>
              </w:rPr>
            </w:pPr>
            <w:r>
              <w:rPr>
                <w:rFonts w:ascii="Arial" w:cs="Arial" w:eastAsia="Arial" w:hAnsi="Arial"/>
                <w:sz w:val="14"/>
                <w:szCs w:val="14"/>
                <w:b w:val="1"/>
                <w:bCs w:val="1"/>
                <w:color w:val="auto"/>
                <w:w w:val="94"/>
              </w:rPr>
              <w:t>Second Quarter 2012</w:t>
            </w:r>
          </w:p>
        </w:tc>
        <w:tc>
          <w:tcPr>
            <w:tcW w:w="160" w:type="dxa"/>
            <w:vAlign w:val="bottom"/>
          </w:tcPr>
          <w:p>
            <w:pPr>
              <w:spacing w:after="0"/>
              <w:rPr>
                <w:sz w:val="24"/>
                <w:szCs w:val="24"/>
                <w:color w:val="auto"/>
              </w:rPr>
            </w:pPr>
          </w:p>
        </w:tc>
        <w:tc>
          <w:tcPr>
            <w:tcW w:w="1500" w:type="dxa"/>
            <w:vAlign w:val="bottom"/>
            <w:gridSpan w:val="6"/>
          </w:tcPr>
          <w:p>
            <w:pPr>
              <w:ind w:left="1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00" w:type="dxa"/>
            <w:vAlign w:val="bottom"/>
            <w:gridSpan w:val="8"/>
            <w:vMerge w:val="continue"/>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6"/>
          </w:tcPr>
          <w:p>
            <w:pPr>
              <w:ind w:left="200"/>
              <w:spacing w:after="0" w:line="159" w:lineRule="exact"/>
              <w:rPr>
                <w:sz w:val="20"/>
                <w:szCs w:val="20"/>
                <w:color w:val="auto"/>
              </w:rPr>
            </w:pPr>
            <w:r>
              <w:rPr>
                <w:rFonts w:ascii="Arial" w:cs="Arial" w:eastAsia="Arial" w:hAnsi="Arial"/>
                <w:sz w:val="14"/>
                <w:szCs w:val="14"/>
                <w:color w:val="auto"/>
              </w:rPr>
              <w:t>First Quarter 2012</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89"/>
              </w:rPr>
              <w:t>Revenue</w:t>
            </w:r>
          </w:p>
        </w:tc>
        <w:tc>
          <w:tcPr>
            <w:tcW w:w="80" w:type="dxa"/>
            <w:vAlign w:val="bottom"/>
          </w:tcPr>
          <w:p>
            <w:pPr>
              <w:spacing w:after="0"/>
              <w:rPr>
                <w:sz w:val="14"/>
                <w:szCs w:val="14"/>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82"/>
              </w:rPr>
              <w:t>Revenue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2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1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2"/>
          </w:tcPr>
          <w:p>
            <w:pPr>
              <w:ind w:left="180"/>
              <w:spacing w:after="0"/>
              <w:rPr>
                <w:sz w:val="20"/>
                <w:szCs w:val="20"/>
                <w:color w:val="auto"/>
              </w:rPr>
            </w:pPr>
            <w:r>
              <w:rPr>
                <w:rFonts w:ascii="Arial" w:cs="Arial" w:eastAsia="Arial" w:hAnsi="Arial"/>
                <w:sz w:val="18"/>
                <w:szCs w:val="18"/>
                <w:color w:val="auto"/>
              </w:rPr>
              <w:t>Reservoir Characterization</w:t>
            </w:r>
          </w:p>
        </w:tc>
        <w:tc>
          <w:tcPr>
            <w:tcW w:w="4520" w:type="dxa"/>
            <w:vAlign w:val="bottom"/>
            <w:gridSpan w:val="9"/>
          </w:tcPr>
          <w:p>
            <w:pPr>
              <w:jc w:val="right"/>
              <w:ind w:right="20"/>
              <w:spacing w:after="0"/>
              <w:rPr>
                <w:sz w:val="20"/>
                <w:szCs w:val="20"/>
                <w:color w:val="auto"/>
              </w:rPr>
            </w:pPr>
            <w:r>
              <w:rPr>
                <w:rFonts w:ascii="Arial" w:cs="Arial" w:eastAsia="Arial" w:hAnsi="Arial"/>
                <w:sz w:val="18"/>
                <w:szCs w:val="18"/>
                <w:b w:val="1"/>
                <w:bCs w:val="1"/>
                <w:color w:val="auto"/>
              </w:rPr>
              <w:t>$ 2,778</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784</w:t>
            </w:r>
          </w:p>
        </w:tc>
        <w:tc>
          <w:tcPr>
            <w:tcW w:w="2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$2,586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Drilling </w:t>
            </w:r>
            <w:r>
              <w:rPr>
                <w:rFonts w:ascii="Arial" w:cs="Arial" w:eastAsia="Arial" w:hAnsi="Arial"/>
                <w:sz w:val="11"/>
                <w:szCs w:val="11"/>
                <w:color w:val="auto"/>
              </w:rPr>
              <w:t>(1)</w:t>
            </w:r>
          </w:p>
        </w:tc>
        <w:tc>
          <w:tcPr>
            <w:tcW w:w="4520" w:type="dxa"/>
            <w:vAlign w:val="bottom"/>
            <w:gridSpan w:val="9"/>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4,001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3,785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2"/>
          </w:tcPr>
          <w:p>
            <w:pPr>
              <w:ind w:left="180"/>
              <w:spacing w:after="0"/>
              <w:rPr>
                <w:sz w:val="20"/>
                <w:szCs w:val="20"/>
                <w:color w:val="auto"/>
              </w:rPr>
            </w:pPr>
            <w:r>
              <w:rPr>
                <w:rFonts w:ascii="Arial" w:cs="Arial" w:eastAsia="Arial" w:hAnsi="Arial"/>
                <w:sz w:val="18"/>
                <w:szCs w:val="18"/>
                <w:color w:val="auto"/>
              </w:rPr>
              <w:t xml:space="preserve">Production </w:t>
            </w:r>
            <w:r>
              <w:rPr>
                <w:rFonts w:ascii="Arial" w:cs="Arial" w:eastAsia="Arial" w:hAnsi="Arial"/>
                <w:sz w:val="11"/>
                <w:szCs w:val="11"/>
                <w:color w:val="auto"/>
              </w:rPr>
              <w:t>(1)</w:t>
            </w:r>
          </w:p>
        </w:tc>
        <w:tc>
          <w:tcPr>
            <w:tcW w:w="4520" w:type="dxa"/>
            <w:vAlign w:val="bottom"/>
            <w:gridSpan w:val="9"/>
          </w:tcPr>
          <w:p>
            <w:pPr>
              <w:jc w:val="right"/>
              <w:ind w:right="20"/>
              <w:spacing w:after="0"/>
              <w:rPr>
                <w:sz w:val="20"/>
                <w:szCs w:val="20"/>
                <w:color w:val="auto"/>
              </w:rPr>
            </w:pPr>
            <w:r>
              <w:rPr>
                <w:rFonts w:ascii="Arial" w:cs="Arial" w:eastAsia="Arial" w:hAnsi="Arial"/>
                <w:sz w:val="18"/>
                <w:szCs w:val="18"/>
                <w:b w:val="1"/>
                <w:bCs w:val="1"/>
                <w:color w:val="auto"/>
              </w:rPr>
              <w:t>3,738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612</w:t>
            </w:r>
          </w:p>
        </w:tc>
        <w:tc>
          <w:tcPr>
            <w:tcW w:w="2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3,539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Eliminations &amp; other</w:t>
            </w:r>
          </w:p>
        </w:tc>
        <w:tc>
          <w:tcPr>
            <w:tcW w:w="3920" w:type="dxa"/>
            <w:vAlign w:val="bottom"/>
            <w:gridSpan w:val="5"/>
            <w:shd w:val="clear" w:color="auto" w:fill="CCEEFF"/>
          </w:tcPr>
          <w:p>
            <w:pPr>
              <w:spacing w:after="0"/>
              <w:rPr>
                <w:sz w:val="18"/>
                <w:szCs w:val="18"/>
                <w:color w:val="auto"/>
              </w:rPr>
            </w:pPr>
          </w:p>
        </w:tc>
        <w:tc>
          <w:tcPr>
            <w:tcW w:w="98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(35)</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10,448</w:t>
            </w:r>
          </w:p>
        </w:tc>
        <w:tc>
          <w:tcPr>
            <w:tcW w:w="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2,099</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9,918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1,943</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22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(2)</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220" w:type="dxa"/>
            <w:vAlign w:val="bottom"/>
            <w:gridSpan w:val="4"/>
          </w:tcPr>
          <w:p>
            <w:pPr>
              <w:spacing w:after="0"/>
              <w:rPr>
                <w:sz w:val="20"/>
                <w:szCs w:val="20"/>
                <w:color w:val="auto"/>
              </w:rPr>
            </w:pPr>
            <w:r>
              <w:rPr>
                <w:rFonts w:ascii="Arial" w:cs="Arial" w:eastAsia="Arial" w:hAnsi="Arial"/>
                <w:sz w:val="18"/>
                <w:szCs w:val="18"/>
                <w:b w:val="1"/>
                <w:bCs w:val="1"/>
                <w:color w:val="auto"/>
              </w:rPr>
              <w:t>Charges and credits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w:t>
            </w:r>
          </w:p>
        </w:tc>
        <w:tc>
          <w:tcPr>
            <w:tcW w:w="1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4520" w:type="dxa"/>
            <w:vAlign w:val="bottom"/>
            <w:gridSpan w:val="9"/>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10,448</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1,839</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1,687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40" w:type="dxa"/>
            <w:vAlign w:val="bottom"/>
            <w:gridSpan w:val="9"/>
          </w:tcPr>
          <w:p>
            <w:pPr>
              <w:jc w:val="center"/>
              <w:ind w:right="2180"/>
              <w:spacing w:after="0"/>
              <w:rPr>
                <w:sz w:val="20"/>
                <w:szCs w:val="20"/>
                <w:color w:val="auto"/>
              </w:rPr>
            </w:pPr>
            <w:r>
              <w:rPr>
                <w:rFonts w:ascii="Arial" w:cs="Arial" w:eastAsia="Arial" w:hAnsi="Arial"/>
                <w:sz w:val="18"/>
                <w:szCs w:val="18"/>
                <w:b w:val="1"/>
                <w:bCs w:val="1"/>
                <w:color w:val="auto"/>
                <w:w w:val="87"/>
              </w:rPr>
              <w:t>Geographic Areas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700" w:type="dxa"/>
            <w:vAlign w:val="bottom"/>
            <w:gridSpan w:val="8"/>
            <w:vMerge w:val="restart"/>
          </w:tcPr>
          <w:p>
            <w:pPr>
              <w:jc w:val="right"/>
              <w:ind w:right="360"/>
              <w:spacing w:after="0"/>
              <w:rPr>
                <w:sz w:val="20"/>
                <w:szCs w:val="20"/>
                <w:color w:val="auto"/>
              </w:rPr>
            </w:pPr>
            <w:r>
              <w:rPr>
                <w:rFonts w:ascii="Arial" w:cs="Arial" w:eastAsia="Arial" w:hAnsi="Arial"/>
                <w:sz w:val="14"/>
                <w:szCs w:val="14"/>
                <w:b w:val="1"/>
                <w:bCs w:val="1"/>
                <w:color w:val="auto"/>
                <w:w w:val="94"/>
              </w:rPr>
              <w:t>Second Quarter 2012</w:t>
            </w:r>
          </w:p>
        </w:tc>
        <w:tc>
          <w:tcPr>
            <w:tcW w:w="160" w:type="dxa"/>
            <w:vAlign w:val="bottom"/>
          </w:tcPr>
          <w:p>
            <w:pPr>
              <w:spacing w:after="0"/>
              <w:rPr>
                <w:sz w:val="24"/>
                <w:szCs w:val="24"/>
                <w:color w:val="auto"/>
              </w:rPr>
            </w:pPr>
          </w:p>
        </w:tc>
        <w:tc>
          <w:tcPr>
            <w:tcW w:w="1500" w:type="dxa"/>
            <w:vAlign w:val="bottom"/>
            <w:gridSpan w:val="6"/>
          </w:tcPr>
          <w:p>
            <w:pPr>
              <w:ind w:left="1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00" w:type="dxa"/>
            <w:vAlign w:val="bottom"/>
            <w:gridSpan w:val="8"/>
            <w:vMerge w:val="continue"/>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6"/>
          </w:tcPr>
          <w:p>
            <w:pPr>
              <w:ind w:left="200"/>
              <w:spacing w:after="0" w:line="159" w:lineRule="exact"/>
              <w:rPr>
                <w:sz w:val="20"/>
                <w:szCs w:val="20"/>
                <w:color w:val="auto"/>
              </w:rPr>
            </w:pPr>
            <w:r>
              <w:rPr>
                <w:rFonts w:ascii="Arial" w:cs="Arial" w:eastAsia="Arial" w:hAnsi="Arial"/>
                <w:sz w:val="14"/>
                <w:szCs w:val="14"/>
                <w:color w:val="auto"/>
              </w:rPr>
              <w:t>First Quarter 2012</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89"/>
              </w:rPr>
              <w:t>Revenue</w:t>
            </w:r>
          </w:p>
        </w:tc>
        <w:tc>
          <w:tcPr>
            <w:tcW w:w="80" w:type="dxa"/>
            <w:vAlign w:val="bottom"/>
          </w:tcPr>
          <w:p>
            <w:pPr>
              <w:spacing w:after="0"/>
              <w:rPr>
                <w:sz w:val="14"/>
                <w:szCs w:val="14"/>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Revenue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Taxes</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2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1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2"/>
          </w:tcPr>
          <w:p>
            <w:pPr>
              <w:ind w:left="180"/>
              <w:spacing w:after="0"/>
              <w:rPr>
                <w:sz w:val="20"/>
                <w:szCs w:val="20"/>
                <w:color w:val="auto"/>
              </w:rPr>
            </w:pPr>
            <w:r>
              <w:rPr>
                <w:rFonts w:ascii="Arial" w:cs="Arial" w:eastAsia="Arial" w:hAnsi="Arial"/>
                <w:sz w:val="18"/>
                <w:szCs w:val="18"/>
                <w:color w:val="auto"/>
              </w:rPr>
              <w:t>North America</w:t>
            </w:r>
          </w:p>
        </w:tc>
        <w:tc>
          <w:tcPr>
            <w:tcW w:w="4520" w:type="dxa"/>
            <w:vAlign w:val="bottom"/>
            <w:gridSpan w:val="9"/>
          </w:tcPr>
          <w:p>
            <w:pPr>
              <w:jc w:val="right"/>
              <w:ind w:right="20"/>
              <w:spacing w:after="0"/>
              <w:rPr>
                <w:sz w:val="20"/>
                <w:szCs w:val="20"/>
                <w:color w:val="auto"/>
              </w:rPr>
            </w:pPr>
            <w:r>
              <w:rPr>
                <w:rFonts w:ascii="Arial" w:cs="Arial" w:eastAsia="Arial" w:hAnsi="Arial"/>
                <w:sz w:val="18"/>
                <w:szCs w:val="18"/>
                <w:b w:val="1"/>
                <w:bCs w:val="1"/>
                <w:color w:val="auto"/>
              </w:rPr>
              <w:t>$ 3 ,346</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695</w:t>
            </w:r>
          </w:p>
        </w:tc>
        <w:tc>
          <w:tcPr>
            <w:tcW w:w="2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$3,403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4520" w:type="dxa"/>
            <w:vAlign w:val="bottom"/>
            <w:gridSpan w:val="9"/>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1,844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1,754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2"/>
          </w:tcPr>
          <w:p>
            <w:pPr>
              <w:ind w:left="180"/>
              <w:spacing w:after="0"/>
              <w:rPr>
                <w:sz w:val="20"/>
                <w:szCs w:val="20"/>
                <w:color w:val="auto"/>
              </w:rPr>
            </w:pPr>
            <w:r>
              <w:rPr>
                <w:rFonts w:ascii="Arial" w:cs="Arial" w:eastAsia="Arial" w:hAnsi="Arial"/>
                <w:sz w:val="18"/>
                <w:szCs w:val="18"/>
                <w:color w:val="auto"/>
              </w:rPr>
              <w:t>Europe/CIS/Africa</w:t>
            </w:r>
          </w:p>
        </w:tc>
        <w:tc>
          <w:tcPr>
            <w:tcW w:w="4520" w:type="dxa"/>
            <w:vAlign w:val="bottom"/>
            <w:gridSpan w:val="9"/>
          </w:tcPr>
          <w:p>
            <w:pPr>
              <w:jc w:val="right"/>
              <w:ind w:right="20"/>
              <w:spacing w:after="0"/>
              <w:rPr>
                <w:sz w:val="20"/>
                <w:szCs w:val="20"/>
                <w:color w:val="auto"/>
              </w:rPr>
            </w:pPr>
            <w:r>
              <w:rPr>
                <w:rFonts w:ascii="Arial" w:cs="Arial" w:eastAsia="Arial" w:hAnsi="Arial"/>
                <w:sz w:val="18"/>
                <w:szCs w:val="18"/>
                <w:b w:val="1"/>
                <w:bCs w:val="1"/>
                <w:color w:val="auto"/>
              </w:rPr>
              <w:t>2,967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596</w:t>
            </w:r>
          </w:p>
        </w:tc>
        <w:tc>
          <w:tcPr>
            <w:tcW w:w="2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2,614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Middle East &amp; Asia</w:t>
            </w:r>
          </w:p>
        </w:tc>
        <w:tc>
          <w:tcPr>
            <w:tcW w:w="4520" w:type="dxa"/>
            <w:vAlign w:val="bottom"/>
            <w:gridSpan w:val="9"/>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2,193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2"/>
          </w:tcPr>
          <w:p>
            <w:pPr>
              <w:ind w:left="180"/>
              <w:spacing w:after="0"/>
              <w:rPr>
                <w:sz w:val="20"/>
                <w:szCs w:val="20"/>
                <w:color w:val="auto"/>
              </w:rPr>
            </w:pPr>
            <w:r>
              <w:rPr>
                <w:rFonts w:ascii="Arial" w:cs="Arial" w:eastAsia="Arial" w:hAnsi="Arial"/>
                <w:sz w:val="18"/>
                <w:szCs w:val="18"/>
                <w:color w:val="auto"/>
              </w:rPr>
              <w:t>Eliminations &amp; other</w:t>
            </w:r>
          </w:p>
        </w:tc>
        <w:tc>
          <w:tcPr>
            <w:tcW w:w="3920" w:type="dxa"/>
            <w:vAlign w:val="bottom"/>
            <w:gridSpan w:val="5"/>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98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(49)</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920" w:type="dxa"/>
            <w:vAlign w:val="bottom"/>
            <w:gridSpan w:val="5"/>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10,448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2,099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9,918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1,943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220" w:type="dxa"/>
            <w:vAlign w:val="bottom"/>
            <w:gridSpan w:val="4"/>
          </w:tcPr>
          <w:p>
            <w:pPr>
              <w:spacing w:after="0"/>
              <w:rPr>
                <w:sz w:val="20"/>
                <w:szCs w:val="20"/>
                <w:color w:val="auto"/>
              </w:rPr>
            </w:pPr>
            <w:r>
              <w:rPr>
                <w:rFonts w:ascii="Arial" w:cs="Arial" w:eastAsia="Arial" w:hAnsi="Arial"/>
                <w:sz w:val="18"/>
                <w:szCs w:val="18"/>
                <w:b w:val="1"/>
                <w:bCs w:val="1"/>
                <w:color w:val="auto"/>
              </w:rPr>
              <w:t>Corporate &amp; other</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(169)</w:t>
            </w:r>
          </w:p>
        </w:tc>
        <w:tc>
          <w:tcPr>
            <w:tcW w:w="1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(2)</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22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(76)</w:t>
            </w:r>
          </w:p>
        </w:tc>
        <w:tc>
          <w:tcPr>
            <w:tcW w:w="1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Charges and credits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10,448</w:t>
            </w:r>
          </w:p>
        </w:tc>
        <w:tc>
          <w:tcPr>
            <w:tcW w:w="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1,839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9,918</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1,687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80" w:hanging="452"/>
        <w:spacing w:after="0" w:line="228" w:lineRule="auto"/>
        <w:tabs>
          <w:tab w:leader="none" w:pos="46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Effective January 1, 2012, a component of the Drilling Group has been reallocated to the Production Group. Historical segment information has been reclassified to conform to this new presentation.</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Excludes interest included in the Product Group and Geographical Area results.</w:t>
      </w:r>
    </w:p>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Pretax operating income represents the segments’ income before taxes and noncontrolling interests. The pretax operating income excludes such items as corporate expenses and interest income and interest expense not allocated to the segments as well as the charges and credits described in detail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interest on postretirement medical benefits, stock-based compensation costs and amortization expense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recorded as a result of the acquisition of Smith International, Inc. (“Smith”).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Second-quarter revenue of $10.45 billion increased 5% sequentially. Revenue increased in all Groups as higher exploration offshore and in key land markets, together with strong deepwater activities, continued to benefit the Reservoir Characterization and Drilling Groups. Higher sales of Artificial Lift and Completions products combined with increased Schlumberger Production Management (SPM) project activity helped the Production Group post a sequential increase despite lower Well Services revenue in North America land. All Geographical Areas grew sequentially with the exception of North America as a result of the seasonal spring break-up in Western Canada and continued pricing pressure in the US land hydraulic fracturing market. Excluding Western Canada, North America grew sequentially on increased offshore activity, particularly in the US Gulf of Mexico. Internationally, revenue grew sequentially by 9% following a seasonal rebound of activity in Russia, the North Sea and China; more project-related revenues, robust product sales and higher offshore activity in the Mexico &amp; Central America GeoMarket*; the commencement of an SPM project in the Ecuador GeoMarket; and increased offshore rig activity in the Australia &amp; Papua New Guinea GeoMarket.</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Increased Reservoir Characterization Group revenue was driven primarily by a rebound in Schlumberger Information Solutions (SIS) software sales together with strong Testing Services and Wireline activity on deepwater exploration projects in Africa, and in the North Sea and Australia &amp; Papua New Guinea GeoMarkets. WesternGeco grew slightly as higher UniQ* land seismic productivity in the Saudi Arabia &amp; Bahrain GeoMarket more than offset lower Marine vessel utilization from planned transits and dry-docks during the quarter. Drilling Group revenue expanded on robust international and offshore demand for Drilling &amp; Measurements and M-I SWACO technologies. Integrated Project Management (IPM) operations in Latin America and in the North Africa and Australia &amp; Papua New Guinea GeoMarkets were also stronger. Production Group revenue grew as increased sales of Artificial Lift and Completions products across all Areas in addition to the start of an SPM project in Ecuador more than compensated for lower Well Services revenue on land in North America.</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a geographical basis, North America Area revenue decreased due to the seasonal spring break-up in Western Canada and the weaker US land hydraulic fracturing market. Revenue in North America however, excluding Western Canada, improved sequentially due to increased offshore activity—particularly in deepwater US Gulf of Mexico operations. In the Latin America Area, the increase in revenue came mainly from the Mexico &amp; Central America GeoMarket— driven by IPM land activity, SIS software sales, and demand for Drilling Group technologies offshore. The Ecuador GeoMarket was also up significantly with the start of an SPM production incentive contract. In the Europe/CIS/Africa Area, revenue increased from the strong seasonal rebound of exploration and development activity in the North Sea GeoMarket while the seasonal pick-up of activity in Russia—particularly in Sakhalin, the Caspian and Western Siberia— also contributed to the sequential improvement. Sub-Sahara Africa also grew due to high exploration activity in Tanzania and Mozambique as well as strong exploration and development activity in the Nigeria &amp; the Gulf of Guinea GeoMarket. In the Middle East &amp; Asia Area, the revenue increase was led by the Australia &amp; Papua New Guinea GeoMarket as a result of strong offshore drilling activity. The China GeoMarket also posted a strong seasonal pick-up in onshore activity while the Saudi Arabia &amp; Bahrain GeoMarket continued to register growth in both rig and rig-less operations.</w:t>
      </w:r>
    </w:p>
    <w:p>
      <w:pPr>
        <w:spacing w:after="0" w:line="12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Second-quarter pretax operating income of $2.1 billion increased 8% sequentially. Pretax operating margin increased 50 basis points (bps) sequentially. International pretax operating margin expanded 161 bps sequentially to 20.8% due to the seasonal rebounds of activity in Russia, the North Sea and China combined with strong results in Europe and Africa, and in other GeoMarkets in the Asia-Pacific countries and Latin America Area. The continued shift to higher-margin exploration and deepwater activities helped sustain international margins. In North America, pretax operating margin decreased 208 bps sequentially to 20.8% as a result of the spring break-up in Canada and continued cost inflation and pricing pressure in the US land hydraulic fracturing market.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Second-quarter revenue of $2.78 billion increased 7% sequentially. Pretax operating income of $784 million was 17% higher than the first quarter.</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Sequentially, the revenue increase was driven primarily by a rebound in SIS software sales. Strong performances by Testing Services and Wireline Technologies on deepwater exploration projects in Africa, the North Sea and the Australia &amp; Papua New Guinea GeoMarkets also contributed to growth. WesternGeco was slightly higher as increased productivity from the land seismic UniQ crew in the Saudi Arabia &amp; Bahrain GeoMarket more than offset lower Marine vessel utilization resulting from planned transits and dry-docks during the quarter.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Pretax operating margin increased 223 bps sequentially to 28.2% primarily due to strong SIS software sales combined with the more favorable revenue mix that resulted from higher deepwater and exploration 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Second-quarter revenue of $4.00 billion increased 6% sequentially. Pretax operating income of $738 million was 12% higher compared to the prior quarter.</w:t>
      </w:r>
    </w:p>
    <w:p>
      <w:pPr>
        <w:spacing w:after="0" w:line="19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Sequentially, revenue increased primarily on strong international and offshore activity for Drilling &amp; Measurements and M-I SWACO technologies. In particular, Drilling &amp; Measurements performance was driven by both stronger activity and an improved technology revenue mix that led to some pricing gains. In addition, M-I SWACO also posted strong results from deepwater operations in the US Gulf of Mexico as M-I SWACO activity returned to pre-Macondo levels. IPM operations in Latin America, and the North Africa and Australia &amp; Papua New Guinea GeoMarkets were also higher with the start of several new projects.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Sequentially, pretax operating margin increased 107 bps to 18.4% due to increasing high-margin deepwater activity both in North America and internationally.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Margin expansion was also the result of a favorable revenue mix that led to selected pricing gains—particularly for Drilling &amp; Measurements services.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Second-quarter revenue of $3.74 billion increased 6% sequentially. Pretax operating income of $612 million was 1% lower sequentially.</w:t>
      </w:r>
    </w:p>
    <w:p>
      <w:pPr>
        <w:spacing w:after="0" w:line="171"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Sequentially, revenue grew as increased sales of Artificial Lift and Completions products across all Areas and the start of an SPM project in Ecuador more than compensated for lower Well Services revenue on land in North America. Well Services revenue from offshore and international activities also grew sequentially to further offset the lower Well Services land activity due to the Canadian spring break-up and the downward pricing trend.</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Second-quarter pretax operating margin decreased 117 bps to 16.4%. This decline was largely attributable to the North American land hydraulic fracturing market as a result of the spring break-up in Canada and the continued cost inflation and pricing pressure in US land. This was offset in part by better margins posted by the other Production Group Technologies.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Second Quarter 2012 Compared to Second Quarter 2011</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w w:val="87"/>
              </w:rPr>
              <w:t>Second Quarter 2012</w:t>
            </w:r>
          </w:p>
        </w:tc>
        <w:tc>
          <w:tcPr>
            <w:tcW w:w="160" w:type="dxa"/>
            <w:vAlign w:val="bottom"/>
          </w:tcPr>
          <w:p>
            <w:pPr>
              <w:spacing w:after="0"/>
              <w:rPr>
                <w:sz w:val="14"/>
                <w:szCs w:val="14"/>
                <w:color w:val="auto"/>
              </w:rPr>
            </w:pPr>
          </w:p>
        </w:tc>
        <w:tc>
          <w:tcPr>
            <w:tcW w:w="1500" w:type="dxa"/>
            <w:vAlign w:val="bottom"/>
            <w:gridSpan w:val="6"/>
          </w:tcPr>
          <w:p>
            <w:pPr>
              <w:jc w:val="right"/>
              <w:ind w:right="2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59"/>
        </w:trPr>
        <w:tc>
          <w:tcPr>
            <w:tcW w:w="37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6"/>
          </w:tcPr>
          <w:p>
            <w:pPr>
              <w:jc w:val="right"/>
              <w:ind w:right="240"/>
              <w:spacing w:after="0" w:line="159" w:lineRule="exact"/>
              <w:rPr>
                <w:sz w:val="20"/>
                <w:szCs w:val="20"/>
                <w:color w:val="auto"/>
              </w:rPr>
            </w:pPr>
            <w:r>
              <w:rPr>
                <w:rFonts w:ascii="Arial" w:cs="Arial" w:eastAsia="Arial" w:hAnsi="Arial"/>
                <w:sz w:val="14"/>
                <w:szCs w:val="14"/>
                <w:color w:val="auto"/>
                <w:w w:val="92"/>
              </w:rPr>
              <w:t>Second Quarter 2011</w:t>
            </w:r>
          </w:p>
        </w:tc>
        <w:tc>
          <w:tcPr>
            <w:tcW w:w="0" w:type="dxa"/>
            <w:vAlign w:val="bottom"/>
          </w:tcPr>
          <w:p>
            <w:pPr>
              <w:spacing w:after="0"/>
              <w:rPr>
                <w:sz w:val="1"/>
                <w:szCs w:val="1"/>
                <w:color w:val="auto"/>
              </w:rPr>
            </w:pPr>
          </w:p>
        </w:tc>
      </w:tr>
      <w:tr>
        <w:trPr>
          <w:trHeight w:val="129"/>
        </w:trPr>
        <w:tc>
          <w:tcPr>
            <w:tcW w:w="37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37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9"/>
              </w:rPr>
              <w:t>Revenue</w:t>
            </w:r>
          </w:p>
        </w:tc>
        <w:tc>
          <w:tcPr>
            <w:tcW w:w="80" w:type="dxa"/>
            <w:vAlign w:val="bottom"/>
          </w:tcPr>
          <w:p>
            <w:pPr>
              <w:spacing w:after="0"/>
              <w:rPr>
                <w:sz w:val="14"/>
                <w:szCs w:val="14"/>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82"/>
              </w:rPr>
              <w:t>Revenue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3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Reservoir Characterization</w:t>
            </w:r>
          </w:p>
        </w:tc>
        <w:tc>
          <w:tcPr>
            <w:tcW w:w="3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2,778</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784</w:t>
            </w:r>
          </w:p>
        </w:tc>
        <w:tc>
          <w:tcPr>
            <w:tcW w:w="2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$2,461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Drilling </w:t>
            </w:r>
            <w:r>
              <w:rPr>
                <w:rFonts w:ascii="Arial" w:cs="Arial" w:eastAsia="Arial" w:hAnsi="Arial"/>
                <w:sz w:val="11"/>
                <w:szCs w:val="11"/>
                <w:color w:val="auto"/>
              </w:rPr>
              <w:t>(1)</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4,001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 xml:space="preserve">Production </w:t>
            </w:r>
            <w:r>
              <w:rPr>
                <w:rFonts w:ascii="Arial" w:cs="Arial" w:eastAsia="Arial" w:hAnsi="Arial"/>
                <w:sz w:val="11"/>
                <w:szCs w:val="11"/>
                <w:color w:val="auto"/>
              </w:rPr>
              <w:t>(1)</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3,738</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612</w:t>
            </w:r>
          </w:p>
        </w:tc>
        <w:tc>
          <w:tcPr>
            <w:tcW w:w="2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3,152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Eliminations &amp; other</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(35)</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10,448</w:t>
            </w:r>
          </w:p>
        </w:tc>
        <w:tc>
          <w:tcPr>
            <w:tcW w:w="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2,099</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8,990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1,750</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(2)</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Charges and credits</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w:t>
            </w:r>
          </w:p>
        </w:tc>
        <w:tc>
          <w:tcPr>
            <w:tcW w:w="1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3"/>
              </w:rPr>
              <w:t>10,448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1,839</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1,475</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400" w:type="dxa"/>
            <w:vAlign w:val="bottom"/>
            <w:vMerge w:val="restart"/>
          </w:tcPr>
          <w:p>
            <w:pPr>
              <w:jc w:val="right"/>
              <w:ind w:right="1712"/>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Geographic Areas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Second Quarter 2012</w:t>
            </w:r>
          </w:p>
        </w:tc>
        <w:tc>
          <w:tcPr>
            <w:tcW w:w="160" w:type="dxa"/>
            <w:vAlign w:val="bottom"/>
          </w:tcPr>
          <w:p>
            <w:pPr>
              <w:spacing w:after="0"/>
              <w:rPr>
                <w:sz w:val="14"/>
                <w:szCs w:val="14"/>
                <w:color w:val="auto"/>
              </w:rPr>
            </w:pPr>
          </w:p>
        </w:tc>
        <w:tc>
          <w:tcPr>
            <w:tcW w:w="1500" w:type="dxa"/>
            <w:vAlign w:val="bottom"/>
            <w:gridSpan w:val="6"/>
          </w:tcPr>
          <w:p>
            <w:pPr>
              <w:jc w:val="right"/>
              <w:ind w:right="2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59"/>
        </w:trPr>
        <w:tc>
          <w:tcPr>
            <w:tcW w:w="7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6"/>
          </w:tcPr>
          <w:p>
            <w:pPr>
              <w:jc w:val="right"/>
              <w:ind w:right="240"/>
              <w:spacing w:after="0" w:line="159" w:lineRule="exact"/>
              <w:rPr>
                <w:sz w:val="20"/>
                <w:szCs w:val="20"/>
                <w:color w:val="auto"/>
              </w:rPr>
            </w:pPr>
            <w:r>
              <w:rPr>
                <w:rFonts w:ascii="Arial" w:cs="Arial" w:eastAsia="Arial" w:hAnsi="Arial"/>
                <w:sz w:val="14"/>
                <w:szCs w:val="14"/>
                <w:color w:val="auto"/>
                <w:w w:val="92"/>
              </w:rPr>
              <w:t>Second Quarter 2011</w:t>
            </w:r>
          </w:p>
        </w:tc>
        <w:tc>
          <w:tcPr>
            <w:tcW w:w="0" w:type="dxa"/>
            <w:vAlign w:val="bottom"/>
          </w:tcPr>
          <w:p>
            <w:pPr>
              <w:spacing w:after="0"/>
              <w:rPr>
                <w:sz w:val="1"/>
                <w:szCs w:val="1"/>
                <w:color w:val="auto"/>
              </w:rPr>
            </w:pPr>
          </w:p>
        </w:tc>
      </w:tr>
      <w:tr>
        <w:trPr>
          <w:trHeight w:val="129"/>
        </w:trPr>
        <w:tc>
          <w:tcPr>
            <w:tcW w:w="7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7140" w:type="dxa"/>
            <w:vAlign w:val="bottom"/>
          </w:tcPr>
          <w:p>
            <w:pPr>
              <w:spacing w:after="0"/>
              <w:rPr>
                <w:sz w:val="14"/>
                <w:szCs w:val="14"/>
                <w:color w:val="auto"/>
              </w:rPr>
            </w:pPr>
          </w:p>
        </w:tc>
        <w:tc>
          <w:tcPr>
            <w:tcW w:w="980" w:type="dxa"/>
            <w:vAlign w:val="bottom"/>
            <w:gridSpan w:val="4"/>
          </w:tcPr>
          <w:p>
            <w:pPr>
              <w:ind w:left="40"/>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4"/>
                <w:szCs w:val="14"/>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82"/>
              </w:rPr>
              <w:t>Revenue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7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North America</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3,346</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695</w:t>
            </w:r>
          </w:p>
        </w:tc>
        <w:tc>
          <w:tcPr>
            <w:tcW w:w="2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$2,864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Latin America</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1,844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1,579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Europe/CIS/Africa</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2,967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596</w:t>
            </w:r>
          </w:p>
        </w:tc>
        <w:tc>
          <w:tcPr>
            <w:tcW w:w="2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2,374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Middle East &amp; Asia</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2,193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2,078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Eliminations &amp; 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(49)</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10,448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2,099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8,990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1,750</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b w:val="1"/>
                <w:bCs w:val="1"/>
                <w:color w:val="auto"/>
              </w:rPr>
              <w:t>Corporate &amp; other</w:t>
            </w:r>
          </w:p>
        </w:tc>
        <w:tc>
          <w:tcPr>
            <w:tcW w:w="100" w:type="dxa"/>
            <w:vAlign w:val="bottom"/>
          </w:tcPr>
          <w:p>
            <w:pPr>
              <w:spacing w:after="0"/>
              <w:rPr>
                <w:sz w:val="18"/>
                <w:szCs w:val="18"/>
                <w:color w:val="auto"/>
              </w:rPr>
            </w:pPr>
          </w:p>
        </w:tc>
        <w:tc>
          <w:tcPr>
            <w:tcW w:w="880" w:type="dxa"/>
            <w:vAlign w:val="bottom"/>
            <w:gridSpan w:val="3"/>
          </w:tcPr>
          <w:p>
            <w:pPr>
              <w:ind w:left="2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(169)</w:t>
            </w:r>
          </w:p>
        </w:tc>
        <w:tc>
          <w:tcPr>
            <w:tcW w:w="1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(2)</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100" w:type="dxa"/>
            <w:vAlign w:val="bottom"/>
          </w:tcPr>
          <w:p>
            <w:pPr>
              <w:spacing w:after="0"/>
              <w:rPr>
                <w:sz w:val="18"/>
                <w:szCs w:val="18"/>
                <w:color w:val="auto"/>
              </w:rPr>
            </w:pPr>
          </w:p>
        </w:tc>
        <w:tc>
          <w:tcPr>
            <w:tcW w:w="880" w:type="dxa"/>
            <w:vAlign w:val="bottom"/>
            <w:gridSpan w:val="3"/>
          </w:tcPr>
          <w:p>
            <w:pPr>
              <w:ind w:left="2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(76)</w:t>
            </w:r>
          </w:p>
        </w:tc>
        <w:tc>
          <w:tcPr>
            <w:tcW w:w="1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Charges and credits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10,448</w:t>
            </w:r>
          </w:p>
        </w:tc>
        <w:tc>
          <w:tcPr>
            <w:tcW w:w="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1,839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8,990</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1,475</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60" w:hanging="452"/>
        <w:spacing w:after="0" w:line="228" w:lineRule="auto"/>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Effective January 1, 2012, a component of the Drilling Group has been reallocated to the Production Group. Historical segment information has been reclassified to conform to this new presentation.</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Excludes interest included in the Product Group and Geographical Area results.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Second-quarter 2012 revenue of $10.45 billion was 16% higher than the same period last year largely due to the significantly improved exploration and development activities of M-I SWACO, Drilling &amp; Measurements, Wireline and Well Services Technologies in a number of international GeoMarkets and in North America offshore, particularly in the US Gulf of Mexico. Geographically, the increase was led by the Europe/CIS/Africa Area, primarily in Russia and in the Nigeria &amp; Gulf of Guinea, Angola, the North Sea and East Africa GeoMarkets. Latin America was also higher, mainly in the Mexico &amp; Central America Geomarket driven by strong IPM activity on land and robust offshore activity for Wireline and Drilling technologies.</w:t>
      </w:r>
    </w:p>
    <w:p>
      <w:pPr>
        <w:spacing w:after="0" w:line="1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Second-quarter 2012 pretax operating margin increased 63 bps to 20.1% due to the robust contributions from the Reservoir Characterization and Drilling Groups as both benefited from higher-margin exploration activities in North America offshore and in the international markets. However, this increase was partially offset by a decline in margins for Well Services technologies, primarily in North America, as a result of pricing pressure and cost inflation.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Second-quarter 2012 revenue of $2.78 billion was 13% higher than the same period last year led by Wireline and Testing Services driven by improved offshore exploration activities across all Areas, namely in North America offshore, Latin America, and in Europe/CIS/Africa. SIS was also higher on strong software sales while WesternGeco decreased on lower Marine vessel utilization from planned transits and dry-docks during the quarter.</w:t>
      </w:r>
    </w:p>
    <w:p>
      <w:pPr>
        <w:spacing w:after="0" w:line="10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Year-on-year, pretax operating margin increased 377 basis points to 28.2% largely due to the higher-margin exploration activities that benefited Wireline and Testing Services and higher software sales of 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Second-quarter 2012 revenue of $4.00 billion was 19% higher than the previous year primarily due to the significantly improved exploration and development activities of Drilling &amp; Measurements and M-I SWACO in North America offshore and in the international markets.</w:t>
      </w:r>
    </w:p>
    <w:p>
      <w:pPr>
        <w:spacing w:after="0" w:line="13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Year-on-year, pretax operating margin increased 253 basis points to 18.4% primarily due to the improved revenue mix of Drilling &amp; Measurements and M-I SWACO.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Second-quarter 2012 revenue of $3.74 billion increased 19% year-on-year primarily attributable to Well Services technologies. Well Services grew equally in North America and internationally, with international growth led by Latin America and by Europe/CIS/Africa. Well Intervention, Artificial Lift and Completions Technologies also contributed to the strong growth.</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Year-on-year, pretax operating margin decreased 313 basis points to 16.4% as a result of the decline in margins for Well Services technologies, primarily in North America as a result of pricing pressure and cost inflation.</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Six Months 2012 Compared to Six Months 2011</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70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rPr>
              <w:t>Six Months 2012</w:t>
            </w:r>
          </w:p>
        </w:tc>
        <w:tc>
          <w:tcPr>
            <w:tcW w:w="160" w:type="dxa"/>
            <w:vAlign w:val="bottom"/>
          </w:tcPr>
          <w:p>
            <w:pPr>
              <w:spacing w:after="0"/>
              <w:rPr>
                <w:sz w:val="14"/>
                <w:szCs w:val="14"/>
                <w:color w:val="auto"/>
              </w:rPr>
            </w:pPr>
          </w:p>
        </w:tc>
        <w:tc>
          <w:tcPr>
            <w:tcW w:w="1580" w:type="dxa"/>
            <w:vAlign w:val="bottom"/>
            <w:gridSpan w:val="5"/>
          </w:tcPr>
          <w:p>
            <w:pPr>
              <w:jc w:val="right"/>
              <w:ind w:right="3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59"/>
        </w:trPr>
        <w:tc>
          <w:tcPr>
            <w:tcW w:w="7060" w:type="dxa"/>
            <w:vAlign w:val="bottom"/>
          </w:tcPr>
          <w:p>
            <w:pPr>
              <w:spacing w:after="0"/>
              <w:rPr>
                <w:sz w:val="13"/>
                <w:szCs w:val="13"/>
                <w:color w:val="auto"/>
              </w:rPr>
            </w:pPr>
          </w:p>
        </w:tc>
        <w:tc>
          <w:tcPr>
            <w:tcW w:w="17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5"/>
          </w:tcPr>
          <w:p>
            <w:pPr>
              <w:jc w:val="right"/>
              <w:ind w:right="380"/>
              <w:spacing w:after="0" w:line="159" w:lineRule="exact"/>
              <w:rPr>
                <w:sz w:val="20"/>
                <w:szCs w:val="20"/>
                <w:color w:val="auto"/>
              </w:rPr>
            </w:pPr>
            <w:r>
              <w:rPr>
                <w:rFonts w:ascii="Arial" w:cs="Arial" w:eastAsia="Arial" w:hAnsi="Arial"/>
                <w:sz w:val="14"/>
                <w:szCs w:val="14"/>
                <w:color w:val="auto"/>
              </w:rPr>
              <w:t>Six Months 2011</w:t>
            </w:r>
          </w:p>
        </w:tc>
        <w:tc>
          <w:tcPr>
            <w:tcW w:w="0" w:type="dxa"/>
            <w:vAlign w:val="bottom"/>
          </w:tcPr>
          <w:p>
            <w:pPr>
              <w:spacing w:after="0"/>
              <w:rPr>
                <w:sz w:val="1"/>
                <w:szCs w:val="1"/>
                <w:color w:val="auto"/>
              </w:rPr>
            </w:pPr>
          </w:p>
        </w:tc>
      </w:tr>
      <w:tr>
        <w:trPr>
          <w:trHeight w:val="129"/>
        </w:trPr>
        <w:tc>
          <w:tcPr>
            <w:tcW w:w="70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706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w w:val="89"/>
              </w:rPr>
              <w:t>Revenue</w:t>
            </w:r>
          </w:p>
        </w:tc>
        <w:tc>
          <w:tcPr>
            <w:tcW w:w="20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7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Reservoir Characterization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3"/>
              </w:rPr>
              <w:t>$ 5,364</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$1,457</w:t>
            </w:r>
          </w:p>
        </w:tc>
        <w:tc>
          <w:tcPr>
            <w:tcW w:w="2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$ 4,654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Drilling </w:t>
            </w:r>
            <w:r>
              <w:rPr>
                <w:rFonts w:ascii="Arial" w:cs="Arial" w:eastAsia="Arial" w:hAnsi="Arial"/>
                <w:sz w:val="11"/>
                <w:szCs w:val="11"/>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7,786</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1,395</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6,479</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 xml:space="preserve">Production </w:t>
            </w:r>
            <w:r>
              <w:rPr>
                <w:rFonts w:ascii="Arial" w:cs="Arial" w:eastAsia="Arial" w:hAnsi="Arial"/>
                <w:sz w:val="11"/>
                <w:szCs w:val="11"/>
                <w:color w:val="auto"/>
              </w:rPr>
              <w:t>(1)</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7,276</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1,233</w:t>
            </w:r>
          </w:p>
        </w:tc>
        <w:tc>
          <w:tcPr>
            <w:tcW w:w="2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5,960</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Eliminations &amp; other</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(44)</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20,366</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4,041</w:t>
            </w:r>
          </w:p>
        </w:tc>
        <w:tc>
          <w:tcPr>
            <w:tcW w:w="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17,112</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17"/>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(2)</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b w:val="1"/>
                <w:bCs w:val="1"/>
                <w:color w:val="auto"/>
              </w:rPr>
              <w:t>Charges and credits</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(37)</w:t>
            </w: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20"/>
        </w:trPr>
        <w:tc>
          <w:tcPr>
            <w:tcW w:w="4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shd w:val="clear" w:color="auto" w:fill="CCEEFF"/>
          </w:tcPr>
          <w:p>
            <w:pPr>
              <w:spacing w:after="0"/>
              <w:rPr>
                <w:sz w:val="17"/>
                <w:szCs w:val="17"/>
                <w:color w:val="auto"/>
              </w:rPr>
            </w:pPr>
          </w:p>
        </w:tc>
        <w:tc>
          <w:tcPr>
            <w:tcW w:w="306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20,366</w:t>
            </w:r>
          </w:p>
        </w:tc>
        <w:tc>
          <w:tcPr>
            <w:tcW w:w="8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3,525</w:t>
            </w:r>
          </w:p>
        </w:tc>
        <w:tc>
          <w:tcPr>
            <w:tcW w:w="2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00"/>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17,112</w:t>
            </w:r>
          </w:p>
        </w:tc>
        <w:tc>
          <w:tcPr>
            <w:tcW w:w="800" w:type="dxa"/>
            <w:vAlign w:val="bottom"/>
            <w:gridSpan w:val="3"/>
            <w:shd w:val="clear" w:color="auto" w:fill="CCEEFF"/>
          </w:tcPr>
          <w:p>
            <w:pPr>
              <w:jc w:val="right"/>
              <w:ind w:right="100"/>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tcPr>
          <w:p>
            <w:pPr>
              <w:spacing w:after="0"/>
              <w:rPr>
                <w:sz w:val="24"/>
                <w:szCs w:val="24"/>
                <w:color w:val="auto"/>
              </w:rPr>
            </w:pPr>
          </w:p>
        </w:tc>
        <w:tc>
          <w:tcPr>
            <w:tcW w:w="3060" w:type="dxa"/>
            <w:vAlign w:val="bottom"/>
            <w:gridSpan w:val="3"/>
          </w:tcPr>
          <w:p>
            <w:pPr>
              <w:jc w:val="right"/>
              <w:ind w:right="1617"/>
              <w:spacing w:after="0"/>
              <w:rPr>
                <w:sz w:val="20"/>
                <w:szCs w:val="20"/>
                <w:color w:val="auto"/>
              </w:rPr>
            </w:pPr>
            <w:r>
              <w:rPr>
                <w:rFonts w:ascii="Arial" w:cs="Arial" w:eastAsia="Arial" w:hAnsi="Arial"/>
                <w:sz w:val="18"/>
                <w:szCs w:val="18"/>
                <w:b w:val="1"/>
                <w:bCs w:val="1"/>
                <w:color w:val="auto"/>
                <w:w w:val="86"/>
              </w:rPr>
              <w:t>Geographic Areas</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58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70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rPr>
              <w:t>Six Months 2012</w:t>
            </w:r>
          </w:p>
        </w:tc>
        <w:tc>
          <w:tcPr>
            <w:tcW w:w="160" w:type="dxa"/>
            <w:vAlign w:val="bottom"/>
          </w:tcPr>
          <w:p>
            <w:pPr>
              <w:spacing w:after="0"/>
              <w:rPr>
                <w:sz w:val="24"/>
                <w:szCs w:val="24"/>
                <w:color w:val="auto"/>
              </w:rPr>
            </w:pPr>
          </w:p>
        </w:tc>
        <w:tc>
          <w:tcPr>
            <w:tcW w:w="1580" w:type="dxa"/>
            <w:vAlign w:val="bottom"/>
            <w:gridSpan w:val="5"/>
          </w:tcPr>
          <w:p>
            <w:pPr>
              <w:jc w:val="right"/>
              <w:ind w:right="3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59"/>
        </w:trPr>
        <w:tc>
          <w:tcPr>
            <w:tcW w:w="4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5"/>
          </w:tcPr>
          <w:p>
            <w:pPr>
              <w:jc w:val="right"/>
              <w:ind w:right="380"/>
              <w:spacing w:after="0" w:line="159" w:lineRule="exact"/>
              <w:rPr>
                <w:sz w:val="20"/>
                <w:szCs w:val="20"/>
                <w:color w:val="auto"/>
              </w:rPr>
            </w:pPr>
            <w:r>
              <w:rPr>
                <w:rFonts w:ascii="Arial" w:cs="Arial" w:eastAsia="Arial" w:hAnsi="Arial"/>
                <w:sz w:val="14"/>
                <w:szCs w:val="14"/>
                <w:color w:val="auto"/>
              </w:rPr>
              <w:t>Six Months 2011</w:t>
            </w: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Revenue</w:t>
            </w:r>
          </w:p>
        </w:tc>
        <w:tc>
          <w:tcPr>
            <w:tcW w:w="3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w w:val="89"/>
              </w:rPr>
              <w:t>Revenue</w:t>
            </w:r>
          </w:p>
        </w:tc>
        <w:tc>
          <w:tcPr>
            <w:tcW w:w="20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Oilfield Services</w:t>
            </w:r>
          </w:p>
        </w:tc>
        <w:tc>
          <w:tcPr>
            <w:tcW w:w="13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North America</w:t>
            </w:r>
          </w:p>
        </w:tc>
        <w:tc>
          <w:tcPr>
            <w:tcW w:w="3060" w:type="dxa"/>
            <w:vAlign w:val="bottom"/>
            <w:gridSpan w:val="3"/>
          </w:tcPr>
          <w:p>
            <w:pPr>
              <w:jc w:val="right"/>
              <w:spacing w:after="0"/>
              <w:rPr>
                <w:sz w:val="20"/>
                <w:szCs w:val="20"/>
                <w:color w:val="auto"/>
              </w:rPr>
            </w:pPr>
            <w:r>
              <w:rPr>
                <w:rFonts w:ascii="Arial" w:cs="Arial" w:eastAsia="Arial" w:hAnsi="Arial"/>
                <w:sz w:val="18"/>
                <w:szCs w:val="18"/>
                <w:b w:val="1"/>
                <w:bCs w:val="1"/>
                <w:color w:val="auto"/>
              </w:rPr>
              <w:t>$ 6,749</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$1,472</w:t>
            </w:r>
          </w:p>
        </w:tc>
        <w:tc>
          <w:tcPr>
            <w:tcW w:w="2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$ 5,453</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Latin America</w:t>
            </w:r>
          </w:p>
        </w:tc>
        <w:tc>
          <w:tcPr>
            <w:tcW w:w="3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3,598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672</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2,964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Europe/CIS/Africa</w:t>
            </w:r>
          </w:p>
        </w:tc>
        <w:tc>
          <w:tcPr>
            <w:tcW w:w="3060" w:type="dxa"/>
            <w:vAlign w:val="bottom"/>
            <w:gridSpan w:val="3"/>
          </w:tcPr>
          <w:p>
            <w:pPr>
              <w:jc w:val="right"/>
              <w:spacing w:after="0"/>
              <w:rPr>
                <w:sz w:val="20"/>
                <w:szCs w:val="20"/>
                <w:color w:val="auto"/>
              </w:rPr>
            </w:pPr>
            <w:r>
              <w:rPr>
                <w:rFonts w:ascii="Arial" w:cs="Arial" w:eastAsia="Arial" w:hAnsi="Arial"/>
                <w:sz w:val="18"/>
                <w:szCs w:val="18"/>
                <w:b w:val="1"/>
                <w:bCs w:val="1"/>
                <w:color w:val="auto"/>
              </w:rPr>
              <w:t>5,582</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1,028</w:t>
            </w:r>
          </w:p>
        </w:tc>
        <w:tc>
          <w:tcPr>
            <w:tcW w:w="2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4,564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Middle East &amp; Asia</w:t>
            </w:r>
          </w:p>
        </w:tc>
        <w:tc>
          <w:tcPr>
            <w:tcW w:w="3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4,251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984</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3,926</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Eliminations &amp; other</w:t>
            </w:r>
          </w:p>
        </w:tc>
        <w:tc>
          <w:tcPr>
            <w:tcW w:w="2480" w:type="dxa"/>
            <w:vAlign w:val="bottom"/>
            <w:gridSpan w:val="2"/>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186</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(115)</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205</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20,366</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17,112</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Corporate &amp; other</w:t>
            </w: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(339)</w:t>
            </w: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(2)</w:t>
            </w: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(156)</w:t>
            </w: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Charges and credits</w:t>
            </w: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20,366</w:t>
            </w:r>
          </w:p>
        </w:tc>
        <w:tc>
          <w:tcPr>
            <w:tcW w:w="3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3,525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17,112</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40" w:hanging="452"/>
        <w:spacing w:after="0" w:line="228"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Effective January 1, 2012, a component of the Drilling Group has been reallocated to the Production Group. Historical segment information has been reclassified to conform to this new presentation.</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Excludes interest included in the Product Group and Geographical Area results.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Six-months 2012 revenue of $20.4 billion increased 19% versus the same period last year with the North America Area 24% higher and International Areas 17% higher. The increase in North America was led by strong growth offshore, particularly in the US Gulf of Mexico with robust deepwater and exploration activity benefiting the Reservoir Characterization and Drilling Groups Technologies. The Production Group also experienced significant improvement in activity in North America land. Internationally, higher exploration and development activities in a number of GeoMarkets both offshore and in key land markets contributed to the increase. The increase is led by the Europe/CIS/Africa Area, mainly in Russia and in the Nigeria &amp; Gulf of Guinea, Angola, the North Sea and East Africa GeoMarkets. Latin America was also higher, mainly in the Mexico &amp; Central America and Venezuela, Trinidad &amp; Tobago GeoMarkets driven by strong IPM activity on land and robust offshore activity for Wireline and Drilling technologies.</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 Product Group basis, Reservoir Characterization and Drilling Group revenues were strong as a result of robust exploration and development activities in a number of international GeoMarkets and in North America offshore, particularly in the US Gulf of Mexico. Reservoir Production revenue increased mostly from Well Services.</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Year-to-date pretax operating margin increased 111 basis points to 19.8% due to the robust contribution from the Reservoir Characterization and Drilling Groups as both benefited from higher-margin exploration activities in North America offshore and in the international markets. However, this increase was partially offset by a decline in margins for Well Services technologies, primarily in North America, as a result of pricing pressure and cost inflation.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Six-month 2012 revenue of $5.36 billion was 15.3% higher than the same period last year led by Wireline and Testing Services driven by improved offshore exploration activities across all Areas, namely in North America offshore, Latin America, and in Europe/CIS/Africa. Strong SIS software sales also contributed to the growth.</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Year-on-year, pretax operating margin increased 434 basis points to 27.2% largely due to the higher-margin exploration activities that benefited Wireline and Testing Services and higher software sales of 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Six-months 2012 revenue of $7.79 billion was 20% higher than the previous year primarily due to the significantly improved exploration and development activities of M-I SWACO, Drilling &amp; Measurements, and the other Smith technologies in North America offshore and in the international markets.</w:t>
      </w:r>
    </w:p>
    <w:p>
      <w:pPr>
        <w:spacing w:after="0" w:line="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Year-on-year, pretax operating margin increased 248 basis points to 17.9% primarily due to the increase in higher-margin activities of Drilling &amp; Measurements, M-I SWACO and Drilling Tools and Remedial Technologies that benefited from higher-margin exploration activities in North America offshore and in the international markets, mainly in the Europe/CIS/Africa Area.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9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Six-months 2012 revenue of $7.28 billion increased 22% year-on-year. Well Services grew both in North America and internationally, with international growth led by Latin America and by Europe/CIS/Africa. Well Intervention, Artificial Lift and Completions Technologies posted strong growth also across all Areas.</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Year-on-year, pretax operating margin decreased 227 basis points to 17.0% mainly due to decline in margins for Well Services technologies, primarily in North America, as a result of pricing pressure and cost inflation. This was mitigated in part by the margin expansion experienced in Well Intervention and Completions technologies.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&amp; OTHER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 for the second quarter and six months ended June 30, 2012 and 2011:</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5"/>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56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460" w:type="dxa"/>
            <w:vAlign w:val="bottom"/>
            <w:gridSpan w:val="5"/>
          </w:tcPr>
          <w:p>
            <w:pPr>
              <w:jc w:val="right"/>
              <w:ind w:right="500"/>
              <w:spacing w:after="0" w:line="159" w:lineRule="exact"/>
              <w:rPr>
                <w:sz w:val="20"/>
                <w:szCs w:val="20"/>
                <w:color w:val="auto"/>
              </w:rPr>
            </w:pPr>
            <w:r>
              <w:rPr>
                <w:rFonts w:ascii="Arial" w:cs="Arial" w:eastAsia="Arial" w:hAnsi="Arial"/>
                <w:sz w:val="14"/>
                <w:szCs w:val="14"/>
                <w:color w:val="auto"/>
                <w:w w:val="95"/>
              </w:rPr>
              <w:t>Second Quarter</w:t>
            </w:r>
          </w:p>
        </w:tc>
        <w:tc>
          <w:tcPr>
            <w:tcW w:w="1020" w:type="dxa"/>
            <w:vAlign w:val="bottom"/>
            <w:gridSpan w:val="4"/>
          </w:tcPr>
          <w:p>
            <w:pPr>
              <w:ind w:left="140"/>
              <w:spacing w:after="0" w:line="159" w:lineRule="exact"/>
              <w:rPr>
                <w:sz w:val="20"/>
                <w:szCs w:val="20"/>
                <w:color w:val="auto"/>
              </w:rPr>
            </w:pPr>
            <w:r>
              <w:rPr>
                <w:rFonts w:ascii="Arial" w:cs="Arial" w:eastAsia="Arial" w:hAnsi="Arial"/>
                <w:sz w:val="14"/>
                <w:szCs w:val="14"/>
                <w:color w:val="auto"/>
              </w:rPr>
              <w:t>Six Months</w:t>
            </w:r>
          </w:p>
        </w:tc>
      </w:tr>
      <w:tr>
        <w:trPr>
          <w:trHeight w:val="142"/>
        </w:trPr>
        <w:tc>
          <w:tcPr>
            <w:tcW w:w="56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7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2011</w:t>
            </w:r>
          </w:p>
        </w:tc>
        <w:tc>
          <w:tcPr>
            <w:tcW w:w="400" w:type="dxa"/>
            <w:vAlign w:val="bottom"/>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2012</w:t>
            </w: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Equity in net earnings of affiliated companies</w:t>
            </w:r>
          </w:p>
        </w:tc>
        <w:tc>
          <w:tcPr>
            <w:tcW w:w="2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$ 39</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$76</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Interest income</w:t>
            </w:r>
          </w:p>
        </w:tc>
        <w:tc>
          <w:tcPr>
            <w:tcW w:w="24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10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7"/>
        </w:trPr>
        <w:tc>
          <w:tcPr>
            <w:tcW w:w="56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$ 45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29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92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w:t>
      </w:r>
      <w:r>
        <w:rPr>
          <w:rFonts w:ascii="Arial" w:cs="Arial" w:eastAsia="Arial" w:hAnsi="Arial"/>
          <w:sz w:val="16"/>
          <w:szCs w:val="16"/>
          <w:color w:val="auto"/>
        </w:rPr>
        <w:t>, for the second quarter and six months ended June 30,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 were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400" w:type="dxa"/>
            <w:vAlign w:val="bottom"/>
            <w:gridSpan w:val="4"/>
          </w:tcPr>
          <w:p>
            <w:pPr>
              <w:jc w:val="right"/>
              <w:ind w:right="480"/>
              <w:spacing w:after="0"/>
              <w:rPr>
                <w:sz w:val="20"/>
                <w:szCs w:val="20"/>
                <w:color w:val="auto"/>
              </w:rPr>
            </w:pPr>
            <w:r>
              <w:rPr>
                <w:rFonts w:ascii="Arial" w:cs="Arial" w:eastAsia="Arial" w:hAnsi="Arial"/>
                <w:sz w:val="14"/>
                <w:szCs w:val="14"/>
                <w:color w:val="auto"/>
                <w:w w:val="91"/>
              </w:rPr>
              <w:t>Second Quarter</w:t>
            </w:r>
          </w:p>
        </w:tc>
        <w:tc>
          <w:tcPr>
            <w:tcW w:w="1180" w:type="dxa"/>
            <w:vAlign w:val="bottom"/>
            <w:gridSpan w:val="4"/>
          </w:tcPr>
          <w:p>
            <w:pPr>
              <w:jc w:val="right"/>
              <w:ind w:right="380"/>
              <w:spacing w:after="0"/>
              <w:rPr>
                <w:sz w:val="20"/>
                <w:szCs w:val="20"/>
                <w:color w:val="auto"/>
              </w:rPr>
            </w:pPr>
            <w:r>
              <w:rPr>
                <w:rFonts w:ascii="Arial" w:cs="Arial" w:eastAsia="Arial" w:hAnsi="Arial"/>
                <w:sz w:val="14"/>
                <w:szCs w:val="14"/>
                <w:color w:val="auto"/>
              </w:rPr>
              <w:t>Six Months</w:t>
            </w:r>
          </w:p>
        </w:tc>
      </w:tr>
      <w:tr>
        <w:trPr>
          <w:trHeight w:val="142"/>
        </w:trPr>
        <w:tc>
          <w:tcPr>
            <w:tcW w:w="79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4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2011</w:t>
            </w:r>
          </w:p>
        </w:tc>
        <w:tc>
          <w:tcPr>
            <w:tcW w:w="4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2012</w:t>
            </w:r>
          </w:p>
        </w:tc>
        <w:tc>
          <w:tcPr>
            <w:tcW w:w="4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&amp; engineering</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2.8%</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3.1%</w:t>
            </w:r>
          </w:p>
        </w:tc>
      </w:tr>
      <w:tr>
        <w:trPr>
          <w:trHeight w:val="228"/>
        </w:trPr>
        <w:tc>
          <w:tcPr>
            <w:tcW w:w="792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1.4%</w:t>
            </w:r>
          </w:p>
        </w:tc>
      </w:tr>
    </w:tbl>
    <w:p>
      <w:pPr>
        <w:spacing w:after="0" w:line="14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i w:val="1"/>
          <w:iCs w:val="1"/>
          <w:color w:val="auto"/>
        </w:rPr>
        <w:t xml:space="preserve">General &amp; administrative </w:t>
      </w:r>
      <w:r>
        <w:rPr>
          <w:rFonts w:ascii="Arial" w:cs="Arial" w:eastAsia="Arial" w:hAnsi="Arial"/>
          <w:sz w:val="16"/>
          <w:szCs w:val="16"/>
          <w:color w:val="auto"/>
        </w:rPr>
        <w:t>decreased as a percentage of revenue, in both the second quarter and six months compared to the prior year primarily as a result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$50 million donation to the Schlumberger Foundation in the second quarter of 2011 (see discussion of Charges and Credits below).</w:t>
      </w:r>
    </w:p>
    <w:p>
      <w:pPr>
        <w:spacing w:after="0" w:line="8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effective tax rate for the second quarter of 2012 was 24.2% compared to 24.8% for the same period in 2011 and 24.0% for the six months ended June 30, 2012 as compared to 24.3% for the same period in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CHARGES AND CREDITS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during the second quarter and the first six months of 2012 and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 xml:space="preserve">In the second quarter of 2012, Schlumberger recorded $22 million of pretax merger and integration-related charges ($21 million after-tax) primarily relating to its August 27, 2010 acquisition of Smith. This amount is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8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 xml:space="preserve">In the first quarter of 2012, Schlumberger recorded $15 million of pretax merger and integration-related charges ($13 million after-tax) in connection with the acquisition of Smith. This amount is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second quarter of 2011 charges: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380" w:type="dxa"/>
            <w:vAlign w:val="bottom"/>
            <w:gridSpan w:val="4"/>
          </w:tcPr>
          <w:p>
            <w:pPr>
              <w:jc w:val="right"/>
              <w:ind w:right="4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82"/>
              </w:rPr>
              <w:t>Consolidated Statement</w:t>
            </w:r>
          </w:p>
        </w:tc>
        <w:tc>
          <w:tcPr>
            <w:tcW w:w="0" w:type="dxa"/>
            <w:vAlign w:val="bottom"/>
          </w:tcPr>
          <w:p>
            <w:pPr>
              <w:spacing w:after="0"/>
              <w:rPr>
                <w:sz w:val="1"/>
                <w:szCs w:val="1"/>
                <w:color w:val="auto"/>
              </w:rPr>
            </w:pPr>
          </w:p>
        </w:tc>
      </w:tr>
      <w:tr>
        <w:trPr>
          <w:trHeight w:val="123"/>
        </w:trPr>
        <w:tc>
          <w:tcPr>
            <w:tcW w:w="46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78"/>
              </w:rPr>
              <w:t>Pretax</w:t>
            </w:r>
          </w:p>
        </w:tc>
        <w:tc>
          <w:tcPr>
            <w:tcW w:w="400" w:type="dxa"/>
            <w:vAlign w:val="bottom"/>
          </w:tcPr>
          <w:p>
            <w:pPr>
              <w:spacing w:after="0"/>
              <w:rPr>
                <w:sz w:val="15"/>
                <w:szCs w:val="15"/>
                <w:color w:val="auto"/>
              </w:rPr>
            </w:pPr>
          </w:p>
        </w:tc>
        <w:tc>
          <w:tcPr>
            <w:tcW w:w="640" w:type="dxa"/>
            <w:vAlign w:val="bottom"/>
            <w:gridSpan w:val="2"/>
          </w:tcPr>
          <w:p>
            <w:pPr>
              <w:jc w:val="center"/>
              <w:ind w:right="360"/>
              <w:spacing w:after="0"/>
              <w:rPr>
                <w:sz w:val="20"/>
                <w:szCs w:val="20"/>
                <w:color w:val="auto"/>
              </w:rPr>
            </w:pPr>
            <w:r>
              <w:rPr>
                <w:rFonts w:ascii="Arial" w:cs="Arial" w:eastAsia="Arial" w:hAnsi="Arial"/>
                <w:sz w:val="14"/>
                <w:szCs w:val="14"/>
                <w:color w:val="auto"/>
                <w:w w:val="85"/>
              </w:rPr>
              <w:t>Tax</w:t>
            </w:r>
          </w:p>
        </w:tc>
        <w:tc>
          <w:tcPr>
            <w:tcW w:w="20" w:type="dxa"/>
            <w:vAlign w:val="bottom"/>
          </w:tcPr>
          <w:p>
            <w:pPr>
              <w:spacing w:after="0"/>
              <w:rPr>
                <w:sz w:val="15"/>
                <w:szCs w:val="15"/>
                <w:color w:val="auto"/>
              </w:rPr>
            </w:pPr>
          </w:p>
        </w:tc>
        <w:tc>
          <w:tcPr>
            <w:tcW w:w="66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Net</w:t>
            </w:r>
          </w:p>
        </w:tc>
        <w:tc>
          <w:tcPr>
            <w:tcW w:w="20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5"/>
              </w:rPr>
              <w:t xml:space="preserve">of Income </w:t>
            </w:r>
            <w:r>
              <w:rPr>
                <w:rFonts w:ascii="Arial" w:cs="Arial" w:eastAsia="Arial" w:hAnsi="Arial"/>
                <w:sz w:val="14"/>
                <w:szCs w:val="14"/>
                <w:b w:val="1"/>
                <w:bCs w:val="1"/>
                <w:color w:val="auto"/>
                <w:w w:val="85"/>
              </w:rPr>
              <w:t>Classification</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360" w:type="dxa"/>
            <w:vAlign w:val="bottom"/>
            <w:tcBorders>
              <w:top w:val="single" w:sz="8" w:color="CCEEFF"/>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Merger-related integration costs</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$ 32</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$ 8</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$24</w:t>
            </w:r>
          </w:p>
        </w:tc>
        <w:tc>
          <w:tcPr>
            <w:tcW w:w="4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Donation to the Schlumberger Foundation</w:t>
            </w:r>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680" w:type="dxa"/>
            <w:vAlign w:val="bottom"/>
            <w:gridSpan w:val="3"/>
          </w:tcPr>
          <w:p>
            <w:pPr>
              <w:jc w:val="right"/>
              <w:ind w:right="400"/>
              <w:spacing w:after="0"/>
              <w:rPr>
                <w:sz w:val="20"/>
                <w:szCs w:val="20"/>
                <w:color w:val="auto"/>
              </w:rPr>
            </w:pPr>
            <w:r>
              <w:rPr>
                <w:rFonts w:ascii="Arial" w:cs="Arial" w:eastAsia="Arial" w:hAnsi="Arial"/>
                <w:sz w:val="18"/>
                <w:szCs w:val="18"/>
                <w:color w:val="auto"/>
              </w:rPr>
              <w:t>40</w:t>
            </w:r>
          </w:p>
        </w:tc>
        <w:tc>
          <w:tcPr>
            <w:tcW w:w="2080" w:type="dxa"/>
            <w:vAlign w:val="bottom"/>
          </w:tcPr>
          <w:p>
            <w:pPr>
              <w:spacing w:after="0"/>
              <w:rPr>
                <w:sz w:val="20"/>
                <w:szCs w:val="20"/>
                <w:color w:val="auto"/>
              </w:rPr>
            </w:pPr>
            <w:r>
              <w:rPr>
                <w:rFonts w:ascii="Arial" w:cs="Arial" w:eastAsia="Arial" w:hAnsi="Arial"/>
                <w:sz w:val="18"/>
                <w:szCs w:val="18"/>
                <w:i w:val="1"/>
                <w:iCs w:val="1"/>
                <w:color w:val="auto"/>
              </w:rPr>
              <w:t>General &amp; administrative</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3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$ 82</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w:t>
            </w:r>
          </w:p>
        </w:tc>
        <w:tc>
          <w:tcPr>
            <w:tcW w:w="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64</w:t>
            </w:r>
          </w:p>
        </w:tc>
        <w:tc>
          <w:tcPr>
            <w:tcW w:w="2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jc w:val="right"/>
              <w:ind w:right="532"/>
              <w:spacing w:after="0"/>
              <w:rPr>
                <w:sz w:val="20"/>
                <w:szCs w:val="20"/>
                <w:color w:val="auto"/>
              </w:rPr>
            </w:pPr>
            <w:r>
              <w:rPr>
                <w:rFonts w:ascii="Arial" w:cs="Arial" w:eastAsia="Arial" w:hAnsi="Arial"/>
                <w:sz w:val="18"/>
                <w:szCs w:val="18"/>
                <w:color w:val="auto"/>
                <w:w w:val="89"/>
              </w:rPr>
              <w:t>The following is a summary of the charges recorded during the first six months of 2011: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8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380" w:type="dxa"/>
            <w:vAlign w:val="bottom"/>
            <w:gridSpan w:val="4"/>
          </w:tcPr>
          <w:p>
            <w:pPr>
              <w:jc w:val="right"/>
              <w:ind w:right="4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82"/>
              </w:rPr>
              <w:t>Consolidated Statement</w:t>
            </w:r>
          </w:p>
        </w:tc>
        <w:tc>
          <w:tcPr>
            <w:tcW w:w="0" w:type="dxa"/>
            <w:vAlign w:val="bottom"/>
          </w:tcPr>
          <w:p>
            <w:pPr>
              <w:spacing w:after="0"/>
              <w:rPr>
                <w:sz w:val="1"/>
                <w:szCs w:val="1"/>
                <w:color w:val="auto"/>
              </w:rPr>
            </w:pPr>
          </w:p>
        </w:tc>
      </w:tr>
      <w:tr>
        <w:trPr>
          <w:trHeight w:val="123"/>
        </w:trPr>
        <w:tc>
          <w:tcPr>
            <w:tcW w:w="46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78"/>
              </w:rPr>
              <w:t>Pretax</w:t>
            </w:r>
          </w:p>
        </w:tc>
        <w:tc>
          <w:tcPr>
            <w:tcW w:w="400" w:type="dxa"/>
            <w:vAlign w:val="bottom"/>
          </w:tcPr>
          <w:p>
            <w:pPr>
              <w:spacing w:after="0"/>
              <w:rPr>
                <w:sz w:val="15"/>
                <w:szCs w:val="15"/>
                <w:color w:val="auto"/>
              </w:rPr>
            </w:pPr>
          </w:p>
        </w:tc>
        <w:tc>
          <w:tcPr>
            <w:tcW w:w="640" w:type="dxa"/>
            <w:vAlign w:val="bottom"/>
            <w:gridSpan w:val="2"/>
          </w:tcPr>
          <w:p>
            <w:pPr>
              <w:jc w:val="center"/>
              <w:ind w:right="360"/>
              <w:spacing w:after="0"/>
              <w:rPr>
                <w:sz w:val="20"/>
                <w:szCs w:val="20"/>
                <w:color w:val="auto"/>
              </w:rPr>
            </w:pPr>
            <w:r>
              <w:rPr>
                <w:rFonts w:ascii="Arial" w:cs="Arial" w:eastAsia="Arial" w:hAnsi="Arial"/>
                <w:sz w:val="14"/>
                <w:szCs w:val="14"/>
                <w:color w:val="auto"/>
                <w:w w:val="85"/>
              </w:rPr>
              <w:t>Tax</w:t>
            </w:r>
          </w:p>
        </w:tc>
        <w:tc>
          <w:tcPr>
            <w:tcW w:w="20" w:type="dxa"/>
            <w:vAlign w:val="bottom"/>
          </w:tcPr>
          <w:p>
            <w:pPr>
              <w:spacing w:after="0"/>
              <w:rPr>
                <w:sz w:val="15"/>
                <w:szCs w:val="15"/>
                <w:color w:val="auto"/>
              </w:rPr>
            </w:pPr>
          </w:p>
        </w:tc>
        <w:tc>
          <w:tcPr>
            <w:tcW w:w="66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Net</w:t>
            </w:r>
          </w:p>
        </w:tc>
        <w:tc>
          <w:tcPr>
            <w:tcW w:w="20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5"/>
              </w:rPr>
              <w:t xml:space="preserve">of Income </w:t>
            </w:r>
            <w:r>
              <w:rPr>
                <w:rFonts w:ascii="Arial" w:cs="Arial" w:eastAsia="Arial" w:hAnsi="Arial"/>
                <w:sz w:val="14"/>
                <w:szCs w:val="14"/>
                <w:b w:val="1"/>
                <w:bCs w:val="1"/>
                <w:color w:val="auto"/>
                <w:w w:val="85"/>
              </w:rPr>
              <w:t>Classification</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360" w:type="dxa"/>
            <w:vAlign w:val="bottom"/>
            <w:tcBorders>
              <w:top w:val="single" w:sz="8" w:color="CCEEFF"/>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Merger-related integration costs</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$ 65</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$13</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$52</w:t>
            </w:r>
          </w:p>
        </w:tc>
        <w:tc>
          <w:tcPr>
            <w:tcW w:w="4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Donation to the Schlumberger Foundation</w:t>
            </w:r>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680" w:type="dxa"/>
            <w:vAlign w:val="bottom"/>
            <w:gridSpan w:val="3"/>
          </w:tcPr>
          <w:p>
            <w:pPr>
              <w:jc w:val="right"/>
              <w:ind w:right="400"/>
              <w:spacing w:after="0"/>
              <w:rPr>
                <w:sz w:val="20"/>
                <w:szCs w:val="20"/>
                <w:color w:val="auto"/>
              </w:rPr>
            </w:pPr>
            <w:r>
              <w:rPr>
                <w:rFonts w:ascii="Arial" w:cs="Arial" w:eastAsia="Arial" w:hAnsi="Arial"/>
                <w:sz w:val="18"/>
                <w:szCs w:val="18"/>
                <w:color w:val="auto"/>
              </w:rPr>
              <w:t>40</w:t>
            </w:r>
          </w:p>
        </w:tc>
        <w:tc>
          <w:tcPr>
            <w:tcW w:w="2080" w:type="dxa"/>
            <w:vAlign w:val="bottom"/>
          </w:tcPr>
          <w:p>
            <w:pPr>
              <w:spacing w:after="0"/>
              <w:rPr>
                <w:sz w:val="20"/>
                <w:szCs w:val="20"/>
                <w:color w:val="auto"/>
              </w:rPr>
            </w:pPr>
            <w:r>
              <w:rPr>
                <w:rFonts w:ascii="Arial" w:cs="Arial" w:eastAsia="Arial" w:hAnsi="Arial"/>
                <w:sz w:val="18"/>
                <w:szCs w:val="18"/>
                <w:i w:val="1"/>
                <w:iCs w:val="1"/>
                <w:color w:val="auto"/>
              </w:rPr>
              <w:t>General &amp; administrative</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36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3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0"/>
              </w:rPr>
              <w:t>$</w:t>
            </w:r>
            <w:r>
              <w:rPr>
                <w:rFonts w:ascii="Arial" w:cs="Arial" w:eastAsia="Arial" w:hAnsi="Arial"/>
                <w:sz w:val="18"/>
                <w:szCs w:val="18"/>
                <w:color w:val="auto"/>
                <w:w w:val="70"/>
              </w:rPr>
              <w:t xml:space="preserve"> 115</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w:t>
            </w:r>
          </w:p>
        </w:tc>
        <w:tc>
          <w:tcPr>
            <w:tcW w:w="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92</w:t>
            </w:r>
          </w:p>
        </w:tc>
        <w:tc>
          <w:tcPr>
            <w:tcW w:w="2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jc w:val="right"/>
              <w:ind w:right="932"/>
              <w:spacing w:after="0"/>
              <w:rPr>
                <w:sz w:val="20"/>
                <w:szCs w:val="20"/>
                <w:color w:val="auto"/>
              </w:rPr>
            </w:pPr>
            <w:r>
              <w:rPr>
                <w:rFonts w:ascii="Arial" w:cs="Arial" w:eastAsia="Arial" w:hAnsi="Arial"/>
                <w:sz w:val="18"/>
                <w:szCs w:val="18"/>
                <w:color w:val="auto"/>
              </w:rPr>
              <w:t>25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8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Details of Net Debt follow: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5"/>
          </w:tcPr>
          <w:p>
            <w:pPr>
              <w:jc w:val="center"/>
              <w:ind w:right="580"/>
              <w:spacing w:after="0"/>
              <w:rPr>
                <w:sz w:val="20"/>
                <w:szCs w:val="20"/>
                <w:color w:val="auto"/>
              </w:rPr>
            </w:pPr>
            <w:r>
              <w:rPr>
                <w:rFonts w:ascii="Arial" w:cs="Arial" w:eastAsia="Arial" w:hAnsi="Arial"/>
                <w:sz w:val="14"/>
                <w:szCs w:val="14"/>
                <w:i w:val="1"/>
                <w:iCs w:val="1"/>
                <w:color w:val="auto"/>
                <w:w w:val="80"/>
              </w:rPr>
              <w:t>(Stated in</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Jun. 30,</w:t>
            </w:r>
          </w:p>
        </w:tc>
        <w:tc>
          <w:tcPr>
            <w:tcW w:w="60" w:type="dxa"/>
            <w:vAlign w:val="bottom"/>
          </w:tcPr>
          <w:p>
            <w:pPr>
              <w:spacing w:after="0"/>
              <w:rPr>
                <w:sz w:val="12"/>
                <w:szCs w:val="12"/>
                <w:color w:val="auto"/>
              </w:rPr>
            </w:pPr>
          </w:p>
        </w:tc>
        <w:tc>
          <w:tcPr>
            <w:tcW w:w="1060" w:type="dxa"/>
            <w:vAlign w:val="bottom"/>
            <w:gridSpan w:val="5"/>
          </w:tcPr>
          <w:p>
            <w:pPr>
              <w:jc w:val="center"/>
              <w:ind w:right="600"/>
              <w:spacing w:after="0" w:line="149" w:lineRule="exact"/>
              <w:rPr>
                <w:sz w:val="20"/>
                <w:szCs w:val="20"/>
                <w:color w:val="auto"/>
              </w:rPr>
            </w:pPr>
            <w:r>
              <w:rPr>
                <w:rFonts w:ascii="Arial" w:cs="Arial" w:eastAsia="Arial" w:hAnsi="Arial"/>
                <w:sz w:val="14"/>
                <w:szCs w:val="14"/>
                <w:i w:val="1"/>
                <w:iCs w:val="1"/>
                <w:color w:val="auto"/>
                <w:w w:val="89"/>
              </w:rPr>
              <w:t>millions)</w:t>
            </w: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5"/>
          </w:tcPr>
          <w:p>
            <w:pPr>
              <w:jc w:val="center"/>
              <w:ind w:right="600"/>
              <w:spacing w:after="0" w:line="147" w:lineRule="exact"/>
              <w:rPr>
                <w:sz w:val="20"/>
                <w:szCs w:val="20"/>
                <w:color w:val="auto"/>
              </w:rPr>
            </w:pPr>
            <w:r>
              <w:rPr>
                <w:rFonts w:ascii="Arial" w:cs="Arial" w:eastAsia="Arial" w:hAnsi="Arial"/>
                <w:sz w:val="14"/>
                <w:szCs w:val="14"/>
                <w:color w:val="auto"/>
                <w:w w:val="84"/>
              </w:rPr>
              <w:t>Jun. 30,</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53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2012</w:t>
            </w:r>
          </w:p>
        </w:tc>
        <w:tc>
          <w:tcPr>
            <w:tcW w:w="5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2011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Debt, beginning of year</w:t>
            </w:r>
          </w:p>
        </w:tc>
        <w:tc>
          <w:tcPr>
            <w:tcW w:w="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4"/>
              </w:rPr>
              <w:t>$(4,850)</w:t>
            </w:r>
          </w:p>
        </w:tc>
        <w:tc>
          <w:tcPr>
            <w:tcW w:w="5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1"/>
              </w:rPr>
              <w:t>$(2,638)</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40" w:type="dxa"/>
            <w:vAlign w:val="bottom"/>
            <w:gridSpan w:val="2"/>
          </w:tcPr>
          <w:p>
            <w:pPr>
              <w:ind w:left="440"/>
              <w:spacing w:after="0"/>
              <w:rPr>
                <w:sz w:val="20"/>
                <w:szCs w:val="20"/>
                <w:color w:val="auto"/>
              </w:rPr>
            </w:pPr>
            <w:r>
              <w:rPr>
                <w:rFonts w:ascii="Arial" w:cs="Arial" w:eastAsia="Arial" w:hAnsi="Arial"/>
                <w:sz w:val="18"/>
                <w:szCs w:val="18"/>
                <w:color w:val="auto"/>
              </w:rPr>
              <w:t>Income from continuing operations</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2,680</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1,706</w:t>
            </w:r>
          </w:p>
        </w:tc>
        <w:tc>
          <w:tcPr>
            <w:tcW w:w="5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40" w:type="dxa"/>
            <w:vAlign w:val="bottom"/>
            <w:gridSpan w:val="2"/>
          </w:tcPr>
          <w:p>
            <w:pPr>
              <w:ind w:left="440"/>
              <w:spacing w:after="0"/>
              <w:rPr>
                <w:sz w:val="20"/>
                <w:szCs w:val="20"/>
                <w:color w:val="auto"/>
              </w:rPr>
            </w:pPr>
            <w:r>
              <w:rPr>
                <w:rFonts w:ascii="Arial" w:cs="Arial" w:eastAsia="Arial" w:hAnsi="Arial"/>
                <w:sz w:val="18"/>
                <w:szCs w:val="18"/>
                <w:color w:val="auto"/>
              </w:rPr>
              <w:t>Excess of equity income over dividends received</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62"/>
              <w:spacing w:after="0"/>
              <w:rPr>
                <w:sz w:val="20"/>
                <w:szCs w:val="20"/>
                <w:color w:val="auto"/>
              </w:rPr>
            </w:pPr>
            <w:r>
              <w:rPr>
                <w:rFonts w:ascii="Arial" w:cs="Arial" w:eastAsia="Arial" w:hAnsi="Arial"/>
                <w:sz w:val="18"/>
                <w:szCs w:val="18"/>
                <w:b w:val="1"/>
                <w:bCs w:val="1"/>
                <w:color w:val="auto"/>
              </w:rPr>
              <w:t>(77)</w:t>
            </w:r>
          </w:p>
        </w:tc>
        <w:tc>
          <w:tcPr>
            <w:tcW w:w="6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5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40" w:type="dxa"/>
            <w:vAlign w:val="bottom"/>
            <w:gridSpan w:val="2"/>
          </w:tcPr>
          <w:p>
            <w:pPr>
              <w:ind w:left="440"/>
              <w:spacing w:after="0"/>
              <w:rPr>
                <w:sz w:val="20"/>
                <w:szCs w:val="20"/>
                <w:color w:val="auto"/>
              </w:rPr>
            </w:pPr>
            <w:r>
              <w:rPr>
                <w:rFonts w:ascii="Arial" w:cs="Arial" w:eastAsia="Arial" w:hAnsi="Arial"/>
                <w:sz w:val="18"/>
                <w:szCs w:val="18"/>
                <w:color w:val="auto"/>
              </w:rPr>
              <w:t>Pension and other postretirement benefits expense</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193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Pension and other postretirement benefits funding</w:t>
            </w:r>
          </w:p>
        </w:tc>
        <w:tc>
          <w:tcPr>
            <w:tcW w:w="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b w:val="1"/>
                <w:bCs w:val="1"/>
                <w:color w:val="auto"/>
              </w:rPr>
              <w:t>(338)</w:t>
            </w:r>
          </w:p>
        </w:tc>
        <w:tc>
          <w:tcPr>
            <w:tcW w:w="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40" w:type="dxa"/>
            <w:vAlign w:val="bottom"/>
            <w:gridSpan w:val="2"/>
          </w:tcPr>
          <w:p>
            <w:pPr>
              <w:ind w:left="440"/>
              <w:spacing w:after="0"/>
              <w:rPr>
                <w:sz w:val="20"/>
                <w:szCs w:val="20"/>
                <w:color w:val="auto"/>
              </w:rPr>
            </w:pPr>
            <w:r>
              <w:rPr>
                <w:rFonts w:ascii="Arial" w:cs="Arial" w:eastAsia="Arial" w:hAnsi="Arial"/>
                <w:sz w:val="18"/>
                <w:szCs w:val="18"/>
                <w:color w:val="auto"/>
              </w:rPr>
              <w:t>Increase in working capital</w:t>
            </w:r>
          </w:p>
        </w:tc>
        <w:tc>
          <w:tcPr>
            <w:tcW w:w="1560" w:type="dxa"/>
            <w:vAlign w:val="bottom"/>
            <w:gridSpan w:val="5"/>
          </w:tcPr>
          <w:p>
            <w:pPr>
              <w:jc w:val="right"/>
              <w:ind w:right="362"/>
              <w:spacing w:after="0"/>
              <w:rPr>
                <w:sz w:val="20"/>
                <w:szCs w:val="20"/>
                <w:color w:val="auto"/>
              </w:rPr>
            </w:pPr>
            <w:r>
              <w:rPr>
                <w:rFonts w:ascii="Arial" w:cs="Arial" w:eastAsia="Arial" w:hAnsi="Arial"/>
                <w:sz w:val="18"/>
                <w:szCs w:val="18"/>
                <w:b w:val="1"/>
                <w:bCs w:val="1"/>
                <w:color w:val="auto"/>
              </w:rPr>
              <w:t>(2,720)</w:t>
            </w:r>
          </w:p>
        </w:tc>
        <w:tc>
          <w:tcPr>
            <w:tcW w:w="6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(1,980)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1560" w:type="dxa"/>
            <w:vAlign w:val="bottom"/>
            <w:gridSpan w:val="5"/>
            <w:shd w:val="clear" w:color="auto" w:fill="CCEEFF"/>
          </w:tcPr>
          <w:p>
            <w:pPr>
              <w:jc w:val="right"/>
              <w:ind w:right="362"/>
              <w:spacing w:after="0"/>
              <w:rPr>
                <w:sz w:val="20"/>
                <w:szCs w:val="20"/>
                <w:color w:val="auto"/>
              </w:rPr>
            </w:pPr>
            <w:r>
              <w:rPr>
                <w:rFonts w:ascii="Arial" w:cs="Arial" w:eastAsia="Arial" w:hAnsi="Arial"/>
                <w:sz w:val="18"/>
                <w:szCs w:val="18"/>
                <w:b w:val="1"/>
                <w:bCs w:val="1"/>
                <w:color w:val="auto"/>
              </w:rPr>
              <w:t>(2,081)</w:t>
            </w:r>
          </w:p>
        </w:tc>
        <w:tc>
          <w:tcPr>
            <w:tcW w:w="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(1,716)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40" w:type="dxa"/>
            <w:vAlign w:val="bottom"/>
            <w:gridSpan w:val="2"/>
          </w:tcPr>
          <w:p>
            <w:pPr>
              <w:ind w:left="440"/>
              <w:spacing w:after="0"/>
              <w:rPr>
                <w:sz w:val="20"/>
                <w:szCs w:val="20"/>
                <w:color w:val="auto"/>
              </w:rPr>
            </w:pPr>
            <w:r>
              <w:rPr>
                <w:rFonts w:ascii="Arial" w:cs="Arial" w:eastAsia="Arial" w:hAnsi="Arial"/>
                <w:sz w:val="18"/>
                <w:szCs w:val="18"/>
                <w:color w:val="auto"/>
              </w:rPr>
              <w:t>Multiclient seismic data capitalized</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62"/>
              <w:spacing w:after="0"/>
              <w:rPr>
                <w:sz w:val="20"/>
                <w:szCs w:val="20"/>
                <w:color w:val="auto"/>
              </w:rPr>
            </w:pPr>
            <w:r>
              <w:rPr>
                <w:rFonts w:ascii="Arial" w:cs="Arial" w:eastAsia="Arial" w:hAnsi="Arial"/>
                <w:sz w:val="18"/>
                <w:szCs w:val="18"/>
                <w:b w:val="1"/>
                <w:bCs w:val="1"/>
                <w:color w:val="auto"/>
              </w:rPr>
              <w:t>(183)</w:t>
            </w:r>
          </w:p>
        </w:tc>
        <w:tc>
          <w:tcPr>
            <w:tcW w:w="6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Dividends paid</w:t>
            </w:r>
          </w:p>
        </w:tc>
        <w:tc>
          <w:tcPr>
            <w:tcW w:w="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b w:val="1"/>
                <w:bCs w:val="1"/>
                <w:color w:val="auto"/>
              </w:rPr>
              <w:t>(701)</w:t>
            </w:r>
          </w:p>
        </w:tc>
        <w:tc>
          <w:tcPr>
            <w:tcW w:w="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40" w:type="dxa"/>
            <w:vAlign w:val="bottom"/>
            <w:gridSpan w:val="2"/>
          </w:tcPr>
          <w:p>
            <w:pPr>
              <w:ind w:left="440"/>
              <w:spacing w:after="0"/>
              <w:rPr>
                <w:sz w:val="20"/>
                <w:szCs w:val="20"/>
                <w:color w:val="auto"/>
              </w:rPr>
            </w:pPr>
            <w:r>
              <w:rPr>
                <w:rFonts w:ascii="Arial" w:cs="Arial" w:eastAsia="Arial" w:hAnsi="Arial"/>
                <w:sz w:val="18"/>
                <w:szCs w:val="18"/>
                <w:color w:val="auto"/>
              </w:rPr>
              <w:t>Stock repurchase program</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62"/>
              <w:spacing w:after="0"/>
              <w:rPr>
                <w:sz w:val="20"/>
                <w:szCs w:val="20"/>
                <w:color w:val="auto"/>
              </w:rPr>
            </w:pPr>
            <w:r>
              <w:rPr>
                <w:rFonts w:ascii="Arial" w:cs="Arial" w:eastAsia="Arial" w:hAnsi="Arial"/>
                <w:sz w:val="18"/>
                <w:szCs w:val="18"/>
                <w:b w:val="1"/>
                <w:bCs w:val="1"/>
                <w:color w:val="auto"/>
              </w:rPr>
              <w:t>(823)</w:t>
            </w:r>
          </w:p>
        </w:tc>
        <w:tc>
          <w:tcPr>
            <w:tcW w:w="6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(1,551)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Proceeds from employee stock plans</w:t>
            </w:r>
          </w:p>
        </w:tc>
        <w:tc>
          <w:tcPr>
            <w:tcW w:w="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c>
          <w:tcPr>
            <w:tcW w:w="5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40" w:type="dxa"/>
            <w:vAlign w:val="bottom"/>
            <w:gridSpan w:val="2"/>
          </w:tcPr>
          <w:p>
            <w:pPr>
              <w:ind w:left="440"/>
              <w:spacing w:after="0"/>
              <w:rPr>
                <w:sz w:val="20"/>
                <w:szCs w:val="20"/>
                <w:color w:val="auto"/>
              </w:rPr>
            </w:pPr>
            <w:r>
              <w:rPr>
                <w:rFonts w:ascii="Arial" w:cs="Arial" w:eastAsia="Arial" w:hAnsi="Arial"/>
                <w:sz w:val="18"/>
                <w:szCs w:val="18"/>
                <w:color w:val="auto"/>
              </w:rPr>
              <w:t>Business acquisitions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62"/>
              <w:spacing w:after="0"/>
              <w:rPr>
                <w:sz w:val="20"/>
                <w:szCs w:val="20"/>
                <w:color w:val="auto"/>
              </w:rPr>
            </w:pPr>
            <w:r>
              <w:rPr>
                <w:rFonts w:ascii="Arial" w:cs="Arial" w:eastAsia="Arial" w:hAnsi="Arial"/>
                <w:sz w:val="18"/>
                <w:szCs w:val="18"/>
                <w:b w:val="1"/>
                <w:bCs w:val="1"/>
                <w:color w:val="auto"/>
              </w:rPr>
              <w:t>(682)</w:t>
            </w: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Proceeds from divestiture of Wilson distribution business</w:t>
            </w:r>
          </w:p>
        </w:tc>
        <w:tc>
          <w:tcPr>
            <w:tcW w:w="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906</w:t>
            </w:r>
          </w:p>
        </w:tc>
        <w:tc>
          <w:tcPr>
            <w:tcW w:w="5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40" w:type="dxa"/>
            <w:vAlign w:val="bottom"/>
            <w:gridSpan w:val="2"/>
          </w:tcPr>
          <w:p>
            <w:pPr>
              <w:ind w:left="440"/>
              <w:spacing w:after="0"/>
              <w:rPr>
                <w:sz w:val="20"/>
                <w:szCs w:val="20"/>
                <w:color w:val="auto"/>
              </w:rPr>
            </w:pPr>
            <w:r>
              <w:rPr>
                <w:rFonts w:ascii="Arial" w:cs="Arial" w:eastAsia="Arial" w:hAnsi="Arial"/>
                <w:sz w:val="18"/>
                <w:szCs w:val="18"/>
                <w:color w:val="auto"/>
              </w:rPr>
              <w:t>Proceeds from divestiture of Global Connectivity Services business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522"/>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Currency effect on net debt</w:t>
            </w:r>
          </w:p>
        </w:tc>
        <w:tc>
          <w:tcPr>
            <w:tcW w:w="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5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4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62"/>
              <w:spacing w:after="0"/>
              <w:rPr>
                <w:sz w:val="20"/>
                <w:szCs w:val="20"/>
                <w:color w:val="auto"/>
              </w:rPr>
            </w:pPr>
            <w:r>
              <w:rPr>
                <w:rFonts w:ascii="Arial" w:cs="Arial" w:eastAsia="Arial" w:hAnsi="Arial"/>
                <w:sz w:val="18"/>
                <w:szCs w:val="18"/>
                <w:b w:val="1"/>
                <w:bCs w:val="1"/>
                <w:color w:val="auto"/>
              </w:rPr>
              <w:t>(309)</w:t>
            </w: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62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540" w:type="dxa"/>
            <w:vAlign w:val="bottom"/>
            <w:tcBorders>
              <w:right w:val="single" w:sz="8" w:color="CCEEFF"/>
            </w:tcBorders>
            <w:gridSpan w:val="2"/>
            <w:shd w:val="clear" w:color="auto" w:fill="CCEEFF"/>
          </w:tcPr>
          <w:p>
            <w:pPr>
              <w:spacing w:after="0"/>
              <w:rPr>
                <w:sz w:val="18"/>
                <w:szCs w:val="18"/>
                <w:color w:val="auto"/>
              </w:rPr>
            </w:pPr>
          </w:p>
        </w:tc>
        <w:tc>
          <w:tcPr>
            <w:tcW w:w="1020" w:type="dxa"/>
            <w:vAlign w:val="bottom"/>
            <w:tcBorders>
              <w:left w:val="single" w:sz="8" w:color="CCEEFF"/>
            </w:tcBorders>
            <w:gridSpan w:val="3"/>
            <w:shd w:val="clear" w:color="auto" w:fill="CCEEFF"/>
          </w:tcPr>
          <w:p>
            <w:pPr>
              <w:jc w:val="right"/>
              <w:ind w:right="362"/>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(6,720)</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(4,311)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104"/>
              <w:spacing w:after="0"/>
              <w:rPr>
                <w:sz w:val="20"/>
                <w:szCs w:val="20"/>
                <w:color w:val="auto"/>
              </w:rPr>
            </w:pPr>
            <w:r>
              <w:rPr>
                <w:rFonts w:ascii="Arial" w:cs="Arial" w:eastAsia="Arial" w:hAnsi="Arial"/>
                <w:sz w:val="11"/>
                <w:szCs w:val="11"/>
                <w:color w:val="auto"/>
                <w:w w:val="88"/>
              </w:rPr>
              <w:t>(1)</w:t>
            </w:r>
          </w:p>
        </w:tc>
        <w:tc>
          <w:tcPr>
            <w:tcW w:w="7520" w:type="dxa"/>
            <w:vAlign w:val="bottom"/>
            <w:gridSpan w:val="4"/>
            <w:vMerge w:val="restart"/>
          </w:tcPr>
          <w:p>
            <w:pPr>
              <w:ind w:left="160"/>
              <w:spacing w:after="0"/>
              <w:rPr>
                <w:sz w:val="20"/>
                <w:szCs w:val="20"/>
                <w:color w:val="auto"/>
              </w:rPr>
            </w:pPr>
            <w:r>
              <w:rPr>
                <w:rFonts w:ascii="Arial" w:cs="Arial" w:eastAsia="Arial" w:hAnsi="Arial"/>
                <w:sz w:val="18"/>
                <w:szCs w:val="18"/>
                <w:color w:val="auto"/>
              </w:rPr>
              <w:t>Includes multiclient seismic data costs.</w:t>
            </w: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300" w:type="dxa"/>
            <w:vAlign w:val="bottom"/>
            <w:vMerge w:val="continue"/>
          </w:tcPr>
          <w:p>
            <w:pPr>
              <w:spacing w:after="0"/>
              <w:rPr>
                <w:sz w:val="24"/>
                <w:szCs w:val="24"/>
                <w:color w:val="auto"/>
              </w:rPr>
            </w:pPr>
          </w:p>
        </w:tc>
        <w:tc>
          <w:tcPr>
            <w:tcW w:w="752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00" w:type="dxa"/>
            <w:vAlign w:val="bottom"/>
          </w:tcPr>
          <w:p>
            <w:pPr>
              <w:spacing w:after="0"/>
              <w:rPr>
                <w:sz w:val="8"/>
                <w:szCs w:val="8"/>
                <w:color w:val="auto"/>
              </w:rPr>
            </w:pPr>
          </w:p>
        </w:tc>
        <w:tc>
          <w:tcPr>
            <w:tcW w:w="752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2"/>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vMerge w:val="restart"/>
          </w:tcPr>
          <w:p>
            <w:pPr>
              <w:jc w:val="right"/>
              <w:ind w:right="37"/>
              <w:spacing w:after="0"/>
              <w:rPr>
                <w:sz w:val="20"/>
                <w:szCs w:val="20"/>
                <w:color w:val="auto"/>
              </w:rPr>
            </w:pPr>
            <w:r>
              <w:rPr>
                <w:rFonts w:ascii="Arial" w:cs="Arial" w:eastAsia="Arial" w:hAnsi="Arial"/>
                <w:sz w:val="14"/>
                <w:szCs w:val="14"/>
                <w:b w:val="1"/>
                <w:bCs w:val="1"/>
                <w:color w:val="auto"/>
                <w:w w:val="88"/>
              </w:rPr>
              <w:t>Jun. 30,</w:t>
            </w:r>
          </w:p>
        </w:tc>
        <w:tc>
          <w:tcPr>
            <w:tcW w:w="440" w:type="dxa"/>
            <w:vAlign w:val="bottom"/>
          </w:tcPr>
          <w:p>
            <w:pPr>
              <w:spacing w:after="0"/>
              <w:rPr>
                <w:sz w:val="24"/>
                <w:szCs w:val="24"/>
                <w:color w:val="auto"/>
              </w:rPr>
            </w:pPr>
          </w:p>
        </w:tc>
        <w:tc>
          <w:tcPr>
            <w:tcW w:w="1620" w:type="dxa"/>
            <w:vAlign w:val="bottom"/>
            <w:gridSpan w:val="7"/>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Components of Net Debt</w:t>
            </w:r>
          </w:p>
        </w:tc>
        <w:tc>
          <w:tcPr>
            <w:tcW w:w="538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84"/>
              </w:rPr>
              <w:t>Jun. 30,</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20" w:type="dxa"/>
            <w:vAlign w:val="bottom"/>
            <w:tcBorders>
              <w:bottom w:val="single" w:sz="8" w:color="auto"/>
            </w:tcBorders>
            <w:gridSpan w:val="2"/>
            <w:vMerge w:val="continue"/>
          </w:tcPr>
          <w:p>
            <w:pPr>
              <w:spacing w:after="0"/>
              <w:rPr>
                <w:sz w:val="14"/>
                <w:szCs w:val="14"/>
                <w:color w:val="auto"/>
              </w:rPr>
            </w:pPr>
          </w:p>
        </w:tc>
        <w:tc>
          <w:tcPr>
            <w:tcW w:w="5380" w:type="dxa"/>
            <w:vAlign w:val="bottom"/>
            <w:vMerge w:val="continue"/>
          </w:tcPr>
          <w:p>
            <w:pPr>
              <w:spacing w:after="0"/>
              <w:rPr>
                <w:sz w:val="14"/>
                <w:szCs w:val="14"/>
                <w:color w:val="auto"/>
              </w:rPr>
            </w:pPr>
          </w:p>
        </w:tc>
        <w:tc>
          <w:tcPr>
            <w:tcW w:w="5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3"/>
              </w:rPr>
              <w:t>2012</w:t>
            </w:r>
          </w:p>
        </w:tc>
        <w:tc>
          <w:tcPr>
            <w:tcW w:w="80" w:type="dxa"/>
            <w:vAlign w:val="bottom"/>
          </w:tcPr>
          <w:p>
            <w:pPr>
              <w:spacing w:after="0"/>
              <w:rPr>
                <w:sz w:val="14"/>
                <w:szCs w:val="14"/>
                <w:color w:val="auto"/>
              </w:rPr>
            </w:pPr>
          </w:p>
        </w:tc>
        <w:tc>
          <w:tcPr>
            <w:tcW w:w="940" w:type="dxa"/>
            <w:vAlign w:val="bottom"/>
            <w:gridSpan w:val="2"/>
          </w:tcPr>
          <w:p>
            <w:pPr>
              <w:jc w:val="right"/>
              <w:ind w:right="62"/>
              <w:spacing w:after="0" w:line="148" w:lineRule="exact"/>
              <w:rPr>
                <w:sz w:val="20"/>
                <w:szCs w:val="20"/>
                <w:color w:val="auto"/>
              </w:rPr>
            </w:pPr>
            <w:r>
              <w:rPr>
                <w:rFonts w:ascii="Arial" w:cs="Arial" w:eastAsia="Arial" w:hAnsi="Arial"/>
                <w:sz w:val="14"/>
                <w:szCs w:val="14"/>
                <w:color w:val="auto"/>
              </w:rPr>
              <w:t>2011</w:t>
            </w:r>
          </w:p>
        </w:tc>
        <w:tc>
          <w:tcPr>
            <w:tcW w:w="60" w:type="dxa"/>
            <w:vAlign w:val="bottom"/>
          </w:tcPr>
          <w:p>
            <w:pPr>
              <w:spacing w:after="0"/>
              <w:rPr>
                <w:sz w:val="14"/>
                <w:szCs w:val="14"/>
                <w:color w:val="auto"/>
              </w:rPr>
            </w:pPr>
          </w:p>
        </w:tc>
        <w:tc>
          <w:tcPr>
            <w:tcW w:w="960" w:type="dxa"/>
            <w:vAlign w:val="bottom"/>
            <w:gridSpan w:val="4"/>
          </w:tcPr>
          <w:p>
            <w:pPr>
              <w:jc w:val="right"/>
              <w:ind w:right="160"/>
              <w:spacing w:after="0" w:line="148"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9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86"/>
              </w:rPr>
              <w:t>$ 1,521</w:t>
            </w: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$ 1,378</w:t>
            </w: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$ 1,705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Short-term investments</w:t>
            </w: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1,972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3,555</w:t>
            </w:r>
          </w:p>
        </w:tc>
        <w:tc>
          <w:tcPr>
            <w:tcW w:w="60" w:type="dxa"/>
            <w:vAlign w:val="bottom"/>
          </w:tcPr>
          <w:p>
            <w:pPr>
              <w:spacing w:after="0"/>
              <w:rPr>
                <w:sz w:val="18"/>
                <w:szCs w:val="18"/>
                <w:color w:val="auto"/>
              </w:rPr>
            </w:pPr>
          </w:p>
        </w:tc>
        <w:tc>
          <w:tcPr>
            <w:tcW w:w="1060" w:type="dxa"/>
            <w:vAlign w:val="bottom"/>
            <w:gridSpan w:val="5"/>
          </w:tcPr>
          <w:p>
            <w:pPr>
              <w:jc w:val="right"/>
              <w:ind w:right="100"/>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6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(2,521)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(3,817)</w:t>
            </w:r>
          </w:p>
        </w:tc>
        <w:tc>
          <w:tcPr>
            <w:tcW w:w="1060" w:type="dxa"/>
            <w:vAlign w:val="bottom"/>
            <w:gridSpan w:val="5"/>
          </w:tcPr>
          <w:p>
            <w:pPr>
              <w:jc w:val="right"/>
              <w:ind w:right="4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(7,953)</w:t>
            </w: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(5,745)</w:t>
            </w:r>
          </w:p>
        </w:tc>
        <w:tc>
          <w:tcPr>
            <w:tcW w:w="10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(6,720</w:t>
            </w:r>
          </w:p>
        </w:tc>
        <w:tc>
          <w:tcPr>
            <w:tcW w:w="8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4"/>
              </w:rPr>
              <w:t>$</w:t>
            </w:r>
            <w:r>
              <w:rPr>
                <w:rFonts w:ascii="Arial" w:cs="Arial" w:eastAsia="Arial" w:hAnsi="Arial"/>
                <w:sz w:val="18"/>
                <w:szCs w:val="18"/>
                <w:color w:val="auto"/>
                <w:w w:val="74"/>
              </w:rPr>
              <w:t xml:space="preserve"> (4,311)</w:t>
            </w:r>
          </w:p>
        </w:tc>
        <w:tc>
          <w:tcPr>
            <w:tcW w:w="106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six months of 2012 and 2011 included:</w:t>
      </w:r>
    </w:p>
    <w:p>
      <w:pPr>
        <w:spacing w:after="0" w:line="90" w:lineRule="exact"/>
        <w:rPr>
          <w:sz w:val="20"/>
          <w:szCs w:val="20"/>
          <w:color w:val="auto"/>
        </w:rPr>
      </w:pPr>
    </w:p>
    <w:p>
      <w:pPr>
        <w:ind w:left="900" w:right="100" w:hanging="325"/>
        <w:spacing w:after="0" w:line="30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April 17, 2008, the Schlumberger Board of Directors approved an $8 billion share repurchase program for shares of Schlumberger common stock, to be acquired in the open market before December 31, 2011, of which $7.0 billion had been repurchased as of June 30, 2012. On July 21, 2011, the Schlumberger Board of Directors approved an extension of this repurchase program to December 31, 2013.</w:t>
      </w:r>
    </w:p>
    <w:p>
      <w:pPr>
        <w:spacing w:after="0" w:line="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240" w:top="459"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following table summarizes the activity, during the six months ended June 30, under the April 17, 2008 share repurchase program:</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20" w:type="dxa"/>
            <w:vAlign w:val="bottom"/>
            <w:gridSpan w:val="7"/>
          </w:tcPr>
          <w:p>
            <w:pPr>
              <w:ind w:left="38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149"/>
        </w:trPr>
        <w:tc>
          <w:tcPr>
            <w:tcW w:w="6020" w:type="dxa"/>
            <w:vAlign w:val="bottom"/>
          </w:tcPr>
          <w:p>
            <w:pPr>
              <w:spacing w:after="0"/>
              <w:rPr>
                <w:sz w:val="12"/>
                <w:szCs w:val="12"/>
                <w:color w:val="auto"/>
              </w:rPr>
            </w:pPr>
          </w:p>
        </w:tc>
        <w:tc>
          <w:tcPr>
            <w:tcW w:w="12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Total cost</w:t>
            </w: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7"/>
              </w:rPr>
              <w:t>Total number</w:t>
            </w: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Average price</w:t>
            </w:r>
          </w:p>
        </w:tc>
      </w:tr>
      <w:tr>
        <w:trPr>
          <w:trHeight w:val="149"/>
        </w:trPr>
        <w:tc>
          <w:tcPr>
            <w:tcW w:w="6020" w:type="dxa"/>
            <w:vAlign w:val="bottom"/>
          </w:tcPr>
          <w:p>
            <w:pPr>
              <w:spacing w:after="0"/>
              <w:rPr>
                <w:sz w:val="12"/>
                <w:szCs w:val="12"/>
                <w:color w:val="auto"/>
              </w:rPr>
            </w:pPr>
          </w:p>
        </w:tc>
        <w:tc>
          <w:tcPr>
            <w:tcW w:w="12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of shares</w:t>
            </w: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3"/>
              </w:rPr>
              <w:t>of shares</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6"/>
              </w:rPr>
              <w:t>paid per</w:t>
            </w:r>
          </w:p>
        </w:tc>
      </w:tr>
      <w:tr>
        <w:trPr>
          <w:trHeight w:val="159"/>
        </w:trPr>
        <w:tc>
          <w:tcPr>
            <w:tcW w:w="6020" w:type="dxa"/>
            <w:vAlign w:val="bottom"/>
          </w:tcPr>
          <w:p>
            <w:pPr>
              <w:spacing w:after="0"/>
              <w:rPr>
                <w:sz w:val="13"/>
                <w:szCs w:val="13"/>
                <w:color w:val="auto"/>
              </w:rPr>
            </w:pPr>
          </w:p>
        </w:tc>
        <w:tc>
          <w:tcPr>
            <w:tcW w:w="12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purchased</w:t>
            </w:r>
          </w:p>
        </w:tc>
        <w:tc>
          <w:tcPr>
            <w:tcW w:w="1420" w:type="dxa"/>
            <w:vAlign w:val="bottom"/>
            <w:gridSpan w:val="2"/>
          </w:tcPr>
          <w:p>
            <w:pPr>
              <w:jc w:val="center"/>
              <w:ind w:right="660"/>
              <w:spacing w:after="0" w:line="159" w:lineRule="exact"/>
              <w:rPr>
                <w:sz w:val="20"/>
                <w:szCs w:val="20"/>
                <w:color w:val="auto"/>
              </w:rPr>
            </w:pPr>
            <w:r>
              <w:rPr>
                <w:rFonts w:ascii="Arial" w:cs="Arial" w:eastAsia="Arial" w:hAnsi="Arial"/>
                <w:sz w:val="14"/>
                <w:szCs w:val="14"/>
                <w:color w:val="auto"/>
                <w:w w:val="85"/>
              </w:rPr>
              <w:t>purchased</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79"/>
              </w:rPr>
              <w:t>share</w:t>
            </w: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2012</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823</w:t>
            </w:r>
          </w:p>
        </w:tc>
        <w:tc>
          <w:tcPr>
            <w:tcW w:w="6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020" w:type="dxa"/>
            <w:vAlign w:val="bottom"/>
          </w:tcPr>
          <w:p>
            <w:pPr>
              <w:spacing w:after="0"/>
              <w:rPr>
                <w:sz w:val="20"/>
                <w:szCs w:val="20"/>
                <w:color w:val="auto"/>
              </w:rPr>
            </w:pPr>
            <w:r>
              <w:rPr>
                <w:rFonts w:ascii="Arial" w:cs="Arial" w:eastAsia="Arial" w:hAnsi="Arial"/>
                <w:sz w:val="18"/>
                <w:szCs w:val="18"/>
                <w:color w:val="auto"/>
              </w:rPr>
              <w:t>Six months ended June 30, 2011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1,551</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86.76</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900" w:right="300" w:hanging="325"/>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Cash flow provided by operations was $1.5 billion in the first six months of 2012 compared to $2.1 billion in the first six months of 2011 with an increase in working capital requirements offset in part by an increase in earnings before depreciation and amortization expense.</w:t>
      </w:r>
    </w:p>
    <w:p>
      <w:pPr>
        <w:spacing w:after="0" w:line="4" w:lineRule="exact"/>
        <w:rPr>
          <w:rFonts w:ascii="Arial" w:cs="Arial" w:eastAsia="Arial" w:hAnsi="Arial"/>
          <w:sz w:val="16"/>
          <w:szCs w:val="16"/>
          <w:color w:val="auto"/>
        </w:rPr>
      </w:pPr>
    </w:p>
    <w:p>
      <w:pPr>
        <w:ind w:left="900" w:right="820" w:hanging="325"/>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Capital expenditures were $2.1 billion in the first six months of 2012 compared to $1.7 billion during the first six months of 2011. Capital expenditures for the full year of 2012 are expected to be approximately $4.5 billion as compared to $4.0 billion in 2011.</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the second quarter of 2012, Schlumberger completed the divestiture of its Wilson distribution business for $906 million in cash.</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the second quarter of 2011, Schlumberger completed the divestiture of its Global Connectivity Services business for $385 million in cash.</w:t>
      </w:r>
    </w:p>
    <w:p>
      <w:pPr>
        <w:spacing w:after="0" w:line="113" w:lineRule="exact"/>
        <w:rPr>
          <w:rFonts w:ascii="Arial" w:cs="Arial" w:eastAsia="Arial" w:hAnsi="Arial"/>
          <w:sz w:val="16"/>
          <w:szCs w:val="16"/>
          <w:color w:val="auto"/>
        </w:rPr>
      </w:pPr>
    </w:p>
    <w:p>
      <w:pPr>
        <w:ind w:left="900" w:right="3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the first quarter of 2011, Schlumberger issued $1.1 billion of 4.20% Senior Notes due 2021 and $500 million of 2.65% Senior Notes due 2016.</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the first quarter of 2011, Schlumberger repurchased all of its outstanding 9.75% Senior Notes due 2019, 8.625% Senior Notes due 2014 and 6.00% Senior Notes due 2016 for approximately $1.26 billion.</w:t>
      </w:r>
    </w:p>
    <w:p>
      <w:pPr>
        <w:spacing w:after="0" w:line="13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At times, Schlumberger experiences delays in payments from certain of its customers. Schlumberger operates in approximately 85 countries. At June 30, 2012, only five of those countries individually accounted for greater than 5% of Schlumberger’s accounts receivable balance of which only one, the United States, represented greater than 10%. A delay in payment or the nonpayment of amounts that are owed to Schlumberger could have a material adverse effect on Schlumberger’s results of operations and cash flows.</w:t>
      </w:r>
    </w:p>
    <w:p>
      <w:pPr>
        <w:spacing w:after="0" w:line="14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of June 30, 2012 Schlumberger had $3.5 billion of cash and short-term investments on hand. Schlumberger had separate committed debt facility agreements aggregating $4.1 billion with commercial banks, of which $2.3 billion was available and unused as of June 30, 2012. This included $3.5 billion of committed facilities which support commercial paper programs in the United States and Europe. Schlumberger believes that these amounts are sufficient to meet future business requirements for at least the next twelve months.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Schlumberger had $1.4 billion of commercial paper outstanding as of June 30,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Form 10-Q,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Schlumberger’s effective tax rate;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pricing erosion; weather and seasonal factors; the ability to respond to increased activity levels;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second-quarter 2012 earnings release, our most recent Form 10-K and other filings that we make with the Securities and Exchange Commission. If one or more of these or other risks or uncertainties materialize (or the consequences of such a development changes), or should our underlying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r>
        <w:rPr>
          <w:rFonts w:ascii="Arial" w:cs="Arial" w:eastAsia="Arial" w:hAnsi="Arial"/>
          <w:sz w:val="16"/>
          <w:szCs w:val="16"/>
          <w:b w:val="1"/>
          <w:bCs w:val="1"/>
          <w:color w:val="auto"/>
        </w:rPr>
        <w:t>.</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2011. Schlumberger’s exposure to market risk has not changed materially since December 31, 2011.</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r>
        <w:rPr>
          <w:rFonts w:ascii="Arial" w:cs="Arial" w:eastAsia="Arial" w:hAnsi="Arial"/>
          <w:sz w:val="15"/>
          <w:szCs w:val="15"/>
          <w:b w:val="1"/>
          <w:bCs w:val="1"/>
          <w:color w:val="auto"/>
        </w:rPr>
        <w:t>.</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quarter to which this report relates that has materially affected, or is reasonably likely to materially affect, Schlumberger’s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with respect to Item 1 is set forth under Note 12 -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the date of this filing, there have been no material changes from the risk factors previously disclosed in Part 1, Item 1A, of Schlumberger’s Annual Report on Form 10-K for the fiscal year ended December 31,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9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On April 17, 2008, the Schlumberger Board of Directors (the “Board”) approved an $8 billion share repurchase program for Schlumberger common stock, which may be acquired in the open market or in negotiated transactions. On July 21, 2011, the Board approved an extension of this repurchase program to December 31, 2013. As of June 30, 2012, $1.0 billion remained available for repurchase under the existing repurchase authorization.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program activity for the three months ended June 30, 2012 was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60" w:type="dxa"/>
            <w:vAlign w:val="bottom"/>
            <w:gridSpan w:val="6"/>
          </w:tcPr>
          <w:p>
            <w:pPr>
              <w:jc w:val="center"/>
              <w:ind w:right="80"/>
              <w:spacing w:after="0"/>
              <w:rPr>
                <w:sz w:val="20"/>
                <w:szCs w:val="20"/>
                <w:color w:val="auto"/>
              </w:rPr>
            </w:pPr>
            <w:r>
              <w:rPr>
                <w:rFonts w:ascii="Arial" w:cs="Arial" w:eastAsia="Arial" w:hAnsi="Arial"/>
                <w:sz w:val="14"/>
                <w:szCs w:val="14"/>
                <w:i w:val="1"/>
                <w:iCs w:val="1"/>
                <w:color w:val="auto"/>
                <w:w w:val="85"/>
              </w:rPr>
              <w:t>(Stated in thousands, except per</w:t>
            </w:r>
          </w:p>
        </w:tc>
      </w:tr>
      <w:tr>
        <w:trPr>
          <w:trHeight w:val="149"/>
        </w:trPr>
        <w:tc>
          <w:tcPr>
            <w:tcW w:w="5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4"/>
          </w:tcPr>
          <w:p>
            <w:pPr>
              <w:jc w:val="center"/>
              <w:ind w:left="746"/>
              <w:spacing w:after="0" w:line="149" w:lineRule="exact"/>
              <w:rPr>
                <w:sz w:val="20"/>
                <w:szCs w:val="20"/>
                <w:color w:val="auto"/>
              </w:rPr>
            </w:pPr>
            <w:r>
              <w:rPr>
                <w:rFonts w:ascii="Arial" w:cs="Arial" w:eastAsia="Arial" w:hAnsi="Arial"/>
                <w:sz w:val="14"/>
                <w:szCs w:val="14"/>
                <w:i w:val="1"/>
                <w:iCs w:val="1"/>
                <w:color w:val="auto"/>
                <w:w w:val="86"/>
              </w:rPr>
              <w:t>share amounts)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Total number of</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shares purchased</w:t>
            </w:r>
          </w:p>
        </w:tc>
        <w:tc>
          <w:tcPr>
            <w:tcW w:w="3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color w:val="auto"/>
                <w:w w:val="97"/>
              </w:rPr>
              <w:t>Maximum value</w:t>
            </w:r>
          </w:p>
        </w:tc>
      </w:tr>
      <w:tr>
        <w:trPr>
          <w:trHeight w:val="149"/>
        </w:trPr>
        <w:tc>
          <w:tcPr>
            <w:tcW w:w="5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0"/>
              </w:rPr>
              <w:t>as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4"/>
              </w:rPr>
              <w:t>of shares that</w:t>
            </w:r>
          </w:p>
        </w:tc>
      </w:tr>
      <w:tr>
        <w:trPr>
          <w:trHeight w:val="149"/>
        </w:trPr>
        <w:tc>
          <w:tcPr>
            <w:tcW w:w="5200" w:type="dxa"/>
            <w:vAlign w:val="bottom"/>
          </w:tcPr>
          <w:p>
            <w:pPr>
              <w:spacing w:after="0"/>
              <w:rPr>
                <w:sz w:val="12"/>
                <w:szCs w:val="12"/>
                <w:color w:val="auto"/>
              </w:rPr>
            </w:pPr>
          </w:p>
        </w:tc>
        <w:tc>
          <w:tcPr>
            <w:tcW w:w="134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w w:val="84"/>
              </w:rPr>
              <w:t>Total number</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part of publicly</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may yet be</w:t>
            </w:r>
          </w:p>
        </w:tc>
      </w:tr>
      <w:tr>
        <w:trPr>
          <w:trHeight w:val="149"/>
        </w:trPr>
        <w:tc>
          <w:tcPr>
            <w:tcW w:w="5200" w:type="dxa"/>
            <w:vAlign w:val="bottom"/>
          </w:tcPr>
          <w:p>
            <w:pPr>
              <w:spacing w:after="0"/>
              <w:rPr>
                <w:sz w:val="12"/>
                <w:szCs w:val="12"/>
                <w:color w:val="auto"/>
              </w:rPr>
            </w:pPr>
          </w:p>
        </w:tc>
        <w:tc>
          <w:tcPr>
            <w:tcW w:w="1340" w:type="dxa"/>
            <w:vAlign w:val="bottom"/>
            <w:gridSpan w:val="3"/>
          </w:tcPr>
          <w:p>
            <w:pPr>
              <w:jc w:val="center"/>
              <w:ind w:right="620"/>
              <w:spacing w:after="0" w:line="149" w:lineRule="exact"/>
              <w:rPr>
                <w:sz w:val="20"/>
                <w:szCs w:val="20"/>
                <w:color w:val="auto"/>
              </w:rPr>
            </w:pPr>
            <w:r>
              <w:rPr>
                <w:rFonts w:ascii="Arial" w:cs="Arial" w:eastAsia="Arial" w:hAnsi="Arial"/>
                <w:sz w:val="14"/>
                <w:szCs w:val="14"/>
                <w:color w:val="auto"/>
                <w:w w:val="83"/>
              </w:rPr>
              <w:t>of shares</w:t>
            </w: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Average price</w:t>
            </w: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3"/>
              </w:rPr>
              <w:t>announced</w:t>
            </w:r>
          </w:p>
        </w:tc>
        <w:tc>
          <w:tcPr>
            <w:tcW w:w="3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color w:val="auto"/>
                <w:w w:val="91"/>
              </w:rPr>
              <w:t>purchased under</w:t>
            </w:r>
          </w:p>
        </w:tc>
      </w:tr>
      <w:tr>
        <w:trPr>
          <w:trHeight w:val="159"/>
        </w:trPr>
        <w:tc>
          <w:tcPr>
            <w:tcW w:w="5200" w:type="dxa"/>
            <w:vAlign w:val="bottom"/>
          </w:tcPr>
          <w:p>
            <w:pPr>
              <w:spacing w:after="0"/>
              <w:rPr>
                <w:sz w:val="13"/>
                <w:szCs w:val="13"/>
                <w:color w:val="auto"/>
              </w:rPr>
            </w:pPr>
          </w:p>
        </w:tc>
        <w:tc>
          <w:tcPr>
            <w:tcW w:w="1340" w:type="dxa"/>
            <w:vAlign w:val="bottom"/>
            <w:gridSpan w:val="3"/>
          </w:tcPr>
          <w:p>
            <w:pPr>
              <w:jc w:val="center"/>
              <w:ind w:right="620"/>
              <w:spacing w:after="0" w:line="159" w:lineRule="exact"/>
              <w:rPr>
                <w:sz w:val="20"/>
                <w:szCs w:val="20"/>
                <w:color w:val="auto"/>
              </w:rPr>
            </w:pPr>
            <w:r>
              <w:rPr>
                <w:rFonts w:ascii="Arial" w:cs="Arial" w:eastAsia="Arial" w:hAnsi="Arial"/>
                <w:sz w:val="14"/>
                <w:szCs w:val="14"/>
                <w:color w:val="auto"/>
                <w:w w:val="85"/>
              </w:rPr>
              <w:t>purchased</w:t>
            </w:r>
          </w:p>
        </w:tc>
        <w:tc>
          <w:tcPr>
            <w:tcW w:w="1400" w:type="dxa"/>
            <w:vAlign w:val="bottom"/>
            <w:gridSpan w:val="3"/>
          </w:tcPr>
          <w:p>
            <w:pPr>
              <w:spacing w:after="0" w:line="159" w:lineRule="exact"/>
              <w:rPr>
                <w:sz w:val="20"/>
                <w:szCs w:val="20"/>
                <w:color w:val="auto"/>
              </w:rPr>
            </w:pPr>
            <w:r>
              <w:rPr>
                <w:rFonts w:ascii="Arial" w:cs="Arial" w:eastAsia="Arial" w:hAnsi="Arial"/>
                <w:sz w:val="14"/>
                <w:szCs w:val="14"/>
                <w:color w:val="auto"/>
              </w:rPr>
              <w:t>paid per share</w:t>
            </w:r>
          </w:p>
        </w:tc>
        <w:tc>
          <w:tcPr>
            <w:tcW w:w="126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88"/>
              </w:rPr>
              <w:t>program</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84"/>
              </w:rPr>
              <w:t>the program</w:t>
            </w:r>
          </w:p>
        </w:tc>
      </w:tr>
      <w:tr>
        <w:trPr>
          <w:trHeight w:val="210"/>
        </w:trPr>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April 1 through April 30, 2012</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1,442.8</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6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1,442.8</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1,426,620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May 1 through May 31, 2012</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1,636.5</w:t>
            </w:r>
          </w:p>
        </w:tc>
        <w:tc>
          <w:tcPr>
            <w:tcW w:w="6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68.97</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1,636.5</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1,313,758</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June 1 through June 30, 2012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4,442.4</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r>
              <w:rPr>
                <w:rFonts w:ascii="Arial" w:cs="Arial" w:eastAsia="Arial" w:hAnsi="Arial"/>
                <w:sz w:val="18"/>
                <w:szCs w:val="18"/>
                <w:u w:val="single" w:color="auto"/>
                <w:color w:val="auto"/>
              </w:rPr>
              <w:t>18</w:t>
            </w:r>
          </w:p>
        </w:tc>
        <w:tc>
          <w:tcPr>
            <w:tcW w:w="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4,442.4</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1,028,648</w:t>
            </w:r>
          </w:p>
        </w:tc>
        <w:tc>
          <w:tcPr>
            <w:tcW w:w="100" w:type="dxa"/>
            <w:vAlign w:val="bottom"/>
            <w:shd w:val="clear" w:color="auto" w:fill="CCEEFF"/>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5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7,521.7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w:t>
            </w:r>
            <w:r>
              <w:rPr>
                <w:rFonts w:ascii="Arial" w:cs="Arial" w:eastAsia="Arial" w:hAnsi="Arial"/>
                <w:sz w:val="18"/>
                <w:szCs w:val="18"/>
                <w:u w:val="single" w:color="auto"/>
                <w:color w:val="auto"/>
              </w:rPr>
              <w:t>30</w:t>
            </w:r>
          </w:p>
        </w:tc>
        <w:tc>
          <w:tcPr>
            <w:tcW w:w="62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7,521.7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5"/>
          <w:szCs w:val="15"/>
          <w:b w:val="1"/>
          <w:bCs w:val="1"/>
          <w:u w:val="single" w:color="auto"/>
          <w:color w:val="auto"/>
        </w:rPr>
        <w:t>Defaults Upon Senior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barite and bentonite mining operations of M-I LLC, which, following our acquisition of Smith, became an indirect wholly-owned subsidiary,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6"/>
          <w:szCs w:val="16"/>
          <w:b w:val="1"/>
          <w:bCs w:val="1"/>
          <w:u w:val="single" w:color="auto"/>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5"/>
          <w:szCs w:val="15"/>
          <w:b w:val="1"/>
          <w:bCs w:val="1"/>
          <w:u w:val="single" w:color="auto"/>
          <w:color w:val="auto"/>
        </w:rPr>
        <w:t>Exhibits.</w:t>
      </w:r>
    </w:p>
    <w:p>
      <w:pPr>
        <w:spacing w:after="0" w:line="9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Exhibit 3.1 - Articles of Incorporation of Schlumberger Limited (Schlumberger N.V.) (incorporated by reference to Exhibit 3 to Schlumberger’s Current Report on Form 8-K filed on April 7, 2011).</w:t>
      </w:r>
    </w:p>
    <w:p>
      <w:pPr>
        <w:spacing w:after="0" w:line="51"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Exhibit 3.2 - Amended and Restated By-laws of Schlumberger Limited (Schlumberger N.V.) (incorporated by reference to Exhibit 3.1 to Schlumberger’s Current Report on Form 8-K filed on July 20, 2012).</w:t>
      </w:r>
    </w:p>
    <w:p>
      <w:pPr>
        <w:spacing w:after="0" w:line="51" w:lineRule="exact"/>
        <w:rPr>
          <w:sz w:val="20"/>
          <w:szCs w:val="20"/>
          <w:color w:val="auto"/>
        </w:rPr>
      </w:pPr>
    </w:p>
    <w:p>
      <w:pPr>
        <w:ind w:left="460" w:right="340" w:firstLine="4"/>
        <w:spacing w:after="0" w:line="268" w:lineRule="auto"/>
        <w:tabs>
          <w:tab w:leader="none" w:pos="5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 31.1 - Certification of Chief Executive Officer pursuant to Rule 13a-14(a) of the Securities Exchange Act of 1934, as amended, as adopted pursuant to Section 302 of the Sarbanes-Oxley Act of 2002.</w:t>
      </w:r>
    </w:p>
    <w:p>
      <w:pPr>
        <w:spacing w:after="0" w:line="50" w:lineRule="exact"/>
        <w:rPr>
          <w:rFonts w:ascii="Arial" w:cs="Arial" w:eastAsia="Arial" w:hAnsi="Arial"/>
          <w:sz w:val="18"/>
          <w:szCs w:val="18"/>
          <w:color w:val="auto"/>
        </w:rPr>
      </w:pPr>
    </w:p>
    <w:p>
      <w:pPr>
        <w:ind w:left="460" w:right="400" w:firstLine="4"/>
        <w:spacing w:after="0" w:line="268" w:lineRule="auto"/>
        <w:tabs>
          <w:tab w:leader="none" w:pos="5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 31.2 - Certification of Chief Financial Officer pursuant to Rule 13a-14(a) of the Securities Exchange Act of 1934, as amended, as adopted pursuant to Section 302 of the Sarbanes-Oxley Act of 2002.</w:t>
      </w:r>
    </w:p>
    <w:p>
      <w:pPr>
        <w:spacing w:after="0" w:line="51" w:lineRule="exact"/>
        <w:rPr>
          <w:sz w:val="20"/>
          <w:szCs w:val="20"/>
          <w:color w:val="auto"/>
        </w:rPr>
      </w:pPr>
    </w:p>
    <w:p>
      <w:pPr>
        <w:ind w:left="460" w:right="60" w:firstLine="4"/>
        <w:spacing w:after="0" w:line="268"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 32.1 - Certification of Chief Executive Officer pursuant to 18 U.S.C. Section 1350, as adopted pursuant to Section 906 of the Sarbanes-Oxley Act of 2002.</w:t>
      </w:r>
    </w:p>
    <w:p>
      <w:pPr>
        <w:spacing w:after="0" w:line="50" w:lineRule="exact"/>
        <w:rPr>
          <w:rFonts w:ascii="Arial" w:cs="Arial" w:eastAsia="Arial" w:hAnsi="Arial"/>
          <w:sz w:val="18"/>
          <w:szCs w:val="18"/>
          <w:color w:val="auto"/>
        </w:rPr>
      </w:pPr>
    </w:p>
    <w:p>
      <w:pPr>
        <w:ind w:left="460" w:firstLine="4"/>
        <w:spacing w:after="0" w:line="268"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 32.2 - Certification Chief Financial Officer pursuant to 18 U.S.C. Section 1350, as adopted pursuant to Section 906 of the Sarbanes-Oxley Act of 2002.</w:t>
      </w:r>
    </w:p>
    <w:p>
      <w:pPr>
        <w:spacing w:after="0" w:line="51" w:lineRule="exact"/>
        <w:rPr>
          <w:sz w:val="20"/>
          <w:szCs w:val="20"/>
          <w:color w:val="auto"/>
        </w:rPr>
      </w:pPr>
    </w:p>
    <w:p>
      <w:pPr>
        <w:ind w:left="600" w:hanging="136"/>
        <w:spacing w:after="0"/>
        <w:tabs>
          <w:tab w:leader="none" w:pos="6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Exhibit 95 - Mine Safety Disclosures.</w:t>
      </w:r>
    </w:p>
    <w:p>
      <w:pPr>
        <w:spacing w:after="0" w:line="90" w:lineRule="exact"/>
        <w:rPr>
          <w:rFonts w:ascii="Arial" w:cs="Arial" w:eastAsia="Arial" w:hAnsi="Arial"/>
          <w:sz w:val="18"/>
          <w:szCs w:val="18"/>
          <w:color w:val="auto"/>
        </w:rPr>
      </w:pPr>
    </w:p>
    <w:p>
      <w:pPr>
        <w:ind w:left="460" w:right="80" w:firstLine="4"/>
        <w:spacing w:after="0" w:line="286" w:lineRule="auto"/>
        <w:tabs>
          <w:tab w:leader="none" w:pos="592" w:val="left"/>
        </w:tabs>
        <w:numPr>
          <w:ilvl w:val="1"/>
          <w:numId w:val="31"/>
        </w:numPr>
        <w:rPr>
          <w:rFonts w:ascii="Arial" w:cs="Arial" w:eastAsia="Arial" w:hAnsi="Arial"/>
          <w:sz w:val="16"/>
          <w:szCs w:val="16"/>
          <w:color w:val="auto"/>
        </w:rPr>
      </w:pPr>
      <w:r>
        <w:rPr>
          <w:rFonts w:ascii="Arial" w:cs="Arial" w:eastAsia="Arial" w:hAnsi="Arial"/>
          <w:sz w:val="16"/>
          <w:szCs w:val="16"/>
          <w:color w:val="auto"/>
        </w:rPr>
        <w:t>Exhibit 101 - The following materials from Schlumberger Limited’s Quarterly Report on Form 10-Q for the quarter ended June 30, 2012, formatted in XBRL (Extensible Business Reporting Language): (i) Consolidated Statement of Income; (ii) Consolidated Statement of Comprehensive Income;</w:t>
      </w:r>
    </w:p>
    <w:p>
      <w:pPr>
        <w:ind w:left="460" w:right="420"/>
        <w:spacing w:after="0" w:line="261" w:lineRule="auto"/>
        <w:rPr>
          <w:rFonts w:ascii="Arial" w:cs="Arial" w:eastAsia="Arial" w:hAnsi="Arial"/>
          <w:sz w:val="16"/>
          <w:szCs w:val="16"/>
          <w:color w:val="auto"/>
        </w:rPr>
      </w:pPr>
      <w:r>
        <w:rPr>
          <w:rFonts w:ascii="Arial" w:cs="Arial" w:eastAsia="Arial" w:hAnsi="Arial"/>
          <w:sz w:val="18"/>
          <w:szCs w:val="18"/>
          <w:color w:val="auto"/>
        </w:rPr>
        <w:t>(iii) Consolidated Balance Sheet; (iv) Consolidated Statement of Cash Flows; (v) Consolidated Statement of Equity, and (vi) Notes to Consolidated Financial Statements.</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with this Form 10-Q.</w:t>
      </w:r>
    </w:p>
    <w:p>
      <w:pPr>
        <w:spacing w:after="0" w:line="15"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Furnished with this Form 10-Q.</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7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840" w:val="left"/>
          <w:tab w:leader="none" w:pos="8200" w:val="left"/>
        </w:tabs>
        <w:rPr>
          <w:sz w:val="20"/>
          <w:szCs w:val="20"/>
          <w:color w:val="auto"/>
        </w:rPr>
      </w:pPr>
      <w:r>
        <w:rPr>
          <w:rFonts w:ascii="Arial" w:cs="Arial" w:eastAsia="Arial" w:hAnsi="Arial"/>
          <w:sz w:val="18"/>
          <w:szCs w:val="18"/>
          <w:color w:val="auto"/>
        </w:rPr>
        <w:t>Date: July 25, 2012</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Howard Guild</w:t>
      </w:r>
    </w:p>
    <w:p>
      <w:pPr>
        <w:spacing w:after="0" w:line="1"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Chief Accounting Officer and Duly Authorized Signatory</w:t>
      </w:r>
    </w:p>
    <w:p>
      <w:pPr>
        <w:spacing w:after="0" w:line="1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240" w:top="459" w:right="7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Paal Kibsgaard, certify that:</w:t>
      </w:r>
    </w:p>
    <w:p>
      <w:pPr>
        <w:spacing w:after="0" w:line="171"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firstLine="464"/>
        <w:spacing w:after="0" w:line="259" w:lineRule="auto"/>
        <w:tabs>
          <w:tab w:leader="none" w:pos="63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25, 2012</w:t>
      </w:r>
      <w:r>
        <w:rPr>
          <w:sz w:val="20"/>
          <w:szCs w:val="20"/>
          <w:color w:val="auto"/>
        </w:rPr>
        <w:tab/>
      </w:r>
      <w:r>
        <w:rPr>
          <w:rFonts w:ascii="Arial" w:cs="Arial" w:eastAsia="Arial" w:hAnsi="Arial"/>
          <w:sz w:val="15"/>
          <w:szCs w:val="15"/>
          <w:color w:val="auto"/>
        </w:rPr>
        <w:t>/s/ 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Paal Kibsgaard</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71"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firstLine="464"/>
        <w:spacing w:after="0" w:line="259" w:lineRule="auto"/>
        <w:tabs>
          <w:tab w:leader="none" w:pos="63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25, 2012</w:t>
      </w:r>
      <w:r>
        <w:rPr>
          <w:sz w:val="20"/>
          <w:szCs w:val="20"/>
          <w:color w:val="auto"/>
        </w:rPr>
        <w:tab/>
      </w:r>
      <w:r>
        <w:rPr>
          <w:rFonts w:ascii="Arial" w:cs="Arial" w:eastAsia="Arial" w:hAnsi="Arial"/>
          <w:sz w:val="16"/>
          <w:szCs w:val="16"/>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Simon Ayat</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Executive Vice President and Chief Financial Officer</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on Form 10-Q of Schlumberger N.V. (Schlumberger Limited) (the “Company”) for the quarterly period ended June 30, 2012 as filed with the Securities and Exchange Commission on the date hereof (the “Report”), I, Paal Kibsgaard, Chief Executive Officer of the Company, certify, pursuant to 18 U.S.C. § 1350, as adopted pursuant to § 906 of the Sarbanes-Oxley Act of 2002, that: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25, 2012</w:t>
      </w:r>
      <w:r>
        <w:rPr>
          <w:sz w:val="20"/>
          <w:szCs w:val="20"/>
          <w:color w:val="auto"/>
        </w:rPr>
        <w:tab/>
      </w:r>
      <w:r>
        <w:rPr>
          <w:rFonts w:ascii="Arial" w:cs="Arial" w:eastAsia="Arial" w:hAnsi="Arial"/>
          <w:sz w:val="15"/>
          <w:szCs w:val="15"/>
          <w:color w:val="auto"/>
        </w:rPr>
        <w:t>/s/ 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Paal Kibsgaard</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Chief Executive Officer</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June 30, 2012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25, 2012</w:t>
      </w:r>
      <w:r>
        <w:rPr>
          <w:sz w:val="20"/>
          <w:szCs w:val="20"/>
          <w:color w:val="auto"/>
        </w:rPr>
        <w:tab/>
      </w:r>
      <w:r>
        <w:rPr>
          <w:rFonts w:ascii="Arial" w:cs="Arial" w:eastAsia="Arial" w:hAnsi="Arial"/>
          <w:sz w:val="16"/>
          <w:szCs w:val="16"/>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Simon Ayat</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Chief Financial Officer</w:t>
      </w:r>
    </w:p>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95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table that follows reflects citations, orders, violations and proposed assessments issued by the Mine Safety and Health Administration (the “MSHA”) to M-I LLC, which, following Schlumberger’s acquisition of Smith International, Inc., became an indirect wholly-owned subsidiary of Schlumberger. The disclosure is with respect to the three months ended June 30, 2012. Due to timing and other factors, the data may not agree with the mine data retrieval system maintained by the MSHA at www.MSHA.gov.</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(whole dollars)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5"/>
              </w:rPr>
              <w:t>Received</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0"/>
              </w:rPr>
              <w:t>Notice</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5"/>
              </w:rPr>
              <w:t>Received</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4"/>
              </w:rPr>
              <w:t>Notice of</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8"/>
              </w:rPr>
              <w:t>Potential</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7"/>
              </w:rPr>
              <w:t>Legal</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5"/>
              </w:rPr>
              <w:t>Pattern of</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1"/>
              </w:rPr>
              <w:t>to Have</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1"/>
              </w:rPr>
              <w:t>Actions</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5"/>
              </w:rPr>
              <w:t>Section</w:t>
            </w: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jc w:val="right"/>
              <w:ind w:right="42"/>
              <w:spacing w:after="0" w:line="149" w:lineRule="exact"/>
              <w:rPr>
                <w:sz w:val="20"/>
                <w:szCs w:val="20"/>
                <w:color w:val="auto"/>
              </w:rPr>
            </w:pPr>
            <w:r>
              <w:rPr>
                <w:rFonts w:ascii="Arial" w:cs="Arial" w:eastAsia="Arial" w:hAnsi="Arial"/>
                <w:sz w:val="14"/>
                <w:szCs w:val="14"/>
                <w:color w:val="auto"/>
              </w:rPr>
              <w:t>Violations</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4"/>
              </w:rPr>
              <w:t>Pattern</w:t>
            </w:r>
          </w:p>
        </w:tc>
        <w:tc>
          <w:tcPr>
            <w:tcW w:w="700" w:type="dxa"/>
            <w:vAlign w:val="bottom"/>
          </w:tcPr>
          <w:p>
            <w:pPr>
              <w:jc w:val="right"/>
              <w:ind w:right="62"/>
              <w:spacing w:after="0" w:line="149" w:lineRule="exact"/>
              <w:rPr>
                <w:sz w:val="20"/>
                <w:szCs w:val="20"/>
                <w:color w:val="auto"/>
              </w:rPr>
            </w:pPr>
            <w:r>
              <w:rPr>
                <w:rFonts w:ascii="Arial" w:cs="Arial" w:eastAsia="Arial" w:hAnsi="Arial"/>
                <w:sz w:val="14"/>
                <w:szCs w:val="14"/>
                <w:color w:val="auto"/>
              </w:rPr>
              <w:t>Pending</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7"/>
              </w:rPr>
              <w:t>Legal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8"/>
              </w:rPr>
              <w:t>104(d)</w:t>
            </w: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9"/>
              </w:rPr>
              <w:t>Under</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9"/>
              </w:rPr>
              <w:t>Under</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5"/>
              </w:rPr>
              <w:t>as of</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1"/>
              </w:rPr>
              <w:t>Actions</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1"/>
              </w:rPr>
              <w:t>Actions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4"/>
              </w:rPr>
              <w:t>104</w:t>
            </w:r>
          </w:p>
        </w:tc>
        <w:tc>
          <w:tcPr>
            <w:tcW w:w="640" w:type="dxa"/>
            <w:vAlign w:val="bottom"/>
          </w:tcPr>
          <w:p>
            <w:pPr>
              <w:jc w:val="right"/>
              <w:ind w:right="38"/>
              <w:spacing w:after="0" w:line="149" w:lineRule="exact"/>
              <w:rPr>
                <w:sz w:val="20"/>
                <w:szCs w:val="20"/>
                <w:color w:val="auto"/>
              </w:rPr>
            </w:pPr>
            <w:r>
              <w:rPr>
                <w:rFonts w:ascii="Arial" w:cs="Arial" w:eastAsia="Arial" w:hAnsi="Arial"/>
                <w:sz w:val="14"/>
                <w:szCs w:val="14"/>
                <w:color w:val="auto"/>
              </w:rPr>
              <w:t>Section</w:t>
            </w:r>
          </w:p>
        </w:tc>
        <w:tc>
          <w:tcPr>
            <w:tcW w:w="720" w:type="dxa"/>
            <w:vAlign w:val="bottom"/>
          </w:tcPr>
          <w:p>
            <w:pPr>
              <w:jc w:val="right"/>
              <w:ind w:right="40"/>
              <w:spacing w:after="0" w:line="149" w:lineRule="exact"/>
              <w:rPr>
                <w:sz w:val="20"/>
                <w:szCs w:val="20"/>
                <w:color w:val="auto"/>
              </w:rPr>
            </w:pPr>
            <w:r>
              <w:rPr>
                <w:rFonts w:ascii="Arial" w:cs="Arial" w:eastAsia="Arial" w:hAnsi="Arial"/>
                <w:sz w:val="14"/>
                <w:szCs w:val="14"/>
                <w:color w:val="auto"/>
              </w:rPr>
              <w:t>Citations</w:t>
            </w:r>
          </w:p>
        </w:tc>
        <w:tc>
          <w:tcPr>
            <w:tcW w:w="820" w:type="dxa"/>
            <w:vAlign w:val="bottom"/>
          </w:tcPr>
          <w:p>
            <w:pPr>
              <w:jc w:val="right"/>
              <w:ind w:right="118"/>
              <w:spacing w:after="0" w:line="149" w:lineRule="exact"/>
              <w:rPr>
                <w:sz w:val="20"/>
                <w:szCs w:val="20"/>
                <w:color w:val="auto"/>
              </w:rPr>
            </w:pPr>
            <w:r>
              <w:rPr>
                <w:rFonts w:ascii="Arial" w:cs="Arial" w:eastAsia="Arial" w:hAnsi="Arial"/>
                <w:sz w:val="14"/>
                <w:szCs w:val="14"/>
                <w:color w:val="auto"/>
              </w:rPr>
              <w:t>Section</w:t>
            </w:r>
          </w:p>
        </w:tc>
        <w:tc>
          <w:tcPr>
            <w:tcW w:w="640" w:type="dxa"/>
            <w:vAlign w:val="bottom"/>
          </w:tcPr>
          <w:p>
            <w:pPr>
              <w:jc w:val="right"/>
              <w:ind w:right="38"/>
              <w:spacing w:after="0" w:line="149" w:lineRule="exact"/>
              <w:rPr>
                <w:sz w:val="20"/>
                <w:szCs w:val="20"/>
                <w:color w:val="auto"/>
              </w:rPr>
            </w:pPr>
            <w:r>
              <w:rPr>
                <w:rFonts w:ascii="Arial" w:cs="Arial" w:eastAsia="Arial" w:hAnsi="Arial"/>
                <w:sz w:val="14"/>
                <w:szCs w:val="14"/>
                <w:color w:val="auto"/>
              </w:rPr>
              <w:t>Section</w:t>
            </w:r>
          </w:p>
        </w:tc>
        <w:tc>
          <w:tcPr>
            <w:tcW w:w="240" w:type="dxa"/>
            <w:vAlign w:val="bottom"/>
          </w:tcPr>
          <w:p>
            <w:pPr>
              <w:spacing w:after="0"/>
              <w:rPr>
                <w:sz w:val="12"/>
                <w:szCs w:val="12"/>
                <w:color w:val="auto"/>
              </w:rPr>
            </w:pPr>
          </w:p>
        </w:tc>
        <w:tc>
          <w:tcPr>
            <w:tcW w:w="900" w:type="dxa"/>
            <w:vAlign w:val="bottom"/>
          </w:tcPr>
          <w:p>
            <w:pPr>
              <w:jc w:val="right"/>
              <w:ind w:right="276"/>
              <w:spacing w:after="0" w:line="149" w:lineRule="exact"/>
              <w:rPr>
                <w:sz w:val="20"/>
                <w:szCs w:val="20"/>
                <w:color w:val="auto"/>
              </w:rPr>
            </w:pPr>
            <w:r>
              <w:rPr>
                <w:rFonts w:ascii="Arial" w:cs="Arial" w:eastAsia="Arial" w:hAnsi="Arial"/>
                <w:sz w:val="14"/>
                <w:szCs w:val="14"/>
                <w:color w:val="auto"/>
                <w:w w:val="86"/>
              </w:rPr>
              <w:t>Proposed</w:t>
            </w:r>
          </w:p>
        </w:tc>
        <w:tc>
          <w:tcPr>
            <w:tcW w:w="720" w:type="dxa"/>
            <w:vAlign w:val="bottom"/>
          </w:tcPr>
          <w:p>
            <w:pPr>
              <w:jc w:val="right"/>
              <w:ind w:right="98"/>
              <w:spacing w:after="0" w:line="149" w:lineRule="exact"/>
              <w:rPr>
                <w:sz w:val="20"/>
                <w:szCs w:val="20"/>
                <w:color w:val="auto"/>
              </w:rPr>
            </w:pPr>
            <w:r>
              <w:rPr>
                <w:rFonts w:ascii="Arial" w:cs="Arial" w:eastAsia="Arial" w:hAnsi="Arial"/>
                <w:sz w:val="14"/>
                <w:szCs w:val="14"/>
                <w:color w:val="auto"/>
              </w:rPr>
              <w:t>Mining</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5"/>
              </w:rPr>
              <w:t>Section</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5"/>
              </w:rPr>
              <w:t>Section</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0"/>
              </w:rPr>
              <w:t>Last</w:t>
            </w:r>
          </w:p>
        </w:tc>
        <w:tc>
          <w:tcPr>
            <w:tcW w:w="700" w:type="dxa"/>
            <w:vAlign w:val="bottom"/>
          </w:tcPr>
          <w:p>
            <w:pPr>
              <w:jc w:val="right"/>
              <w:ind w:right="60"/>
              <w:spacing w:after="0" w:line="149" w:lineRule="exact"/>
              <w:rPr>
                <w:sz w:val="20"/>
                <w:szCs w:val="20"/>
                <w:color w:val="auto"/>
              </w:rPr>
            </w:pPr>
            <w:r>
              <w:rPr>
                <w:rFonts w:ascii="Arial" w:cs="Arial" w:eastAsia="Arial" w:hAnsi="Arial"/>
                <w:sz w:val="14"/>
                <w:szCs w:val="14"/>
                <w:color w:val="auto"/>
              </w:rPr>
              <w:t>Initiated</w:t>
            </w:r>
          </w:p>
        </w:tc>
        <w:tc>
          <w:tcPr>
            <w:tcW w:w="720" w:type="dxa"/>
            <w:vAlign w:val="bottom"/>
          </w:tcPr>
          <w:p>
            <w:pPr>
              <w:jc w:val="right"/>
              <w:ind w:right="20"/>
              <w:spacing w:after="0" w:line="149" w:lineRule="exact"/>
              <w:rPr>
                <w:sz w:val="20"/>
                <w:szCs w:val="20"/>
                <w:color w:val="auto"/>
              </w:rPr>
            </w:pPr>
            <w:r>
              <w:rPr>
                <w:rFonts w:ascii="Arial" w:cs="Arial" w:eastAsia="Arial" w:hAnsi="Arial"/>
                <w:sz w:val="14"/>
                <w:szCs w:val="14"/>
                <w:color w:val="auto"/>
              </w:rPr>
              <w:t>Resolved</w:t>
            </w:r>
          </w:p>
        </w:tc>
        <w:tc>
          <w:tcPr>
            <w:tcW w:w="0" w:type="dxa"/>
            <w:vAlign w:val="bottom"/>
          </w:tcPr>
          <w:p>
            <w:pPr>
              <w:spacing w:after="0"/>
              <w:rPr>
                <w:sz w:val="1"/>
                <w:szCs w:val="1"/>
                <w:color w:val="auto"/>
              </w:rPr>
            </w:pPr>
          </w:p>
        </w:tc>
      </w:tr>
      <w:tr>
        <w:trPr>
          <w:trHeight w:val="132"/>
        </w:trPr>
        <w:tc>
          <w:tcPr>
            <w:tcW w:w="2360" w:type="dxa"/>
            <w:vAlign w:val="bottom"/>
            <w:gridSpan w:val="2"/>
          </w:tcPr>
          <w:p>
            <w:pPr>
              <w:spacing w:after="0" w:line="133" w:lineRule="exact"/>
              <w:rPr>
                <w:sz w:val="20"/>
                <w:szCs w:val="20"/>
                <w:color w:val="auto"/>
              </w:rPr>
            </w:pPr>
            <w:r>
              <w:rPr>
                <w:rFonts w:ascii="Arial" w:cs="Arial" w:eastAsia="Arial" w:hAnsi="Arial"/>
                <w:sz w:val="14"/>
                <w:szCs w:val="14"/>
                <w:color w:val="auto"/>
              </w:rPr>
              <w:t>Mine or Operating Name/MSHA</w:t>
            </w:r>
          </w:p>
        </w:tc>
        <w:tc>
          <w:tcPr>
            <w:tcW w:w="700" w:type="dxa"/>
            <w:vAlign w:val="bottom"/>
          </w:tcPr>
          <w:p>
            <w:pPr>
              <w:jc w:val="center"/>
              <w:spacing w:after="0" w:line="133" w:lineRule="exact"/>
              <w:rPr>
                <w:sz w:val="20"/>
                <w:szCs w:val="20"/>
                <w:color w:val="auto"/>
              </w:rPr>
            </w:pPr>
            <w:r>
              <w:rPr>
                <w:rFonts w:ascii="Arial" w:cs="Arial" w:eastAsia="Arial" w:hAnsi="Arial"/>
                <w:sz w:val="14"/>
                <w:szCs w:val="14"/>
                <w:color w:val="auto"/>
                <w:w w:val="92"/>
              </w:rPr>
              <w:t>S&amp;S</w:t>
            </w:r>
          </w:p>
        </w:tc>
        <w:tc>
          <w:tcPr>
            <w:tcW w:w="640" w:type="dxa"/>
            <w:vAlign w:val="bottom"/>
          </w:tcPr>
          <w:p>
            <w:pPr>
              <w:jc w:val="right"/>
              <w:ind w:right="58"/>
              <w:spacing w:after="0" w:line="133" w:lineRule="exact"/>
              <w:rPr>
                <w:sz w:val="20"/>
                <w:szCs w:val="20"/>
                <w:color w:val="auto"/>
              </w:rPr>
            </w:pPr>
            <w:r>
              <w:rPr>
                <w:rFonts w:ascii="Arial" w:cs="Arial" w:eastAsia="Arial" w:hAnsi="Arial"/>
                <w:sz w:val="14"/>
                <w:szCs w:val="14"/>
                <w:color w:val="auto"/>
              </w:rPr>
              <w:t>104(b)</w:t>
            </w:r>
          </w:p>
        </w:tc>
        <w:tc>
          <w:tcPr>
            <w:tcW w:w="720" w:type="dxa"/>
            <w:vAlign w:val="bottom"/>
          </w:tcPr>
          <w:p>
            <w:pPr>
              <w:jc w:val="center"/>
              <w:spacing w:after="0" w:line="133" w:lineRule="exact"/>
              <w:rPr>
                <w:sz w:val="20"/>
                <w:szCs w:val="20"/>
                <w:color w:val="auto"/>
              </w:rPr>
            </w:pPr>
            <w:r>
              <w:rPr>
                <w:rFonts w:ascii="Arial" w:cs="Arial" w:eastAsia="Arial" w:hAnsi="Arial"/>
                <w:sz w:val="14"/>
                <w:szCs w:val="14"/>
                <w:color w:val="auto"/>
                <w:w w:val="85"/>
              </w:rPr>
              <w:t>and</w:t>
            </w:r>
          </w:p>
        </w:tc>
        <w:tc>
          <w:tcPr>
            <w:tcW w:w="820" w:type="dxa"/>
            <w:vAlign w:val="bottom"/>
          </w:tcPr>
          <w:p>
            <w:pPr>
              <w:jc w:val="right"/>
              <w:ind w:right="78"/>
              <w:spacing w:after="0" w:line="133" w:lineRule="exact"/>
              <w:rPr>
                <w:sz w:val="20"/>
                <w:szCs w:val="20"/>
                <w:color w:val="auto"/>
              </w:rPr>
            </w:pPr>
            <w:r>
              <w:rPr>
                <w:rFonts w:ascii="Arial" w:cs="Arial" w:eastAsia="Arial" w:hAnsi="Arial"/>
                <w:sz w:val="14"/>
                <w:szCs w:val="14"/>
                <w:color w:val="auto"/>
              </w:rPr>
              <w:t>110(b)(2)</w:t>
            </w:r>
          </w:p>
        </w:tc>
        <w:tc>
          <w:tcPr>
            <w:tcW w:w="640" w:type="dxa"/>
            <w:vAlign w:val="bottom"/>
          </w:tcPr>
          <w:p>
            <w:pPr>
              <w:jc w:val="right"/>
              <w:ind w:right="58"/>
              <w:spacing w:after="0" w:line="133" w:lineRule="exact"/>
              <w:rPr>
                <w:sz w:val="20"/>
                <w:szCs w:val="20"/>
                <w:color w:val="auto"/>
              </w:rPr>
            </w:pPr>
            <w:r>
              <w:rPr>
                <w:rFonts w:ascii="Arial" w:cs="Arial" w:eastAsia="Arial" w:hAnsi="Arial"/>
                <w:sz w:val="14"/>
                <w:szCs w:val="14"/>
                <w:color w:val="auto"/>
              </w:rPr>
              <w:t>107(a)</w:t>
            </w:r>
          </w:p>
        </w:tc>
        <w:tc>
          <w:tcPr>
            <w:tcW w:w="240" w:type="dxa"/>
            <w:vAlign w:val="bottom"/>
          </w:tcPr>
          <w:p>
            <w:pPr>
              <w:spacing w:after="0"/>
              <w:rPr>
                <w:sz w:val="11"/>
                <w:szCs w:val="11"/>
                <w:color w:val="auto"/>
              </w:rPr>
            </w:pPr>
          </w:p>
        </w:tc>
        <w:tc>
          <w:tcPr>
            <w:tcW w:w="900" w:type="dxa"/>
            <w:vAlign w:val="bottom"/>
          </w:tcPr>
          <w:p>
            <w:pPr>
              <w:jc w:val="right"/>
              <w:ind w:right="316"/>
              <w:spacing w:after="0" w:line="133" w:lineRule="exact"/>
              <w:rPr>
                <w:sz w:val="20"/>
                <w:szCs w:val="20"/>
                <w:color w:val="auto"/>
              </w:rPr>
            </w:pPr>
            <w:r>
              <w:rPr>
                <w:rFonts w:ascii="Arial" w:cs="Arial" w:eastAsia="Arial" w:hAnsi="Arial"/>
                <w:sz w:val="14"/>
                <w:szCs w:val="14"/>
                <w:color w:val="auto"/>
              </w:rPr>
              <w:t>MSHA</w:t>
            </w:r>
          </w:p>
        </w:tc>
        <w:tc>
          <w:tcPr>
            <w:tcW w:w="720" w:type="dxa"/>
            <w:vAlign w:val="bottom"/>
          </w:tcPr>
          <w:p>
            <w:pPr>
              <w:jc w:val="right"/>
              <w:ind w:right="98"/>
              <w:spacing w:after="0" w:line="133" w:lineRule="exact"/>
              <w:rPr>
                <w:sz w:val="20"/>
                <w:szCs w:val="20"/>
                <w:color w:val="auto"/>
              </w:rPr>
            </w:pPr>
            <w:r>
              <w:rPr>
                <w:rFonts w:ascii="Arial" w:cs="Arial" w:eastAsia="Arial" w:hAnsi="Arial"/>
                <w:sz w:val="14"/>
                <w:szCs w:val="14"/>
                <w:color w:val="auto"/>
              </w:rPr>
              <w:t>Related</w:t>
            </w:r>
          </w:p>
        </w:tc>
        <w:tc>
          <w:tcPr>
            <w:tcW w:w="800" w:type="dxa"/>
            <w:vAlign w:val="bottom"/>
          </w:tcPr>
          <w:p>
            <w:pPr>
              <w:jc w:val="center"/>
              <w:spacing w:after="0" w:line="133" w:lineRule="exact"/>
              <w:rPr>
                <w:sz w:val="20"/>
                <w:szCs w:val="20"/>
                <w:color w:val="auto"/>
              </w:rPr>
            </w:pPr>
            <w:r>
              <w:rPr>
                <w:rFonts w:ascii="Arial" w:cs="Arial" w:eastAsia="Arial" w:hAnsi="Arial"/>
                <w:sz w:val="14"/>
                <w:szCs w:val="14"/>
                <w:color w:val="auto"/>
                <w:w w:val="88"/>
              </w:rPr>
              <w:t>104(e)</w:t>
            </w:r>
          </w:p>
        </w:tc>
        <w:tc>
          <w:tcPr>
            <w:tcW w:w="760" w:type="dxa"/>
            <w:vAlign w:val="bottom"/>
          </w:tcPr>
          <w:p>
            <w:pPr>
              <w:jc w:val="center"/>
              <w:spacing w:after="0" w:line="133" w:lineRule="exact"/>
              <w:rPr>
                <w:sz w:val="20"/>
                <w:szCs w:val="20"/>
                <w:color w:val="auto"/>
              </w:rPr>
            </w:pPr>
            <w:r>
              <w:rPr>
                <w:rFonts w:ascii="Arial" w:cs="Arial" w:eastAsia="Arial" w:hAnsi="Arial"/>
                <w:sz w:val="14"/>
                <w:szCs w:val="14"/>
                <w:color w:val="auto"/>
                <w:w w:val="88"/>
              </w:rPr>
              <w:t>104(e)</w:t>
            </w:r>
          </w:p>
        </w:tc>
        <w:tc>
          <w:tcPr>
            <w:tcW w:w="700" w:type="dxa"/>
            <w:vAlign w:val="bottom"/>
          </w:tcPr>
          <w:p>
            <w:pPr>
              <w:jc w:val="center"/>
              <w:spacing w:after="0" w:line="133" w:lineRule="exact"/>
              <w:rPr>
                <w:sz w:val="20"/>
                <w:szCs w:val="20"/>
                <w:color w:val="auto"/>
              </w:rPr>
            </w:pPr>
            <w:r>
              <w:rPr>
                <w:rFonts w:ascii="Arial" w:cs="Arial" w:eastAsia="Arial" w:hAnsi="Arial"/>
                <w:sz w:val="14"/>
                <w:szCs w:val="14"/>
                <w:color w:val="auto"/>
                <w:w w:val="88"/>
              </w:rPr>
              <w:t>Day of</w:t>
            </w:r>
          </w:p>
        </w:tc>
        <w:tc>
          <w:tcPr>
            <w:tcW w:w="700" w:type="dxa"/>
            <w:vAlign w:val="bottom"/>
          </w:tcPr>
          <w:p>
            <w:pPr>
              <w:jc w:val="center"/>
              <w:spacing w:after="0" w:line="133" w:lineRule="exact"/>
              <w:rPr>
                <w:sz w:val="20"/>
                <w:szCs w:val="20"/>
                <w:color w:val="auto"/>
              </w:rPr>
            </w:pPr>
            <w:r>
              <w:rPr>
                <w:rFonts w:ascii="Arial" w:cs="Arial" w:eastAsia="Arial" w:hAnsi="Arial"/>
                <w:sz w:val="14"/>
                <w:szCs w:val="14"/>
                <w:color w:val="auto"/>
                <w:w w:val="96"/>
              </w:rPr>
              <w:t>During</w:t>
            </w:r>
          </w:p>
        </w:tc>
        <w:tc>
          <w:tcPr>
            <w:tcW w:w="720" w:type="dxa"/>
            <w:vAlign w:val="bottom"/>
          </w:tcPr>
          <w:p>
            <w:pPr>
              <w:jc w:val="center"/>
              <w:spacing w:after="0" w:line="133" w:lineRule="exact"/>
              <w:rPr>
                <w:sz w:val="20"/>
                <w:szCs w:val="20"/>
                <w:color w:val="auto"/>
              </w:rPr>
            </w:pPr>
            <w:r>
              <w:rPr>
                <w:rFonts w:ascii="Arial" w:cs="Arial" w:eastAsia="Arial" w:hAnsi="Arial"/>
                <w:sz w:val="14"/>
                <w:szCs w:val="14"/>
                <w:color w:val="auto"/>
                <w:w w:val="92"/>
              </w:rPr>
              <w:t>During</w:t>
            </w:r>
          </w:p>
        </w:tc>
        <w:tc>
          <w:tcPr>
            <w:tcW w:w="0" w:type="dxa"/>
            <w:vAlign w:val="bottom"/>
          </w:tcPr>
          <w:p>
            <w:pPr>
              <w:spacing w:after="0"/>
              <w:rPr>
                <w:sz w:val="1"/>
                <w:szCs w:val="1"/>
                <w:color w:val="auto"/>
              </w:rPr>
            </w:pPr>
          </w:p>
        </w:tc>
      </w:tr>
      <w:tr>
        <w:trPr>
          <w:trHeight w:val="284"/>
        </w:trPr>
        <w:tc>
          <w:tcPr>
            <w:tcW w:w="2360" w:type="dxa"/>
            <w:vAlign w:val="bottom"/>
            <w:gridSpan w:val="2"/>
          </w:tcPr>
          <w:p>
            <w:pPr>
              <w:spacing w:after="0"/>
              <w:rPr>
                <w:sz w:val="20"/>
                <w:szCs w:val="20"/>
                <w:color w:val="auto"/>
              </w:rPr>
            </w:pPr>
            <w:r>
              <w:rPr>
                <w:rFonts w:ascii="Arial" w:cs="Arial" w:eastAsia="Arial" w:hAnsi="Arial"/>
                <w:sz w:val="14"/>
                <w:szCs w:val="14"/>
                <w:color w:val="auto"/>
              </w:rPr>
              <w:t>Identification Number</w:t>
            </w:r>
          </w:p>
        </w:tc>
        <w:tc>
          <w:tcPr>
            <w:tcW w:w="700" w:type="dxa"/>
            <w:vAlign w:val="bottom"/>
          </w:tcPr>
          <w:p>
            <w:pPr>
              <w:jc w:val="right"/>
              <w:ind w:right="39"/>
              <w:spacing w:after="0"/>
              <w:rPr>
                <w:sz w:val="20"/>
                <w:szCs w:val="20"/>
                <w:color w:val="auto"/>
              </w:rPr>
            </w:pPr>
            <w:r>
              <w:rPr>
                <w:rFonts w:ascii="Arial" w:cs="Arial" w:eastAsia="Arial" w:hAnsi="Arial"/>
                <w:sz w:val="14"/>
                <w:szCs w:val="14"/>
                <w:color w:val="auto"/>
              </w:rPr>
              <w:t>Citations</w:t>
            </w:r>
          </w:p>
        </w:tc>
        <w:tc>
          <w:tcPr>
            <w:tcW w:w="640" w:type="dxa"/>
            <w:vAlign w:val="bottom"/>
          </w:tcPr>
          <w:p>
            <w:pPr>
              <w:jc w:val="right"/>
              <w:ind w:right="58"/>
              <w:spacing w:after="0"/>
              <w:rPr>
                <w:sz w:val="20"/>
                <w:szCs w:val="20"/>
                <w:color w:val="auto"/>
              </w:rPr>
            </w:pPr>
            <w:r>
              <w:rPr>
                <w:rFonts w:ascii="Arial" w:cs="Arial" w:eastAsia="Arial" w:hAnsi="Arial"/>
                <w:sz w:val="14"/>
                <w:szCs w:val="14"/>
                <w:color w:val="auto"/>
              </w:rPr>
              <w:t>Orders</w:t>
            </w:r>
          </w:p>
        </w:tc>
        <w:tc>
          <w:tcPr>
            <w:tcW w:w="720" w:type="dxa"/>
            <w:vAlign w:val="bottom"/>
          </w:tcPr>
          <w:p>
            <w:pPr>
              <w:jc w:val="center"/>
              <w:spacing w:after="0"/>
              <w:rPr>
                <w:sz w:val="20"/>
                <w:szCs w:val="20"/>
                <w:color w:val="auto"/>
              </w:rPr>
            </w:pPr>
            <w:r>
              <w:rPr>
                <w:rFonts w:ascii="Arial" w:cs="Arial" w:eastAsia="Arial" w:hAnsi="Arial"/>
                <w:sz w:val="14"/>
                <w:szCs w:val="14"/>
                <w:color w:val="auto"/>
                <w:w w:val="88"/>
              </w:rPr>
              <w:t>Orders</w:t>
            </w:r>
          </w:p>
        </w:tc>
        <w:tc>
          <w:tcPr>
            <w:tcW w:w="820" w:type="dxa"/>
            <w:vAlign w:val="bottom"/>
          </w:tcPr>
          <w:p>
            <w:pPr>
              <w:jc w:val="right"/>
              <w:ind w:right="58"/>
              <w:spacing w:after="0"/>
              <w:rPr>
                <w:sz w:val="20"/>
                <w:szCs w:val="20"/>
                <w:color w:val="auto"/>
              </w:rPr>
            </w:pPr>
            <w:r>
              <w:rPr>
                <w:rFonts w:ascii="Arial" w:cs="Arial" w:eastAsia="Arial" w:hAnsi="Arial"/>
                <w:sz w:val="14"/>
                <w:szCs w:val="14"/>
                <w:color w:val="auto"/>
              </w:rPr>
              <w:t>Violations</w:t>
            </w:r>
          </w:p>
        </w:tc>
        <w:tc>
          <w:tcPr>
            <w:tcW w:w="640" w:type="dxa"/>
            <w:vAlign w:val="bottom"/>
          </w:tcPr>
          <w:p>
            <w:pPr>
              <w:jc w:val="right"/>
              <w:ind w:right="58"/>
              <w:spacing w:after="0"/>
              <w:rPr>
                <w:sz w:val="20"/>
                <w:szCs w:val="20"/>
                <w:color w:val="auto"/>
              </w:rPr>
            </w:pPr>
            <w:r>
              <w:rPr>
                <w:rFonts w:ascii="Arial" w:cs="Arial" w:eastAsia="Arial" w:hAnsi="Arial"/>
                <w:sz w:val="14"/>
                <w:szCs w:val="14"/>
                <w:color w:val="auto"/>
              </w:rPr>
              <w:t>Orders</w:t>
            </w:r>
          </w:p>
        </w:tc>
        <w:tc>
          <w:tcPr>
            <w:tcW w:w="1140" w:type="dxa"/>
            <w:vAlign w:val="bottom"/>
            <w:gridSpan w:val="2"/>
          </w:tcPr>
          <w:p>
            <w:pPr>
              <w:ind w:left="120"/>
              <w:spacing w:after="0"/>
              <w:rPr>
                <w:sz w:val="20"/>
                <w:szCs w:val="20"/>
                <w:color w:val="auto"/>
              </w:rPr>
            </w:pPr>
            <w:r>
              <w:rPr>
                <w:rFonts w:ascii="Arial" w:cs="Arial" w:eastAsia="Arial" w:hAnsi="Arial"/>
                <w:sz w:val="14"/>
                <w:szCs w:val="14"/>
                <w:color w:val="auto"/>
                <w:w w:val="98"/>
              </w:rPr>
              <w:t>Assessments</w:t>
            </w:r>
            <w:r>
              <w:rPr>
                <w:rFonts w:ascii="Arial" w:cs="Arial" w:eastAsia="Arial" w:hAnsi="Arial"/>
                <w:sz w:val="22"/>
                <w:szCs w:val="22"/>
                <w:color w:val="auto"/>
                <w:w w:val="98"/>
                <w:vertAlign w:val="superscript"/>
              </w:rPr>
              <w:t>(1)</w:t>
            </w:r>
          </w:p>
        </w:tc>
        <w:tc>
          <w:tcPr>
            <w:tcW w:w="720" w:type="dxa"/>
            <w:vAlign w:val="bottom"/>
          </w:tcPr>
          <w:p>
            <w:pPr>
              <w:jc w:val="right"/>
              <w:ind w:right="58"/>
              <w:spacing w:after="0"/>
              <w:rPr>
                <w:sz w:val="20"/>
                <w:szCs w:val="20"/>
                <w:color w:val="auto"/>
              </w:rPr>
            </w:pPr>
            <w:r>
              <w:rPr>
                <w:rFonts w:ascii="Arial" w:cs="Arial" w:eastAsia="Arial" w:hAnsi="Arial"/>
                <w:sz w:val="14"/>
                <w:szCs w:val="14"/>
                <w:color w:val="auto"/>
                <w:w w:val="99"/>
              </w:rPr>
              <w:t>Fatalities</w:t>
            </w:r>
          </w:p>
        </w:tc>
        <w:tc>
          <w:tcPr>
            <w:tcW w:w="800" w:type="dxa"/>
            <w:vAlign w:val="bottom"/>
          </w:tcPr>
          <w:p>
            <w:pPr>
              <w:jc w:val="center"/>
              <w:spacing w:after="0"/>
              <w:rPr>
                <w:sz w:val="20"/>
                <w:szCs w:val="20"/>
                <w:color w:val="auto"/>
              </w:rPr>
            </w:pPr>
            <w:r>
              <w:rPr>
                <w:rFonts w:ascii="Arial" w:cs="Arial" w:eastAsia="Arial" w:hAnsi="Arial"/>
                <w:sz w:val="14"/>
                <w:szCs w:val="14"/>
                <w:color w:val="auto"/>
                <w:w w:val="86"/>
              </w:rPr>
              <w:t>(yes/no)</w:t>
            </w:r>
          </w:p>
        </w:tc>
        <w:tc>
          <w:tcPr>
            <w:tcW w:w="760" w:type="dxa"/>
            <w:vAlign w:val="bottom"/>
          </w:tcPr>
          <w:p>
            <w:pPr>
              <w:jc w:val="center"/>
              <w:spacing w:after="0"/>
              <w:rPr>
                <w:sz w:val="20"/>
                <w:szCs w:val="20"/>
                <w:color w:val="auto"/>
              </w:rPr>
            </w:pPr>
            <w:r>
              <w:rPr>
                <w:rFonts w:ascii="Arial" w:cs="Arial" w:eastAsia="Arial" w:hAnsi="Arial"/>
                <w:sz w:val="14"/>
                <w:szCs w:val="14"/>
                <w:color w:val="auto"/>
                <w:w w:val="86"/>
              </w:rPr>
              <w:t>(yes/no)</w:t>
            </w:r>
          </w:p>
        </w:tc>
        <w:tc>
          <w:tcPr>
            <w:tcW w:w="700" w:type="dxa"/>
            <w:vAlign w:val="bottom"/>
          </w:tcPr>
          <w:p>
            <w:pPr>
              <w:jc w:val="center"/>
              <w:spacing w:after="0"/>
              <w:rPr>
                <w:sz w:val="20"/>
                <w:szCs w:val="20"/>
                <w:color w:val="auto"/>
              </w:rPr>
            </w:pPr>
            <w:r>
              <w:rPr>
                <w:rFonts w:ascii="Arial" w:cs="Arial" w:eastAsia="Arial" w:hAnsi="Arial"/>
                <w:sz w:val="14"/>
                <w:szCs w:val="14"/>
                <w:color w:val="auto"/>
                <w:w w:val="88"/>
              </w:rPr>
              <w:t>Period</w:t>
            </w:r>
          </w:p>
        </w:tc>
        <w:tc>
          <w:tcPr>
            <w:tcW w:w="700" w:type="dxa"/>
            <w:vAlign w:val="bottom"/>
          </w:tcPr>
          <w:p>
            <w:pPr>
              <w:jc w:val="center"/>
              <w:spacing w:after="0"/>
              <w:rPr>
                <w:sz w:val="20"/>
                <w:szCs w:val="20"/>
                <w:color w:val="auto"/>
              </w:rPr>
            </w:pPr>
            <w:r>
              <w:rPr>
                <w:rFonts w:ascii="Arial" w:cs="Arial" w:eastAsia="Arial" w:hAnsi="Arial"/>
                <w:sz w:val="14"/>
                <w:szCs w:val="14"/>
                <w:color w:val="auto"/>
                <w:w w:val="88"/>
              </w:rPr>
              <w:t>Period</w:t>
            </w:r>
          </w:p>
        </w:tc>
        <w:tc>
          <w:tcPr>
            <w:tcW w:w="720" w:type="dxa"/>
            <w:vAlign w:val="bottom"/>
          </w:tcPr>
          <w:p>
            <w:pPr>
              <w:jc w:val="center"/>
              <w:spacing w:after="0"/>
              <w:rPr>
                <w:sz w:val="20"/>
                <w:szCs w:val="20"/>
                <w:color w:val="auto"/>
              </w:rPr>
            </w:pPr>
            <w:r>
              <w:rPr>
                <w:rFonts w:ascii="Arial" w:cs="Arial" w:eastAsia="Arial" w:hAnsi="Arial"/>
                <w:sz w:val="14"/>
                <w:szCs w:val="14"/>
                <w:color w:val="auto"/>
                <w:w w:val="83"/>
              </w:rPr>
              <w:t>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Amelia Barite Plant/1600825</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N</w:t>
            </w: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w:t>
            </w:r>
          </w:p>
        </w:tc>
        <w:tc>
          <w:tcPr>
            <w:tcW w:w="70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16"/>
        </w:trPr>
        <w:tc>
          <w:tcPr>
            <w:tcW w:w="2360" w:type="dxa"/>
            <w:vAlign w:val="bottom"/>
            <w:gridSpan w:val="2"/>
          </w:tcPr>
          <w:p>
            <w:pPr>
              <w:spacing w:after="0"/>
              <w:rPr>
                <w:sz w:val="20"/>
                <w:szCs w:val="20"/>
                <w:color w:val="auto"/>
              </w:rPr>
            </w:pPr>
            <w:r>
              <w:rPr>
                <w:rFonts w:ascii="Arial" w:cs="Arial" w:eastAsia="Arial" w:hAnsi="Arial"/>
                <w:sz w:val="18"/>
                <w:szCs w:val="18"/>
                <w:color w:val="auto"/>
              </w:rPr>
              <w:t>Battle Mountain Grinding</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Plant/2600828</w:t>
            </w:r>
          </w:p>
        </w:tc>
        <w:tc>
          <w:tcPr>
            <w:tcW w:w="700" w:type="dxa"/>
            <w:vAlign w:val="bottom"/>
          </w:tcPr>
          <w:p>
            <w:pPr>
              <w:jc w:val="right"/>
              <w:ind w:right="39"/>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4,737</w:t>
            </w:r>
          </w:p>
        </w:tc>
        <w:tc>
          <w:tcPr>
            <w:tcW w:w="72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800" w:type="dxa"/>
            <w:vAlign w:val="bottom"/>
          </w:tcPr>
          <w:p>
            <w:pPr>
              <w:jc w:val="right"/>
              <w:ind w:right="42"/>
              <w:spacing w:after="0"/>
              <w:rPr>
                <w:sz w:val="20"/>
                <w:szCs w:val="20"/>
                <w:color w:val="auto"/>
              </w:rPr>
            </w:pPr>
            <w:r>
              <w:rPr>
                <w:rFonts w:ascii="Arial" w:cs="Arial" w:eastAsia="Arial" w:hAnsi="Arial"/>
                <w:sz w:val="18"/>
                <w:szCs w:val="18"/>
                <w:color w:val="auto"/>
              </w:rPr>
              <w:t>N</w:t>
            </w:r>
          </w:p>
        </w:tc>
        <w:tc>
          <w:tcPr>
            <w:tcW w:w="760" w:type="dxa"/>
            <w:vAlign w:val="bottom"/>
          </w:tcPr>
          <w:p>
            <w:pPr>
              <w:ind w:left="520"/>
              <w:spacing w:after="0"/>
              <w:rPr>
                <w:sz w:val="20"/>
                <w:szCs w:val="20"/>
                <w:color w:val="auto"/>
              </w:rPr>
            </w:pPr>
            <w:r>
              <w:rPr>
                <w:rFonts w:ascii="Arial" w:cs="Arial" w:eastAsia="Arial" w:hAnsi="Arial"/>
                <w:sz w:val="18"/>
                <w:szCs w:val="18"/>
                <w:color w:val="auto"/>
              </w:rPr>
              <w:t>N</w:t>
            </w:r>
          </w:p>
        </w:tc>
        <w:tc>
          <w:tcPr>
            <w:tcW w:w="700" w:type="dxa"/>
            <w:vAlign w:val="bottom"/>
          </w:tcPr>
          <w:p>
            <w:pPr>
              <w:jc w:val="right"/>
              <w:ind w:right="62"/>
              <w:spacing w:after="0"/>
              <w:rPr>
                <w:sz w:val="20"/>
                <w:szCs w:val="20"/>
                <w:color w:val="auto"/>
              </w:rPr>
            </w:pPr>
            <w:r>
              <w:rPr>
                <w:rFonts w:ascii="Arial" w:cs="Arial" w:eastAsia="Arial" w:hAnsi="Arial"/>
                <w:sz w:val="18"/>
                <w:szCs w:val="18"/>
                <w:color w:val="auto"/>
              </w:rPr>
              <w:t>1</w:t>
            </w:r>
          </w:p>
        </w:tc>
        <w:tc>
          <w:tcPr>
            <w:tcW w:w="700" w:type="dxa"/>
            <w:vAlign w:val="bottom"/>
          </w:tcPr>
          <w:p>
            <w:pPr>
              <w:jc w:val="right"/>
              <w:ind w:right="60"/>
              <w:spacing w:after="0"/>
              <w:rPr>
                <w:sz w:val="20"/>
                <w:szCs w:val="20"/>
                <w:color w:val="auto"/>
              </w:rPr>
            </w:pPr>
            <w:r>
              <w:rPr>
                <w:rFonts w:ascii="Arial" w:cs="Arial" w:eastAsia="Arial" w:hAnsi="Arial"/>
                <w:sz w:val="18"/>
                <w:szCs w:val="18"/>
                <w:color w:val="auto"/>
              </w:rPr>
              <w:t>1</w:t>
            </w:r>
          </w:p>
        </w:tc>
        <w:tc>
          <w:tcPr>
            <w:tcW w:w="720" w:type="dxa"/>
            <w:vAlign w:val="bottom"/>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w w:val="93"/>
              </w:rPr>
              <w:t>Galveston GBT Barite Grinding</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Plant/4104675</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300</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N</w:t>
            </w: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w:t>
            </w:r>
          </w:p>
        </w:tc>
        <w:tc>
          <w:tcPr>
            <w:tcW w:w="70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16"/>
        </w:trPr>
        <w:tc>
          <w:tcPr>
            <w:tcW w:w="2360" w:type="dxa"/>
            <w:vAlign w:val="bottom"/>
            <w:gridSpan w:val="2"/>
          </w:tcPr>
          <w:p>
            <w:pPr>
              <w:spacing w:after="0"/>
              <w:rPr>
                <w:sz w:val="20"/>
                <w:szCs w:val="20"/>
                <w:color w:val="auto"/>
              </w:rPr>
            </w:pPr>
            <w:r>
              <w:rPr>
                <w:rFonts w:ascii="Arial" w:cs="Arial" w:eastAsia="Arial" w:hAnsi="Arial"/>
                <w:sz w:val="18"/>
                <w:szCs w:val="18"/>
                <w:color w:val="auto"/>
              </w:rPr>
              <w:t>Greybull Milling</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Operation/4800602</w:t>
            </w:r>
          </w:p>
        </w:tc>
        <w:tc>
          <w:tcPr>
            <w:tcW w:w="700" w:type="dxa"/>
            <w:vAlign w:val="bottom"/>
          </w:tcPr>
          <w:p>
            <w:pPr>
              <w:jc w:val="right"/>
              <w:ind w:right="39"/>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8,964*</w:t>
            </w:r>
          </w:p>
        </w:tc>
        <w:tc>
          <w:tcPr>
            <w:tcW w:w="72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800" w:type="dxa"/>
            <w:vAlign w:val="bottom"/>
          </w:tcPr>
          <w:p>
            <w:pPr>
              <w:jc w:val="right"/>
              <w:ind w:right="42"/>
              <w:spacing w:after="0"/>
              <w:rPr>
                <w:sz w:val="20"/>
                <w:szCs w:val="20"/>
                <w:color w:val="auto"/>
              </w:rPr>
            </w:pPr>
            <w:r>
              <w:rPr>
                <w:rFonts w:ascii="Arial" w:cs="Arial" w:eastAsia="Arial" w:hAnsi="Arial"/>
                <w:sz w:val="18"/>
                <w:szCs w:val="18"/>
                <w:color w:val="auto"/>
              </w:rPr>
              <w:t>N</w:t>
            </w:r>
          </w:p>
        </w:tc>
        <w:tc>
          <w:tcPr>
            <w:tcW w:w="760" w:type="dxa"/>
            <w:vAlign w:val="bottom"/>
          </w:tcPr>
          <w:p>
            <w:pPr>
              <w:ind w:left="520"/>
              <w:spacing w:after="0"/>
              <w:rPr>
                <w:sz w:val="20"/>
                <w:szCs w:val="20"/>
                <w:color w:val="auto"/>
              </w:rPr>
            </w:pPr>
            <w:r>
              <w:rPr>
                <w:rFonts w:ascii="Arial" w:cs="Arial" w:eastAsia="Arial" w:hAnsi="Arial"/>
                <w:sz w:val="18"/>
                <w:szCs w:val="18"/>
                <w:color w:val="auto"/>
              </w:rPr>
              <w:t>N</w:t>
            </w:r>
          </w:p>
        </w:tc>
        <w:tc>
          <w:tcPr>
            <w:tcW w:w="700" w:type="dxa"/>
            <w:vAlign w:val="bottom"/>
          </w:tcPr>
          <w:p>
            <w:pPr>
              <w:jc w:val="right"/>
              <w:ind w:right="62"/>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60"/>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Greybull Mining</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Operation/4800603</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317</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N</w:t>
            </w: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w:t>
            </w:r>
          </w:p>
        </w:tc>
        <w:tc>
          <w:tcPr>
            <w:tcW w:w="70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2"/>
        </w:trPr>
        <w:tc>
          <w:tcPr>
            <w:tcW w:w="2360" w:type="dxa"/>
            <w:vAlign w:val="bottom"/>
            <w:gridSpan w:val="2"/>
          </w:tcPr>
          <w:p>
            <w:pPr>
              <w:spacing w:after="0"/>
              <w:rPr>
                <w:sz w:val="20"/>
                <w:szCs w:val="20"/>
                <w:color w:val="auto"/>
              </w:rPr>
            </w:pPr>
            <w:r>
              <w:rPr>
                <w:rFonts w:ascii="Arial" w:cs="Arial" w:eastAsia="Arial" w:hAnsi="Arial"/>
                <w:sz w:val="18"/>
                <w:szCs w:val="18"/>
                <w:color w:val="auto"/>
              </w:rPr>
              <w:t>Greystone Mine/2600411</w:t>
            </w:r>
          </w:p>
        </w:tc>
        <w:tc>
          <w:tcPr>
            <w:tcW w:w="700" w:type="dxa"/>
            <w:vAlign w:val="bottom"/>
          </w:tcPr>
          <w:p>
            <w:pPr>
              <w:jc w:val="right"/>
              <w:ind w:right="39"/>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300</w:t>
            </w:r>
          </w:p>
        </w:tc>
        <w:tc>
          <w:tcPr>
            <w:tcW w:w="72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800" w:type="dxa"/>
            <w:vAlign w:val="bottom"/>
          </w:tcPr>
          <w:p>
            <w:pPr>
              <w:jc w:val="right"/>
              <w:ind w:right="42"/>
              <w:spacing w:after="0"/>
              <w:rPr>
                <w:sz w:val="20"/>
                <w:szCs w:val="20"/>
                <w:color w:val="auto"/>
              </w:rPr>
            </w:pPr>
            <w:r>
              <w:rPr>
                <w:rFonts w:ascii="Arial" w:cs="Arial" w:eastAsia="Arial" w:hAnsi="Arial"/>
                <w:sz w:val="18"/>
                <w:szCs w:val="18"/>
                <w:color w:val="auto"/>
              </w:rPr>
              <w:t>N</w:t>
            </w:r>
          </w:p>
        </w:tc>
        <w:tc>
          <w:tcPr>
            <w:tcW w:w="760" w:type="dxa"/>
            <w:vAlign w:val="bottom"/>
          </w:tcPr>
          <w:p>
            <w:pPr>
              <w:ind w:left="520"/>
              <w:spacing w:after="0"/>
              <w:rPr>
                <w:sz w:val="20"/>
                <w:szCs w:val="20"/>
                <w:color w:val="auto"/>
              </w:rPr>
            </w:pPr>
            <w:r>
              <w:rPr>
                <w:rFonts w:ascii="Arial" w:cs="Arial" w:eastAsia="Arial" w:hAnsi="Arial"/>
                <w:sz w:val="18"/>
                <w:szCs w:val="18"/>
                <w:color w:val="auto"/>
              </w:rPr>
              <w:t>N</w:t>
            </w:r>
          </w:p>
        </w:tc>
        <w:tc>
          <w:tcPr>
            <w:tcW w:w="700" w:type="dxa"/>
            <w:vAlign w:val="bottom"/>
          </w:tcPr>
          <w:p>
            <w:pPr>
              <w:jc w:val="right"/>
              <w:ind w:right="62"/>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60"/>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MI SWACO-Alpine/4104829</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2,020</w:t>
            </w: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N</w:t>
            </w: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w:t>
            </w:r>
          </w:p>
        </w:tc>
        <w:tc>
          <w:tcPr>
            <w:tcW w:w="70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16"/>
        </w:trPr>
        <w:tc>
          <w:tcPr>
            <w:tcW w:w="2360" w:type="dxa"/>
            <w:vAlign w:val="bottom"/>
            <w:gridSpan w:val="2"/>
          </w:tcPr>
          <w:p>
            <w:pPr>
              <w:spacing w:after="0"/>
              <w:rPr>
                <w:sz w:val="20"/>
                <w:szCs w:val="20"/>
                <w:color w:val="auto"/>
              </w:rPr>
            </w:pPr>
            <w:r>
              <w:rPr>
                <w:rFonts w:ascii="Arial" w:cs="Arial" w:eastAsia="Arial" w:hAnsi="Arial"/>
                <w:sz w:val="18"/>
                <w:szCs w:val="18"/>
                <w:color w:val="auto"/>
              </w:rPr>
              <w:t>MI SWACO-Brownsville</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Grinding Plant/4103033</w:t>
            </w:r>
          </w:p>
        </w:tc>
        <w:tc>
          <w:tcPr>
            <w:tcW w:w="700" w:type="dxa"/>
            <w:vAlign w:val="bottom"/>
          </w:tcPr>
          <w:p>
            <w:pPr>
              <w:jc w:val="right"/>
              <w:ind w:right="39"/>
              <w:spacing w:after="0"/>
              <w:rPr>
                <w:sz w:val="20"/>
                <w:szCs w:val="20"/>
                <w:color w:val="auto"/>
              </w:rPr>
            </w:pPr>
            <w:r>
              <w:rPr>
                <w:rFonts w:ascii="Arial" w:cs="Arial" w:eastAsia="Arial" w:hAnsi="Arial"/>
                <w:sz w:val="18"/>
                <w:szCs w:val="18"/>
                <w:color w:val="auto"/>
              </w:rPr>
              <w:t>1</w:t>
            </w:r>
          </w:p>
        </w:tc>
        <w:tc>
          <w:tcPr>
            <w:tcW w:w="64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40"/>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64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983</w:t>
            </w:r>
          </w:p>
        </w:tc>
        <w:tc>
          <w:tcPr>
            <w:tcW w:w="72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800" w:type="dxa"/>
            <w:vAlign w:val="bottom"/>
          </w:tcPr>
          <w:p>
            <w:pPr>
              <w:jc w:val="right"/>
              <w:ind w:right="42"/>
              <w:spacing w:after="0"/>
              <w:rPr>
                <w:sz w:val="20"/>
                <w:szCs w:val="20"/>
                <w:color w:val="auto"/>
              </w:rPr>
            </w:pPr>
            <w:r>
              <w:rPr>
                <w:rFonts w:ascii="Arial" w:cs="Arial" w:eastAsia="Arial" w:hAnsi="Arial"/>
                <w:sz w:val="18"/>
                <w:szCs w:val="18"/>
                <w:color w:val="auto"/>
              </w:rPr>
              <w:t>N</w:t>
            </w:r>
          </w:p>
        </w:tc>
        <w:tc>
          <w:tcPr>
            <w:tcW w:w="760" w:type="dxa"/>
            <w:vAlign w:val="bottom"/>
          </w:tcPr>
          <w:p>
            <w:pPr>
              <w:ind w:left="520"/>
              <w:spacing w:after="0"/>
              <w:rPr>
                <w:sz w:val="20"/>
                <w:szCs w:val="20"/>
                <w:color w:val="auto"/>
              </w:rPr>
            </w:pPr>
            <w:r>
              <w:rPr>
                <w:rFonts w:ascii="Arial" w:cs="Arial" w:eastAsia="Arial" w:hAnsi="Arial"/>
                <w:sz w:val="18"/>
                <w:szCs w:val="18"/>
                <w:color w:val="auto"/>
              </w:rPr>
              <w:t>N</w:t>
            </w:r>
          </w:p>
        </w:tc>
        <w:tc>
          <w:tcPr>
            <w:tcW w:w="700" w:type="dxa"/>
            <w:vAlign w:val="bottom"/>
          </w:tcPr>
          <w:p>
            <w:pPr>
              <w:jc w:val="right"/>
              <w:ind w:right="62"/>
              <w:spacing w:after="0"/>
              <w:rPr>
                <w:sz w:val="20"/>
                <w:szCs w:val="20"/>
                <w:color w:val="auto"/>
              </w:rPr>
            </w:pPr>
            <w:r>
              <w:rPr>
                <w:rFonts w:ascii="Arial" w:cs="Arial" w:eastAsia="Arial" w:hAnsi="Arial"/>
                <w:sz w:val="18"/>
                <w:szCs w:val="18"/>
                <w:color w:val="auto"/>
              </w:rPr>
              <w:t>0</w:t>
            </w:r>
          </w:p>
        </w:tc>
        <w:tc>
          <w:tcPr>
            <w:tcW w:w="700" w:type="dxa"/>
            <w:vAlign w:val="bottom"/>
          </w:tcPr>
          <w:p>
            <w:pPr>
              <w:jc w:val="right"/>
              <w:ind w:right="60"/>
              <w:spacing w:after="0"/>
              <w:rPr>
                <w:sz w:val="20"/>
                <w:szCs w:val="20"/>
                <w:color w:val="auto"/>
              </w:rPr>
            </w:pPr>
            <w:r>
              <w:rPr>
                <w:rFonts w:ascii="Arial" w:cs="Arial" w:eastAsia="Arial" w:hAnsi="Arial"/>
                <w:sz w:val="18"/>
                <w:szCs w:val="18"/>
                <w:color w:val="auto"/>
              </w:rPr>
              <w:t>0</w:t>
            </w:r>
          </w:p>
        </w:tc>
        <w:tc>
          <w:tcPr>
            <w:tcW w:w="720" w:type="dxa"/>
            <w:vAlign w:val="bottom"/>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line="298"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Amounts included are the total dollar value of proposed or outstanding assessments received from MSHA on or before June 30, 2012, regardless of whether the assessment has been challenged or appealed, for citations and orders occurring during the three months ended June 30, 2012. Citations and orders can be contested and appealed, and as part of that process, are sometimes reduced in severity and amount, and sometimes dismissed. The number of citations, orders, and proposed assessments vary by inspector and also vary depending on the size and type of the operation.</w:t>
      </w:r>
    </w:p>
    <w:p>
      <w:pPr>
        <w:spacing w:after="0" w:line="32"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Assessments for nine additional citations under Section 104(a) have not yet been proposed.</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2"/>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decimal"/>
      <w:start w:val="3"/>
    </w:lvl>
  </w:abstractNum>
  <w:abstractNum w:abstractNumId="7">
    <w:nsid w:val="721DA317"/>
    <w:multiLevelType w:val="hybridMultilevel"/>
    <w:lvl w:ilvl="0">
      <w:lvlJc w:val="left"/>
      <w:lvlText w:val="%1."/>
      <w:numFmt w:val="decimal"/>
      <w:start w:val="4"/>
    </w:lvl>
  </w:abstractNum>
  <w:abstractNum w:abstractNumId="8">
    <w:nsid w:val="2443A858"/>
    <w:multiLevelType w:val="hybridMultilevel"/>
    <w:lvl w:ilvl="0">
      <w:lvlJc w:val="left"/>
      <w:lvlText w:val="%1."/>
      <w:numFmt w:val="decimal"/>
      <w:start w:val="5"/>
    </w:lvl>
  </w:abstractNum>
  <w:abstractNum w:abstractNumId="9">
    <w:nsid w:val="2D1D5AE9"/>
    <w:multiLevelType w:val="hybridMultilevel"/>
    <w:lvl w:ilvl="0">
      <w:lvlJc w:val="left"/>
      <w:lvlText w:val="%1."/>
      <w:numFmt w:val="decimal"/>
      <w:start w:val="6"/>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decimal"/>
      <w:start w:val="7"/>
    </w:lvl>
  </w:abstractNum>
  <w:abstractNum w:abstractNumId="13">
    <w:nsid w:val="79838CB2"/>
    <w:multiLevelType w:val="hybridMultilevel"/>
    <w:lvl w:ilvl="0">
      <w:lvlJc w:val="left"/>
      <w:lvlText w:val="%1."/>
      <w:numFmt w:val="decimal"/>
      <w:start w:val="8"/>
    </w:lvl>
  </w:abstractNum>
  <w:abstractNum w:abstractNumId="14">
    <w:nsid w:val="4353D0CD"/>
    <w:multiLevelType w:val="hybridMultilevel"/>
    <w:lvl w:ilvl="0">
      <w:lvlJc w:val="left"/>
      <w:lvlText w:val="%1."/>
      <w:numFmt w:val="decimal"/>
      <w:start w:val="9"/>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0"/>
    </w:lvl>
  </w:abstractNum>
  <w:abstractNum w:abstractNumId="17">
    <w:nsid w:val="54E49EB4"/>
    <w:multiLevelType w:val="hybridMultilevel"/>
    <w:lvl w:ilvl="0">
      <w:lvlJc w:val="left"/>
      <w:lvlText w:val="%1."/>
      <w:numFmt w:val="decimal"/>
      <w:start w:val="11"/>
    </w:lvl>
  </w:abstractNum>
  <w:abstractNum w:abstractNumId="18">
    <w:nsid w:val="71F32454"/>
    <w:multiLevelType w:val="hybridMultilevel"/>
    <w:lvl w:ilvl="0">
      <w:lvlJc w:val="left"/>
      <w:lvlText w:val="%1."/>
      <w:numFmt w:val="decimal"/>
      <w:start w:val="12"/>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4"/>
    </w:lvl>
  </w:abstractNum>
  <w:abstractNum w:abstractNumId="22">
    <w:nsid w:val="3A95F874"/>
    <w:multiLevelType w:val="hybridMultilevel"/>
    <w:lvl w:ilvl="0">
      <w:lvlJc w:val="left"/>
      <w:lvlText w:val="%1."/>
      <w:numFmt w:val="decimal"/>
      <w:start w:val="15"/>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lvl w:ilvl="1">
      <w:lvlJc w:val="left"/>
      <w:lvlText w:val="*"/>
      <w:numFmt w:val="bullet"/>
      <w:start w:val="1"/>
    </w:lvl>
  </w:abstractNum>
  <w:abstractNum w:abstractNumId="31">
    <w:nsid w:val="614FD4A1"/>
    <w:multiLevelType w:val="hybridMultilevel"/>
    <w:lvl w:ilvl="0">
      <w:lvlJc w:val="left"/>
      <w:lvlText w:val="**"/>
      <w:numFmt w:val="bullet"/>
      <w:start w:val="1"/>
    </w:lvl>
    <w:lvl w:ilvl="1">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2019-12-09T08:28:10Z</dcterms:created>
  <dcterms:modified xsi:type="dcterms:W3CDTF">2019-12-09T08:28:10Z</dcterms:modified>
</cp:coreProperties>
</file>