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2005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333-124541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Limited)</w:t>
      </w:r>
    </w:p>
    <w:tbl>
      <w:tblPr>
        <w:tblLayout w:type="fixed"/>
        <w:tblInd w:w="1900" w:type="dxa"/>
        <w:tblCellMar>
          <w:top w:w="0" w:type="dxa"/>
          <w:left w:w="0" w:type="dxa"/>
          <w:bottom w:w="0" w:type="dxa"/>
          <w:right w:w="0" w:type="dxa"/>
        </w:tblCellMar>
      </w:tblPr>
      <w:tr>
        <w:trPr>
          <w:trHeight w:val="178"/>
        </w:trPr>
        <w:tc>
          <w:tcPr>
            <w:tcW w:w="2120" w:type="dxa"/>
            <w:vAlign w:val="bottom"/>
          </w:tcPr>
          <w:p>
            <w:pPr>
              <w:spacing w:after="0"/>
              <w:rPr>
                <w:sz w:val="15"/>
                <w:szCs w:val="15"/>
                <w:color w:val="auto"/>
              </w:rPr>
            </w:pPr>
          </w:p>
        </w:tc>
        <w:tc>
          <w:tcPr>
            <w:tcW w:w="5200" w:type="dxa"/>
            <w:vAlign w:val="bottom"/>
            <w:gridSpan w:val="3"/>
          </w:tcPr>
          <w:p>
            <w:pPr>
              <w:jc w:val="center"/>
              <w:ind w:right="1752"/>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r>
      <w:tr>
        <w:trPr>
          <w:trHeight w:val="317"/>
        </w:trPr>
        <w:tc>
          <w:tcPr>
            <w:tcW w:w="2120" w:type="dxa"/>
            <w:vAlign w:val="bottom"/>
          </w:tcPr>
          <w:p>
            <w:pPr>
              <w:jc w:val="center"/>
              <w:ind w:right="106"/>
              <w:spacing w:after="0"/>
              <w:rPr>
                <w:sz w:val="20"/>
                <w:szCs w:val="20"/>
                <w:color w:val="auto"/>
              </w:rPr>
            </w:pPr>
            <w:r>
              <w:rPr>
                <w:rFonts w:ascii="Times New Roman" w:cs="Times New Roman" w:eastAsia="Times New Roman" w:hAnsi="Times New Roman"/>
                <w:sz w:val="18"/>
                <w:szCs w:val="18"/>
                <w:b w:val="1"/>
                <w:bCs w:val="1"/>
                <w:color w:val="auto"/>
                <w:w w:val="97"/>
              </w:rPr>
              <w:t>Netherlands Antilles</w:t>
            </w:r>
          </w:p>
        </w:tc>
        <w:tc>
          <w:tcPr>
            <w:tcW w:w="5200" w:type="dxa"/>
            <w:vAlign w:val="bottom"/>
            <w:gridSpan w:val="3"/>
          </w:tcPr>
          <w:p>
            <w:pPr>
              <w:jc w:val="center"/>
              <w:ind w:left="4036"/>
              <w:spacing w:after="0"/>
              <w:rPr>
                <w:sz w:val="20"/>
                <w:szCs w:val="20"/>
                <w:color w:val="auto"/>
              </w:rPr>
            </w:pPr>
            <w:r>
              <w:rPr>
                <w:rFonts w:ascii="Times New Roman" w:cs="Times New Roman" w:eastAsia="Times New Roman" w:hAnsi="Times New Roman"/>
                <w:sz w:val="18"/>
                <w:szCs w:val="18"/>
                <w:b w:val="1"/>
                <w:bCs w:val="1"/>
                <w:color w:val="auto"/>
                <w:w w:val="96"/>
              </w:rPr>
              <w:t>52-0684746</w:t>
            </w:r>
          </w:p>
        </w:tc>
      </w:tr>
      <w:tr>
        <w:trPr>
          <w:trHeight w:val="149"/>
        </w:trPr>
        <w:tc>
          <w:tcPr>
            <w:tcW w:w="212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12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6"/>
              </w:rPr>
              <w:t>of incorporation or organization)</w:t>
            </w:r>
          </w:p>
        </w:tc>
        <w:tc>
          <w:tcPr>
            <w:tcW w:w="7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163"/>
        </w:trPr>
        <w:tc>
          <w:tcPr>
            <w:tcW w:w="2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520" w:type="dxa"/>
            <w:vAlign w:val="bottom"/>
          </w:tcPr>
          <w:p>
            <w:pPr>
              <w:spacing w:after="0"/>
              <w:rPr>
                <w:sz w:val="14"/>
                <w:szCs w:val="14"/>
                <w:color w:val="auto"/>
              </w:rPr>
            </w:pPr>
          </w:p>
        </w:tc>
      </w:tr>
      <w:tr>
        <w:trPr>
          <w:trHeight w:val="369"/>
        </w:trPr>
        <w:tc>
          <w:tcPr>
            <w:tcW w:w="2120" w:type="dxa"/>
            <w:vAlign w:val="bottom"/>
          </w:tcPr>
          <w:p>
            <w:pPr>
              <w:spacing w:after="0"/>
              <w:rPr>
                <w:sz w:val="24"/>
                <w:szCs w:val="24"/>
                <w:color w:val="auto"/>
              </w:rPr>
            </w:pPr>
          </w:p>
        </w:tc>
        <w:tc>
          <w:tcPr>
            <w:tcW w:w="5200" w:type="dxa"/>
            <w:vAlign w:val="bottom"/>
            <w:gridSpan w:val="3"/>
          </w:tcPr>
          <w:p>
            <w:pPr>
              <w:jc w:val="center"/>
              <w:ind w:right="1732"/>
              <w:spacing w:after="0"/>
              <w:rPr>
                <w:sz w:val="20"/>
                <w:szCs w:val="20"/>
                <w:color w:val="auto"/>
              </w:rPr>
            </w:pPr>
            <w:r>
              <w:rPr>
                <w:rFonts w:ascii="Times New Roman" w:cs="Times New Roman" w:eastAsia="Times New Roman" w:hAnsi="Times New Roman"/>
                <w:sz w:val="18"/>
                <w:szCs w:val="18"/>
                <w:b w:val="1"/>
                <w:bCs w:val="1"/>
                <w:color w:val="auto"/>
                <w:w w:val="97"/>
              </w:rPr>
              <w:t>153 East 53rd Street, 57th Floor</w:t>
            </w:r>
          </w:p>
        </w:tc>
      </w:tr>
      <w:tr>
        <w:trPr>
          <w:trHeight w:val="216"/>
        </w:trPr>
        <w:tc>
          <w:tcPr>
            <w:tcW w:w="2120" w:type="dxa"/>
            <w:vAlign w:val="bottom"/>
          </w:tcPr>
          <w:p>
            <w:pPr>
              <w:spacing w:after="0"/>
              <w:rPr>
                <w:sz w:val="18"/>
                <w:szCs w:val="18"/>
                <w:color w:val="auto"/>
              </w:rPr>
            </w:pPr>
          </w:p>
        </w:tc>
        <w:tc>
          <w:tcPr>
            <w:tcW w:w="5200" w:type="dxa"/>
            <w:vAlign w:val="bottom"/>
            <w:gridSpan w:val="3"/>
          </w:tcPr>
          <w:p>
            <w:pPr>
              <w:jc w:val="center"/>
              <w:ind w:right="1732"/>
              <w:spacing w:after="0"/>
              <w:rPr>
                <w:sz w:val="20"/>
                <w:szCs w:val="20"/>
                <w:color w:val="auto"/>
              </w:rPr>
            </w:pPr>
            <w:r>
              <w:rPr>
                <w:rFonts w:ascii="Times New Roman" w:cs="Times New Roman" w:eastAsia="Times New Roman" w:hAnsi="Times New Roman"/>
                <w:sz w:val="18"/>
                <w:szCs w:val="18"/>
                <w:b w:val="1"/>
                <w:bCs w:val="1"/>
                <w:color w:val="auto"/>
                <w:w w:val="96"/>
              </w:rPr>
              <w:t>New York, New York 10022-4624</w:t>
            </w:r>
          </w:p>
        </w:tc>
      </w:tr>
      <w:tr>
        <w:trPr>
          <w:trHeight w:val="230"/>
        </w:trPr>
        <w:tc>
          <w:tcPr>
            <w:tcW w:w="2120" w:type="dxa"/>
            <w:vAlign w:val="bottom"/>
          </w:tcPr>
          <w:p>
            <w:pPr>
              <w:spacing w:after="0"/>
              <w:rPr>
                <w:sz w:val="20"/>
                <w:szCs w:val="20"/>
                <w:color w:val="auto"/>
              </w:rPr>
            </w:pPr>
          </w:p>
        </w:tc>
        <w:tc>
          <w:tcPr>
            <w:tcW w:w="26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(212) 350-9400</w:t>
            </w:r>
          </w:p>
        </w:tc>
        <w:tc>
          <w:tcPr>
            <w:tcW w:w="2520" w:type="dxa"/>
            <w:vAlign w:val="bottom"/>
          </w:tcPr>
          <w:p>
            <w:pPr>
              <w:spacing w:after="0"/>
              <w:rPr>
                <w:sz w:val="20"/>
                <w:szCs w:val="20"/>
                <w:color w:val="auto"/>
              </w:rPr>
            </w:pPr>
          </w:p>
        </w:tc>
      </w:tr>
      <w:tr>
        <w:trPr>
          <w:trHeight w:val="350"/>
        </w:trPr>
        <w:tc>
          <w:tcPr>
            <w:tcW w:w="2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80" w:type="dxa"/>
            <w:vAlign w:val="bottom"/>
            <w:gridSpan w:val="2"/>
          </w:tcPr>
          <w:p>
            <w:pPr>
              <w:jc w:val="center"/>
              <w:ind w:right="2452"/>
              <w:spacing w:after="0"/>
              <w:rPr>
                <w:sz w:val="20"/>
                <w:szCs w:val="20"/>
                <w:color w:val="auto"/>
              </w:rPr>
            </w:pPr>
            <w:r>
              <w:rPr>
                <w:rFonts w:ascii="Times New Roman" w:cs="Times New Roman" w:eastAsia="Times New Roman" w:hAnsi="Times New Roman"/>
                <w:sz w:val="18"/>
                <w:szCs w:val="18"/>
                <w:b w:val="1"/>
                <w:bCs w:val="1"/>
                <w:color w:val="auto"/>
                <w:w w:val="97"/>
              </w:rPr>
              <w:t>42, rue Saint-Dominique</w:t>
            </w:r>
          </w:p>
        </w:tc>
      </w:tr>
      <w:tr>
        <w:trPr>
          <w:trHeight w:val="216"/>
        </w:trPr>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80" w:type="dxa"/>
            <w:vAlign w:val="bottom"/>
            <w:gridSpan w:val="2"/>
          </w:tcPr>
          <w:p>
            <w:pPr>
              <w:jc w:val="center"/>
              <w:ind w:right="2452"/>
              <w:spacing w:after="0"/>
              <w:rPr>
                <w:sz w:val="20"/>
                <w:szCs w:val="20"/>
                <w:color w:val="auto"/>
              </w:rPr>
            </w:pPr>
            <w:r>
              <w:rPr>
                <w:rFonts w:ascii="Times New Roman" w:cs="Times New Roman" w:eastAsia="Times New Roman" w:hAnsi="Times New Roman"/>
                <w:sz w:val="18"/>
                <w:szCs w:val="18"/>
                <w:b w:val="1"/>
                <w:bCs w:val="1"/>
                <w:color w:val="auto"/>
                <w:w w:val="97"/>
              </w:rPr>
              <w:t>Paris, France 75007</w:t>
            </w:r>
          </w:p>
        </w:tc>
      </w:tr>
      <w:tr>
        <w:trPr>
          <w:trHeight w:val="230"/>
        </w:trPr>
        <w:tc>
          <w:tcPr>
            <w:tcW w:w="2120" w:type="dxa"/>
            <w:vAlign w:val="bottom"/>
          </w:tcPr>
          <w:p>
            <w:pPr>
              <w:spacing w:after="0"/>
              <w:rPr>
                <w:sz w:val="20"/>
                <w:szCs w:val="20"/>
                <w:color w:val="auto"/>
              </w:rPr>
            </w:pPr>
          </w:p>
        </w:tc>
        <w:tc>
          <w:tcPr>
            <w:tcW w:w="268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33-1-4062-1000</w:t>
            </w:r>
          </w:p>
        </w:tc>
        <w:tc>
          <w:tcPr>
            <w:tcW w:w="2520" w:type="dxa"/>
            <w:vAlign w:val="bottom"/>
          </w:tcPr>
          <w:p>
            <w:pPr>
              <w:spacing w:after="0"/>
              <w:rPr>
                <w:sz w:val="20"/>
                <w:szCs w:val="20"/>
                <w:color w:val="auto"/>
              </w:rPr>
            </w:pPr>
          </w:p>
        </w:tc>
      </w:tr>
    </w:tbl>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Parkstraat 83, The Hague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Netherlands, 2514 JG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31-70-310-5400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 Summer, Esq.</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153 East 53rd Street, 57th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10022-4624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350-9400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 David Kirkland, Jr.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Baker Botts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Shell Plaza</w:t>
      </w:r>
    </w:p>
    <w:p>
      <w:pPr>
        <w:spacing w:after="0" w:line="9" w:lineRule="exact"/>
        <w:rPr>
          <w:sz w:val="24"/>
          <w:szCs w:val="24"/>
          <w:color w:val="auto"/>
        </w:rPr>
      </w:pPr>
    </w:p>
    <w:p>
      <w:pPr>
        <w:ind w:left="5500" w:hanging="310"/>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Louisiana</w:t>
      </w:r>
    </w:p>
    <w:p>
      <w:pPr>
        <w:spacing w:after="0" w:line="9" w:lineRule="exact"/>
        <w:rPr>
          <w:rFonts w:ascii="Times New Roman" w:cs="Times New Roman" w:eastAsia="Times New Roman" w:hAnsi="Times New Roman"/>
          <w:sz w:val="18"/>
          <w:szCs w:val="18"/>
          <w:b w:val="1"/>
          <w:bCs w:val="1"/>
          <w:color w:val="auto"/>
        </w:rPr>
      </w:pPr>
    </w:p>
    <w:p>
      <w:pPr>
        <w:ind w:left="49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Houston, Texas 77002</w:t>
      </w:r>
    </w:p>
    <w:p>
      <w:pPr>
        <w:spacing w:after="0" w:line="9" w:lineRule="exact"/>
        <w:rPr>
          <w:rFonts w:ascii="Times New Roman" w:cs="Times New Roman" w:eastAsia="Times New Roman" w:hAnsi="Times New Roman"/>
          <w:sz w:val="18"/>
          <w:szCs w:val="18"/>
          <w:b w:val="1"/>
          <w:bCs w:val="1"/>
          <w:color w:val="auto"/>
        </w:rPr>
      </w:pPr>
    </w:p>
    <w:p>
      <w:pPr>
        <w:ind w:left="5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(713) 229-1101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133" w:lineRule="exact"/>
        <w:rPr>
          <w:sz w:val="24"/>
          <w:szCs w:val="24"/>
          <w:color w:val="auto"/>
        </w:rPr>
      </w:pPr>
    </w:p>
    <w:p>
      <w:pPr>
        <w:ind w:left="4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07" w:lineRule="exact"/>
        <w:rPr>
          <w:sz w:val="24"/>
          <w:szCs w:val="24"/>
          <w:color w:val="auto"/>
        </w:rPr>
      </w:pPr>
    </w:p>
    <w:p>
      <w:pPr>
        <w:ind w:right="20" w:firstLine="456"/>
        <w:spacing w:after="0" w:line="232"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18" w:lineRule="exact"/>
        <w:rPr>
          <w:sz w:val="24"/>
          <w:szCs w:val="24"/>
          <w:color w:val="auto"/>
        </w:rPr>
      </w:pPr>
    </w:p>
    <w:p>
      <w:pPr>
        <w:ind w:right="4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7" w:lineRule="exact"/>
        <w:rPr>
          <w:sz w:val="24"/>
          <w:szCs w:val="24"/>
          <w:color w:val="auto"/>
        </w:rPr>
      </w:pPr>
    </w:p>
    <w:p>
      <w:pPr>
        <w:ind w:right="52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0"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5"/>
              </w:rPr>
              <w:t>Title of Each Class of</w:t>
            </w:r>
          </w:p>
        </w:tc>
        <w:tc>
          <w:tcPr>
            <w:tcW w:w="2400" w:type="dxa"/>
            <w:vAlign w:val="bottom"/>
          </w:tcPr>
          <w:p>
            <w:pPr>
              <w:jc w:val="center"/>
              <w:ind w:left="506"/>
              <w:spacing w:after="0"/>
              <w:rPr>
                <w:sz w:val="20"/>
                <w:szCs w:val="20"/>
                <w:color w:val="auto"/>
              </w:rPr>
            </w:pPr>
            <w:r>
              <w:rPr>
                <w:rFonts w:ascii="Times New Roman" w:cs="Times New Roman" w:eastAsia="Times New Roman" w:hAnsi="Times New Roman"/>
                <w:sz w:val="14"/>
                <w:szCs w:val="14"/>
                <w:b w:val="1"/>
                <w:bCs w:val="1"/>
                <w:color w:val="auto"/>
                <w:w w:val="95"/>
              </w:rPr>
              <w:t>Amount to be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 Maximum Offering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Proposed Maximum</w:t>
            </w:r>
          </w:p>
        </w:tc>
        <w:tc>
          <w:tcPr>
            <w:tcW w:w="122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65"/>
        </w:trPr>
        <w:tc>
          <w:tcPr>
            <w:tcW w:w="20" w:type="dxa"/>
            <w:vAlign w:val="bottom"/>
          </w:tcPr>
          <w:p>
            <w:pPr>
              <w:spacing w:after="0"/>
              <w:rPr>
                <w:sz w:val="14"/>
                <w:szCs w:val="14"/>
                <w:color w:val="auto"/>
              </w:rPr>
            </w:pPr>
          </w:p>
        </w:tc>
        <w:tc>
          <w:tcPr>
            <w:tcW w:w="372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2400" w:type="dxa"/>
            <w:vAlign w:val="bottom"/>
            <w:tcBorders>
              <w:bottom w:val="single" w:sz="8" w:color="auto"/>
            </w:tcBorders>
          </w:tcPr>
          <w:p>
            <w:pPr>
              <w:jc w:val="center"/>
              <w:ind w:left="506"/>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Price Per 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Aggregate Offering Price</w:t>
            </w:r>
          </w:p>
        </w:tc>
        <w:tc>
          <w:tcPr>
            <w:tcW w:w="1220" w:type="dxa"/>
            <w:vAlign w:val="bottom"/>
            <w:tcBorders>
              <w:bottom w:val="single" w:sz="8" w:color="auto"/>
            </w:tcBorders>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7"/>
              </w:rPr>
              <w:t>Registration Fee</w:t>
            </w: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400" w:type="dxa"/>
            <w:vAlign w:val="bottom"/>
          </w:tcPr>
          <w:p>
            <w:pPr>
              <w:jc w:val="center"/>
              <w:ind w:left="506"/>
              <w:spacing w:after="0"/>
              <w:rPr>
                <w:sz w:val="20"/>
                <w:szCs w:val="20"/>
                <w:color w:val="auto"/>
              </w:rPr>
            </w:pPr>
            <w:r>
              <w:rPr>
                <w:rFonts w:ascii="Times New Roman" w:cs="Times New Roman" w:eastAsia="Times New Roman" w:hAnsi="Times New Roman"/>
                <w:sz w:val="18"/>
                <w:szCs w:val="18"/>
                <w:color w:val="auto"/>
                <w:w w:val="96"/>
              </w:rPr>
              <w:t>1,540,750 shares(1)</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$67.00(2)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$103,230,250</w:t>
            </w:r>
          </w:p>
        </w:tc>
        <w:tc>
          <w:tcPr>
            <w:tcW w:w="1220" w:type="dxa"/>
            <w:vAlign w:val="bottom"/>
          </w:tcPr>
          <w:p>
            <w:pPr>
              <w:jc w:val="center"/>
              <w:ind w:left="186"/>
              <w:spacing w:after="0"/>
              <w:rPr>
                <w:sz w:val="20"/>
                <w:szCs w:val="20"/>
                <w:color w:val="auto"/>
              </w:rPr>
            </w:pPr>
            <w:r>
              <w:rPr>
                <w:rFonts w:ascii="Times New Roman" w:cs="Times New Roman" w:eastAsia="Times New Roman" w:hAnsi="Times New Roman"/>
                <w:sz w:val="18"/>
                <w:szCs w:val="18"/>
                <w:color w:val="auto"/>
                <w:w w:val="95"/>
              </w:rPr>
              <w:t>$12,151(3)</w:t>
            </w:r>
          </w:p>
        </w:tc>
      </w:tr>
      <w:tr>
        <w:trPr>
          <w:trHeight w:val="119"/>
        </w:trPr>
        <w:tc>
          <w:tcPr>
            <w:tcW w:w="2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38" w:lineRule="exact"/>
        <w:rPr>
          <w:sz w:val="20"/>
          <w:szCs w:val="20"/>
          <w:color w:val="auto"/>
        </w:rPr>
      </w:pPr>
    </w:p>
    <w:p>
      <w:pPr>
        <w:ind w:left="460" w:right="260" w:hanging="452"/>
        <w:spacing w:after="0" w:line="27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we are also registering an indeterminable number of shares of common stock as may be issued in connection with a stock split, stock dividend, recapitalization or similar event.</w:t>
      </w:r>
    </w:p>
    <w:p>
      <w:pPr>
        <w:spacing w:after="0" w:line="25" w:lineRule="exact"/>
        <w:rPr>
          <w:rFonts w:ascii="Times New Roman" w:cs="Times New Roman" w:eastAsia="Times New Roman" w:hAnsi="Times New Roman"/>
          <w:sz w:val="18"/>
          <w:szCs w:val="18"/>
          <w:color w:val="auto"/>
        </w:rPr>
      </w:pPr>
    </w:p>
    <w:p>
      <w:pPr>
        <w:ind w:left="460" w:right="340" w:hanging="452"/>
        <w:spacing w:after="0" w:line="27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under the Securities Act of 1933, on the basis of the average high and low sales prices of the common stock on the New York Stock Exchange on May 12, 2005.</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$3,386 of the registration fee was previously paid with the original filing of this Registration Statement.</w:t>
      </w:r>
    </w:p>
    <w:p>
      <w:pPr>
        <w:spacing w:after="0" w:line="156"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91" w:right="239" w:bottom="1440" w:gutter="0" w:footer="0" w:header="0"/>
        </w:sectPr>
      </w:pPr>
    </w:p>
    <w:bookmarkStart w:id="2" w:name="page3"/>
    <w:bookmarkEnd w:id="2"/>
    <w:p>
      <w:pPr>
        <w:ind w:right="80"/>
        <w:spacing w:after="0" w:line="258" w:lineRule="auto"/>
        <w:rPr>
          <w:sz w:val="20"/>
          <w:szCs w:val="20"/>
          <w:color w:val="auto"/>
        </w:rPr>
      </w:pPr>
      <w:r>
        <w:rPr>
          <w:rFonts w:ascii="Arial" w:cs="Arial" w:eastAsia="Arial" w:hAnsi="Arial"/>
          <w:sz w:val="18"/>
          <w:szCs w:val="18"/>
          <w:b w:val="1"/>
          <w:bCs w:val="1"/>
          <w:color w:val="DE1A1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information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Subject to completion, dated May 13,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32"/>
          <w:szCs w:val="32"/>
          <w:b w:val="1"/>
          <w:bCs w:val="1"/>
          <w:color w:val="auto"/>
        </w:rPr>
        <w:t>1,540,750 Shares</w:t>
      </w:r>
    </w:p>
    <w:p>
      <w:pPr>
        <w:spacing w:after="0" w:line="1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130175</wp:posOffset>
            </wp:positionV>
            <wp:extent cx="126047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1,540,750 shares of our common stock offered by this prospectus were originally issued by us in offshore transactions and in private placements in connection with our acquisition of interests in PetroAlliance Services Company Limited. All of the shares of common stock offered by this prospectus may be sold from time to time by or on behalf the selling stockholders named herein. The shares of common stock covered by this prospectus may be sold at fixed prices, at market prices prevailing at the time of sale, at prices related to such prevailing market prices or at negotiated prices. We will not receive any of the proceeds from the sale of our common stock by the selling stockholders. Please read “Plan of Distribution.”</w:t>
      </w:r>
    </w:p>
    <w:p>
      <w:pPr>
        <w:spacing w:after="0" w:line="12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“SLB.” On May 12, 2005, the closing sale price of our common stock as reported on the New York Stock Exchange was $65.53 per share.</w:t>
      </w:r>
    </w:p>
    <w:p>
      <w:pPr>
        <w:spacing w:after="0" w:line="87" w:lineRule="exact"/>
        <w:rPr>
          <w:sz w:val="20"/>
          <w:szCs w:val="20"/>
          <w:color w:val="auto"/>
        </w:rPr>
      </w:pPr>
    </w:p>
    <w:p>
      <w:pPr>
        <w:ind w:left="58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Investing in our common stock involves risk. Please read “ </w:t>
      </w:r>
      <w:hyperlink w:anchor="page5">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2" w:lineRule="exact"/>
        <w:rPr>
          <w:sz w:val="20"/>
          <w:szCs w:val="20"/>
          <w:color w:val="auto"/>
        </w:rPr>
      </w:pPr>
    </w:p>
    <w:p>
      <w:pPr>
        <w:ind w:right="7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92710</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9" w:lineRule="exact"/>
        <w:rPr>
          <w:sz w:val="20"/>
          <w:szCs w:val="20"/>
          <w:color w:val="auto"/>
        </w:rPr>
      </w:pPr>
    </w:p>
    <w:tbl>
      <w:tblPr>
        <w:tblLayout w:type="fixed"/>
        <w:tblInd w:w="392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2005.</w:t>
            </w:r>
          </w:p>
        </w:tc>
      </w:tr>
    </w:tbl>
    <w:p>
      <w:pPr>
        <w:sectPr>
          <w:pgSz w:w="11900" w:h="16838" w:orient="portrait"/>
          <w:cols w:equalWidth="0" w:num="1">
            <w:col w:w="11380"/>
          </w:cols>
          <w:pgMar w:left="240" w:top="267" w:right="279" w:bottom="1440" w:gutter="0" w:footer="0" w:header="0"/>
        </w:sectPr>
      </w:pPr>
    </w:p>
    <w:bookmarkStart w:id="3" w:name="page4"/>
    <w:bookmarkEnd w:id="3"/>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should rely only on the information we have provided or incorporated by reference in this prospectus. We have not authorized any person to provide you with additional or different information. We are not making an offer of these securities in any jurisdiction where the offer is not permitted.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prospectus may have changed since those dates.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700" w:type="dxa"/>
            <w:vAlign w:val="bottom"/>
            <w:gridSpan w:val="2"/>
          </w:tcPr>
          <w:p>
            <w:pPr>
              <w:jc w:val="right"/>
              <w:ind w:right="469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12"/>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22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SCHLUMBERGER LIMITED</w:t>
              </w:r>
            </w:hyperlink>
          </w:p>
        </w:tc>
        <w:tc>
          <w:tcPr>
            <w:tcW w:w="1520" w:type="dxa"/>
            <w:vAlign w:val="bottom"/>
            <w:gridSpan w:val="3"/>
          </w:tcPr>
          <w:p>
            <w:pPr>
              <w:spacing w:after="0"/>
              <w:rPr>
                <w:sz w:val="24"/>
                <w:szCs w:val="24"/>
                <w:color w:val="auto"/>
              </w:rPr>
            </w:pPr>
          </w:p>
        </w:tc>
        <w:tc>
          <w:tcPr>
            <w:tcW w:w="7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720" w:type="dxa"/>
            <w:vAlign w:val="bottom"/>
            <w:gridSpan w:val="1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RISK FACTORS</w:t>
              </w:r>
            </w:hyperlink>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FORWARD-LOOKING STATEMENTS</w:t>
              </w:r>
            </w:hyperlink>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8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USE OF PROCEEDS</w:t>
              </w:r>
            </w:hyperlink>
          </w:p>
        </w:tc>
        <w:tc>
          <w:tcPr>
            <w:tcW w:w="860" w:type="dxa"/>
            <w:vAlign w:val="bottom"/>
            <w:gridSpan w:val="2"/>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SELLING STOCKHOLDERS</w:t>
              </w:r>
            </w:hyperlink>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1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PLAN OF DISTRIBUTION</w:t>
              </w:r>
            </w:hyperlink>
          </w:p>
        </w:tc>
        <w:tc>
          <w:tcPr>
            <w:tcW w:w="1560" w:type="dxa"/>
            <w:vAlign w:val="bottom"/>
            <w:gridSpan w:val="4"/>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DESCRIPTION OF COMMON STOCK</w:t>
              </w:r>
            </w:hyperlink>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8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LEGAL MATTERS</w:t>
              </w:r>
            </w:hyperlink>
          </w:p>
        </w:tc>
        <w:tc>
          <w:tcPr>
            <w:tcW w:w="840" w:type="dxa"/>
            <w:vAlign w:val="bottom"/>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15">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2"/>
          </w:tcPr>
          <w:p>
            <w:pPr>
              <w:spacing w:after="0"/>
              <w:rPr>
                <w:sz w:val="17"/>
                <w:szCs w:val="17"/>
                <w:color w:val="auto"/>
              </w:rPr>
            </w:pPr>
          </w:p>
        </w:tc>
        <w:tc>
          <w:tcPr>
            <w:tcW w:w="2300" w:type="dxa"/>
            <w:vAlign w:val="bottom"/>
            <w:gridSpan w:val="7"/>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15">
              <w:r>
                <w:rPr>
                  <w:rFonts w:ascii="Times New Roman" w:cs="Times New Roman" w:eastAsia="Times New Roman" w:hAnsi="Times New Roman"/>
                  <w:sz w:val="18"/>
                  <w:szCs w:val="18"/>
                  <w:color w:val="0000EE"/>
                  <w:w w:val="96"/>
                </w:rPr>
                <w:t>WHERE YOU CAN FIND MORE INFORMATION</w:t>
              </w:r>
            </w:hyperlink>
          </w:p>
        </w:tc>
        <w:tc>
          <w:tcPr>
            <w:tcW w:w="7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272"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1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Founded in 1927, we are the world’s leading oilfield services company, supplying technology, project management, and information solutions that optimize performance in the oil and gas industry. As of December 31, 2004, we employed more than 52,000 people of over 140 nationalities operating in more than 80 countries. We have two business segments:</w:t>
      </w:r>
    </w:p>
    <w:p>
      <w:pPr>
        <w:spacing w:after="0" w:line="38" w:lineRule="exact"/>
        <w:rPr>
          <w:sz w:val="20"/>
          <w:szCs w:val="20"/>
          <w:color w:val="auto"/>
        </w:rPr>
      </w:pPr>
    </w:p>
    <w:p>
      <w:pPr>
        <w:ind w:left="900" w:right="140" w:hanging="446"/>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Oilfield Services is the world’s premier oilfield services company supplying a wide range of technology services and solutions to the international oil and gas industry.</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WesternGeco, jointly owned with Baker Hughes, is one of the world’s largest and most advanced surface seismic companies.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are incorporated under the laws of the Netherlands Antilles. The mailing addresses and telephone numbers of our principal executive offices are:</w:t>
      </w:r>
    </w:p>
    <w:p>
      <w:pPr>
        <w:spacing w:after="0" w:line="77"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 East 53rd Street, 57th Floor, New York, New York, 10022-4624, 212-350-9400;</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Rue Saint-Dominique, Paris, France, 75007, 33-1-4062-1000;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Parkstraat 83, The Hague, The Netherlands 2514 JG, 31-70-310-5400.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before making a decision to invest in our securities. If any of the matters included in the following risks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11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revenue.</w:t>
      </w:r>
    </w:p>
    <w:p>
      <w:pPr>
        <w:spacing w:after="0" w:line="2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38"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energy, which is affected by worldwide population growth and general economic and business conditions;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Organization of Petroleum Exporting Countries, or OPEC, to set and maintain production levels for oil;</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production by non-OPEC countries;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socio-political unrest;</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oil exploration and production activity;</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producing and delivering oil and gas;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ectPr>
          <w:pgSz w:w="11900" w:h="16838" w:orient="portrait"/>
          <w:cols w:equalWidth="0" w:num="1">
            <w:col w:w="11400"/>
          </w:cols>
          <w:pgMar w:left="240" w:top="272" w:right="259" w:bottom="1440" w:gutter="0" w:footer="0" w:header="0"/>
        </w:sectPr>
      </w:pPr>
    </w:p>
    <w:bookmarkStart w:id="5" w:name="page6"/>
    <w:bookmarkEnd w:id="5"/>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harm our operating results.</w:t>
      </w:r>
    </w:p>
    <w:p>
      <w:pPr>
        <w:spacing w:after="0" w:line="11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non-United States operations, which exposes us to risks inherent in doing business in each of the more than 80 countries in which we operate.</w:t>
      </w:r>
    </w:p>
    <w:p>
      <w:pPr>
        <w:spacing w:after="0" w:line="2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non-US operations accounted for approximately 68% of our consolidated revenues in 2004 and 70% of our consolidated revenues in 2003. Operations in countries other than the United States are subject to various risks, including:</w:t>
      </w:r>
    </w:p>
    <w:p>
      <w:pPr>
        <w:spacing w:after="0" w:line="25"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unsettled political and economic conditions in certain areas;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possible expropriation or other governmental actions;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deprivation of contract rights;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or embargoes imposed by the United States or other countries;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devaluations.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occurrence of any of the risks described above could reduce our earnings and our cash available for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 costs and liabilities could reduce our earnings and cash available for operations.</w:t>
      </w:r>
    </w:p>
    <w:p>
      <w:pPr>
        <w:spacing w:after="0" w:line="7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26" w:lineRule="exact"/>
        <w:rPr>
          <w:sz w:val="20"/>
          <w:szCs w:val="20"/>
          <w:color w:val="auto"/>
        </w:rPr>
      </w:pPr>
    </w:p>
    <w:p>
      <w:pPr>
        <w:jc w:val="both"/>
        <w:ind w:right="100" w:firstLine="456"/>
        <w:spacing w:after="0" w:line="296" w:lineRule="auto"/>
        <w:rPr>
          <w:sz w:val="20"/>
          <w:szCs w:val="20"/>
          <w:color w:val="auto"/>
        </w:rPr>
      </w:pPr>
      <w:r>
        <w:rPr>
          <w:rFonts w:ascii="Times New Roman" w:cs="Times New Roman" w:eastAsia="Times New Roman" w:hAnsi="Times New Roman"/>
          <w:sz w:val="16"/>
          <w:szCs w:val="16"/>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could be subject to substantial liability claims, which would adversely affect our results and financial condition.</w:t>
      </w:r>
    </w:p>
    <w:p>
      <w:pPr>
        <w:spacing w:after="0" w:line="7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Many of our oilfield products, such as directional drilling equipment, perforating systems, subsea completion equipment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126"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b w:val="1"/>
          <w:bCs w:val="1"/>
          <w:color w:val="auto"/>
        </w:rPr>
        <w:t>Limitations on our ability to protect our intellectual property rights, including our trade secrets, could cause a loss in revenue and any competitive advantage we hold.</w:t>
      </w:r>
    </w:p>
    <w:p>
      <w:pPr>
        <w:spacing w:after="0" w:line="2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Some of our products or services, and the processes we use to produce or provide them, have been granted U.S.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litigation if another party claims that we have infringed upon its intellectual property rights.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revenue. Additionally, developing non-infringing technologies would increase our costs.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6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(the “Securities Act”) and Section 21E of the Securities Exchange Act of 1934 (the “Exchange Act”). Forward-looking statements include the information concerning our possible or assumed future results of operations, including statements about the following subjects:</w:t>
      </w:r>
    </w:p>
    <w:p>
      <w:pPr>
        <w:spacing w:after="0" w:line="42"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market outlook;</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as a whole and growth for each of Oilfield Services and WesternGeco;</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customers’ business strategies;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demand and production growth;</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capital expenditures by us and the oil and gas industry;</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depreciation and amortization expense;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of pension plans and related pension expense;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contract awards and performance of contracts;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proceedings;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results of operations and/or financial position;</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effective tax rates;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w:t>
      </w:r>
    </w:p>
    <w:p>
      <w:pPr>
        <w:spacing w:after="0" w:line="185"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Forward-looking statements in this prospectus or in the documents incorporated by reference in this prospectus are generally identifiable by use of the following words and other similar expressions, among others:</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“anticipate”;</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“estimate”;</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“project”;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“believe”;</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“might”;</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“shall”;</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“budget”;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“forecast”;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“should”; and</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“could”;</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“intend”;</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“predict”;</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w:t>
            </w:r>
          </w:p>
        </w:tc>
      </w:tr>
    </w:tbl>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Assumptions, beliefs, expectations, intentions and projections about future events may and often do vary materially from actual results. Therefore, actual results may differ materially from those expressed or implied by our forward-looking statements. Some of the factors that could cause actual results to differ from those expressed or implied by our forward-looking statements are described in the “Risk Factors” section of this prospectus, in the “Management’s Discussion and Analysis of Financial Condition and Results of Operations” and “Business” sections of our Annual Report on Form 10-K for the fiscal year ended December 31, 2004, and in our subsequent filings with the Securities and Exchange Commission (“SEC”).</w:t>
      </w:r>
    </w:p>
    <w:p>
      <w:pPr>
        <w:spacing w:after="0" w:line="12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2" w:right="279" w:bottom="1440" w:gutter="0" w:footer="0" w:header="0"/>
        </w:sectPr>
      </w:pPr>
    </w:p>
    <w:bookmarkStart w:id="8" w:name="page9"/>
    <w:bookmarkEnd w:id="8"/>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shares of common stock by the selling stockholders.</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0"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following table sets forth the total number of shares of our common stock held by each selling stockholder as of the date of this prospectus and the number of shares of our common stock of each selling stockholder offered by this prospectus. No estimate can be given as to the number of shares of our common stock that each selling stockholder will own after the sale of any shares under this prospectus, because the selling stockholders may offer all, some or none of their respective shares. No selling stockholder named in the table below owns or will own more than 1% of our outstanding common stock before or after the offering.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0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Number of Shares of</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Common Stock</w:t>
            </w:r>
          </w:p>
        </w:tc>
        <w:tc>
          <w:tcPr>
            <w:tcW w:w="0" w:type="dxa"/>
            <w:vAlign w:val="bottom"/>
          </w:tcPr>
          <w:p>
            <w:pPr>
              <w:spacing w:after="0"/>
              <w:rPr>
                <w:sz w:val="1"/>
                <w:szCs w:val="1"/>
                <w:color w:val="auto"/>
              </w:rPr>
            </w:pPr>
          </w:p>
        </w:tc>
      </w:tr>
      <w:tr>
        <w:trPr>
          <w:trHeight w:val="178"/>
        </w:trPr>
        <w:tc>
          <w:tcPr>
            <w:tcW w:w="8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Beneficially Owned(1)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 be Offered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Janak Kumar Basnet</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15,722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 Bird</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7,861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Majoram Limited</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393,049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Alexander Yulievich Djaparidze</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235,829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Efraim Dory</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7,861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Alexander V. Gavura</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2,374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Hansen</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31,443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Thompson</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1,556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Igor N. Kerysov</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3,153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Vassili Kyvelidi</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31,443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Vladimir V. Metlin</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3,153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Andrei Niziev</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138,345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PetroAlliance Directors, Officers and Employees Benefits Plan Limited</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45,119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PetroAlliance Stock Incentive Plan Limited</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177,651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The Rice Family Living Trust</w:t>
            </w:r>
            <w:r>
              <w:rPr>
                <w:rFonts w:ascii="Times New Roman" w:cs="Times New Roman" w:eastAsia="Times New Roman" w:hAnsi="Times New Roman"/>
                <w:sz w:val="22"/>
                <w:szCs w:val="22"/>
                <w:color w:val="auto"/>
                <w:vertAlign w:val="superscript"/>
              </w:rPr>
              <w:t>(2)</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27,225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A. Russell</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78,610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Murat Sampiev</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106,901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Isa Sharaputtinovich Shabanov</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15,722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Sizov</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138,345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Vladimir Stenin</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28,292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A. Vaigel</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15,722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Vadim E. Usakovsky</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35,374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1,540,750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hanging="452"/>
        <w:spacing w:after="0" w:line="25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Shares of common stock subject to securities exercisable or convertible into shares of common stock that are currently exercisable or exercisable within 60 days of May 13, 2005,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stockholders, and we have not independently verified this information.</w:t>
      </w:r>
    </w:p>
    <w:p>
      <w:pPr>
        <w:spacing w:after="0" w:line="44" w:lineRule="exact"/>
        <w:rPr>
          <w:rFonts w:ascii="Times New Roman" w:cs="Times New Roman" w:eastAsia="Times New Roman" w:hAnsi="Times New Roman"/>
          <w:sz w:val="18"/>
          <w:szCs w:val="18"/>
          <w:color w:val="auto"/>
        </w:rPr>
      </w:pPr>
    </w:p>
    <w:p>
      <w:pPr>
        <w:ind w:left="460" w:right="220" w:hanging="452"/>
        <w:spacing w:after="0" w:line="27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Rice and Karen Rice serve as trustees of The Rice Family Living Trust and they share investment and voting power with respect to the shares of our common stock beneficially owned by The Rice Family Living Trust.</w:t>
      </w:r>
    </w:p>
    <w:p>
      <w:pPr>
        <w:spacing w:after="0" w:line="106"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Each of the selling stockholders is a current or former security holder of PetroAlliance Services Company Limited immediately prior to our acquisition of interests in PetroAlliance Services Company Limited. 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8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Except as set forth above, none of the selling stockholders has, or within the past three years has had, any position, office or other material relationship with us or, insofar as we are aware, any of our predecessors or affiliates.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OF DISTRIBUTION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by Selling Stockholders</w:t>
      </w:r>
    </w:p>
    <w:p>
      <w:pPr>
        <w:spacing w:after="0" w:line="81"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We are registering the shares of common stock on behalf of the selling stockholders pursuant to the terms of a registration rights agreement entered into in connection with our acquisition of interests in PetroAlliance Services Company Limited. A copy of the registration rights agreement has been filed as an exhibit to the registration statement of which this prospectus is a part.</w:t>
      </w:r>
    </w:p>
    <w:p>
      <w:pPr>
        <w:spacing w:after="0" w:line="11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Any or all of the selling stockholders may offer the shares of common stock from time to time, either in increments or in a single transaction. The selling stockholders may also decide not to sell all the shares of common stock they are allowed to sell under this prospectus. The selling stockholders will act independently of us in making decisions with respect to the timing, manner and size of each sale.</w:t>
      </w:r>
    </w:p>
    <w:p>
      <w:pPr>
        <w:spacing w:after="0" w:line="11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Sale Transactions</w:t>
      </w:r>
    </w:p>
    <w:p>
      <w:pPr>
        <w:spacing w:after="0" w:line="8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selling stockholders may sell the shares of common stock offered by this prospectus at market prices prevailing at the time of sale, at prices related to such prevailing market prices, at negotiated prices or at fixed prices that may be changed. Sales of shares of our common stock by the selling stockholders may occur from time to time in one or more of the following types of transactions (which may involve crosses or block transactions):</w:t>
      </w:r>
    </w:p>
    <w:p>
      <w:pPr>
        <w:spacing w:after="0" w:line="38"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New York Stock Exchange or any other securities exchange that quotes the common stock;</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 than on those exchanges or in the over-the-counter market (including negotiated transactions and other private transactions);</w:t>
      </w:r>
    </w:p>
    <w:p>
      <w:pPr>
        <w:spacing w:after="0" w:line="103" w:lineRule="exact"/>
        <w:rPr>
          <w:rFonts w:ascii="Times New Roman" w:cs="Times New Roman" w:eastAsia="Times New Roman" w:hAnsi="Times New Roman"/>
          <w:sz w:val="18"/>
          <w:szCs w:val="18"/>
          <w:color w:val="auto"/>
        </w:rPr>
      </w:pPr>
    </w:p>
    <w:p>
      <w:pPr>
        <w:ind w:left="900" w:right="38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(sales of shares completed by delivery of borrowed stock) of the common stock, in transactions to cover short sales or otherwise in connection with short sales;</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 or on foreclosure of a pledge;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options, including the writing of exchange-traded call options, or other hedging transactions related to the common stock; or</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combination of any of the above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Selling stockholders may enter into hedging transactions from time to time in which a selling stockholder may:</w:t>
      </w:r>
    </w:p>
    <w:p>
      <w:pPr>
        <w:spacing w:after="0" w:line="77" w:lineRule="exact"/>
        <w:rPr>
          <w:sz w:val="20"/>
          <w:szCs w:val="20"/>
          <w:color w:val="auto"/>
        </w:rPr>
      </w:pPr>
    </w:p>
    <w:p>
      <w:pPr>
        <w:ind w:left="900" w:hanging="446"/>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 broker-dealer or any other person in connection with which such broker-dealer or other person will engage in short sales of common stock, in which case such broker-dealer or other person may use shares of common stock received from the selling stockholder to close out its short positions;</w:t>
      </w:r>
    </w:p>
    <w:p>
      <w:pPr>
        <w:spacing w:after="0" w:line="37"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common stock short itself and redeliver shares offered by this prospectus to close out its short positions or to close out stock loans incurred in connection with its short positions;</w:t>
      </w:r>
    </w:p>
    <w:p>
      <w:pPr>
        <w:spacing w:after="0" w:line="25"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the selling stockholder to deliver common stock to a broker-dealer or any other person, who will then resell or transfer the common stock under this prospectus; 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2" w:right="239" w:bottom="1440" w:gutter="0" w:footer="0" w:header="0"/>
        </w:sectPr>
      </w:pPr>
    </w:p>
    <w:bookmarkStart w:id="10" w:name="page11"/>
    <w:bookmarkEnd w:id="10"/>
    <w:p>
      <w:pPr>
        <w:ind w:left="900" w:right="340" w:hanging="446"/>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or pledge the common stock to a broker-dealer or any other person, who may sell the loaned shares or, in an event of default in the case of a pledge, sell the pledged shares under this prospectus.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Selling stockholders may use broker-dealers or other persons to sell their shares in transactions that may include one or more of the following:</w:t>
      </w:r>
    </w:p>
    <w:p>
      <w:pPr>
        <w:spacing w:after="0" w:line="77"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a broker-dealer or other person may resell a portion of the block, as principal or agent, in order to facilitate the transaction;</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or other person, as principal, and resale by the broker-dealer or other person for its account; or</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purchasers.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Resales by selling stockholders may be made directly to investors or through securities firms acting as underwriters, brokers or dealers. When resales are to be made through a securities firm, the securities firm may be engaged to act as the selling stockholder’s agent in the resale of the shares of common stock by the selling stockholder, or the securities firm may purchase shares of our common stock from the selling security holder as principal and thereafter resell those shares from time to time. The fees earned by or paid to the securities firm may be the normal stock exchange commission or negotiated commissions or underwriting discounts to the extent permissible. The securities firm may resell the securities through other securities dealers, and commissions or concessions to those other dealers may be allowed.</w:t>
      </w:r>
    </w:p>
    <w:p>
      <w:pPr>
        <w:spacing w:after="0" w:line="126"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selling stockholders and any agent, broker or dealer that participates in sales of common stock offered by this prospectus may be deemed “underwriters” under the Securities Act, and any commissions or other consideration received by any agent, broker or dealer may be considered underwriting discounts or commissions under the Securities Act.</w:t>
      </w:r>
    </w:p>
    <w:p>
      <w:pPr>
        <w:spacing w:after="0" w:line="119"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Instead of selling shares of common stock under this prospectus, the selling stockholders may sell shares of common stock in compliance with the provisions of Rule 144 under the Securities Act, if available.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M</w:t>
      </w:r>
    </w:p>
    <w:p>
      <w:pPr>
        <w:spacing w:after="0" w:line="8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We have informed the selling stockholders that the anti-manipulation provisions of Regulation M under the Exchange Act may apply to their sales of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Delivery Requirements</w:t>
      </w:r>
    </w:p>
    <w:p>
      <w:pPr>
        <w:spacing w:after="0" w:line="8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Because a selling stockholder may be deemed an underwriter, the selling stockholders must deliver this prospectus and any supplements to this prospectus in the manner required by the Securities Act. This might include delivery through the facilities of the New York Stock Exchange in accordance with Rule 153 under the Securities Act.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Supplements; Post-Effective Amendments</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stockholders and any broker-dealer or agent regarding the sale of common stock by the selling stockholders. To the extent required, the shares of common stock to be sold, the name of the selling stockholders, the respective purchase prices and public offering prices, the names of any agent, dealer or underwriter, and any applicable commissions or discounts with respect to a particular offer will be set forth in an accompanying prospectus supplement filed with the SEC under Rule 424(b) under the Securities Act or, if appropriate, a post-effective amendment to the shelf registration statement of which this prospectus is a part.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p>
    <w:p>
      <w:pPr>
        <w:spacing w:after="0" w:line="8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agreed to indemnify selling stockholders against certain liabilities arising under the Securities Act from sales of common stock. The selling stockholders may agree to indemnify any agent, broker or dealer that participates in sales of common stock against liabilities arising under the Securities Act from sales of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Registration Statement</w:t>
      </w:r>
    </w:p>
    <w:p>
      <w:pPr>
        <w:spacing w:after="0" w:line="81"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Under the registration rights agreement, we will use our commercially reasonable efforts to keep the registration statement of which this prospectus is a part effective until the earlier of (1) the sale of all of the registrable securities registered under the registration statement; and (2) two years after the date of the second closing at which we acquired interests in PetroAlliance Services Company Limited.</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are permitted to suspend the use of this prospectus for a period not to exceed 90 consecutive days and an aggregate of 150 days during any calendar year if the use of this prospectus would be significantly disadvantageous to us or our stockholders for any reason, including the existence, or in anticipation, of any acquisition, divestiture or financing activity involving us or the unavailability of any required financial statements, or any disclosure that would be required to be made or any other event or condition of similar significance to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this Offering</w:t>
      </w:r>
    </w:p>
    <w:p>
      <w:pPr>
        <w:spacing w:after="0" w:line="81" w:lineRule="exact"/>
        <w:rPr>
          <w:sz w:val="20"/>
          <w:szCs w:val="20"/>
          <w:color w:val="auto"/>
        </w:rPr>
      </w:pPr>
    </w:p>
    <w:p>
      <w:pPr>
        <w:jc w:val="both"/>
        <w:ind w:right="580" w:firstLine="456"/>
        <w:spacing w:after="0" w:line="262" w:lineRule="auto"/>
        <w:rPr>
          <w:sz w:val="20"/>
          <w:szCs w:val="20"/>
          <w:color w:val="auto"/>
        </w:rPr>
      </w:pPr>
      <w:r>
        <w:rPr>
          <w:rFonts w:ascii="Times New Roman" w:cs="Times New Roman" w:eastAsia="Times New Roman" w:hAnsi="Times New Roman"/>
          <w:sz w:val="18"/>
          <w:szCs w:val="18"/>
          <w:color w:val="auto"/>
        </w:rPr>
        <w:t>We have agreed, among other things, to pay all expenses in connection with the registration and sale of the shares of common stock covered by this prospectus, other than underwriting fees, discounts, selling commissions and stock transfer taxes applicable to the sale of our common stock by the selling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6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summarizes the material terms of our capital stock. Reference is made to our articles of incorporation and our by-laws, each as amended to date. Please read “Where You Can Find More Information” for information on how to obtain a copy of our articles of incorporation or by-laws.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Issued and Treasury Shares</w:t>
      </w:r>
    </w:p>
    <w:p>
      <w:pPr>
        <w:spacing w:after="0" w:line="8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may issue an aggregate of 1,500,000,000 shares of common stock, par value $0.01 per share. As of March 31, 2005, 667,106,015 shares were issued, of which 589,174,503 shares were outstanding and 77,931,512 shares were held by us as treasury stock.</w:t>
      </w:r>
    </w:p>
    <w:p>
      <w:pPr>
        <w:spacing w:after="0" w:line="10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may also issue an aggregate of 200,000,000 shares of preferred stock, par value $0.01 per share, which may be issued in one or more separate series. Under the articles of incorporation, our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All outstanding shares of our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2" w:name="page13"/>
    <w:bookmarkEnd w:id="12"/>
    <w:p>
      <w:pPr>
        <w:ind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time of distribution, our “equity” (i.e., our net asset value) at least equals the nominal capital (i.e., the aggregate par value of our outstanding shares) and as a result of the distribution will not fall below the nominal capital.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Entitlement to Vote</w:t>
      </w:r>
    </w:p>
    <w:p>
      <w:pPr>
        <w:spacing w:after="0" w:line="7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Each holder of shares of common stock and each holder of preferred shares (if issued and outstanding) is entitled to one vote for each share registered in that holder’s name. Voting rights may be exercised in person or by proxy.</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79" w:lineRule="exact"/>
        <w:rPr>
          <w:sz w:val="20"/>
          <w:szCs w:val="20"/>
          <w:color w:val="auto"/>
        </w:rPr>
      </w:pPr>
    </w:p>
    <w:p>
      <w:pPr>
        <w:ind w:right="140" w:firstLine="456"/>
        <w:spacing w:after="0" w:line="293" w:lineRule="auto"/>
        <w:rPr>
          <w:sz w:val="20"/>
          <w:szCs w:val="20"/>
          <w:color w:val="auto"/>
        </w:rPr>
      </w:pPr>
      <w:r>
        <w:rPr>
          <w:rFonts w:ascii="Times New Roman" w:cs="Times New Roman" w:eastAsia="Times New Roman" w:hAnsi="Times New Roman"/>
          <w:sz w:val="16"/>
          <w:szCs w:val="16"/>
          <w:color w:val="auto"/>
        </w:rPr>
        <w:t>No action may be taken at any general meeting of stockholders unless a quorum consisting of the holders of at least one-half of the outstanding shares entitling the holders thereof to vote at such meeting are present at such meeting in person or by proxy. If a quorum is not present in person or by proxy at any general meeting of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us or the amendment of our articles of incorporation), valid resolutions may be adopted with respect to any matter stated in the notice of the original meeting and also in the notice of the second meeting or which by law is required to be brought before the stockholders despite the absence of a quorum.</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7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In general, any action requiring the approval of the stockholders may be authorized by a majority of the votes cast (excluding any abstentions) at any meeting at which a quorum is present (subject to the quorum exception described above).</w:t>
      </w:r>
    </w:p>
    <w:p>
      <w:pPr>
        <w:spacing w:after="0" w:line="1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1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sale or disposition of all or substantially all of our assets must be approved by the holders of at least a majority of the shares outstanding and entitled to vote, except that under the articles of incorporation this requirement does not apply to a reorganization or rearrangement of us or any of our subsidiaries or any of our assets in any transaction that does not result in any diminution of the beneficial interest of the stockholders in our assets.</w:t>
      </w:r>
    </w:p>
    <w:p>
      <w:pPr>
        <w:spacing w:after="0" w:line="11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Under the articles of incorporation, the board of directors may move our corporate seat to, or convert us into a legal entity under the laws of, another jurisdiction, and may change our corporate domicile from the Netherlands Antilles to another jurisdiction to the extent allowed by applicable law. In certain cases, stockholder approval of such action may not be required under applicable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and Other Rights</w:t>
      </w:r>
    </w:p>
    <w:p>
      <w:pPr>
        <w:spacing w:after="0" w:line="8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shares of our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8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may for our own account purchase shares of common stock so long as one share of common stock remains outstanding and our equity before and after such a purchase at least equals our nominal capital.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and Removal of Directors</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stockholders. The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8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accordance with applicable law, all general meetings of stockholders must be held in the Netherlands Antilles. The annual general meeting of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stockholders may be called at any time upon the direction of the chairman, the vice chairman, the chief executive officer, the president or the board of directors. Special general meetings of stockholders may also be called by one or more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8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Under Netherlands Antilles law, stockholders may not act by written consent without a meeting, unless all stockholders entitled to vote on the matter have cast a vote.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Buy-Out</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articles of incorporation, any one person, or any two or more legal entities belonging to the same group, holding shares representing at least 90% of our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event of liquidation, each share of common stock is entitled to equal rights after satisfaction of any preferred stock liquidation preference.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Transfer Agents and Registrars</w:t>
      </w:r>
    </w:p>
    <w:p>
      <w:pPr>
        <w:spacing w:after="0" w:line="8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Our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10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validity of the common stock will be passed upon for us by Ellen Summer, Esq., our General Counsel.</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EXPERTS</w:t>
      </w:r>
    </w:p>
    <w:p>
      <w:pPr>
        <w:spacing w:after="0" w:line="16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jc w:val="both"/>
        <w:ind w:right="140" w:firstLine="456"/>
        <w:spacing w:after="0" w:line="301" w:lineRule="auto"/>
        <w:rPr>
          <w:sz w:val="20"/>
          <w:szCs w:val="20"/>
          <w:color w:val="auto"/>
        </w:rPr>
      </w:pPr>
      <w:r>
        <w:rPr>
          <w:rFonts w:ascii="Times New Roman" w:cs="Times New Roman" w:eastAsia="Times New Roman" w:hAnsi="Times New Roman"/>
          <w:sz w:val="16"/>
          <w:szCs w:val="16"/>
          <w:color w:val="auto"/>
        </w:rPr>
        <w:t>We file annual, quarterly and current reports, proxy statements and other information with the SEC. Our SEC filings are available over the Internet at our website at www.slb.com and at the SEC’s website at www.sec.gov. You may also read and copy any document we file at the SEC’s public reference room at 450 Fifth Street N.W.,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90"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relating to the common stock.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and any future filings we make with the SEC pursuant to Sections 13(a), 13(c), 14 and 15(d) of the Exchange Act after the date of this prospectus and until this offering is completed (other than information in such documents that is deemed not to be filed) and any filings we make with the SEC pursuant to Sections 13(a), 13(c), 14 and 15(d) of the Exchange Act after the date of the initial registration statement and prior to the effectiveness of the registration statement:</w:t>
      </w:r>
    </w:p>
    <w:p>
      <w:pPr>
        <w:spacing w:after="0" w:line="45"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2004;</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2005;</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April 1, 2005, April 19, 2005 and April 22, 2005;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current report on Form 8-K filed with the SEC on April 29, 2005.</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 East 53rd Street, 57th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10022-4624</w:t>
      </w:r>
    </w:p>
    <w:p>
      <w:pPr>
        <w:spacing w:after="0" w:line="9" w:lineRule="exact"/>
        <w:rPr>
          <w:sz w:val="20"/>
          <w:szCs w:val="20"/>
          <w:color w:val="auto"/>
        </w:rPr>
      </w:pPr>
    </w:p>
    <w:p>
      <w:pPr>
        <w:ind w:left="5580" w:hanging="415"/>
        <w:spacing w:after="0"/>
        <w:tabs>
          <w:tab w:leader="none" w:pos="5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350-9400</w:t>
      </w:r>
    </w:p>
    <w:p>
      <w:pPr>
        <w:spacing w:after="0" w:line="9" w:lineRule="exact"/>
        <w:rPr>
          <w:rFonts w:ascii="Times New Roman" w:cs="Times New Roman" w:eastAsia="Times New Roman" w:hAnsi="Times New Roman"/>
          <w:sz w:val="18"/>
          <w:szCs w:val="18"/>
          <w:color w:val="auto"/>
        </w:rPr>
      </w:pPr>
    </w:p>
    <w:p>
      <w:pPr>
        <w:ind w:left="4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2" w:right="239" w:bottom="1440" w:gutter="0" w:footer="0" w:header="0"/>
        </w:sectPr>
      </w:pPr>
    </w:p>
    <w:bookmarkStart w:id="15" w:name="page16"/>
    <w:bookmarkEnd w:id="15"/>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4" w:right="259" w:bottom="1440" w:gutter="0" w:footer="0" w:header="0"/>
        </w:sectPr>
      </w:pPr>
    </w:p>
    <w:bookmarkStart w:id="16" w:name="page17"/>
    <w:bookmarkEnd w:id="16"/>
    <w:p>
      <w:pPr>
        <w:ind w:left="5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Other Expenses of Issuance and Distribution</w:t>
      </w:r>
    </w:p>
    <w:p>
      <w:pPr>
        <w:spacing w:after="0" w:line="8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estimated expenses payable by Schlumberger Limited (the “Registrant”) in connection with the issuance and distribution of the securities being registered. All amounts shown are estimates, except the registration fee.</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-27305</wp:posOffset>
            </wp:positionV>
            <wp:extent cx="4330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1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Indemnification of Directors and Officers</w:t>
      </w:r>
    </w:p>
    <w:p>
      <w:pPr>
        <w:spacing w:after="0" w:line="8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26"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To the fullest extent permitted by applicable law, the Registrant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or officer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of Control” means a change in control of the Registrant, which shall be deemed to have occurred if at any time (i) 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Registrant’s stockholders was approved by a vote of at least two-thirds of the directors then still in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272"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 who were directors at the beginning of such period) cease for any reason to constitute at least a majority of the Board of Directors.</w:t>
      </w:r>
    </w:p>
    <w:p>
      <w:pPr>
        <w:spacing w:after="0" w:line="158"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3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Any indemnification under the first two paragraphs in this item (unless ordered by a court) may be extended to current or former employees or agents of the Registrant only as authorized by the Chief Executive Officer or by contract approved, or by-laws, resolution or other action adopted or taken, by the board of directors or by the stockholders.</w:t>
      </w:r>
    </w:p>
    <w:p>
      <w:pPr>
        <w:spacing w:after="0" w:line="119"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84"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Registrant may pay such expenses (including attorneys’ fees) incurred by former officers or other employees and agents upon such terms and conditions, if any, it deems appropriate.</w:t>
      </w:r>
    </w:p>
    <w:p>
      <w:pPr>
        <w:spacing w:after="0" w:line="106"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12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274" w:right="259" w:bottom="1440" w:gutter="0" w:footer="0" w:header="0"/>
        </w:sectPr>
      </w:pPr>
    </w:p>
    <w:bookmarkStart w:id="18" w:name="page19"/>
    <w:bookmarkEnd w:id="18"/>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25"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A member of the Board of Directors, or a member of any committee designated by the Board of Directors, shall,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9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In addition, the Registrant maintains directors’ and officers’ liability insurance which insures against certain liabilities that the officers and directors of the Registrant may incur in such capacities.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20"/>
          </w:cols>
          <w:pgMar w:left="240" w:top="274" w:right="239" w:bottom="1440" w:gutter="0" w:footer="0" w:header="0"/>
        </w:sectPr>
      </w:pPr>
    </w:p>
    <w:bookmarkStart w:id="19" w:name="page20"/>
    <w:bookmarkEnd w:id="19"/>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16.</w:t>
      </w:r>
      <w:r>
        <w:rPr>
          <w:sz w:val="20"/>
          <w:szCs w:val="20"/>
          <w:color w:val="auto"/>
        </w:rPr>
        <w:tab/>
      </w:r>
      <w:r>
        <w:rPr>
          <w:rFonts w:ascii="Times New Roman" w:cs="Times New Roman" w:eastAsia="Times New Roman" w:hAnsi="Times New Roman"/>
          <w:sz w:val="16"/>
          <w:szCs w:val="16"/>
          <w:b w:val="1"/>
          <w:bCs w:val="1"/>
          <w:i w:val="1"/>
          <w:iCs w:val="1"/>
          <w:color w:val="auto"/>
        </w:rPr>
        <w:t>Exhibits</w:t>
      </w:r>
    </w:p>
    <w:p>
      <w:pPr>
        <w:spacing w:after="0" w:line="159"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964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8" w:lineRule="exact"/>
        <w:rPr>
          <w:sz w:val="20"/>
          <w:szCs w:val="20"/>
          <w:color w:val="auto"/>
        </w:rPr>
      </w:pPr>
    </w:p>
    <w:p>
      <w:pPr>
        <w:ind w:left="1420" w:hanging="846"/>
        <w:spacing w:after="0" w:line="262" w:lineRule="auto"/>
        <w:tabs>
          <w:tab w:leader="none" w:pos="14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Articles of Incorporation of Schlumberger N.V. (Schlumberger Limited) as last amended and restated on April 13, 2005 (incorporated by reference to Appendix 1 to Schlumberger’s definitive proxy statement for the 2005 Annual General Meeting of Stockholders held on April 13, 2005).</w:t>
      </w:r>
    </w:p>
    <w:p>
      <w:pPr>
        <w:spacing w:after="0" w:line="78" w:lineRule="exact"/>
        <w:rPr>
          <w:sz w:val="20"/>
          <w:szCs w:val="20"/>
          <w:color w:val="auto"/>
        </w:rPr>
      </w:pPr>
    </w:p>
    <w:p>
      <w:pPr>
        <w:ind w:left="1420" w:right="140" w:hanging="846"/>
        <w:spacing w:after="0" w:line="275" w:lineRule="auto"/>
        <w:tabs>
          <w:tab w:leader="none" w:pos="14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Amended and Restated Bylaws of Schlumberger N.V. (Schlumberger Limited) as last amended on April 21, 2005 (incorporated by reference to Exhibit 3.1 to Schlumberger’s Form 8-K filed on April 22, 2005).</w:t>
      </w:r>
    </w:p>
    <w:p>
      <w:pPr>
        <w:spacing w:after="0" w:line="66" w:lineRule="exact"/>
        <w:rPr>
          <w:sz w:val="20"/>
          <w:szCs w:val="20"/>
          <w:color w:val="auto"/>
        </w:rPr>
      </w:pPr>
    </w:p>
    <w:p>
      <w:pPr>
        <w:ind w:left="480"/>
        <w:spacing w:after="0"/>
        <w:tabs>
          <w:tab w:leader="none" w:pos="14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Registration Rights Agreement, dated as of May 27, 2004, by and between Schlumberger and the other parties thereto.</w:t>
      </w:r>
    </w:p>
    <w:p>
      <w:pPr>
        <w:spacing w:after="0" w:line="11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Ellen Summer, Esq. regarding the legality of the securities being offered.</w:t>
      </w:r>
    </w:p>
    <w:p>
      <w:pPr>
        <w:spacing w:after="0" w:line="117"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PricewaterhouseCoopers LLP.</w:t>
      </w:r>
    </w:p>
    <w:p>
      <w:pPr>
        <w:spacing w:after="0" w:line="117"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Ellen Summer, Esq. (included in Exhibit 5.1).</w:t>
      </w:r>
    </w:p>
    <w:p>
      <w:pPr>
        <w:spacing w:after="0" w:line="117" w:lineRule="exact"/>
        <w:rPr>
          <w:sz w:val="20"/>
          <w:szCs w:val="20"/>
          <w:color w:val="auto"/>
        </w:rPr>
      </w:pPr>
    </w:p>
    <w:p>
      <w:pPr>
        <w:ind w:left="380"/>
        <w:spacing w:after="0"/>
        <w:tabs>
          <w:tab w:leader="none" w:pos="14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600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right="8240" w:firstLine="8"/>
        <w:spacing w:after="0" w:line="353" w:lineRule="auto"/>
        <w:tabs>
          <w:tab w:leader="none" w:pos="4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as indicated. ** Previously filed.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20"/>
          </w:cols>
          <w:pgMar w:left="240" w:top="270" w:right="239" w:bottom="1440" w:gutter="0" w:footer="0" w:header="0"/>
        </w:sectPr>
      </w:pPr>
    </w:p>
    <w:bookmarkStart w:id="20" w:name="page21"/>
    <w:bookmarkEnd w:id="2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17.</w:t>
      </w:r>
      <w:r>
        <w:rPr>
          <w:sz w:val="20"/>
          <w:szCs w:val="20"/>
          <w:color w:val="auto"/>
        </w:rPr>
        <w:tab/>
      </w:r>
      <w:r>
        <w:rPr>
          <w:rFonts w:ascii="Times New Roman" w:cs="Times New Roman" w:eastAsia="Times New Roman" w:hAnsi="Times New Roman"/>
          <w:sz w:val="16"/>
          <w:szCs w:val="16"/>
          <w:b w:val="1"/>
          <w:bCs w:val="1"/>
          <w:i w:val="1"/>
          <w:iCs w:val="1"/>
          <w:color w:val="auto"/>
        </w:rPr>
        <w:t>Undertakings</w:t>
      </w:r>
    </w:p>
    <w:p>
      <w:pPr>
        <w:spacing w:after="0" w:line="81" w:lineRule="exact"/>
        <w:rPr>
          <w:sz w:val="20"/>
          <w:szCs w:val="20"/>
          <w:color w:val="auto"/>
        </w:rPr>
      </w:pPr>
    </w:p>
    <w:p>
      <w:pPr>
        <w:ind w:left="700" w:hanging="23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76"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76"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76" w:lineRule="exact"/>
        <w:rPr>
          <w:rFonts w:ascii="Times New Roman" w:cs="Times New Roman" w:eastAsia="Times New Roman" w:hAnsi="Times New Roman"/>
          <w:sz w:val="18"/>
          <w:szCs w:val="18"/>
          <w:color w:val="auto"/>
        </w:rPr>
      </w:pPr>
    </w:p>
    <w:p>
      <w:pPr>
        <w:ind w:left="920" w:firstLine="421"/>
        <w:spacing w:after="0" w:line="254" w:lineRule="auto"/>
        <w:tabs>
          <w:tab w:leader="none" w:pos="159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w:t>
      </w:r>
    </w:p>
    <w:p>
      <w:pPr>
        <w:spacing w:after="0" w:line="46" w:lineRule="exact"/>
        <w:rPr>
          <w:rFonts w:ascii="Times New Roman" w:cs="Times New Roman" w:eastAsia="Times New Roman" w:hAnsi="Times New Roman"/>
          <w:sz w:val="18"/>
          <w:szCs w:val="18"/>
          <w:color w:val="auto"/>
        </w:rPr>
      </w:pPr>
    </w:p>
    <w:p>
      <w:pPr>
        <w:ind w:left="920" w:right="240" w:firstLine="421"/>
        <w:spacing w:after="0" w:line="275" w:lineRule="auto"/>
        <w:tabs>
          <w:tab w:leader="none" w:pos="164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5" w:lineRule="exact"/>
        <w:rPr>
          <w:sz w:val="20"/>
          <w:szCs w:val="20"/>
          <w:color w:val="auto"/>
        </w:rPr>
      </w:pPr>
    </w:p>
    <w:p>
      <w:pPr>
        <w:ind w:left="460" w:right="260"/>
        <w:spacing w:after="0" w:line="262" w:lineRule="auto"/>
        <w:rPr>
          <w:sz w:val="20"/>
          <w:szCs w:val="20"/>
          <w:color w:val="auto"/>
        </w:rPr>
      </w:pPr>
      <w:r>
        <w:rPr>
          <w:rFonts w:ascii="Times New Roman" w:cs="Times New Roman" w:eastAsia="Times New Roman" w:hAnsi="Times New Roman"/>
          <w:sz w:val="18"/>
          <w:szCs w:val="18"/>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38" w:lineRule="exact"/>
        <w:rPr>
          <w:sz w:val="20"/>
          <w:szCs w:val="20"/>
          <w:color w:val="auto"/>
        </w:rPr>
      </w:pPr>
    </w:p>
    <w:p>
      <w:pPr>
        <w:ind w:left="460" w:right="20" w:firstLine="443"/>
        <w:spacing w:after="0" w:line="262" w:lineRule="auto"/>
        <w:tabs>
          <w:tab w:leader="none" w:pos="114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7" w:lineRule="exact"/>
        <w:rPr>
          <w:rFonts w:ascii="Times New Roman" w:cs="Times New Roman" w:eastAsia="Times New Roman" w:hAnsi="Times New Roman"/>
          <w:sz w:val="18"/>
          <w:szCs w:val="18"/>
          <w:color w:val="auto"/>
        </w:rPr>
      </w:pPr>
    </w:p>
    <w:p>
      <w:pPr>
        <w:ind w:left="460" w:right="820" w:firstLine="443"/>
        <w:spacing w:after="0" w:line="275" w:lineRule="auto"/>
        <w:tabs>
          <w:tab w:leader="none" w:pos="114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6" w:lineRule="exact"/>
        <w:rPr>
          <w:rFonts w:ascii="Times New Roman" w:cs="Times New Roman" w:eastAsia="Times New Roman" w:hAnsi="Times New Roman"/>
          <w:sz w:val="18"/>
          <w:szCs w:val="18"/>
          <w:color w:val="auto"/>
        </w:rPr>
      </w:pPr>
    </w:p>
    <w:p>
      <w:pPr>
        <w:ind w:right="80" w:firstLine="464"/>
        <w:spacing w:after="0" w:line="256" w:lineRule="auto"/>
        <w:tabs>
          <w:tab w:leader="none" w:pos="7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Times New Roman" w:cs="Times New Roman" w:eastAsia="Times New Roman" w:hAnsi="Times New Roman"/>
          <w:sz w:val="18"/>
          <w:szCs w:val="18"/>
          <w:color w:val="auto"/>
        </w:rPr>
      </w:pPr>
    </w:p>
    <w:p>
      <w:pPr>
        <w:ind w:right="160" w:firstLine="464"/>
        <w:spacing w:after="0" w:line="254"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420"/>
          </w:cols>
          <w:pgMar w:left="240" w:top="270" w:right="2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the State of New York, on May 13, 2005.</w:t>
      </w:r>
    </w:p>
    <w:p>
      <w:pPr>
        <w:spacing w:after="0" w:line="1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Jean-Marc Perraud</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45"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May 13, 2005 in the capacities indicated.</w:t>
      </w:r>
    </w:p>
    <w:p>
      <w:pPr>
        <w:spacing w:after="0" w:line="104" w:lineRule="exact"/>
        <w:rPr>
          <w:sz w:val="20"/>
          <w:szCs w:val="20"/>
          <w:color w:val="auto"/>
        </w:rPr>
      </w:pPr>
    </w:p>
    <w:p>
      <w:pPr>
        <w:ind w:left="2640"/>
        <w:spacing w:after="0"/>
        <w:tabs>
          <w:tab w:leader="none" w:pos="87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71120</wp:posOffset>
            </wp:positionV>
            <wp:extent cx="3943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71120</wp:posOffset>
            </wp:positionV>
            <wp:extent cx="214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Director, Chairman and Chief Executive Officer (Principal Executive</w:t>
            </w:r>
          </w:p>
        </w:tc>
        <w:tc>
          <w:tcPr>
            <w:tcW w:w="0" w:type="dxa"/>
            <w:vAlign w:val="bottom"/>
          </w:tcPr>
          <w:p>
            <w:pPr>
              <w:spacing w:after="0"/>
              <w:rPr>
                <w:sz w:val="1"/>
                <w:szCs w:val="1"/>
                <w:color w:val="auto"/>
              </w:rPr>
            </w:pPr>
          </w:p>
        </w:tc>
      </w:tr>
      <w:tr>
        <w:trPr>
          <w:trHeight w:val="122"/>
        </w:trPr>
        <w:tc>
          <w:tcPr>
            <w:tcW w:w="5820" w:type="dxa"/>
            <w:vAlign w:val="bottom"/>
            <w:tcBorders>
              <w:bottom w:val="single" w:sz="8" w:color="auto"/>
            </w:tcBorders>
          </w:tcPr>
          <w:p>
            <w:pPr>
              <w:spacing w:after="0"/>
              <w:rPr>
                <w:sz w:val="10"/>
                <w:szCs w:val="10"/>
                <w:color w:val="auto"/>
              </w:rPr>
            </w:pPr>
          </w:p>
        </w:tc>
        <w:tc>
          <w:tcPr>
            <w:tcW w:w="53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Andrew Gould</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Jean-Marc Perraud</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122"/>
        </w:trPr>
        <w:tc>
          <w:tcPr>
            <w:tcW w:w="5820" w:type="dxa"/>
            <w:vAlign w:val="bottom"/>
            <w:tcBorders>
              <w:bottom w:val="single" w:sz="8" w:color="auto"/>
            </w:tcBorders>
          </w:tcPr>
          <w:p>
            <w:pPr>
              <w:spacing w:after="0"/>
              <w:rPr>
                <w:sz w:val="10"/>
                <w:szCs w:val="10"/>
                <w:color w:val="auto"/>
              </w:rPr>
            </w:pPr>
          </w:p>
        </w:tc>
        <w:tc>
          <w:tcPr>
            <w:tcW w:w="53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Jean-Marc Perraud</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Frank A. Sorgie</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Frank A. Sorgie</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Deutch</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Jamie S. Gorelick</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Tony Isaac</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Adrian Lajous</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Andre Levy-Lang</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20" w:type="dxa"/>
            <w:vAlign w:val="bottom"/>
            <w:tcBorders>
              <w:bottom w:val="single" w:sz="8" w:color="auto"/>
            </w:tcBorders>
          </w:tcPr>
          <w:p>
            <w:pPr>
              <w:spacing w:after="0"/>
              <w:rPr>
                <w:sz w:val="24"/>
                <w:szCs w:val="24"/>
                <w:color w:val="auto"/>
              </w:rPr>
            </w:pPr>
          </w:p>
        </w:tc>
        <w:tc>
          <w:tcPr>
            <w:tcW w:w="53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Michael E. Marks</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2" w:right="25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580" w:type="dxa"/>
            <w:vAlign w:val="bottom"/>
            <w:gridSpan w:val="2"/>
          </w:tcPr>
          <w:p>
            <w:pPr>
              <w:jc w:val="center"/>
              <w:ind w:left="1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Didier Primat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Tore I. Sandvold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Nicolas Seydoux</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Linda G. Stuntz</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5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5"/>
              </w:rPr>
              <w:t>Rana Talwar</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Ellen Summer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422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Ellen Summer, Attorney-in-Fact</w:t>
            </w: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90"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13, 2005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 East 53rd Street, 57th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10022-4624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Registration Statement on Form S-3 (Registration No. 333-124541) (the “Registration Statement”) filed by Schlumberger N.V. (Schlumberger Limited), a corporation organized under the laws of the Netherlands Antilles (“Schlumberger”), with the Securities and Exchange Commission under the Securities Act of 1933, as amended (the “Securities Act”), relating to the registration by Schlumberger of the resale of 1,540,750 shares of common stock, par value $0.01 per share, of Schlumberger (the “Shares”), certain legal matters in connection with the Shares are being passed on for you by me. At your request, this opinion is being furnished for filing as Exhibit 5.1 to the Registration Statement.</w:t>
      </w:r>
    </w:p>
    <w:p>
      <w:pPr>
        <w:spacing w:after="0" w:line="1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 am a member of the bars of the State of New York and of the District of Columbia, and not of any other jurisdiction. I am not admitted to practice in, nor do I hold myself out as an expert on the laws of, the Netherlands Antilles. I have, however, consulted with the law firm of STvB, counsel qualified to practice in the Netherlands Antilles. Insofar as the opinions expressed below involve conclusions as to matters governed by the laws of the Netherlands Antilles, I am relying on the opinion of such counsel.</w:t>
      </w:r>
    </w:p>
    <w:p>
      <w:pPr>
        <w:spacing w:after="0" w:line="123"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In my capacity as General Counsel and Secretary of Schlumberger, I am familiar with the Articles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w:t>
      </w:r>
    </w:p>
    <w:p>
      <w:pPr>
        <w:spacing w:after="0" w:line="94" w:lineRule="exact"/>
        <w:rPr>
          <w:sz w:val="20"/>
          <w:szCs w:val="20"/>
          <w:color w:val="auto"/>
        </w:rPr>
      </w:pPr>
    </w:p>
    <w:p>
      <w:pPr>
        <w:ind w:right="920" w:firstLine="456"/>
        <w:spacing w:after="0" w:line="275" w:lineRule="auto"/>
        <w:rPr>
          <w:sz w:val="20"/>
          <w:szCs w:val="20"/>
          <w:color w:val="auto"/>
        </w:rPr>
      </w:pPr>
      <w:r>
        <w:rPr>
          <w:rFonts w:ascii="Times New Roman" w:cs="Times New Roman" w:eastAsia="Times New Roman" w:hAnsi="Times New Roman"/>
          <w:sz w:val="18"/>
          <w:szCs w:val="18"/>
          <w:color w:val="auto"/>
        </w:rPr>
        <w:t>Based on my examination as aforesaid, I am of the opinion that the Shares have been duly authorized and validly issued, and are fully paid and nonassessable.</w:t>
      </w:r>
    </w:p>
    <w:p>
      <w:pPr>
        <w:spacing w:after="0" w:line="106"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I consent to the filing of this opinion as an exhibit to the Registration Statement. I also consent to the reference to me under the heading “Legal Matters” in the prospectus forming a part of the Registration Statement. In giving this consent, I do not thereby concede that I am within the category of persons whose consent is required under Section 7 of the Securities Act or the rules and regulations of the Securities and Exchange Commission promulgated thereunder.</w:t>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Ellen Summer, Esq.</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Ellen Summer, Esq.</w:t>
      </w:r>
    </w:p>
    <w:p>
      <w:pPr>
        <w:sectPr>
          <w:pgSz w:w="11900" w:h="16838" w:orient="portrait"/>
          <w:cols w:equalWidth="0" w:num="1">
            <w:col w:w="11420"/>
          </w:cols>
          <w:pgMar w:left="240" w:top="123"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our report dated March 1, 2005 relating to the consolidated financial statements, management’s assessment of the effectiveness of internal control over financial reporting and the effectiveness of internal control over financial reporting of Schlumberger Limited, which appears in Schlumberger Limited’s Annual Report on Form 10-K for the year ended December 31, 2004. We also consent to the reference to us under the heading “Experts” in such Registration Statement.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2005</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910"/>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212"/>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519B500D"/>
    <w:multiLevelType w:val="hybridMultilevel"/>
    <w:lvl w:ilvl="0">
      <w:lvlJc w:val="left"/>
      <w:lvlText w:val="%1"/>
      <w:numFmt w:val="lowerLetter"/>
      <w:start w:val="1"/>
    </w:lvl>
    <w:lvl w:ilvl="1">
      <w:lvlJc w:val="left"/>
      <w:lvlText w:val="(%2)"/>
      <w:numFmt w:val="decimal"/>
      <w:start w:val="2"/>
    </w:lvl>
  </w:abstractNum>
  <w:abstractNum w:abstractNumId="17">
    <w:nsid w:val="431BD7B7"/>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2019-12-13T06:41:35Z</dcterms:created>
  <dcterms:modified xsi:type="dcterms:W3CDTF">2019-12-13T06:41:35Z</dcterms:modified>
</cp:coreProperties>
</file>