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6120" w:type="dxa"/>
            <w:vAlign w:val="bottom"/>
          </w:tcPr>
          <w:p>
            <w:pPr>
              <w:jc w:val="center"/>
              <w:ind w:right="345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8"/>
                <w:szCs w:val="18"/>
                <w:b w:val="1"/>
                <w:bCs w:val="1"/>
                <w:color w:val="auto"/>
              </w:rPr>
              <w:t>52-0684746</w:t>
            </w:r>
          </w:p>
        </w:tc>
      </w:tr>
      <w:tr>
        <w:trPr>
          <w:trHeight w:val="148"/>
        </w:trPr>
        <w:tc>
          <w:tcPr>
            <w:tcW w:w="6120" w:type="dxa"/>
            <w:vAlign w:val="bottom"/>
          </w:tcPr>
          <w:p>
            <w:pPr>
              <w:jc w:val="center"/>
              <w:ind w:right="343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00" w:type="dxa"/>
            <w:vAlign w:val="bottom"/>
          </w:tcPr>
          <w:p>
            <w:pPr>
              <w:jc w:val="center"/>
              <w:ind w:left="9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tcPr>
          <w:p>
            <w:pPr>
              <w:jc w:val="center"/>
              <w:ind w:right="34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20" w:type="dxa"/>
            <w:vAlign w:val="bottom"/>
          </w:tcPr>
          <w:p>
            <w:pPr>
              <w:jc w:val="center"/>
              <w:ind w:right="3435"/>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238"/>
        </w:trPr>
        <w:tc>
          <w:tcPr>
            <w:tcW w:w="6120" w:type="dxa"/>
            <w:vAlign w:val="bottom"/>
          </w:tcPr>
          <w:p>
            <w:pPr>
              <w:jc w:val="center"/>
              <w:ind w:right="3435"/>
              <w:spacing w:after="0"/>
              <w:rPr>
                <w:sz w:val="20"/>
                <w:szCs w:val="20"/>
                <w:color w:val="auto"/>
              </w:rPr>
            </w:pPr>
            <w:r>
              <w:rPr>
                <w:rFonts w:ascii="Times New Roman" w:cs="Times New Roman" w:eastAsia="Times New Roman" w:hAnsi="Times New Roman"/>
                <w:sz w:val="18"/>
                <w:szCs w:val="18"/>
                <w:b w:val="1"/>
                <w:bCs w:val="1"/>
                <w:color w:val="auto"/>
              </w:rPr>
              <w:t>Paris, France</w:t>
            </w:r>
          </w:p>
        </w:tc>
        <w:tc>
          <w:tcPr>
            <w:tcW w:w="1300" w:type="dxa"/>
            <w:vAlign w:val="bottom"/>
          </w:tcPr>
          <w:p>
            <w:pPr>
              <w:spacing w:after="0"/>
              <w:rPr>
                <w:sz w:val="20"/>
                <w:szCs w:val="20"/>
                <w:color w:val="auto"/>
              </w:rPr>
            </w:pPr>
          </w:p>
        </w:tc>
      </w:tr>
      <w:tr>
        <w:trPr>
          <w:trHeight w:val="410"/>
        </w:trPr>
        <w:tc>
          <w:tcPr>
            <w:tcW w:w="6120" w:type="dxa"/>
            <w:vAlign w:val="bottom"/>
          </w:tcPr>
          <w:p>
            <w:pPr>
              <w:jc w:val="center"/>
              <w:ind w:right="3435"/>
              <w:spacing w:after="0"/>
              <w:rPr>
                <w:sz w:val="20"/>
                <w:szCs w:val="20"/>
                <w:color w:val="auto"/>
              </w:rPr>
            </w:pPr>
            <w:r>
              <w:rPr>
                <w:rFonts w:ascii="Times New Roman" w:cs="Times New Roman" w:eastAsia="Times New Roman" w:hAnsi="Times New Roman"/>
                <w:sz w:val="18"/>
                <w:szCs w:val="18"/>
                <w:b w:val="1"/>
                <w:bCs w:val="1"/>
                <w:color w:val="auto"/>
                <w:w w:val="99"/>
              </w:rPr>
              <w:t>5599 San Felipe</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8"/>
                <w:szCs w:val="18"/>
                <w:b w:val="1"/>
                <w:bCs w:val="1"/>
                <w:color w:val="auto"/>
                <w:w w:val="97"/>
              </w:rPr>
              <w:t>77056</w:t>
            </w:r>
          </w:p>
        </w:tc>
      </w:tr>
      <w:tr>
        <w:trPr>
          <w:trHeight w:val="238"/>
        </w:trPr>
        <w:tc>
          <w:tcPr>
            <w:tcW w:w="6120" w:type="dxa"/>
            <w:vAlign w:val="bottom"/>
          </w:tcPr>
          <w:p>
            <w:pPr>
              <w:jc w:val="center"/>
              <w:ind w:right="3435"/>
              <w:spacing w:after="0"/>
              <w:rPr>
                <w:sz w:val="20"/>
                <w:szCs w:val="20"/>
                <w:color w:val="auto"/>
              </w:rPr>
            </w:pPr>
            <w:r>
              <w:rPr>
                <w:rFonts w:ascii="Times New Roman" w:cs="Times New Roman" w:eastAsia="Times New Roman" w:hAnsi="Times New Roman"/>
                <w:sz w:val="18"/>
                <w:szCs w:val="18"/>
                <w:b w:val="1"/>
                <w:bCs w:val="1"/>
                <w:color w:val="auto"/>
                <w:w w:val="99"/>
              </w:rPr>
              <w:t>Houston, Texas, U.S.A.</w:t>
            </w:r>
          </w:p>
        </w:tc>
        <w:tc>
          <w:tcPr>
            <w:tcW w:w="1300" w:type="dxa"/>
            <w:vAlign w:val="bottom"/>
          </w:tcPr>
          <w:p>
            <w:pPr>
              <w:spacing w:after="0"/>
              <w:rPr>
                <w:sz w:val="20"/>
                <w:szCs w:val="20"/>
                <w:color w:val="auto"/>
              </w:rPr>
            </w:pPr>
          </w:p>
        </w:tc>
      </w:tr>
      <w:tr>
        <w:trPr>
          <w:trHeight w:val="410"/>
        </w:trPr>
        <w:tc>
          <w:tcPr>
            <w:tcW w:w="6120" w:type="dxa"/>
            <w:vAlign w:val="bottom"/>
          </w:tcPr>
          <w:p>
            <w:pPr>
              <w:jc w:val="center"/>
              <w:ind w:right="3455"/>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238"/>
        </w:trPr>
        <w:tc>
          <w:tcPr>
            <w:tcW w:w="6120" w:type="dxa"/>
            <w:vAlign w:val="bottom"/>
          </w:tcPr>
          <w:p>
            <w:pPr>
              <w:jc w:val="center"/>
              <w:ind w:right="3455"/>
              <w:spacing w:after="0"/>
              <w:rPr>
                <w:sz w:val="20"/>
                <w:szCs w:val="20"/>
                <w:color w:val="auto"/>
              </w:rPr>
            </w:pPr>
            <w:r>
              <w:rPr>
                <w:rFonts w:ascii="Times New Roman" w:cs="Times New Roman" w:eastAsia="Times New Roman" w:hAnsi="Times New Roman"/>
                <w:sz w:val="18"/>
                <w:szCs w:val="18"/>
                <w:b w:val="1"/>
                <w:bCs w:val="1"/>
                <w:color w:val="auto"/>
              </w:rPr>
              <w:t>London, United Kingdom</w:t>
            </w:r>
          </w:p>
        </w:tc>
        <w:tc>
          <w:tcPr>
            <w:tcW w:w="1300" w:type="dxa"/>
            <w:vAlign w:val="bottom"/>
          </w:tcPr>
          <w:p>
            <w:pPr>
              <w:spacing w:after="0"/>
              <w:rPr>
                <w:sz w:val="20"/>
                <w:szCs w:val="20"/>
                <w:color w:val="auto"/>
              </w:rPr>
            </w:pPr>
          </w:p>
        </w:tc>
      </w:tr>
      <w:tr>
        <w:trPr>
          <w:trHeight w:val="410"/>
        </w:trPr>
        <w:tc>
          <w:tcPr>
            <w:tcW w:w="6120" w:type="dxa"/>
            <w:vAlign w:val="bottom"/>
          </w:tcPr>
          <w:p>
            <w:pPr>
              <w:jc w:val="center"/>
              <w:ind w:right="3455"/>
              <w:spacing w:after="0"/>
              <w:rPr>
                <w:sz w:val="20"/>
                <w:szCs w:val="20"/>
                <w:color w:val="auto"/>
              </w:rPr>
            </w:pPr>
            <w:r>
              <w:rPr>
                <w:rFonts w:ascii="Times New Roman" w:cs="Times New Roman" w:eastAsia="Times New Roman" w:hAnsi="Times New Roman"/>
                <w:sz w:val="18"/>
                <w:szCs w:val="18"/>
                <w:b w:val="1"/>
                <w:bCs w:val="1"/>
                <w:color w:val="auto"/>
              </w:rPr>
              <w:t>Parkstraat 83</w:t>
            </w:r>
          </w:p>
        </w:tc>
        <w:tc>
          <w:tcPr>
            <w:tcW w:w="1300" w:type="dxa"/>
            <w:vAlign w:val="bottom"/>
          </w:tcPr>
          <w:p>
            <w:pPr>
              <w:spacing w:after="0"/>
              <w:rPr>
                <w:sz w:val="24"/>
                <w:szCs w:val="24"/>
                <w:color w:val="auto"/>
              </w:rPr>
            </w:pPr>
          </w:p>
        </w:tc>
      </w:tr>
      <w:tr>
        <w:trPr>
          <w:trHeight w:val="227"/>
        </w:trPr>
        <w:tc>
          <w:tcPr>
            <w:tcW w:w="6120" w:type="dxa"/>
            <w:vAlign w:val="bottom"/>
          </w:tcPr>
          <w:p>
            <w:pPr>
              <w:jc w:val="center"/>
              <w:ind w:right="3455"/>
              <w:spacing w:after="0"/>
              <w:rPr>
                <w:sz w:val="20"/>
                <w:szCs w:val="20"/>
                <w:color w:val="auto"/>
              </w:rPr>
            </w:pPr>
            <w:r>
              <w:rPr>
                <w:rFonts w:ascii="Times New Roman" w:cs="Times New Roman" w:eastAsia="Times New Roman" w:hAnsi="Times New Roman"/>
                <w:sz w:val="18"/>
                <w:szCs w:val="18"/>
                <w:b w:val="1"/>
                <w:bCs w:val="1"/>
                <w:color w:val="auto"/>
                <w:w w:val="99"/>
              </w:rPr>
              <w:t>The Hague, The Netherlands</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190"/>
        </w:trPr>
        <w:tc>
          <w:tcPr>
            <w:tcW w:w="6120" w:type="dxa"/>
            <w:vAlign w:val="bottom"/>
          </w:tcPr>
          <w:p>
            <w:pPr>
              <w:jc w:val="center"/>
              <w:ind w:right="3455"/>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130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(Zip Codes)</w:t>
            </w:r>
          </w:p>
        </w:tc>
      </w:tr>
      <w:tr>
        <w:trPr>
          <w:trHeight w:val="390"/>
        </w:trPr>
        <w:tc>
          <w:tcPr>
            <w:tcW w:w="6120" w:type="dxa"/>
            <w:vAlign w:val="bottom"/>
          </w:tcPr>
          <w:p>
            <w:pPr>
              <w:jc w:val="center"/>
              <w:ind w:left="1855"/>
              <w:spacing w:after="0"/>
              <w:rPr>
                <w:sz w:val="20"/>
                <w:szCs w:val="20"/>
                <w:color w:val="auto"/>
              </w:rPr>
            </w:pPr>
            <w:r>
              <w:rPr>
                <w:rFonts w:ascii="Times New Roman" w:cs="Times New Roman" w:eastAsia="Times New Roman" w:hAnsi="Times New Roman"/>
                <w:sz w:val="18"/>
                <w:szCs w:val="18"/>
                <w:b w:val="1"/>
                <w:bCs w:val="1"/>
                <w:color w:val="auto"/>
                <w:w w:val="99"/>
              </w:rPr>
              <w:t>SLB DISCOUNTED STOCK PURCHASE PLAN</w:t>
            </w:r>
          </w:p>
        </w:tc>
        <w:tc>
          <w:tcPr>
            <w:tcW w:w="1300" w:type="dxa"/>
            <w:vAlign w:val="bottom"/>
          </w:tcPr>
          <w:p>
            <w:pPr>
              <w:spacing w:after="0"/>
              <w:rPr>
                <w:sz w:val="24"/>
                <w:szCs w:val="24"/>
                <w:color w:val="auto"/>
              </w:rPr>
            </w:pPr>
          </w:p>
        </w:tc>
      </w:tr>
      <w:tr>
        <w:trPr>
          <w:trHeight w:val="190"/>
        </w:trPr>
        <w:tc>
          <w:tcPr>
            <w:tcW w:w="6120" w:type="dxa"/>
            <w:vAlign w:val="bottom"/>
          </w:tcPr>
          <w:p>
            <w:pPr>
              <w:jc w:val="center"/>
              <w:ind w:left="1835"/>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Dianne B. Ralston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U.S.A. 77056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by Schlumberger Limited (Schlumberger N.V.), a Curaçao corporation (“SLB” or the “Registrant”) to register up to 24,000,000 shares of common stock, par value $0.01 per share, of SLB (“Common Stock”) issuable under the SLB Discounted Stock Purchase Plan (as amended and restated, the “Plan”). On April 2, 2025, shareholders of the Registrant approved the Plan at the Registrant’s 2025 Annual General Meeting of Shareholders, which increased the number of shares available for purchase under the Plan by 24,000,000 shares.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Plan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Registrant Information and Employee Plan Annual Information.</w:t>
      </w:r>
    </w:p>
    <w:p>
      <w:pPr>
        <w:spacing w:after="0" w:line="121"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The document(s) containing the information required by Item 1 of Form S-8 and the statement of availability of Registrant information and other information required by Item 2 of Form S-8 will be sent or given to eligible employees as specified by Rule 428 under the Securities Act of 1933, as amended (the “Securities Act”). In accordance with Rule 428 and the requirements of Part I of Form S-8, such documents are not being filed with the Securities and Exchange Commission (the “Commission” or the “SEC”)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40"/>
          </w:cols>
          <w:pgMar w:left="440" w:top="266"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Registration Statement incorporates herein by reference the following documents, which have been filed with the Commission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(SEC File No. 001-04601 unless otherwise indicated) pursuant to the Securities Exchange Act of 1934, as amended (the “Exchange Act”):</w:t>
      </w:r>
    </w:p>
    <w:p>
      <w:pPr>
        <w:spacing w:after="0" w:line="112" w:lineRule="exact"/>
        <w:rPr>
          <w:sz w:val="20"/>
          <w:szCs w:val="20"/>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as filed with the SEC on January 22, 2025 (the “2024 Annual Report);</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w:t>
      </w:r>
      <w:hyperlink r:id="rId1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2025 Annual General Meeting of Shareholders that are incorporated by reference into the 2024 Annual Report, as filed with the SEC on February 20, 2025 (the “Proxy Statement”);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2025, as filed with the SEC on </w:t>
      </w:r>
      <w:hyperlink r:id="rId20">
        <w:r>
          <w:rPr>
            <w:rFonts w:ascii="Times New Roman" w:cs="Times New Roman" w:eastAsia="Times New Roman" w:hAnsi="Times New Roman"/>
            <w:sz w:val="18"/>
            <w:szCs w:val="18"/>
            <w:u w:val="single" w:color="auto"/>
            <w:color w:val="0000EE"/>
          </w:rPr>
          <w:t>April 25,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21">
        <w:r>
          <w:rPr>
            <w:rFonts w:ascii="Times New Roman" w:cs="Times New Roman" w:eastAsia="Times New Roman" w:hAnsi="Times New Roman"/>
            <w:sz w:val="18"/>
            <w:szCs w:val="18"/>
            <w:u w:val="single" w:color="auto"/>
            <w:color w:val="0000EE"/>
          </w:rPr>
          <w:t>April 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April 8,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w:t>
      </w:r>
      <w:hyperlink r:id="rId2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for the fiscal year ended December 31, 2020, as filed with the SEC on January 27, 2021, and as subsequently amended or updated.</w:t>
      </w:r>
    </w:p>
    <w:p>
      <w:pPr>
        <w:spacing w:after="0" w:line="162" w:lineRule="exact"/>
        <w:rPr>
          <w:rFonts w:ascii="Times New Roman" w:cs="Times New Roman" w:eastAsia="Times New Roman" w:hAnsi="Times New Roman"/>
          <w:sz w:val="18"/>
          <w:szCs w:val="18"/>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180" w:lineRule="exact"/>
        <w:rPr>
          <w:rFonts w:ascii="Times New Roman" w:cs="Times New Roman" w:eastAsia="Times New Roman" w:hAnsi="Times New Roman"/>
          <w:sz w:val="18"/>
          <w:szCs w:val="18"/>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26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Article 10 of the Articles of Incorporation and Article V of the Amended and Restated By-Laws of SLB contain provisions providing for indemnification of SLB’s directors, officers, employees and agents. Article 10 of the Articles of Incorporation permits (but does not require) SLB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SLB’s Amended and Restated By-Laws contains mandatory indemnification for current and former directors and officers as described below.</w:t>
      </w:r>
    </w:p>
    <w:p>
      <w:pPr>
        <w:sectPr>
          <w:pgSz w:w="11900" w:h="16838" w:orient="portrait"/>
          <w:cols w:equalWidth="0" w:num="1">
            <w:col w:w="10960"/>
          </w:cols>
          <w:pgMar w:left="440" w:top="266" w:right="499" w:bottom="1440" w:gutter="0" w:footer="0" w:header="0"/>
        </w:sectPr>
      </w:pPr>
    </w:p>
    <w:bookmarkStart w:id="3" w:name="page4"/>
    <w:bookmarkEnd w:id="3"/>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permitted by applicable law, SLB will indemnify any person who was or is a party or is threatened to be made a party to any threatened, pending or completed action, suit or proceeding, whether civil, criminal, administrative or 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w:t>
      </w:r>
    </w:p>
    <w:p>
      <w:pPr>
        <w:spacing w:after="0" w:line="194"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SLB is required to indemnify any current or former officer or director of SLB to the fullest extent allowed by the preceding paragraphs in the event of a “Change of Control.” “Change of Control” means a change in control of SLB, which will be deemed to have occurred if at any time:</w:t>
      </w:r>
    </w:p>
    <w:p>
      <w:pPr>
        <w:spacing w:after="0" w:line="189" w:lineRule="exact"/>
        <w:rPr>
          <w:sz w:val="20"/>
          <w:szCs w:val="20"/>
          <w:color w:val="auto"/>
        </w:rPr>
      </w:pPr>
    </w:p>
    <w:p>
      <w:pPr>
        <w:jc w:val="both"/>
        <w:ind w:left="42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person or organization is or becomes the legal or beneficial owner, directly or indirectly, of securities of SLB representing 30% or more of the combined voting power of SLB’s then outstanding shares without the prior approval of at least two-thirds of the members of SLB’s Board of Directors (the “SLB Board”) in office immediately prior to such entity, person or organization attaining such percentage interest;</w:t>
      </w:r>
    </w:p>
    <w:p>
      <w:pPr>
        <w:spacing w:after="0" w:line="202" w:lineRule="exact"/>
        <w:rPr>
          <w:rFonts w:ascii="Times New Roman" w:cs="Times New Roman" w:eastAsia="Times New Roman" w:hAnsi="Times New Roman"/>
          <w:sz w:val="18"/>
          <w:szCs w:val="18"/>
          <w:color w:val="auto"/>
        </w:rPr>
      </w:pPr>
    </w:p>
    <w:p>
      <w:pPr>
        <w:ind w:left="420" w:right="120" w:hanging="316"/>
        <w:spacing w:after="0" w:line="312" w:lineRule="auto"/>
        <w:tabs>
          <w:tab w:leader="none" w:pos="4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SLB is a party to a merger, consolidation, share exchange, sale of assets or other reorganization, or a proxy contest, as a consequence of which members of the SLB Board in office immediately prior to such transaction or event constitute less than a majority of the SLB Board thereafter; or</w:t>
      </w:r>
    </w:p>
    <w:p>
      <w:pPr>
        <w:spacing w:after="0" w:line="166" w:lineRule="exact"/>
        <w:rPr>
          <w:rFonts w:ascii="Times New Roman" w:cs="Times New Roman" w:eastAsia="Times New Roman" w:hAnsi="Times New Roman"/>
          <w:sz w:val="17"/>
          <w:szCs w:val="17"/>
          <w:color w:val="auto"/>
        </w:rPr>
      </w:pPr>
    </w:p>
    <w:p>
      <w:pPr>
        <w:ind w:left="420" w:right="16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15-month period, individuals who at the beginning of such period constituted the SLB Board (including for this purpose any new director whose election or nomination for election by SLB shareholders was approved by a vote of at least two-thirds of the directors then still in office who were directors at the beginning of such period) cease for any reason to constitute at least a majority of the SLB Board.</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SLB will indemnify any current or former director or officer who was or is a party or is threatened to be made a party to any threatened, pending or completed action or suit by or in the right of SLB to procure a judgment in SLB’s favor by reason of the fact that such person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SLB and except that no indemnification may be made with respect to any claim, issue or matter as to which such person has been finally adjudged to be liable to SLB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SLB is required to indemnify any present or former officer or director to the fullest extent allowed by this paragraph in the event of a Change of Control (as defined above).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20"/>
          </w:cols>
          <w:pgMar w:left="440" w:top="270" w:right="439" w:bottom="1440" w:gutter="0" w:footer="0" w:header="0"/>
        </w:sectPr>
      </w:pPr>
    </w:p>
    <w:bookmarkStart w:id="4" w:name="page5"/>
    <w:bookmarkEnd w:id="4"/>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indemnification under the preceding three paragraphs (unless ordered by a court) may be extended to current or former employees or agents of SLB only as authorized by the Chief Executive Officer or by contract approved, or bylaws, resolution or other action adopted or taken, by the SLB Board or by SLB shareholders.</w:t>
      </w:r>
    </w:p>
    <w:p>
      <w:pPr>
        <w:spacing w:after="0" w:line="176"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Expenses (including attorneys’ fees) incurred by a current or former director or a current officer in defending any civil or criminal, administrative or investigative action, suit or proceeding will be paid by SLB in advance of the final disposition of such action, suit or proceeding upon receipt of an undertaking by or on behalf of such person to repay such amount if it is ultimately determined that such person is not entitled to be indemnified by SLB.</w:t>
      </w:r>
    </w:p>
    <w:p>
      <w:pPr>
        <w:spacing w:after="0" w:line="158"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SLB may pay such expenses (including attorneys’ fees) incurred by former officers or other employees and agents upon such terms and conditions, if any, it deems appropriate.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3"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SLB has the power to purchase and maintain insurance on behalf of any person who is or was a director, officer, employee or agent of SLB, or is or was serving at the request of SLB in such a capacity for another corporation, partnership, joint venture, trust or other enterprise or entity against any liability asserted against that person and incurred by that person in any of those capacities or arising out of such person’s status as such, whether or not SLB would have the power to indemnify such person against such liability.</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References in this Item 6 to SLB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References in this Item 6 to “other enterprises” includes employee benefit plans; references to “fines” includes any excise taxes assessed on a person with respect to any employee benefit plan; and references to “serving at the request of SLB” includes any service as a director, officer, employee or agent of SLB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SLB.”</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member of the SLB Board, or a member of any committee designated by the SLB Board, will, in the performance of such member’s duties, be fully protected in relying in good faith upon the records of SLB and upon such information, opinions, reports or statements presented to SLB by any of SLB’s officers or employees, or committees of the SLB Board, or by any other person as to matters the member reasonably believes are within such other person’s professional or expert competence and who has been selected with reasonable care by or on behalf of SLB.</w:t>
      </w:r>
    </w:p>
    <w:p>
      <w:pPr>
        <w:sectPr>
          <w:pgSz w:w="11900" w:h="16838" w:orient="portrait"/>
          <w:cols w:equalWidth="0" w:num="1">
            <w:col w:w="11000"/>
          </w:cols>
          <w:pgMar w:left="440" w:top="270" w:right="459" w:bottom="1440" w:gutter="0" w:footer="0" w:header="0"/>
        </w:sectPr>
      </w:pPr>
    </w:p>
    <w:bookmarkStart w:id="5" w:name="page6"/>
    <w:bookmarkEnd w:id="5"/>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SLB maintains directors’ and officers’ liability insurance that insures against certain liabilities that the officers and directors of SLB may incur in such capacities.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a part of this Registration Statement or incorporated by reference herein:</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Articles of Incorporation of Schlumberger Limited (Schlumberger N.V.), as last amended on April 6, 2016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6"/>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Exhibit 3.1 to SLB’s Current Report on Form 8-K filed on April 6, 2016)</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By-Laws of Schlumberger Limited (Schlumberger N.V.) (incorporated by reference to Exhibit 3 to SLB’s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6"/>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Report on Form 8-K filed April 21,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44" w:hanging="1044"/>
        <w:spacing w:after="0"/>
        <w:tabs>
          <w:tab w:leader="none" w:pos="10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Opinion of STvB Advocaten (Europe), N.V.</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23.1</w:t>
            </w: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r>
              <w:rPr>
                <w:rFonts w:ascii="Times New Roman" w:cs="Times New Roman" w:eastAsia="Times New Roman" w:hAnsi="Times New Roman"/>
                <w:sz w:val="18"/>
                <w:szCs w:val="18"/>
                <w:color w:val="000000"/>
              </w:rPr>
              <w:t>.</w:t>
            </w:r>
          </w:p>
        </w:tc>
      </w:tr>
      <w:tr>
        <w:trPr>
          <w:trHeight w:val="20"/>
        </w:trPr>
        <w:tc>
          <w:tcPr>
            <w:tcW w:w="104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23.2</w:t>
            </w:r>
          </w:p>
        </w:tc>
        <w:tc>
          <w:tcPr>
            <w:tcW w:w="4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STvB Advocaten (Europe), N.V. (included in Exhibit 5).</w:t>
            </w:r>
          </w:p>
        </w:tc>
      </w:tr>
    </w:tbl>
    <w:p>
      <w:pPr>
        <w:spacing w:after="0" w:line="117" w:lineRule="exact"/>
        <w:rPr>
          <w:sz w:val="20"/>
          <w:szCs w:val="20"/>
          <w:color w:val="auto"/>
        </w:rPr>
      </w:pPr>
    </w:p>
    <w:p>
      <w:pPr>
        <w:ind w:left="1044" w:hanging="1044"/>
        <w:spacing w:after="0"/>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1044" w:right="120" w:hanging="1044"/>
        <w:spacing w:after="0" w:line="282" w:lineRule="auto"/>
        <w:tabs>
          <w:tab w:leader="none" w:pos="1044" w:val="left"/>
        </w:tabs>
        <w:numPr>
          <w:ilvl w:val="0"/>
          <w:numId w:val="5"/>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SLB Discounted Stock Purchase Plan, as amended and restated effective January 16, 2025 (incorporated by reference to Appendix B to</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the Proxy Statement).</w:t>
        </w:r>
      </w:hyperlink>
    </w:p>
    <w:p>
      <w:pPr>
        <w:spacing w:after="0" w:line="54" w:lineRule="exact"/>
        <w:rPr>
          <w:rFonts w:ascii="Times New Roman" w:cs="Times New Roman" w:eastAsia="Times New Roman" w:hAnsi="Times New Roman"/>
          <w:sz w:val="18"/>
          <w:szCs w:val="18"/>
          <w:color w:val="auto"/>
        </w:rPr>
      </w:pPr>
    </w:p>
    <w:p>
      <w:pPr>
        <w:ind w:left="1044" w:hanging="1044"/>
        <w:spacing w:after="0"/>
        <w:tabs>
          <w:tab w:leader="none" w:pos="10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29"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Undertakings.</w:t>
      </w:r>
    </w:p>
    <w:p>
      <w:pPr>
        <w:spacing w:after="0" w:line="13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984" w:firstLine="408"/>
        <w:spacing w:after="0" w:line="258" w:lineRule="auto"/>
        <w:tabs>
          <w:tab w:leader="none" w:pos="165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44"/>
          </w:cols>
          <w:pgMar w:left="436" w:top="270" w:right="519" w:bottom="1440" w:gutter="0" w:footer="0" w:header="0"/>
        </w:sectPr>
      </w:pPr>
    </w:p>
    <w:bookmarkStart w:id="6" w:name="page7"/>
    <w:bookmarkEnd w:id="6"/>
    <w:p>
      <w:pPr>
        <w:ind w:left="54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reflected in the form of prospectus filed with the Commission pursuant to Rule 424(b) of the Securities Act of 1933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68" w:lineRule="exact"/>
        <w:rPr>
          <w:sz w:val="20"/>
          <w:szCs w:val="20"/>
          <w:color w:val="auto"/>
        </w:rPr>
      </w:pPr>
    </w:p>
    <w:p>
      <w:pPr>
        <w:ind w:left="544" w:right="80" w:firstLine="408"/>
        <w:spacing w:after="0" w:line="282" w:lineRule="auto"/>
        <w:tabs>
          <w:tab w:leader="none" w:pos="1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of this item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4" w:lineRule="exact"/>
        <w:rPr>
          <w:sz w:val="20"/>
          <w:szCs w:val="20"/>
          <w:color w:val="auto"/>
        </w:rPr>
      </w:pPr>
    </w:p>
    <w:p>
      <w:pPr>
        <w:jc w:val="both"/>
        <w:ind w:left="4" w:right="40" w:firstLine="419"/>
        <w:spacing w:after="0" w:line="266"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4" w:right="220" w:firstLine="419"/>
        <w:spacing w:after="0" w:line="282"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436" w:right="20" w:firstLine="436"/>
        <w:spacing w:after="0" w:line="254"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584"/>
          </w:cols>
          <w:pgMar w:left="876" w:top="270"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June 30,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07"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8"/>
          <w:szCs w:val="18"/>
          <w:color w:val="auto"/>
        </w:rPr>
        <w:t>By: /s/ H</w:t>
      </w:r>
      <w:r>
        <w:rPr>
          <w:rFonts w:ascii="Times New Roman" w:cs="Times New Roman" w:eastAsia="Times New Roman" w:hAnsi="Times New Roman"/>
          <w:sz w:val="14"/>
          <w:szCs w:val="14"/>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Howard Guild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June 30, 2025 in the capacities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1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Olivier Le Peuch</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Jim Hackett</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4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1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Stephane Biguet</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Samuel Leupold</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45"/>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UILD</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1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Howard Guild</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Maria Moræus Hanssen</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4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1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Peter Coleman</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Vanitha Narayanan</w:t>
            </w:r>
          </w:p>
        </w:tc>
      </w:t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4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1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Patrick de La Chevardière</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Jeff W. Sheets</w:t>
            </w:r>
          </w:p>
        </w:tc>
      </w:t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45"/>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5"/>
        </w:trPr>
        <w:tc>
          <w:tcPr>
            <w:tcW w:w="51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Miguel M. Galuccio</w:t>
            </w: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73"/>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By:  /s/ D</w:t>
            </w:r>
            <w:r>
              <w:rPr>
                <w:rFonts w:ascii="Times New Roman" w:cs="Times New Roman" w:eastAsia="Times New Roman" w:hAnsi="Times New Roman"/>
                <w:sz w:val="14"/>
                <w:szCs w:val="14"/>
                <w:color w:val="auto"/>
              </w:rPr>
              <w:t>IANNE</w:t>
            </w:r>
            <w:r>
              <w:rPr>
                <w:rFonts w:ascii="Times New Roman" w:cs="Times New Roman" w:eastAsia="Times New Roman" w:hAnsi="Times New Roman"/>
                <w:sz w:val="18"/>
                <w:szCs w:val="18"/>
                <w:color w:val="auto"/>
              </w:rPr>
              <w:t xml:space="preserve"> B. R</w:t>
            </w:r>
            <w:r>
              <w:rPr>
                <w:rFonts w:ascii="Times New Roman" w:cs="Times New Roman" w:eastAsia="Times New Roman" w:hAnsi="Times New Roman"/>
                <w:sz w:val="14"/>
                <w:szCs w:val="14"/>
                <w:color w:val="auto"/>
              </w:rPr>
              <w:t>ALSTON</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3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Dianne B. Ralston</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 and Secretary (Attorney-in-Fact</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Authorized Representative in the U.S.)</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78"/>
        </w:trPr>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- 7 -</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Amsterdam, 30 June 2025</w:t>
      </w:r>
    </w:p>
    <w:p>
      <w:pPr>
        <w:spacing w:after="0" w:line="24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Schlumberger N.V.</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We have acted as Curaçao legal counsel for Schlumberger N.V. (also referred to as Schlumberger Limited), a corporation with limited liability organized</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existing under the laws of Curaçao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of 24,000,000 shares of the Company’s common stock, par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value US$0.01 per share to be traded on the New York Stock Exchange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pursuant to the SLB Discounted Stock Purchase Plan,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amended and restated effective 16 January 2025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We understand that a registration statement on Form S-8 relating to the Plan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is being filed by the Company with the Securities and Exchange Commission under the Securities Act of 1933, as amended.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Curaçao legal counsel for the Company we have examined and relied upon the following documents in original, photo static or facsimile form:</w:t>
      </w:r>
    </w:p>
    <w:p>
      <w:pPr>
        <w:spacing w:after="0" w:line="131"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Plan;</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Articles of Incorporation of the Company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as presently in effect;</w:t>
      </w:r>
    </w:p>
    <w:p>
      <w:pPr>
        <w:spacing w:after="0" w:line="134"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as, according to the Secretary Certificate (as defined below), in full force and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obtained online on 30 June 2025 from the Curaçao Commercial Register, relating to the registration of the Company;</w:t>
      </w:r>
    </w:p>
    <w:p>
      <w:pPr>
        <w:sectPr>
          <w:pgSz w:w="11900" w:h="16838" w:orient="portrait"/>
          <w:cols w:equalWidth="0" w:num="1">
            <w:col w:w="11024"/>
          </w:cols>
          <w:pgMar w:left="436" w:top="117"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June 2025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24" w:right="2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annual general meeting of shareholders of the Company as according to the Secretary Certificate held on 2 April 2025 </w:t>
      </w:r>
      <w:r>
        <w:rPr>
          <w:rFonts w:ascii="Times New Roman" w:cs="Times New Roman" w:eastAsia="Times New Roman" w:hAnsi="Times New Roman"/>
          <w:sz w:val="18"/>
          <w:szCs w:val="18"/>
          <w:i w:val="1"/>
          <w:iCs w:val="1"/>
          <w:color w:val="auto"/>
        </w:rPr>
        <w:t xml:space="preserve">inter alia </w:t>
      </w:r>
      <w:r>
        <w:rPr>
          <w:rFonts w:ascii="Times New Roman" w:cs="Times New Roman" w:eastAsia="Times New Roman" w:hAnsi="Times New Roman"/>
          <w:sz w:val="18"/>
          <w:szCs w:val="18"/>
          <w:color w:val="auto"/>
        </w:rPr>
        <w:t>including the resolution to approve the amendment and restatement of the SLB Discounted Stock Purchase Plan effective 16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24" w:right="80" w:hanging="424"/>
        <w:spacing w:after="0" w:line="268"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according to the Secretary Certificate adopted on 16 January 2025 providing for the issuance of the Shares under the Plan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and the Shareholders Resolutions together with the Board Resolutions,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executed by the Assistant Secretary of the Company, dated 30 June 2025 with attached thereto a copy of the Resolutions, the Articles of Association and the Bylaws (the “</w:t>
      </w:r>
      <w:r>
        <w:rPr>
          <w:rFonts w:ascii="Times New Roman" w:cs="Times New Roman" w:eastAsia="Times New Roman" w:hAnsi="Times New Roman"/>
          <w:sz w:val="18"/>
          <w:szCs w:val="18"/>
          <w:b w:val="1"/>
          <w:bCs w:val="1"/>
          <w:color w:val="auto"/>
        </w:rPr>
        <w:t>Secretary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our examination of the documents referred to above and in expressing our opinion, we have assumed without independent verification of any kind:</w:t>
      </w:r>
    </w:p>
    <w:p>
      <w:pPr>
        <w:spacing w:after="0" w:line="131"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all documents we have reviewed;</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originals of all documents submitted to us as copies.</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Times New Roman" w:cs="Times New Roman" w:eastAsia="Times New Roman" w:hAnsi="Times New Roman"/>
          <w:sz w:val="18"/>
          <w:szCs w:val="18"/>
          <w:i w:val="1"/>
          <w:iCs w:val="1"/>
          <w:u w:val="single" w:color="auto"/>
          <w:color w:val="auto"/>
        </w:rPr>
        <w:t>Hoge Raad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Nederlanden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and having due regard for such legal considerations as we deem relevant, we are of the opinion that:</w:t>
      </w:r>
    </w:p>
    <w:p>
      <w:pPr>
        <w:spacing w:after="0" w:line="67" w:lineRule="exact"/>
        <w:rPr>
          <w:sz w:val="20"/>
          <w:szCs w:val="20"/>
          <w:color w:val="auto"/>
        </w:rPr>
      </w:pPr>
    </w:p>
    <w:p>
      <w:pPr>
        <w:ind w:left="424" w:right="100" w:hanging="424"/>
        <w:spacing w:after="0" w:line="261"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85"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and delivery of the Shares from time to time pursuant to and in accordance with the terms of the Plan, for consideration at least equal to the par value thereof, such Shares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personal liability will attach to the holders of the Shares under the laws of Curaçao by reason of their being stockholders of the Company.</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approvals, authorizations or other orders of Curaçao governmental authorities are legally required for the issuance of the Shares by the Company.</w:t>
      </w:r>
    </w:p>
    <w:p>
      <w:pPr>
        <w:sectPr>
          <w:pgSz w:w="11900" w:h="16838" w:orient="portrait"/>
          <w:cols w:equalWidth="0" w:num="1">
            <w:col w:w="11004"/>
          </w:cols>
          <w:pgMar w:left="436"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 June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may not read as extending by implication to any matters not specifically referred to herein, including tax matters.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STvB Advocaten (Europe) N.V.</w:t>
      </w:r>
    </w:p>
    <w:p>
      <w:pPr>
        <w:sectPr>
          <w:pgSz w:w="11900" w:h="16838" w:orient="portrait"/>
          <w:cols w:equalWidth="0" w:num="1">
            <w:col w:w="10960"/>
          </w:cols>
          <w:pgMar w:left="440" w:top="270"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Schlumberger Limited of our report dated January 22, 2025 relating to the financial statements and the effectiveness of internal control over financial reporting, which appears in Schlumberger Limited’s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ectPr>
          <w:pgSz w:w="11900" w:h="16838" w:orient="portrait"/>
          <w:cols w:equalWidth="0" w:num="1">
            <w:col w:w="11020"/>
          </w:cols>
          <w:pgMar w:left="440" w:top="117"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Each of the undersigned, being a director or officer, or both, of Schlumberger Limited, a Curaçao corporation (the “Company”), hereby constitutes and appoints Howard Guild or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with respect to the registration of 24,000,000 shares of common stock, par value $0.01 per share, of the Company (the “Shares”) to be offered and issued under the SLB Discounted Stock Purchase Plan, as amended and restated effective January 16, 2025, on Form S-8, any amendments thereto, and all post-effective amendments and supplements to this Registration Statement for the registration of the Shares;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this Registration Statement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20"/>
          </w:cols>
          <w:pgMar w:left="440" w:top="117" w:right="4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2025</w:t>
      </w:r>
    </w:p>
    <w:p>
      <w:pPr>
        <w:spacing w:after="0" w:line="200" w:lineRule="exact"/>
        <w:rPr>
          <w:sz w:val="20"/>
          <w:szCs w:val="20"/>
          <w:color w:val="auto"/>
        </w:rPr>
      </w:pPr>
    </w:p>
    <w:p>
      <w:pPr>
        <w:spacing w:after="0" w:line="26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Peter Coleman</w:t>
      </w:r>
    </w:p>
    <w:p>
      <w:pPr>
        <w:spacing w:after="0" w:line="2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Patrick de La Chevardière</w:t>
      </w:r>
    </w:p>
    <w:p>
      <w:pPr>
        <w:spacing w:after="0" w:line="2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Miguel M. Galuccio</w:t>
      </w:r>
    </w:p>
    <w:p>
      <w:pPr>
        <w:spacing w:after="0" w:line="2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 Jim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Jim Hackett</w:t>
      </w:r>
    </w:p>
    <w:p>
      <w:pPr>
        <w:spacing w:after="0" w:line="2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Olivier Le Peuch</w:t>
      </w:r>
    </w:p>
    <w:p>
      <w:pPr>
        <w:spacing w:after="0" w:line="27"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17145</wp:posOffset>
            </wp:positionV>
            <wp:extent cx="3282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Samuel Leupold</w:t>
      </w:r>
    </w:p>
    <w:p>
      <w:pPr>
        <w:spacing w:after="0" w:line="27"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17145</wp:posOffset>
            </wp:positionV>
            <wp:extent cx="3282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Maria Moræus Hanssen</w:t>
      </w:r>
    </w:p>
    <w:p>
      <w:pPr>
        <w:spacing w:after="0" w:line="27"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17145</wp:posOffset>
            </wp:positionV>
            <wp:extent cx="3282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Vanitha Narayanan</w:t>
      </w:r>
    </w:p>
    <w:p>
      <w:pPr>
        <w:spacing w:after="0" w:line="27"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17145</wp:posOffset>
            </wp:positionV>
            <wp:extent cx="3282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Jeff W. Sheets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w:t>
      </w:r>
    </w:p>
    <w:p>
      <w:pPr>
        <w:spacing w:after="0" w:line="1104" w:lineRule="exact"/>
        <w:rPr>
          <w:sz w:val="20"/>
          <w:szCs w:val="20"/>
          <w:color w:val="auto"/>
        </w:rPr>
      </w:pPr>
    </w:p>
    <w:p>
      <w:pPr>
        <w:sectPr>
          <w:pgSz w:w="11900" w:h="16838" w:orient="portrait"/>
          <w:cols w:equalWidth="0" w:num="2">
            <w:col w:w="6740" w:space="720"/>
            <w:col w:w="3560"/>
          </w:cols>
          <w:pgMar w:left="440" w:top="117" w:right="439" w:bottom="1440" w:gutter="0" w:footer="0" w:header="0"/>
          <w:type w:val="continuous"/>
        </w:sectPr>
      </w:pPr>
    </w:p>
    <w:p>
      <w:pPr>
        <w:spacing w:after="0" w:line="2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3214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Stephane Biguet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020"/>
          </w:cols>
          <w:pgMar w:left="440" w:top="117" w:right="439" w:bottom="1440" w:gutter="0" w:footer="0" w:header="0"/>
          <w:type w:val="continuous"/>
        </w:sectPr>
      </w:pPr>
    </w:p>
    <w:bookmarkStart w:id="13" w:name="page14"/>
    <w:bookmarkEnd w:id="13"/>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SCHLUMBERGER LIMITED/NV</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Security</w:t>
            </w:r>
          </w:p>
        </w:tc>
        <w:tc>
          <w:tcPr>
            <w:tcW w:w="4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Pr>
          <w:p>
            <w:pPr>
              <w:spacing w:after="0"/>
              <w:rPr>
                <w:sz w:val="24"/>
                <w:szCs w:val="24"/>
                <w:color w:val="auto"/>
              </w:rPr>
            </w:pPr>
          </w:p>
        </w:tc>
        <w:tc>
          <w:tcPr>
            <w:tcW w:w="1140" w:type="dxa"/>
            <w:vAlign w:val="bottom"/>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4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4"/>
                <w:szCs w:val="24"/>
                <w:color w:val="auto"/>
              </w:rPr>
            </w:pPr>
          </w:p>
        </w:tc>
        <w:tc>
          <w:tcPr>
            <w:tcW w:w="15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3"/>
              </w:rPr>
              <w:t>Type</w:t>
            </w:r>
          </w:p>
        </w:tc>
        <w:tc>
          <w:tcPr>
            <w:tcW w:w="4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Calculation</w:t>
            </w:r>
          </w:p>
        </w:tc>
        <w:tc>
          <w:tcPr>
            <w:tcW w:w="40" w:type="dxa"/>
            <w:vAlign w:val="bottom"/>
          </w:tcPr>
          <w:p>
            <w:pPr>
              <w:spacing w:after="0"/>
              <w:rPr>
                <w:sz w:val="21"/>
                <w:szCs w:val="21"/>
                <w:color w:val="auto"/>
              </w:rPr>
            </w:pPr>
          </w:p>
        </w:tc>
        <w:tc>
          <w:tcPr>
            <w:tcW w:w="114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w w:val="96"/>
              </w:rPr>
              <w:t>Registered</w:t>
            </w:r>
          </w:p>
        </w:tc>
        <w:tc>
          <w:tcPr>
            <w:tcW w:w="40" w:type="dxa"/>
            <w:vAlign w:val="bottom"/>
          </w:tcPr>
          <w:p>
            <w:pPr>
              <w:spacing w:after="0"/>
              <w:rPr>
                <w:sz w:val="21"/>
                <w:szCs w:val="21"/>
                <w:color w:val="auto"/>
              </w:rPr>
            </w:pPr>
          </w:p>
        </w:tc>
        <w:tc>
          <w:tcPr>
            <w:tcW w:w="13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Offering</w:t>
            </w:r>
          </w:p>
        </w:tc>
        <w:tc>
          <w:tcPr>
            <w:tcW w:w="20" w:type="dxa"/>
            <w:vAlign w:val="bottom"/>
          </w:tcPr>
          <w:p>
            <w:pPr>
              <w:spacing w:after="0"/>
              <w:rPr>
                <w:sz w:val="21"/>
                <w:szCs w:val="21"/>
                <w:color w:val="auto"/>
              </w:rPr>
            </w:pPr>
          </w:p>
        </w:tc>
        <w:tc>
          <w:tcPr>
            <w:tcW w:w="15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Aggregate</w:t>
            </w: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21"/>
                <w:szCs w:val="21"/>
                <w:color w:val="auto"/>
              </w:rPr>
            </w:pPr>
          </w:p>
        </w:tc>
        <w:tc>
          <w:tcPr>
            <w:tcW w:w="14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Rule</w:t>
            </w:r>
          </w:p>
        </w:tc>
        <w:tc>
          <w:tcPr>
            <w:tcW w:w="4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2"/>
                <w:szCs w:val="12"/>
                <w:color w:val="auto"/>
              </w:rPr>
            </w:pPr>
          </w:p>
        </w:tc>
        <w:tc>
          <w:tcPr>
            <w:tcW w:w="158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20" w:type="dxa"/>
            <w:vAlign w:val="bottom"/>
          </w:tcPr>
          <w:p>
            <w:pPr>
              <w:spacing w:after="0"/>
              <w:rPr>
                <w:sz w:val="24"/>
                <w:szCs w:val="24"/>
                <w:color w:val="auto"/>
              </w:rPr>
            </w:pPr>
          </w:p>
        </w:tc>
        <w:tc>
          <w:tcPr>
            <w:tcW w:w="1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jc w:val="center"/>
              <w:spacing w:after="0" w:line="230" w:lineRule="exact"/>
              <w:rPr>
                <w:sz w:val="20"/>
                <w:szCs w:val="20"/>
                <w:color w:val="auto"/>
              </w:rPr>
            </w:pPr>
            <w:r>
              <w:rPr>
                <w:rFonts w:ascii="Arial" w:cs="Arial" w:eastAsia="Arial" w:hAnsi="Arial"/>
                <w:sz w:val="22"/>
                <w:szCs w:val="22"/>
                <w:color w:val="auto"/>
                <w:w w:val="96"/>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40" w:type="dxa"/>
            <w:vAlign w:val="bottom"/>
          </w:tcPr>
          <w:p>
            <w:pPr>
              <w:spacing w:after="0"/>
              <w:rPr>
                <w:sz w:val="10"/>
                <w:szCs w:val="10"/>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6"/>
              </w:rPr>
              <w:t>$0.01 par</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Other</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24,000,000</w:t>
            </w:r>
          </w:p>
        </w:tc>
        <w:tc>
          <w:tcPr>
            <w:tcW w:w="40" w:type="dxa"/>
            <w:vAlign w:val="bottom"/>
          </w:tcPr>
          <w:p>
            <w:pPr>
              <w:spacing w:after="0"/>
              <w:rPr>
                <w:sz w:val="10"/>
                <w:szCs w:val="1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$ 28.38</w:t>
            </w: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$ 104,279.47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681,120,000.00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E7E7E2"/>
          </w:tcPr>
          <w:p>
            <w:pPr>
              <w:jc w:val="center"/>
              <w:spacing w:after="0" w:line="149"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$ 104,279.47</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681,120,000.00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$ 104,279.47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240" w:hanging="232"/>
        <w:spacing w:after="0" w:line="228" w:lineRule="auto"/>
        <w:tabs>
          <w:tab w:leader="none" w:pos="240" w:val="left"/>
        </w:tabs>
        <w:numPr>
          <w:ilvl w:val="0"/>
          <w:numId w:val="16"/>
        </w:numPr>
        <w:rPr>
          <w:rFonts w:ascii="Arial" w:cs="Arial" w:eastAsia="Arial" w:hAnsi="Arial"/>
          <w:sz w:val="27"/>
          <w:szCs w:val="27"/>
          <w:color w:val="auto"/>
          <w:vertAlign w:val="superscript"/>
        </w:rPr>
      </w:pPr>
      <w:r>
        <w:rPr>
          <w:rFonts w:ascii="Arial" w:cs="Arial" w:eastAsia="Arial" w:hAnsi="Arial"/>
          <w:sz w:val="22"/>
          <w:szCs w:val="22"/>
          <w:color w:val="auto"/>
        </w:rPr>
        <w:t>(1) Pursuant to Rule 416(a) under the Securities Act of 1933, as amended (the "Securities Act"), this Registration Statement shall also include such additional indeterminate number of shares of common stock of Schlumberger Limited (Schlumberger N.V.) ("SLB") that may become issuable under the SLB Discounted Stock Purchase Plan (as amended and restated, the "Plan") as a result of stock splits, stock dividends or similar transactions. (2) Estimated solely for the purpose of calculating the registration fee pursuant to Rule 457(c) and 457(h)(1) of the Securities Act, based on a 15% discount from the average of the high and low prices for shares of common stock of SLB reported on the New York Stock Exchange on June 25, 2025, which is the discount applicable to purchasers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85725</wp:posOffset>
            </wp:positionV>
            <wp:extent cx="697738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020"/>
      </w:cols>
      <w:pgMar w:left="360" w:top="14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1"/>
      <w:numFmt w:val="decimal"/>
      <w:start w:val="24"/>
    </w:lvl>
  </w:abstractNum>
  <w:abstractNum w:abstractNumId="4">
    <w:nsid w:val="216231B"/>
    <w:multiLevelType w:val="hybridMultilevel"/>
    <w:lvl w:ilvl="0">
      <w:lvlJc w:val="left"/>
      <w:lvlText w:val="%1"/>
      <w:numFmt w:val="decimal"/>
      <w:start w:val="99"/>
    </w:lvl>
  </w:abstractNum>
  <w:abstractNum w:abstractNumId="5">
    <w:nsid w:val="1F16E9E8"/>
    <w:multiLevelType w:val="hybridMultilevel"/>
    <w:lvl w:ilvl="0">
      <w:lvlJc w:val="left"/>
      <w:lvlText w:val="%1"/>
      <w:numFmt w:val="decimal"/>
      <w:start w:val="107"/>
    </w:lvl>
  </w:abstractNum>
  <w:abstractNum w:abstractNumId="6">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lowerLetter"/>
      <w:start w:val="1"/>
    </w:lvl>
    <w:lvl w:ilvl="1">
      <w:lvlJc w:val="left"/>
      <w:lvlText w:val="(%2)"/>
      <w:numFmt w:val="decimal"/>
      <w:start w:val="2"/>
    </w:lvl>
  </w:abstractNum>
  <w:abstractNum w:abstractNumId="9">
    <w:nsid w:val="3352255A"/>
    <w:multiLevelType w:val="hybridMultilevel"/>
    <w:lvl w:ilvl="0">
      <w:lvlJc w:val="left"/>
      <w:lvlText w:val="(%1)"/>
      <w:numFmt w:val="lowerLetter"/>
      <w:start w:val="2"/>
    </w:lvl>
    <w:lvl w:ilvl="1">
      <w:lvlJc w:val="left"/>
      <w:lvlText w:val="%2"/>
      <w:numFmt w:val="decimal"/>
      <w:start w:val="1"/>
    </w:lvl>
  </w:abstractNum>
  <w:abstractNum w:abstractNumId="10">
    <w:nsid w:val="109CF92E"/>
    <w:multiLevelType w:val="hybridMultilevel"/>
    <w:lvl w:ilvl="0">
      <w:lvlJc w:val="left"/>
      <w:lvlText w:val="(%1)"/>
      <w:numFmt w:val="lowerLetter"/>
      <w:start w:val="8"/>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6"/>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18" Type="http://schemas.openxmlformats.org/officeDocument/2006/relationships/hyperlink" Target="http://www.sec.gov/ix?doc=/Archives/edgar/data/87347/000095017025007638/slb-20241231.htm" TargetMode="External"/><Relationship Id="rId19" Type="http://schemas.openxmlformats.org/officeDocument/2006/relationships/hyperlink" Target="http://www.sec.gov/ix?doc=/Archives/edgar/data/87347/000130817925000029/slb012574-def14a.htm" TargetMode="External"/><Relationship Id="rId20" Type="http://schemas.openxmlformats.org/officeDocument/2006/relationships/hyperlink" Target="http://www.sec.gov/ix?doc=/Archives/edgar/data/87347/000095017025058413/slb-20250331.htm" TargetMode="External"/><Relationship Id="rId21" Type="http://schemas.openxmlformats.org/officeDocument/2006/relationships/hyperlink" Target="http://www.sec.gov/ix?doc=/Archives/edgar/data/87347/000119312525071311/d846348d8k.htm" TargetMode="External"/><Relationship Id="rId22" Type="http://schemas.openxmlformats.org/officeDocument/2006/relationships/hyperlink" Target="http://www.sec.gov/ix?doc=/Archives/edgar/data/87347/000119312525075898/d920872d8k.htm" TargetMode="External"/><Relationship Id="rId23" Type="http://schemas.openxmlformats.org/officeDocument/2006/relationships/hyperlink" Target="http://www.sec.gov/Archives/edgar/data/87347/000156459021002477/slb-ex41_56.htm" TargetMode="External"/><Relationship Id="rId27" Type="http://schemas.openxmlformats.org/officeDocument/2006/relationships/hyperlink" Target="http://www.sec.gov/Archives/edgar/data/87347/000119312516532046/d176097dex31.htm" TargetMode="External"/><Relationship Id="rId28" Type="http://schemas.openxmlformats.org/officeDocument/2006/relationships/hyperlink" Target="http://www.sec.gov/Archives/edgar/data/87347/000119312523110532/d470769dex3.htm" TargetMode="External"/><Relationship Id="rId29" Type="http://schemas.openxmlformats.org/officeDocument/2006/relationships/hyperlink" Target="http://www.sec.gov/Archives/edgar/data/87347/000130817925000029/slb012574-def14a.htm#lslba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2025-07-01T05:17:08Z</dcterms:created>
  <dcterms:modified xsi:type="dcterms:W3CDTF">2025-07-01T05:17:08Z</dcterms:modified>
</cp:coreProperties>
</file>