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color w:val="auto"/>
        </w:rPr>
        <w:t>Filed by Schlumberger N.V.</w:t>
      </w:r>
    </w:p>
    <w:p>
      <w:pPr>
        <w:spacing w:after="0" w:line="14" w:lineRule="exact"/>
        <w:rPr>
          <w:sz w:val="24"/>
          <w:szCs w:val="24"/>
          <w:color w:val="auto"/>
        </w:rPr>
      </w:pPr>
    </w:p>
    <w:p>
      <w:pPr>
        <w:jc w:val="right"/>
        <w:ind w:right="60"/>
        <w:spacing w:after="0"/>
        <w:rPr>
          <w:sz w:val="20"/>
          <w:szCs w:val="20"/>
          <w:color w:val="auto"/>
        </w:rPr>
      </w:pPr>
      <w:r>
        <w:rPr>
          <w:rFonts w:ascii="Arial" w:cs="Arial" w:eastAsia="Arial" w:hAnsi="Arial"/>
          <w:sz w:val="17"/>
          <w:szCs w:val="17"/>
          <w:color w:val="auto"/>
        </w:rPr>
        <w:t>pursuant to Rule 425 under the Securities Act of 1933</w:t>
      </w:r>
    </w:p>
    <w:p>
      <w:pPr>
        <w:spacing w:after="0" w:line="3" w:lineRule="exact"/>
        <w:rPr>
          <w:sz w:val="24"/>
          <w:szCs w:val="24"/>
          <w:color w:val="auto"/>
        </w:rPr>
      </w:pPr>
    </w:p>
    <w:p>
      <w:pPr>
        <w:jc w:val="right"/>
        <w:ind w:right="60"/>
        <w:spacing w:after="0"/>
        <w:rPr>
          <w:sz w:val="20"/>
          <w:szCs w:val="20"/>
          <w:color w:val="auto"/>
        </w:rPr>
      </w:pPr>
      <w:r>
        <w:rPr>
          <w:rFonts w:ascii="Arial" w:cs="Arial" w:eastAsia="Arial" w:hAnsi="Arial"/>
          <w:sz w:val="18"/>
          <w:szCs w:val="18"/>
          <w:color w:val="auto"/>
        </w:rPr>
        <w:t>and deemed filed pursuant to Rule 14a-12</w:t>
      </w:r>
    </w:p>
    <w:p>
      <w:pPr>
        <w:jc w:val="right"/>
        <w:ind w:right="60"/>
        <w:spacing w:after="0" w:line="234" w:lineRule="auto"/>
        <w:rPr>
          <w:sz w:val="20"/>
          <w:szCs w:val="20"/>
          <w:color w:val="auto"/>
        </w:rPr>
      </w:pPr>
      <w:r>
        <w:rPr>
          <w:rFonts w:ascii="Arial" w:cs="Arial" w:eastAsia="Arial" w:hAnsi="Arial"/>
          <w:sz w:val="18"/>
          <w:szCs w:val="18"/>
          <w:color w:val="auto"/>
        </w:rPr>
        <w:t>under the Securities Exchange Act of 1934</w:t>
      </w:r>
    </w:p>
    <w:p>
      <w:pPr>
        <w:jc w:val="right"/>
        <w:ind w:right="60"/>
        <w:spacing w:after="0" w:line="235" w:lineRule="auto"/>
        <w:rPr>
          <w:sz w:val="20"/>
          <w:szCs w:val="20"/>
          <w:color w:val="auto"/>
        </w:rPr>
      </w:pPr>
      <w:r>
        <w:rPr>
          <w:rFonts w:ascii="Arial" w:cs="Arial" w:eastAsia="Arial" w:hAnsi="Arial"/>
          <w:sz w:val="18"/>
          <w:szCs w:val="18"/>
          <w:color w:val="auto"/>
        </w:rPr>
        <w:t>Subject Company: ChampionX Corporation</w:t>
      </w:r>
    </w:p>
    <w:p>
      <w:pPr>
        <w:jc w:val="right"/>
        <w:ind w:right="60"/>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991235</wp:posOffset>
            </wp:positionH>
            <wp:positionV relativeFrom="paragraph">
              <wp:posOffset>151765</wp:posOffset>
            </wp:positionV>
            <wp:extent cx="4225925" cy="4800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25925" cy="480060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757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757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688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688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303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448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44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60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4"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w:t>
      </w:r>
    </w:p>
    <w:p>
      <w:pPr>
        <w:sectPr>
          <w:pgSz w:w="11900" w:h="16838" w:orient="portrait"/>
          <w:cols w:equalWidth="0" w:num="1">
            <w:col w:w="10880"/>
          </w:cols>
          <w:pgMar w:left="440" w:top="1440" w:right="579" w:bottom="1440" w:gutter="0" w:footer="0" w:header="0"/>
        </w:sectPr>
      </w:pPr>
    </w:p>
    <w:bookmarkStart w:id="6" w:name="page7"/>
    <w:bookmarkEnd w:id="6"/>
    <w:p>
      <w:pPr>
        <w:jc w:val="both"/>
        <w:ind w:right="18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74"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0"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jc w:val="both"/>
        <w:ind w:right="100" w:firstLine="440"/>
        <w:spacing w:after="0" w:line="253"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w:t>
      </w:r>
    </w:p>
    <w:p>
      <w:pPr>
        <w:sectPr>
          <w:pgSz w:w="11900" w:h="16838" w:orient="portrait"/>
          <w:cols w:equalWidth="0" w:num="1">
            <w:col w:w="11000"/>
          </w:cols>
          <w:pgMar w:left="440" w:top="269"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General Meeting of Stockholders (https://www.sec.gov/ix?</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doc=/Archives/edgar/data/0000087347/000130817924000033/lslb2024_def14a.htm), which was filed with the SEC on February 22, 2024,</w:t>
      </w:r>
    </w:p>
    <w:p>
      <w:pPr>
        <w:ind w:left="4"/>
        <w:spacing w:after="0" w:line="234" w:lineRule="auto"/>
        <w:rPr>
          <w:sz w:val="20"/>
          <w:szCs w:val="20"/>
          <w:color w:val="auto"/>
        </w:rPr>
      </w:pPr>
      <w:r>
        <w:rPr>
          <w:rFonts w:ascii="Arial" w:cs="Arial" w:eastAsia="Arial" w:hAnsi="Arial"/>
          <w:sz w:val="18"/>
          <w:szCs w:val="18"/>
          <w:color w:val="auto"/>
        </w:rPr>
        <w:t>including under the sections entitled “Director Compensation”, “Security Ownership by Management and Our Board”, “Compensation</w:t>
      </w:r>
    </w:p>
    <w:p>
      <w:pPr>
        <w:ind w:left="4"/>
        <w:spacing w:after="0" w:line="235" w:lineRule="auto"/>
        <w:rPr>
          <w:sz w:val="20"/>
          <w:szCs w:val="20"/>
          <w:color w:val="auto"/>
        </w:rPr>
      </w:pPr>
      <w:r>
        <w:rPr>
          <w:rFonts w:ascii="Arial" w:cs="Arial" w:eastAsia="Arial" w:hAnsi="Arial"/>
          <w:sz w:val="18"/>
          <w:szCs w:val="18"/>
          <w:color w:val="auto"/>
        </w:rPr>
        <w:t>Discussion and Analysis”, “2023 Compensation Decisions and Results”, “Elements of 2023 Total Compensation”, “Long-Term Equity</w:t>
      </w:r>
    </w:p>
    <w:p>
      <w:pPr>
        <w:ind w:left="4"/>
        <w:spacing w:after="0" w:line="235" w:lineRule="auto"/>
        <w:rPr>
          <w:sz w:val="20"/>
          <w:szCs w:val="20"/>
          <w:color w:val="auto"/>
        </w:rPr>
      </w:pPr>
      <w:r>
        <w:rPr>
          <w:rFonts w:ascii="Arial" w:cs="Arial" w:eastAsia="Arial" w:hAnsi="Arial"/>
          <w:sz w:val="18"/>
          <w:szCs w:val="18"/>
          <w:color w:val="auto"/>
        </w:rPr>
        <w:t>Incentive Awards”, “Executive Compensation Tables”, “Grants of Plan-Based Awards in 2023”, “Outstanding Equity Awards at Year-End</w:t>
      </w:r>
    </w:p>
    <w:p>
      <w:pPr>
        <w:ind w:left="4"/>
        <w:spacing w:after="0"/>
        <w:rPr>
          <w:sz w:val="20"/>
          <w:szCs w:val="20"/>
          <w:color w:val="auto"/>
        </w:rPr>
      </w:pPr>
      <w:r>
        <w:rPr>
          <w:rFonts w:ascii="Arial" w:cs="Arial" w:eastAsia="Arial" w:hAnsi="Arial"/>
          <w:sz w:val="17"/>
          <w:szCs w:val="17"/>
          <w:color w:val="auto"/>
        </w:rPr>
        <w:t>2023”, “Potential Payments Upon Termination or Change in Control” and “Pay vs. Performance Comparison”, and SLB’s Annual Report on</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Form 10-K for the fiscal year ended December 31, 2023 (https://www.sec.gov/ix?</w:t>
      </w:r>
    </w:p>
    <w:p>
      <w:pPr>
        <w:ind w:left="4"/>
        <w:spacing w:after="0" w:line="234" w:lineRule="auto"/>
        <w:rPr>
          <w:sz w:val="20"/>
          <w:szCs w:val="20"/>
          <w:color w:val="auto"/>
        </w:rPr>
      </w:pPr>
      <w:r>
        <w:rPr>
          <w:rFonts w:ascii="Arial" w:cs="Arial" w:eastAsia="Arial" w:hAnsi="Arial"/>
          <w:sz w:val="18"/>
          <w:szCs w:val="18"/>
          <w:color w:val="auto"/>
        </w:rPr>
        <w:t>doc=/Archives/edgar/data/0000087347/000095017024006884/slb-20231231.htm), which was filed with the SEC on January 24, 2024,</w:t>
      </w:r>
    </w:p>
    <w:p>
      <w:pPr>
        <w:ind w:left="4"/>
        <w:spacing w:after="0" w:line="235" w:lineRule="auto"/>
        <w:rPr>
          <w:sz w:val="20"/>
          <w:szCs w:val="20"/>
          <w:color w:val="auto"/>
        </w:rPr>
      </w:pPr>
      <w:r>
        <w:rPr>
          <w:rFonts w:ascii="Arial" w:cs="Arial" w:eastAsia="Arial" w:hAnsi="Arial"/>
          <w:sz w:val="18"/>
          <w:szCs w:val="18"/>
          <w:color w:val="auto"/>
        </w:rPr>
        <w:t>including under the sections entitled “Item 10. Directors, Executive Officers and Corporate Governance”, “Item 11. Executive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Compensation”, “Item 12. Security Ownership of Certain Beneficial Owners and Management and Related Stockholder Matters”, and “Item</w:t>
      </w:r>
    </w:p>
    <w:p>
      <w:pPr>
        <w:spacing w:after="0" w:line="7" w:lineRule="exact"/>
        <w:rPr>
          <w:sz w:val="20"/>
          <w:szCs w:val="20"/>
          <w:color w:val="auto"/>
        </w:rPr>
      </w:pPr>
    </w:p>
    <w:p>
      <w:pPr>
        <w:ind w:left="4" w:hanging="4"/>
        <w:spacing w:after="0" w:line="234"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 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 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8" w:lineRule="exact"/>
        <w:rPr>
          <w:rFonts w:ascii="Arial" w:cs="Arial" w:eastAsia="Arial" w:hAnsi="Arial"/>
          <w:sz w:val="18"/>
          <w:szCs w:val="18"/>
          <w:color w:val="auto"/>
        </w:rPr>
      </w:pPr>
    </w:p>
    <w:p>
      <w:pPr>
        <w:ind w:left="4" w:right="20" w:hanging="4"/>
        <w:spacing w:after="0" w:line="238" w:lineRule="auto"/>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04"/>
      </w:cols>
      <w:pgMar w:left="436"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3"/>
    </w:lvl>
  </w:abstractNum>
  <w:abstractNum w:abstractNumId="1">
    <w:nsid w:val="66334873"/>
    <w:multiLevelType w:val="hybridMultilevel"/>
    <w:lvl w:ilvl="0">
      <w:lvlJc w:val="left"/>
      <w:lvlText w:val="%1."/>
      <w:numFmt w:val="decimal"/>
      <w:start w:val="1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2024-04-02T16:14:37Z</dcterms:created>
  <dcterms:modified xsi:type="dcterms:W3CDTF">2024-04-02T16:14:37Z</dcterms:modified>
</cp:coreProperties>
</file>