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Date of Report (Date of earliest event reported): January 21, 2011</w:t>
      </w:r>
    </w:p>
    <w:p>
      <w:pPr>
        <w:spacing w:after="0" w:line="200" w:lineRule="exact"/>
        <w:rPr>
          <w:sz w:val="24"/>
          <w:szCs w:val="24"/>
          <w:color w:val="auto"/>
        </w:rPr>
      </w:pPr>
    </w:p>
    <w:p>
      <w:pPr>
        <w:jc w:val="center"/>
        <w:ind w:right="-63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63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2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121"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As previously disclosed, Schlumberger Limited (“Schlumberger” or the “Company”) will change its reporting segments beginning with its quarter ending March 31, 2011. On a Form 8-K furnished to the Securities and Exchange Commission on December 9, 2010, Schlumberger provided unaudited pro forma historical consolidated financial information (“Pro Forma Information”) on the basis of the new reporting structure, giving effect to the acquisitions of Smith International, Inc. (“Smith”) and Geoservices as if they had occurred on January 1, 2008. Schlumberger is furnishing this Form 8-K to reflect 2010 Fourth Quarter and Full Year information in the Pro Forma Information.</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Schlumberger currently reports its results on the basis of two business segments, Oilfield Services and WesternGeco, and by geographical areas within Oilfield Services. As a result of the recent acquisitions of Smith and Geoservices, Schlumberger will change its primary reporting to product group segments (the “Groups”), effective with the first quarter of 2011. The Company will also continue to report its results on a geographical basis.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Groups are as follows:</w:t>
      </w:r>
    </w:p>
    <w:p>
      <w:pPr>
        <w:spacing w:after="0" w:line="117" w:lineRule="exact"/>
        <w:rPr>
          <w:sz w:val="20"/>
          <w:szCs w:val="20"/>
          <w:color w:val="auto"/>
        </w:rPr>
      </w:pPr>
    </w:p>
    <w:p>
      <w:pPr>
        <w:ind w:left="900" w:right="260" w:hanging="446"/>
        <w:spacing w:after="0" w:line="342"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Reservoir Characterization Group</w:t>
      </w:r>
      <w:r>
        <w:rPr>
          <w:rFonts w:ascii="Arial" w:cs="Arial" w:eastAsia="Arial" w:hAnsi="Arial"/>
          <w:sz w:val="16"/>
          <w:szCs w:val="16"/>
          <w:color w:val="auto"/>
        </w:rPr>
        <w:t>: This group will consist of the principal Technologies involved in the finding and defining of hydrocarbon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deposits. These include WesternGeco, Wireline, Well Testing, Schlumberger Information Services, and Data &amp; Consulting Services.</w:t>
      </w:r>
    </w:p>
    <w:p>
      <w:pPr>
        <w:spacing w:after="0" w:line="29" w:lineRule="exact"/>
        <w:rPr>
          <w:rFonts w:ascii="Arial" w:cs="Arial" w:eastAsia="Arial" w:hAnsi="Arial"/>
          <w:sz w:val="16"/>
          <w:szCs w:val="16"/>
          <w:b w:val="1"/>
          <w:bCs w:val="1"/>
          <w:color w:val="auto"/>
        </w:rPr>
      </w:pPr>
    </w:p>
    <w:p>
      <w:pPr>
        <w:ind w:left="900" w:right="660" w:hanging="446"/>
        <w:spacing w:after="0" w:line="342"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Drilling Group</w:t>
      </w:r>
      <w:r>
        <w:rPr>
          <w:rFonts w:ascii="Arial" w:cs="Arial" w:eastAsia="Arial" w:hAnsi="Arial"/>
          <w:sz w:val="16"/>
          <w:szCs w:val="16"/>
          <w:color w:val="auto"/>
        </w:rPr>
        <w:t>: This group will be comprised of Bits &amp; Advanced Technologies, M-I SWACO, Geoservices, Drilling &amp; Measurements,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PathFinder, Drilling Tools &amp; Remedial Services, Dynamic Pressure Management and IPM well construction projects.</w:t>
      </w:r>
    </w:p>
    <w:p>
      <w:pPr>
        <w:spacing w:after="0" w:line="29" w:lineRule="exact"/>
        <w:rPr>
          <w:rFonts w:ascii="Arial" w:cs="Arial" w:eastAsia="Arial" w:hAnsi="Arial"/>
          <w:sz w:val="16"/>
          <w:szCs w:val="16"/>
          <w:b w:val="1"/>
          <w:bCs w:val="1"/>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Reservoir Production Group</w:t>
      </w:r>
      <w:r>
        <w:rPr>
          <w:rFonts w:ascii="Arial" w:cs="Arial" w:eastAsia="Arial" w:hAnsi="Arial"/>
          <w:sz w:val="18"/>
          <w:szCs w:val="18"/>
          <w:color w:val="auto"/>
        </w:rPr>
        <w:t>: Includes Well Services, Completions and Artificial Lift Technologies together with Subsea and Water and Carbon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activities, and the production activities of IPM.</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Groups will collectively be referred to as “Oilfield Services.” Additionally, Schlumberger will also report the distribution business acquired in the Smith transaction as a separate segment.</w:t>
      </w:r>
    </w:p>
    <w:p>
      <w:pPr>
        <w:spacing w:after="0" w:line="62"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Pro Forma Information is based on the historical consolidated statements of income of Schlumberger, Smith and Geoservices. The Pro Forma Information has been adjusted to reflect pro forma events that are directly attributable to the transactions and factually supportable. As such, the Pro Forma Information does not reflect any cost savings, operating synergies or revenue enhancements that the combined companies may achieve as a result of the transactions, the costs to integrate the operations of Schlumberger, Smith and Geoservices, or the costs necessary to achieve these cost savings, operating synergies and revenue enhancements.</w:t>
      </w:r>
    </w:p>
    <w:p>
      <w:pPr>
        <w:spacing w:after="0" w:line="8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Pro Forma Information has been presented for informational purposes only and is not necessarily indicative of what the combined companies’ results of operations would have been had the transactions actually been completed as of January 1, 2008. In addition, the Pro Forma Information does not purport to project the future operating results of the combined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Unaudited Pro Forma Historical Consolidated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21, 2011</w:t>
      </w:r>
    </w:p>
    <w:p>
      <w:pPr>
        <w:sectPr>
          <w:pgSz w:w="11900" w:h="16838" w:orient="portrait"/>
          <w:cols w:equalWidth="0" w:num="1">
            <w:col w:w="10580"/>
          </w:cols>
          <w:pgMar w:left="240" w:top="958" w:right="10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1151890</wp:posOffset>
            </wp:positionV>
            <wp:extent cx="1689735"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80" w:right="1560"/>
        <w:spacing w:after="0" w:line="500" w:lineRule="auto"/>
        <w:rPr>
          <w:sz w:val="20"/>
          <w:szCs w:val="20"/>
          <w:color w:val="auto"/>
        </w:rPr>
      </w:pPr>
      <w:r>
        <w:rPr>
          <w:rFonts w:ascii="Arial" w:cs="Arial" w:eastAsia="Arial" w:hAnsi="Arial"/>
          <w:sz w:val="50"/>
          <w:szCs w:val="50"/>
          <w:b w:val="1"/>
          <w:bCs w:val="1"/>
          <w:color w:val="17365D"/>
        </w:rPr>
        <w:t>Schlumberger Limited Unaudited Pro Forma Historical Consolidated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4" w:name="page5"/>
    <w:bookmarkEnd w:id="4"/>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603250</wp:posOffset>
            </wp:positionV>
            <wp:extent cx="1689735" cy="35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8973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17365D"/>
        </w:rPr>
        <w:t>Unaudited Pro Forma Historical Consolidated Financial Information</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Schlumberger Limited (“Schlumberger” or the “Company”) currently reports its results on the basis of two business segments, Oilfield Services and WesternGeco, and by geographical areas within Oilfield Services. As a result of the recent acquisitions of Smith International, Inc. (“Smith”) and Geoservices, Schlumberger has reached a point where its coverage of the various activities comprising exploration and production services is so broad that the Company will be changing the primary way in which it allocates resources and assesses performance. Consequently, as previously announced and effective with the first quarter of 2011, Schlumberger will change its primary reporting to product group segments (the “Groups”). Schlumberger believes that this change will give investors a better perspective on the different parts of its business. The Company will also continue to report its results on a geographical basis.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149" w:lineRule="exact"/>
        <w:rPr>
          <w:sz w:val="20"/>
          <w:szCs w:val="20"/>
          <w:color w:val="auto"/>
        </w:rPr>
      </w:pPr>
    </w:p>
    <w:p>
      <w:pPr>
        <w:jc w:val="both"/>
        <w:ind w:left="660" w:hanging="314"/>
        <w:spacing w:after="0" w:line="25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Reservoir Characterization Group: </w:t>
      </w:r>
      <w:r>
        <w:rPr>
          <w:rFonts w:ascii="Arial" w:cs="Arial" w:eastAsia="Arial" w:hAnsi="Arial"/>
          <w:sz w:val="18"/>
          <w:szCs w:val="18"/>
          <w:color w:val="auto"/>
        </w:rPr>
        <w:t>This group will consist of the principal Technologies involved in the finding and defining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hydrocarbon deposits. These include WesternGeco, Wireline, Well Testing, Schlumberger Information Services, and Data &amp; Consulting Services.</w:t>
      </w:r>
    </w:p>
    <w:p>
      <w:pPr>
        <w:spacing w:after="0" w:line="74" w:lineRule="exact"/>
        <w:rPr>
          <w:rFonts w:ascii="Arial" w:cs="Arial" w:eastAsia="Arial" w:hAnsi="Arial"/>
          <w:sz w:val="18"/>
          <w:szCs w:val="18"/>
          <w:b w:val="1"/>
          <w:bCs w:val="1"/>
          <w:color w:val="auto"/>
        </w:rPr>
      </w:pPr>
    </w:p>
    <w:p>
      <w:pPr>
        <w:ind w:left="660" w:hanging="314"/>
        <w:spacing w:after="0" w:line="27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This group will be comprised of Bits &amp; Advanced Technologies, M-I SWACO, Geoservices, Drilling &amp; Measurements,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PathFinder, Drilling Tools &amp; Remedial Services, Dynamic Pressure Management and IPM well construction projects.</w:t>
      </w:r>
    </w:p>
    <w:p>
      <w:pPr>
        <w:spacing w:after="0" w:line="59" w:lineRule="exact"/>
        <w:rPr>
          <w:rFonts w:ascii="Arial" w:cs="Arial" w:eastAsia="Arial" w:hAnsi="Arial"/>
          <w:sz w:val="18"/>
          <w:szCs w:val="18"/>
          <w:b w:val="1"/>
          <w:bCs w:val="1"/>
          <w:color w:val="auto"/>
        </w:rPr>
      </w:pPr>
    </w:p>
    <w:p>
      <w:pPr>
        <w:ind w:left="660" w:hanging="314"/>
        <w:spacing w:after="0" w:line="27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Reservoir Production Group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Well Services, Completions and Artificial Lift Technologies together with Subsea and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Carbon Services activities, and the production activities of IPM.</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Groups will collectively be referred to as “Oilfield Services.” Additionally, Schlumberger will also report the distribution business acquired in the Smith transaction, as a separate segment.</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above changes will be reflected in the consolidated financial statements and segment reporting beginning in fiscal year 2011, starting with the Form 10-Q for the three months ended March 31, 2011. To provide additional perspective on these changes, Schlumberger has prepared the accompanying unaudited pro forma historical consolidated financial information (“Pro Forma Information”) on the basis of the new reporting structure, giving effect to the acquisitions of Smith and Geoservices as if they had occurred on January 1, 2008.</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 Forma Information is based on the historical consolidated statements of income of Schlumberger, Smith and Geoservices. The Pro Forma Information has been adjusted to reflect pro forma events that are directly attributable to the transactions and factually supportable. As such, the Pro Forma Information does not reflect any cost savings, operating synergies or revenue enhancements that the combined companies may achieve as a result of the transactions, the costs to integrate the operations of Schlumberger, Smith and Geoservices, or the costs necessary to achieve these cost savings, operating synergies and revenue enhancements.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 Forma Information has been presented for informational purposes only and is not necessarily indicative of what the combined company’s results of operations would have been had the transactions actually been completed as of January 1, 2008. In addition, the Pro Forma Information does not purport to project the future operating results of the combined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3416300</wp:posOffset>
            </wp:positionH>
            <wp:positionV relativeFrom="page">
              <wp:posOffset>620395</wp:posOffset>
            </wp:positionV>
            <wp:extent cx="72898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8980" cy="205740"/>
                    </a:xfrm>
                    <a:prstGeom prst="rect">
                      <a:avLst/>
                    </a:prstGeom>
                    <a:noFill/>
                  </pic:spPr>
                </pic:pic>
              </a:graphicData>
            </a:graphic>
          </wp:anchor>
        </w:drawing>
        <w:t>2008 UNAUDITED PRO FORMA HISTORICAL CONSOLIDATED FINANCIAL INFORMATION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(Stated in millions, except per share amounts)</w:t>
      </w:r>
    </w:p>
    <w:p>
      <w:pPr>
        <w:spacing w:after="0" w:line="159" w:lineRule="exact"/>
        <w:rPr>
          <w:sz w:val="20"/>
          <w:szCs w:val="20"/>
          <w:color w:val="auto"/>
        </w:rPr>
      </w:pPr>
    </w:p>
    <w:p>
      <w:pPr>
        <w:jc w:val="center"/>
        <w:ind w:right="100"/>
        <w:spacing w:after="0"/>
        <w:tabs>
          <w:tab w:leader="none" w:pos="140" w:val="left"/>
          <w:tab w:leader="none" w:pos="120" w:val="left"/>
          <w:tab w:leader="none" w:pos="120" w:val="left"/>
        </w:tabs>
        <w:rPr>
          <w:sz w:val="20"/>
          <w:szCs w:val="20"/>
          <w:color w:val="auto"/>
        </w:rPr>
      </w:pPr>
      <w:r>
        <w:rPr>
          <w:rFonts w:ascii="Arial" w:cs="Arial" w:eastAsia="Arial" w:hAnsi="Arial"/>
          <w:sz w:val="13"/>
          <w:szCs w:val="13"/>
          <w:b w:val="1"/>
          <w:bCs w:val="1"/>
          <w:color w:val="FFFFFF"/>
        </w:rPr>
        <w:t>2 0 0 8</w:t>
        <w:tab/>
        <w:t>B Y</w:t>
        <w:tab/>
        <w:t>B U S I N E S S</w:t>
        <w:tab/>
        <w:t>G R O U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20585" cy="2058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0585" cy="2058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9"/>
        </w:trPr>
        <w:tc>
          <w:tcPr>
            <w:tcW w:w="3320" w:type="dxa"/>
            <w:vAlign w:val="bottom"/>
            <w:tcBorders>
              <w:top w:val="single" w:sz="8" w:color="auto"/>
              <w:right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Q1</w:t>
            </w: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right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Q2</w:t>
            </w: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right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Q3</w:t>
            </w: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right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Q4</w:t>
            </w:r>
          </w:p>
        </w:tc>
        <w:tc>
          <w:tcPr>
            <w:tcW w:w="2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right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ind w:left="340"/>
              <w:spacing w:after="0" w:line="129" w:lineRule="exact"/>
              <w:rPr>
                <w:sz w:val="20"/>
                <w:szCs w:val="20"/>
                <w:color w:val="auto"/>
              </w:rPr>
            </w:pPr>
            <w:r>
              <w:rPr>
                <w:rFonts w:ascii="Arial" w:cs="Arial" w:eastAsia="Arial" w:hAnsi="Arial"/>
                <w:sz w:val="13"/>
                <w:szCs w:val="13"/>
                <w:b w:val="1"/>
                <w:bCs w:val="1"/>
                <w:color w:val="auto"/>
                <w:w w:val="99"/>
              </w:rPr>
              <w:t>Year</w:t>
            </w:r>
          </w:p>
        </w:tc>
        <w:tc>
          <w:tcPr>
            <w:tcW w:w="1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97"/>
              <w:spacing w:after="0"/>
              <w:rPr>
                <w:sz w:val="20"/>
                <w:szCs w:val="20"/>
                <w:color w:val="auto"/>
              </w:rPr>
            </w:pPr>
            <w:r>
              <w:rPr>
                <w:rFonts w:ascii="Arial" w:cs="Arial" w:eastAsia="Arial" w:hAnsi="Arial"/>
                <w:sz w:val="13"/>
                <w:szCs w:val="13"/>
                <w:b w:val="1"/>
                <w:bCs w:val="1"/>
                <w:color w:val="auto"/>
              </w:rPr>
              <w:t>Revenue</w:t>
            </w:r>
          </w:p>
        </w:tc>
        <w:tc>
          <w:tcPr>
            <w:tcW w:w="180" w:type="dxa"/>
            <w:vAlign w:val="bottom"/>
          </w:tcPr>
          <w:p>
            <w:pPr>
              <w:spacing w:after="0"/>
              <w:rPr>
                <w:sz w:val="9"/>
                <w:szCs w:val="9"/>
                <w:color w:val="auto"/>
              </w:rPr>
            </w:pPr>
          </w:p>
        </w:tc>
        <w:tc>
          <w:tcPr>
            <w:tcW w:w="600" w:type="dxa"/>
            <w:vAlign w:val="bottom"/>
            <w:tcBorders>
              <w:right w:val="single" w:sz="8" w:color="auto"/>
            </w:tcBorders>
          </w:tcPr>
          <w:p>
            <w:pPr>
              <w:jc w:val="right"/>
              <w:ind w:right="13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jc w:val="right"/>
              <w:ind w:right="97"/>
              <w:spacing w:after="0"/>
              <w:rPr>
                <w:sz w:val="20"/>
                <w:szCs w:val="20"/>
                <w:color w:val="auto"/>
              </w:rPr>
            </w:pPr>
            <w:r>
              <w:rPr>
                <w:rFonts w:ascii="Arial" w:cs="Arial" w:eastAsia="Arial" w:hAnsi="Arial"/>
                <w:sz w:val="13"/>
                <w:szCs w:val="13"/>
                <w:b w:val="1"/>
                <w:bCs w:val="1"/>
                <w:color w:val="auto"/>
              </w:rPr>
              <w:t>Revenue</w:t>
            </w:r>
          </w:p>
        </w:tc>
        <w:tc>
          <w:tcPr>
            <w:tcW w:w="760" w:type="dxa"/>
            <w:vAlign w:val="bottom"/>
            <w:tcBorders>
              <w:right w:val="single" w:sz="8" w:color="auto"/>
            </w:tcBorders>
            <w:gridSpan w:val="2"/>
          </w:tcPr>
          <w:p>
            <w:pPr>
              <w:jc w:val="right"/>
              <w:ind w:right="17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00" w:type="dxa"/>
            <w:vAlign w:val="bottom"/>
            <w:gridSpan w:val="2"/>
          </w:tcPr>
          <w:p>
            <w:pPr>
              <w:jc w:val="right"/>
              <w:ind w:right="17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7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Income</w:t>
            </w:r>
          </w:p>
        </w:tc>
        <w:tc>
          <w:tcPr>
            <w:tcW w:w="8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320" w:type="dxa"/>
            <w:vAlign w:val="bottom"/>
            <w:tcBorders>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Reservoir Characterization</w:t>
            </w:r>
          </w:p>
        </w:tc>
        <w:tc>
          <w:tcPr>
            <w:tcW w:w="30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2,684</w:t>
            </w:r>
          </w:p>
        </w:tc>
        <w:tc>
          <w:tcPr>
            <w:tcW w:w="1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866</w:t>
            </w:r>
          </w:p>
        </w:tc>
        <w:tc>
          <w:tcPr>
            <w:tcW w:w="2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2,823</w:t>
            </w:r>
          </w:p>
        </w:tc>
        <w:tc>
          <w:tcPr>
            <w:tcW w:w="2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926</w:t>
            </w:r>
          </w:p>
        </w:tc>
        <w:tc>
          <w:tcPr>
            <w:tcW w:w="2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3,106</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1,086</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2,832</w:t>
            </w:r>
          </w:p>
        </w:tc>
        <w:tc>
          <w:tcPr>
            <w:tcW w:w="2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819</w:t>
            </w:r>
          </w:p>
        </w:tc>
        <w:tc>
          <w:tcPr>
            <w:tcW w:w="2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11,445</w:t>
            </w:r>
          </w:p>
        </w:tc>
        <w:tc>
          <w:tcPr>
            <w:tcW w:w="6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3,697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Reservoir Production</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2,136</w:t>
            </w: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412</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2,299</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454</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2,506</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491</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2,571</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468</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9,512</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Drilling</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3,314</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764</w:t>
            </w:r>
          </w:p>
        </w:tc>
        <w:tc>
          <w:tcPr>
            <w:tcW w:w="28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3,552</w:t>
            </w:r>
          </w:p>
        </w:tc>
        <w:tc>
          <w:tcPr>
            <w:tcW w:w="220" w:type="dxa"/>
            <w:vAlign w:val="bottom"/>
          </w:tcPr>
          <w:p>
            <w:pPr>
              <w:spacing w:after="0"/>
              <w:rPr>
                <w:sz w:val="11"/>
                <w:szCs w:val="11"/>
                <w:color w:val="auto"/>
              </w:rPr>
            </w:pPr>
          </w:p>
        </w:tc>
        <w:tc>
          <w:tcPr>
            <w:tcW w:w="5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889</w:t>
            </w:r>
          </w:p>
        </w:tc>
        <w:tc>
          <w:tcPr>
            <w:tcW w:w="26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3,797</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872</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3,788</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768</w:t>
            </w:r>
          </w:p>
        </w:tc>
        <w:tc>
          <w:tcPr>
            <w:tcW w:w="26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14,451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3,293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w:t>
            </w: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(23)</w:t>
            </w: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w:t>
            </w: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w:t>
            </w:r>
          </w:p>
        </w:tc>
        <w:tc>
          <w:tcPr>
            <w:tcW w:w="2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(29)</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48</w:t>
            </w: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8,147</w:t>
            </w: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8,680</w:t>
            </w:r>
          </w:p>
        </w:tc>
        <w:tc>
          <w:tcPr>
            <w:tcW w:w="220" w:type="dxa"/>
            <w:vAlign w:val="bottom"/>
          </w:tcPr>
          <w:p>
            <w:pPr>
              <w:spacing w:after="0"/>
              <w:rPr>
                <w:sz w:val="12"/>
                <w:szCs w:val="12"/>
                <w:color w:val="auto"/>
              </w:rPr>
            </w:pPr>
          </w:p>
        </w:tc>
        <w:tc>
          <w:tcPr>
            <w:tcW w:w="54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2,251</w:t>
            </w:r>
          </w:p>
        </w:tc>
        <w:tc>
          <w:tcPr>
            <w:tcW w:w="26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9,415</w:t>
            </w:r>
          </w:p>
        </w:tc>
        <w:tc>
          <w:tcPr>
            <w:tcW w:w="240" w:type="dxa"/>
            <w:vAlign w:val="bottom"/>
          </w:tcPr>
          <w:p>
            <w:pPr>
              <w:spacing w:after="0"/>
              <w:rPr>
                <w:sz w:val="12"/>
                <w:szCs w:val="12"/>
                <w:color w:val="auto"/>
              </w:rPr>
            </w:pPr>
          </w:p>
        </w:tc>
        <w:tc>
          <w:tcPr>
            <w:tcW w:w="54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2,420</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9,214</w:t>
            </w:r>
          </w:p>
        </w:tc>
        <w:tc>
          <w:tcPr>
            <w:tcW w:w="240" w:type="dxa"/>
            <w:vAlign w:val="bottom"/>
          </w:tcPr>
          <w:p>
            <w:pPr>
              <w:spacing w:after="0"/>
              <w:rPr>
                <w:sz w:val="12"/>
                <w:szCs w:val="12"/>
                <w:color w:val="auto"/>
              </w:rPr>
            </w:pPr>
          </w:p>
        </w:tc>
        <w:tc>
          <w:tcPr>
            <w:tcW w:w="54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2,055</w:t>
            </w:r>
          </w:p>
        </w:tc>
        <w:tc>
          <w:tcPr>
            <w:tcW w:w="26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35,456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37"/>
              <w:spacing w:after="0" w:line="143" w:lineRule="exact"/>
              <w:rPr>
                <w:sz w:val="20"/>
                <w:szCs w:val="20"/>
                <w:color w:val="auto"/>
              </w:rPr>
            </w:pPr>
            <w:r>
              <w:rPr>
                <w:rFonts w:ascii="Arial" w:cs="Arial" w:eastAsia="Arial" w:hAnsi="Arial"/>
                <w:sz w:val="13"/>
                <w:szCs w:val="13"/>
                <w:b w:val="1"/>
                <w:bCs w:val="1"/>
                <w:color w:val="auto"/>
              </w:rPr>
              <w:t>8,745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bottom w:val="single" w:sz="8" w:color="CCEEFF"/>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568</w:t>
            </w: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30</w:t>
            </w:r>
          </w:p>
        </w:tc>
        <w:tc>
          <w:tcPr>
            <w:tcW w:w="2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616</w:t>
            </w: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37</w:t>
            </w:r>
          </w:p>
        </w:tc>
        <w:tc>
          <w:tcPr>
            <w:tcW w:w="2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761</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62</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794</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52</w:t>
            </w:r>
          </w:p>
        </w:tc>
        <w:tc>
          <w:tcPr>
            <w:tcW w:w="26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2,739</w:t>
            </w: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Borders>
              <w:right w:val="single" w:sz="8" w:color="auto"/>
            </w:tcBorders>
          </w:tcPr>
          <w:p>
            <w:pPr>
              <w:spacing w:after="0"/>
              <w:rPr>
                <w:sz w:val="11"/>
                <w:szCs w:val="11"/>
                <w:color w:val="auto"/>
              </w:rPr>
            </w:pPr>
          </w:p>
        </w:tc>
        <w:tc>
          <w:tcPr>
            <w:tcW w:w="30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8,715</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2,049</w:t>
            </w:r>
          </w:p>
        </w:tc>
        <w:tc>
          <w:tcPr>
            <w:tcW w:w="28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9,296</w:t>
            </w:r>
          </w:p>
        </w:tc>
        <w:tc>
          <w:tcPr>
            <w:tcW w:w="220" w:type="dxa"/>
            <w:vAlign w:val="bottom"/>
          </w:tcPr>
          <w:p>
            <w:pPr>
              <w:spacing w:after="0"/>
              <w:rPr>
                <w:sz w:val="11"/>
                <w:szCs w:val="11"/>
                <w:color w:val="auto"/>
              </w:rPr>
            </w:pPr>
          </w:p>
        </w:tc>
        <w:tc>
          <w:tcPr>
            <w:tcW w:w="540" w:type="dxa"/>
            <w:vAlign w:val="bottom"/>
            <w:tcBorders>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2,288</w:t>
            </w: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10,176</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2,482</w:t>
            </w:r>
          </w:p>
        </w:tc>
        <w:tc>
          <w:tcPr>
            <w:tcW w:w="24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10,008</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2,107</w:t>
            </w:r>
          </w:p>
        </w:tc>
        <w:tc>
          <w:tcPr>
            <w:tcW w:w="26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38,195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8,926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(131)</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(119)</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(133)</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(120)</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37</w:t>
            </w:r>
          </w:p>
        </w:tc>
        <w:tc>
          <w:tcPr>
            <w:tcW w:w="2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22</w:t>
            </w:r>
          </w:p>
        </w:tc>
        <w:tc>
          <w:tcPr>
            <w:tcW w:w="2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28</w:t>
            </w:r>
          </w:p>
        </w:tc>
        <w:tc>
          <w:tcPr>
            <w:tcW w:w="2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w:t>
            </w:r>
          </w:p>
        </w:tc>
        <w:tc>
          <w:tcPr>
            <w:tcW w:w="2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112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(67)</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(77)</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(145)</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Income before Tax and Noncontrolling Interests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1,888</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2,127</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2,307</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1,790</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8,112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(429)</w:t>
            </w:r>
          </w:p>
        </w:tc>
        <w:tc>
          <w:tcPr>
            <w:tcW w:w="2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(508)</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(561)</w:t>
            </w: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(457)</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1,459</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1,619</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1,746</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1,333</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6,157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(14)</w:t>
            </w:r>
          </w:p>
        </w:tc>
        <w:tc>
          <w:tcPr>
            <w:tcW w:w="2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CCEEFF"/>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Schlumberger Income from Continuing Operations</w:t>
            </w:r>
          </w:p>
        </w:tc>
        <w:tc>
          <w:tcPr>
            <w:tcW w:w="30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1,445</w:t>
            </w:r>
          </w:p>
        </w:tc>
        <w:tc>
          <w:tcPr>
            <w:tcW w:w="28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1,609</w:t>
            </w:r>
          </w:p>
        </w:tc>
        <w:tc>
          <w:tcPr>
            <w:tcW w:w="26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1,726</w:t>
            </w:r>
          </w:p>
        </w:tc>
        <w:tc>
          <w:tcPr>
            <w:tcW w:w="24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1,326</w:t>
            </w:r>
          </w:p>
        </w:tc>
        <w:tc>
          <w:tcPr>
            <w:tcW w:w="26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6,106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bottom w:val="single" w:sz="8" w:color="auto"/>
              <w:right w:val="single" w:sz="8" w:color="000080"/>
            </w:tcBorders>
            <w:shd w:val="clear" w:color="auto" w:fill="000080"/>
          </w:tcPr>
          <w:p>
            <w:pPr>
              <w:spacing w:after="0"/>
              <w:rPr>
                <w:sz w:val="11"/>
                <w:szCs w:val="11"/>
                <w:color w:val="auto"/>
              </w:rPr>
            </w:pPr>
          </w:p>
        </w:tc>
        <w:tc>
          <w:tcPr>
            <w:tcW w:w="300" w:type="dxa"/>
            <w:vAlign w:val="bottom"/>
            <w:tcBorders>
              <w:bottom w:val="single" w:sz="8" w:color="auto"/>
            </w:tcBorders>
            <w:shd w:val="clear" w:color="auto" w:fill="000080"/>
          </w:tcPr>
          <w:p>
            <w:pPr>
              <w:spacing w:after="0"/>
              <w:rPr>
                <w:sz w:val="11"/>
                <w:szCs w:val="11"/>
                <w:color w:val="auto"/>
              </w:rPr>
            </w:pPr>
          </w:p>
        </w:tc>
        <w:tc>
          <w:tcPr>
            <w:tcW w:w="560" w:type="dxa"/>
            <w:vAlign w:val="bottom"/>
            <w:tcBorders>
              <w:bottom w:val="single" w:sz="8" w:color="auto"/>
              <w:right w:val="single" w:sz="8" w:color="000080"/>
            </w:tcBorders>
            <w:shd w:val="clear" w:color="auto" w:fill="000080"/>
          </w:tcPr>
          <w:p>
            <w:pPr>
              <w:spacing w:after="0"/>
              <w:rPr>
                <w:sz w:val="11"/>
                <w:szCs w:val="11"/>
                <w:color w:val="auto"/>
              </w:rPr>
            </w:pPr>
          </w:p>
        </w:tc>
        <w:tc>
          <w:tcPr>
            <w:tcW w:w="3220" w:type="dxa"/>
            <w:vAlign w:val="bottom"/>
            <w:tcBorders>
              <w:bottom w:val="single" w:sz="8" w:color="auto"/>
              <w:right w:val="single" w:sz="8" w:color="000080"/>
            </w:tcBorders>
            <w:gridSpan w:val="8"/>
            <w:shd w:val="clear" w:color="auto" w:fill="000080"/>
          </w:tcPr>
          <w:p>
            <w:pPr>
              <w:jc w:val="right"/>
              <w:ind w:right="177"/>
              <w:spacing w:after="0" w:line="129" w:lineRule="exact"/>
              <w:rPr>
                <w:sz w:val="20"/>
                <w:szCs w:val="20"/>
                <w:color w:val="auto"/>
              </w:rPr>
            </w:pPr>
            <w:r>
              <w:rPr>
                <w:rFonts w:ascii="Arial" w:cs="Arial" w:eastAsia="Arial" w:hAnsi="Arial"/>
                <w:sz w:val="13"/>
                <w:szCs w:val="13"/>
                <w:b w:val="1"/>
                <w:bCs w:val="1"/>
                <w:color w:val="FFFFFF"/>
              </w:rPr>
              <w:t>2 0 0 8  B Y  G E O G R A P H I C  A R E A</w:t>
            </w:r>
          </w:p>
        </w:tc>
        <w:tc>
          <w:tcPr>
            <w:tcW w:w="240" w:type="dxa"/>
            <w:vAlign w:val="bottom"/>
            <w:tcBorders>
              <w:bottom w:val="single" w:sz="8" w:color="auto"/>
            </w:tcBorders>
            <w:shd w:val="clear" w:color="auto" w:fill="000080"/>
          </w:tcPr>
          <w:p>
            <w:pPr>
              <w:spacing w:after="0"/>
              <w:rPr>
                <w:sz w:val="11"/>
                <w:szCs w:val="11"/>
                <w:color w:val="auto"/>
              </w:rPr>
            </w:pPr>
          </w:p>
        </w:tc>
        <w:tc>
          <w:tcPr>
            <w:tcW w:w="540" w:type="dxa"/>
            <w:vAlign w:val="bottom"/>
            <w:tcBorders>
              <w:bottom w:val="single" w:sz="8" w:color="auto"/>
              <w:right w:val="single" w:sz="8" w:color="000080"/>
            </w:tcBorders>
            <w:shd w:val="clear" w:color="auto" w:fill="000080"/>
          </w:tcPr>
          <w:p>
            <w:pPr>
              <w:spacing w:after="0"/>
              <w:rPr>
                <w:sz w:val="11"/>
                <w:szCs w:val="11"/>
                <w:color w:val="auto"/>
              </w:rPr>
            </w:pPr>
          </w:p>
        </w:tc>
        <w:tc>
          <w:tcPr>
            <w:tcW w:w="240" w:type="dxa"/>
            <w:vAlign w:val="bottom"/>
            <w:tcBorders>
              <w:bottom w:val="single" w:sz="8" w:color="auto"/>
            </w:tcBorders>
            <w:shd w:val="clear" w:color="auto" w:fill="000080"/>
          </w:tcPr>
          <w:p>
            <w:pPr>
              <w:spacing w:after="0"/>
              <w:rPr>
                <w:sz w:val="11"/>
                <w:szCs w:val="11"/>
                <w:color w:val="auto"/>
              </w:rPr>
            </w:pPr>
          </w:p>
        </w:tc>
        <w:tc>
          <w:tcPr>
            <w:tcW w:w="580" w:type="dxa"/>
            <w:vAlign w:val="bottom"/>
            <w:tcBorders>
              <w:bottom w:val="single" w:sz="8" w:color="auto"/>
              <w:right w:val="single" w:sz="8" w:color="000080"/>
            </w:tcBorders>
            <w:shd w:val="clear" w:color="auto" w:fill="000080"/>
          </w:tcPr>
          <w:p>
            <w:pPr>
              <w:spacing w:after="0"/>
              <w:rPr>
                <w:sz w:val="11"/>
                <w:szCs w:val="11"/>
                <w:color w:val="auto"/>
              </w:rPr>
            </w:pPr>
          </w:p>
        </w:tc>
        <w:tc>
          <w:tcPr>
            <w:tcW w:w="240" w:type="dxa"/>
            <w:vAlign w:val="bottom"/>
            <w:tcBorders>
              <w:bottom w:val="single" w:sz="8" w:color="auto"/>
            </w:tcBorders>
            <w:shd w:val="clear" w:color="auto" w:fill="000080"/>
          </w:tcPr>
          <w:p>
            <w:pPr>
              <w:spacing w:after="0"/>
              <w:rPr>
                <w:sz w:val="11"/>
                <w:szCs w:val="11"/>
                <w:color w:val="auto"/>
              </w:rPr>
            </w:pPr>
          </w:p>
        </w:tc>
        <w:tc>
          <w:tcPr>
            <w:tcW w:w="540" w:type="dxa"/>
            <w:vAlign w:val="bottom"/>
            <w:tcBorders>
              <w:bottom w:val="single" w:sz="8" w:color="auto"/>
              <w:right w:val="single" w:sz="8" w:color="000080"/>
            </w:tcBorders>
            <w:shd w:val="clear" w:color="auto" w:fill="000080"/>
          </w:tcPr>
          <w:p>
            <w:pPr>
              <w:spacing w:after="0"/>
              <w:rPr>
                <w:sz w:val="11"/>
                <w:szCs w:val="11"/>
                <w:color w:val="auto"/>
              </w:rPr>
            </w:pPr>
          </w:p>
        </w:tc>
        <w:tc>
          <w:tcPr>
            <w:tcW w:w="260" w:type="dxa"/>
            <w:vAlign w:val="bottom"/>
            <w:tcBorders>
              <w:bottom w:val="single" w:sz="8" w:color="auto"/>
            </w:tcBorders>
            <w:shd w:val="clear" w:color="auto" w:fill="000080"/>
          </w:tcPr>
          <w:p>
            <w:pPr>
              <w:spacing w:after="0"/>
              <w:rPr>
                <w:sz w:val="11"/>
                <w:szCs w:val="11"/>
                <w:color w:val="auto"/>
              </w:rPr>
            </w:pPr>
          </w:p>
        </w:tc>
        <w:tc>
          <w:tcPr>
            <w:tcW w:w="580" w:type="dxa"/>
            <w:vAlign w:val="bottom"/>
            <w:tcBorders>
              <w:bottom w:val="single" w:sz="8" w:color="auto"/>
              <w:right w:val="single" w:sz="8" w:color="000080"/>
            </w:tcBorders>
            <w:shd w:val="clear" w:color="auto" w:fill="000080"/>
          </w:tcPr>
          <w:p>
            <w:pPr>
              <w:spacing w:after="0"/>
              <w:rPr>
                <w:sz w:val="11"/>
                <w:szCs w:val="11"/>
                <w:color w:val="auto"/>
              </w:rPr>
            </w:pPr>
          </w:p>
        </w:tc>
        <w:tc>
          <w:tcPr>
            <w:tcW w:w="60" w:type="dxa"/>
            <w:vAlign w:val="bottom"/>
            <w:tcBorders>
              <w:bottom w:val="single" w:sz="8" w:color="auto"/>
            </w:tcBorders>
            <w:shd w:val="clear" w:color="auto" w:fill="000080"/>
          </w:tcPr>
          <w:p>
            <w:pPr>
              <w:spacing w:after="0"/>
              <w:rPr>
                <w:sz w:val="11"/>
                <w:szCs w:val="11"/>
                <w:color w:val="auto"/>
              </w:rPr>
            </w:pPr>
          </w:p>
        </w:tc>
        <w:tc>
          <w:tcPr>
            <w:tcW w:w="180" w:type="dxa"/>
            <w:vAlign w:val="bottom"/>
            <w:tcBorders>
              <w:bottom w:val="single" w:sz="8" w:color="auto"/>
            </w:tcBorders>
            <w:shd w:val="clear" w:color="auto" w:fill="000080"/>
          </w:tcPr>
          <w:p>
            <w:pPr>
              <w:spacing w:after="0"/>
              <w:rPr>
                <w:sz w:val="11"/>
                <w:szCs w:val="11"/>
                <w:color w:val="auto"/>
              </w:rPr>
            </w:pPr>
          </w:p>
        </w:tc>
        <w:tc>
          <w:tcPr>
            <w:tcW w:w="520" w:type="dxa"/>
            <w:vAlign w:val="bottom"/>
            <w:tcBorders>
              <w:bottom w:val="single" w:sz="8" w:color="auto"/>
              <w:right w:val="single" w:sz="8" w:color="auto"/>
            </w:tcBorders>
            <w:shd w:val="clear" w:color="auto" w:fill="000080"/>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Q1</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Q2</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Q3</w:t>
            </w: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ind w:left="340"/>
              <w:spacing w:after="0" w:line="129" w:lineRule="exact"/>
              <w:rPr>
                <w:sz w:val="20"/>
                <w:szCs w:val="20"/>
                <w:color w:val="auto"/>
              </w:rPr>
            </w:pPr>
            <w:r>
              <w:rPr>
                <w:rFonts w:ascii="Arial" w:cs="Arial" w:eastAsia="Arial" w:hAnsi="Arial"/>
                <w:sz w:val="13"/>
                <w:szCs w:val="13"/>
                <w:b w:val="1"/>
                <w:bCs w:val="1"/>
                <w:color w:val="auto"/>
                <w:w w:val="99"/>
              </w:rPr>
              <w:t>Year</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2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60" w:type="dxa"/>
            <w:vAlign w:val="bottom"/>
            <w:tcBorders>
              <w:right w:val="single" w:sz="8" w:color="auto"/>
            </w:tcBorders>
            <w:gridSpan w:val="2"/>
          </w:tcPr>
          <w:p>
            <w:pPr>
              <w:jc w:val="right"/>
              <w:ind w:right="17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780" w:type="dxa"/>
            <w:vAlign w:val="bottom"/>
            <w:tcBorders>
              <w:right w:val="single" w:sz="8" w:color="auto"/>
            </w:tcBorders>
            <w:gridSpan w:val="2"/>
          </w:tcPr>
          <w:p>
            <w:pPr>
              <w:jc w:val="right"/>
              <w:ind w:right="197"/>
              <w:spacing w:after="0" w:line="107" w:lineRule="exact"/>
              <w:rPr>
                <w:sz w:val="20"/>
                <w:szCs w:val="20"/>
                <w:color w:val="auto"/>
              </w:rPr>
            </w:pPr>
            <w:r>
              <w:rPr>
                <w:rFonts w:ascii="Arial" w:cs="Arial" w:eastAsia="Arial" w:hAnsi="Arial"/>
                <w:sz w:val="12"/>
                <w:szCs w:val="12"/>
                <w:b w:val="1"/>
                <w:bCs w:val="1"/>
                <w:color w:val="auto"/>
              </w:rPr>
              <w:t>Pretax</w:t>
            </w:r>
          </w:p>
        </w:tc>
        <w:tc>
          <w:tcPr>
            <w:tcW w:w="8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00" w:type="dxa"/>
            <w:vAlign w:val="bottom"/>
            <w:tcBorders>
              <w:right w:val="single" w:sz="8" w:color="auto"/>
            </w:tcBorders>
            <w:gridSpan w:val="2"/>
          </w:tcPr>
          <w:p>
            <w:pPr>
              <w:jc w:val="right"/>
              <w:ind w:right="17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32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7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Income</w:t>
            </w:r>
          </w:p>
        </w:tc>
        <w:tc>
          <w:tcPr>
            <w:tcW w:w="820" w:type="dxa"/>
            <w:vAlign w:val="bottom"/>
            <w:tcBorders>
              <w:right w:val="single" w:sz="8" w:color="auto"/>
            </w:tcBorders>
            <w:gridSpan w:val="2"/>
            <w:vMerge w:val="continue"/>
          </w:tcPr>
          <w:p>
            <w:pPr>
              <w:spacing w:after="0"/>
              <w:rPr>
                <w:sz w:val="8"/>
                <w:szCs w:val="8"/>
                <w:color w:val="auto"/>
              </w:rPr>
            </w:pPr>
          </w:p>
        </w:tc>
        <w:tc>
          <w:tcPr>
            <w:tcW w:w="7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Income</w:t>
            </w:r>
          </w:p>
        </w:tc>
        <w:tc>
          <w:tcPr>
            <w:tcW w:w="84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32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North America</w:t>
            </w:r>
          </w:p>
        </w:tc>
        <w:tc>
          <w:tcPr>
            <w:tcW w:w="30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2,306</w:t>
            </w:r>
          </w:p>
        </w:tc>
        <w:tc>
          <w:tcPr>
            <w:tcW w:w="1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593</w:t>
            </w:r>
          </w:p>
        </w:tc>
        <w:tc>
          <w:tcPr>
            <w:tcW w:w="28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2,294</w:t>
            </w:r>
          </w:p>
        </w:tc>
        <w:tc>
          <w:tcPr>
            <w:tcW w:w="2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553</w:t>
            </w:r>
          </w:p>
        </w:tc>
        <w:tc>
          <w:tcPr>
            <w:tcW w:w="2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2,665</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634</w:t>
            </w:r>
          </w:p>
        </w:tc>
        <w:tc>
          <w:tcPr>
            <w:tcW w:w="2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2,818</w:t>
            </w:r>
          </w:p>
        </w:tc>
        <w:tc>
          <w:tcPr>
            <w:tcW w:w="2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636</w:t>
            </w:r>
          </w:p>
        </w:tc>
        <w:tc>
          <w:tcPr>
            <w:tcW w:w="26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10,083</w:t>
            </w:r>
          </w:p>
        </w:tc>
        <w:tc>
          <w:tcPr>
            <w:tcW w:w="60" w:type="dxa"/>
            <w:vAlign w:val="bottom"/>
          </w:tcPr>
          <w:p>
            <w:pPr>
              <w:spacing w:after="0"/>
              <w:rPr>
                <w:sz w:val="11"/>
                <w:szCs w:val="11"/>
                <w:color w:val="auto"/>
              </w:rPr>
            </w:pPr>
          </w:p>
        </w:tc>
        <w:tc>
          <w:tcPr>
            <w:tcW w:w="1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Latin America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1,197</w:t>
            </w: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222</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1,349</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271</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1,446</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267</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1,449</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239</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5,441</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Europe/CIS/W. Africa</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2,709</w:t>
            </w: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679</w:t>
            </w:r>
          </w:p>
        </w:tc>
        <w:tc>
          <w:tcPr>
            <w:tcW w:w="28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2,998</w:t>
            </w:r>
          </w:p>
        </w:tc>
        <w:tc>
          <w:tcPr>
            <w:tcW w:w="220" w:type="dxa"/>
            <w:vAlign w:val="bottom"/>
          </w:tcPr>
          <w:p>
            <w:pPr>
              <w:spacing w:after="0"/>
              <w:rPr>
                <w:sz w:val="11"/>
                <w:szCs w:val="11"/>
                <w:color w:val="auto"/>
              </w:rPr>
            </w:pPr>
          </w:p>
        </w:tc>
        <w:tc>
          <w:tcPr>
            <w:tcW w:w="5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808</w:t>
            </w:r>
          </w:p>
        </w:tc>
        <w:tc>
          <w:tcPr>
            <w:tcW w:w="26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3,271</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955</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2,877</w:t>
            </w: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629</w:t>
            </w:r>
          </w:p>
        </w:tc>
        <w:tc>
          <w:tcPr>
            <w:tcW w:w="26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11,855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3,071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Middle East &amp; Asia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1,924</w:t>
            </w: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562</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2,032</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638</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2,013</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603</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2,045</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558</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8,014</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(37)</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(39)</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25</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63</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8,147</w:t>
            </w: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2,019</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8,680</w:t>
            </w: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2,251</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9,415</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2,420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9,214</w:t>
            </w: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2,055</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35,456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10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568</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30</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616</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37</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761</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62</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794</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52</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2,739</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8,715</w:t>
            </w:r>
          </w:p>
        </w:tc>
        <w:tc>
          <w:tcPr>
            <w:tcW w:w="1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2,049</w:t>
            </w:r>
          </w:p>
        </w:tc>
        <w:tc>
          <w:tcPr>
            <w:tcW w:w="28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9,296</w:t>
            </w:r>
          </w:p>
        </w:tc>
        <w:tc>
          <w:tcPr>
            <w:tcW w:w="2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2,288</w:t>
            </w:r>
          </w:p>
        </w:tc>
        <w:tc>
          <w:tcPr>
            <w:tcW w:w="26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10,176</w:t>
            </w:r>
          </w:p>
        </w:tc>
        <w:tc>
          <w:tcPr>
            <w:tcW w:w="24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2,482</w:t>
            </w:r>
          </w:p>
        </w:tc>
        <w:tc>
          <w:tcPr>
            <w:tcW w:w="24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10,008</w:t>
            </w:r>
          </w:p>
        </w:tc>
        <w:tc>
          <w:tcPr>
            <w:tcW w:w="24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2,107</w:t>
            </w:r>
          </w:p>
        </w:tc>
        <w:tc>
          <w:tcPr>
            <w:tcW w:w="260" w:type="dxa"/>
            <w:vAlign w:val="bottom"/>
            <w:tcBorders>
              <w:bottom w:val="single" w:sz="8" w:color="auto"/>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38,195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8,926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32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(131)</w:t>
            </w:r>
          </w:p>
        </w:tc>
        <w:tc>
          <w:tcPr>
            <w:tcW w:w="2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(119)</w:t>
            </w: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(133)</w:t>
            </w:r>
          </w:p>
        </w:tc>
        <w:tc>
          <w:tcPr>
            <w:tcW w:w="2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(120)</w:t>
            </w:r>
          </w:p>
        </w:tc>
        <w:tc>
          <w:tcPr>
            <w:tcW w:w="2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37</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22</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28</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25</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(67)</w:t>
            </w:r>
          </w:p>
        </w:tc>
        <w:tc>
          <w:tcPr>
            <w:tcW w:w="28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(64)</w:t>
            </w:r>
          </w:p>
        </w:tc>
        <w:tc>
          <w:tcPr>
            <w:tcW w:w="2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(70)</w:t>
            </w:r>
          </w:p>
        </w:tc>
        <w:tc>
          <w:tcPr>
            <w:tcW w:w="2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(77)</w:t>
            </w:r>
          </w:p>
        </w:tc>
        <w:tc>
          <w:tcPr>
            <w:tcW w:w="2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(145)</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Income before Tax and Noncontrolling Interests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1,888</w:t>
            </w:r>
          </w:p>
        </w:tc>
        <w:tc>
          <w:tcPr>
            <w:tcW w:w="2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2,127</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2,307</w:t>
            </w: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1,790</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8,112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(429)</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(508)</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(561)</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(457)</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2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1,459</w:t>
            </w:r>
          </w:p>
        </w:tc>
        <w:tc>
          <w:tcPr>
            <w:tcW w:w="2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1,619</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1,746</w:t>
            </w: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1,333</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(14)</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Schlumberger Income from Continuing Operations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1,445</w:t>
            </w:r>
          </w:p>
        </w:tc>
        <w:tc>
          <w:tcPr>
            <w:tcW w:w="28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2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1,609</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ind w:left="100"/>
              <w:spacing w:after="0" w:line="143"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1,726</w:t>
            </w: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ind w:left="120"/>
              <w:spacing w:after="0" w:line="143"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1,326</w:t>
            </w:r>
          </w:p>
        </w:tc>
        <w:tc>
          <w:tcPr>
            <w:tcW w:w="2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40"/>
              <w:spacing w:after="0" w:line="143"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6,106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 xml:space="preserve">Average Diluted Shares Outstanding </w:t>
            </w:r>
            <w:r>
              <w:rPr>
                <w:rFonts w:ascii="Arial" w:cs="Arial" w:eastAsia="Arial" w:hAnsi="Arial"/>
                <w:sz w:val="10"/>
                <w:szCs w:val="10"/>
                <w:b w:val="1"/>
                <w:bCs w:val="1"/>
                <w:color w:val="auto"/>
              </w:rPr>
              <w:t>(3)</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1,408</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1,405</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1,400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1,385</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Diluted Earnings per Share - excluding Charges &amp;</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20" w:type="dxa"/>
            <w:vAlign w:val="bottom"/>
          </w:tcPr>
          <w:p>
            <w:pPr>
              <w:ind w:left="300"/>
              <w:spacing w:after="0"/>
              <w:rPr>
                <w:sz w:val="20"/>
                <w:szCs w:val="20"/>
                <w:color w:val="auto"/>
              </w:rPr>
            </w:pPr>
            <w:r>
              <w:rPr>
                <w:rFonts w:ascii="Arial" w:cs="Arial" w:eastAsia="Arial" w:hAnsi="Arial"/>
                <w:sz w:val="13"/>
                <w:szCs w:val="13"/>
                <w:b w:val="1"/>
                <w:bCs w:val="1"/>
                <w:color w:val="auto"/>
              </w:rPr>
              <w:t xml:space="preserve">Credits </w:t>
            </w:r>
            <w:r>
              <w:rPr>
                <w:rFonts w:ascii="Arial" w:cs="Arial" w:eastAsia="Arial" w:hAnsi="Arial"/>
                <w:sz w:val="10"/>
                <w:szCs w:val="10"/>
                <w:b w:val="1"/>
                <w:bCs w:val="1"/>
                <w:color w:val="auto"/>
              </w:rPr>
              <w:t>(4)</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ind w:left="100"/>
              <w:spacing w:after="0"/>
              <w:rPr>
                <w:sz w:val="20"/>
                <w:szCs w:val="20"/>
                <w:color w:val="auto"/>
              </w:rPr>
            </w:pPr>
            <w:r>
              <w:rPr>
                <w:rFonts w:ascii="Arial" w:cs="Arial" w:eastAsia="Arial" w:hAnsi="Arial"/>
                <w:sz w:val="13"/>
                <w:szCs w:val="13"/>
                <w:b w:val="1"/>
                <w:bCs w:val="1"/>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1.03</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rPr>
              <w:t>1.15</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1.23</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1.04</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4.46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320" w:type="dxa"/>
            <w:vAlign w:val="bottom"/>
            <w:tcBorders>
              <w:left w:val="single" w:sz="8" w:color="CCEEFF"/>
              <w:right w:val="single" w:sz="8" w:color="CCEEFF"/>
            </w:tcBorders>
            <w:shd w:val="clear" w:color="auto" w:fill="CCEEFF"/>
          </w:tcPr>
          <w:p>
            <w:pPr>
              <w:ind w:left="100"/>
              <w:spacing w:after="0" w:line="113" w:lineRule="exact"/>
              <w:rPr>
                <w:sz w:val="20"/>
                <w:szCs w:val="20"/>
                <w:color w:val="auto"/>
              </w:rPr>
            </w:pPr>
            <w:r>
              <w:rPr>
                <w:rFonts w:ascii="Arial" w:cs="Arial" w:eastAsia="Arial" w:hAnsi="Arial"/>
                <w:sz w:val="13"/>
                <w:szCs w:val="13"/>
                <w:b w:val="1"/>
                <w:bCs w:val="1"/>
                <w:color w:val="auto"/>
              </w:rPr>
              <w:t>Diluted Earnings per Share - including Charges &amp;</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32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 xml:space="preserve">Credits </w:t>
            </w:r>
            <w:r>
              <w:rPr>
                <w:rFonts w:ascii="Arial" w:cs="Arial" w:eastAsia="Arial" w:hAnsi="Arial"/>
                <w:sz w:val="10"/>
                <w:szCs w:val="10"/>
                <w:b w:val="1"/>
                <w:bCs w:val="1"/>
                <w:color w:val="auto"/>
              </w:rPr>
              <w:t>(4)</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1.03</w:t>
            </w:r>
          </w:p>
        </w:tc>
        <w:tc>
          <w:tcPr>
            <w:tcW w:w="2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1.15</w:t>
            </w:r>
          </w:p>
        </w:tc>
        <w:tc>
          <w:tcPr>
            <w:tcW w:w="26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1.23</w:t>
            </w:r>
          </w:p>
        </w:tc>
        <w:tc>
          <w:tcPr>
            <w:tcW w:w="2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0.96</w:t>
            </w:r>
          </w:p>
        </w:tc>
        <w:tc>
          <w:tcPr>
            <w:tcW w:w="26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t>
            </w:r>
          </w:p>
        </w:tc>
        <w:tc>
          <w:tcPr>
            <w:tcW w:w="52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Effective Tax Rate - excluding Charges &amp; Credits</w:t>
            </w: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22.7%</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b w:val="1"/>
                <w:bCs w:val="1"/>
                <w:color w:val="auto"/>
              </w:rPr>
              <w:t>23.9%</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24.3%</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25.0%</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24.0%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320" w:type="dxa"/>
            <w:vAlign w:val="bottom"/>
            <w:tcBorders>
              <w:left w:val="single" w:sz="8" w:color="CCEEFF"/>
              <w:right w:val="single" w:sz="8" w:color="CCEEFF"/>
            </w:tcBorders>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Effective Tax Rate - including Charges &amp; Credits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22.7%</w:t>
            </w:r>
          </w:p>
        </w:tc>
        <w:tc>
          <w:tcPr>
            <w:tcW w:w="2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23.9%</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24.3%</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25.5%</w:t>
            </w:r>
          </w:p>
        </w:tc>
        <w:tc>
          <w:tcPr>
            <w:tcW w:w="26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24.1%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332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3416300</wp:posOffset>
            </wp:positionH>
            <wp:positionV relativeFrom="page">
              <wp:posOffset>620395</wp:posOffset>
            </wp:positionV>
            <wp:extent cx="72898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80" cy="205740"/>
                    </a:xfrm>
                    <a:prstGeom prst="rect">
                      <a:avLst/>
                    </a:prstGeom>
                    <a:noFill/>
                  </pic:spPr>
                </pic:pic>
              </a:graphicData>
            </a:graphic>
          </wp:anchor>
        </w:drawing>
        <w:t>2009 UNAUDITED PRO FORMA HISTORICAL CONSOLIDATED FINANCIAL INFORMATION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(Stated in millions, except per share amounts)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940" w:type="dxa"/>
            <w:vAlign w:val="bottom"/>
            <w:tcBorders>
              <w:top w:val="single" w:sz="8" w:color="auto"/>
              <w:left w:val="single" w:sz="8" w:color="auto"/>
              <w:right w:val="single" w:sz="8" w:color="000080"/>
            </w:tcBorders>
            <w:shd w:val="clear" w:color="auto" w:fill="000080"/>
          </w:tcPr>
          <w:p>
            <w:pPr>
              <w:spacing w:after="0"/>
              <w:rPr>
                <w:sz w:val="12"/>
                <w:szCs w:val="12"/>
                <w:color w:val="auto"/>
              </w:rPr>
            </w:pPr>
          </w:p>
        </w:tc>
        <w:tc>
          <w:tcPr>
            <w:tcW w:w="30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240" w:type="dxa"/>
            <w:vAlign w:val="bottom"/>
            <w:tcBorders>
              <w:top w:val="single" w:sz="8" w:color="auto"/>
            </w:tcBorders>
            <w:shd w:val="clear" w:color="auto" w:fill="000080"/>
          </w:tcPr>
          <w:p>
            <w:pPr>
              <w:spacing w:after="0"/>
              <w:rPr>
                <w:sz w:val="12"/>
                <w:szCs w:val="12"/>
                <w:color w:val="auto"/>
              </w:rPr>
            </w:pPr>
          </w:p>
        </w:tc>
        <w:tc>
          <w:tcPr>
            <w:tcW w:w="3140" w:type="dxa"/>
            <w:vAlign w:val="bottom"/>
            <w:tcBorders>
              <w:top w:val="single" w:sz="8" w:color="auto"/>
              <w:right w:val="single" w:sz="8" w:color="000080"/>
            </w:tcBorders>
            <w:gridSpan w:val="7"/>
            <w:shd w:val="clear" w:color="auto" w:fill="000080"/>
          </w:tcPr>
          <w:p>
            <w:pPr>
              <w:jc w:val="right"/>
              <w:ind w:right="117"/>
              <w:spacing w:after="0"/>
              <w:rPr>
                <w:sz w:val="20"/>
                <w:szCs w:val="20"/>
                <w:color w:val="auto"/>
              </w:rPr>
            </w:pPr>
            <w:r>
              <w:rPr>
                <w:rFonts w:ascii="Arial" w:cs="Arial" w:eastAsia="Arial" w:hAnsi="Arial"/>
                <w:sz w:val="13"/>
                <w:szCs w:val="13"/>
                <w:b w:val="1"/>
                <w:bCs w:val="1"/>
                <w:color w:val="FFFFFF"/>
              </w:rPr>
              <w:t>2 0 0 9  B Y  B U S I N E S S  G R O U P</w:t>
            </w:r>
          </w:p>
        </w:tc>
        <w:tc>
          <w:tcPr>
            <w:tcW w:w="26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300" w:type="dxa"/>
            <w:vAlign w:val="bottom"/>
            <w:tcBorders>
              <w:top w:val="single" w:sz="8" w:color="auto"/>
            </w:tcBorders>
            <w:shd w:val="clear" w:color="auto" w:fill="000080"/>
          </w:tcPr>
          <w:p>
            <w:pPr>
              <w:spacing w:after="0"/>
              <w:rPr>
                <w:sz w:val="12"/>
                <w:szCs w:val="12"/>
                <w:color w:val="auto"/>
              </w:rPr>
            </w:pPr>
          </w:p>
        </w:tc>
        <w:tc>
          <w:tcPr>
            <w:tcW w:w="580" w:type="dxa"/>
            <w:vAlign w:val="bottom"/>
            <w:tcBorders>
              <w:top w:val="single" w:sz="8" w:color="auto"/>
              <w:right w:val="single" w:sz="8" w:color="000080"/>
            </w:tcBorders>
            <w:shd w:val="clear" w:color="auto" w:fill="000080"/>
          </w:tcPr>
          <w:p>
            <w:pPr>
              <w:spacing w:after="0"/>
              <w:rPr>
                <w:sz w:val="12"/>
                <w:szCs w:val="12"/>
                <w:color w:val="auto"/>
              </w:rPr>
            </w:pPr>
          </w:p>
        </w:tc>
        <w:tc>
          <w:tcPr>
            <w:tcW w:w="24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280" w:type="dxa"/>
            <w:vAlign w:val="bottom"/>
            <w:tcBorders>
              <w:top w:val="single" w:sz="8" w:color="auto"/>
            </w:tcBorders>
            <w:shd w:val="clear" w:color="auto" w:fill="000080"/>
          </w:tcPr>
          <w:p>
            <w:pPr>
              <w:spacing w:after="0"/>
              <w:rPr>
                <w:sz w:val="12"/>
                <w:szCs w:val="12"/>
                <w:color w:val="auto"/>
              </w:rPr>
            </w:pPr>
          </w:p>
        </w:tc>
        <w:tc>
          <w:tcPr>
            <w:tcW w:w="600" w:type="dxa"/>
            <w:vAlign w:val="bottom"/>
            <w:tcBorders>
              <w:top w:val="single" w:sz="8" w:color="auto"/>
              <w:right w:val="single" w:sz="8" w:color="000080"/>
            </w:tcBorders>
            <w:shd w:val="clear" w:color="auto" w:fill="000080"/>
          </w:tcPr>
          <w:p>
            <w:pPr>
              <w:spacing w:after="0"/>
              <w:rPr>
                <w:sz w:val="12"/>
                <w:szCs w:val="12"/>
                <w:color w:val="auto"/>
              </w:rPr>
            </w:pPr>
          </w:p>
        </w:tc>
        <w:tc>
          <w:tcPr>
            <w:tcW w:w="60" w:type="dxa"/>
            <w:vAlign w:val="bottom"/>
            <w:tcBorders>
              <w:top w:val="single" w:sz="8" w:color="auto"/>
            </w:tcBorders>
            <w:shd w:val="clear" w:color="auto" w:fill="000080"/>
          </w:tcPr>
          <w:p>
            <w:pPr>
              <w:spacing w:after="0"/>
              <w:rPr>
                <w:sz w:val="12"/>
                <w:szCs w:val="12"/>
                <w:color w:val="auto"/>
              </w:rPr>
            </w:pPr>
          </w:p>
        </w:tc>
        <w:tc>
          <w:tcPr>
            <w:tcW w:w="20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auto"/>
            </w:tcBorders>
            <w:shd w:val="clear" w:color="auto" w:fill="000080"/>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Q1</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Q2</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38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4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11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9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Reservoir Characterization</w:t>
            </w:r>
          </w:p>
        </w:tc>
        <w:tc>
          <w:tcPr>
            <w:tcW w:w="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2,487</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644</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2,396</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633</w:t>
            </w:r>
          </w:p>
        </w:tc>
        <w:tc>
          <w:tcPr>
            <w:tcW w:w="3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2,294</w:t>
            </w:r>
          </w:p>
        </w:tc>
        <w:tc>
          <w:tcPr>
            <w:tcW w:w="2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565</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2,521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701</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9,698</w:t>
            </w:r>
          </w:p>
        </w:tc>
        <w:tc>
          <w:tcPr>
            <w:tcW w:w="60" w:type="dxa"/>
            <w:vAlign w:val="bottom"/>
          </w:tcPr>
          <w:p>
            <w:pPr>
              <w:spacing w:after="0"/>
              <w:rPr>
                <w:sz w:val="11"/>
                <w:szCs w:val="11"/>
                <w:color w:val="auto"/>
              </w:rPr>
            </w:pPr>
          </w:p>
        </w:tc>
        <w:tc>
          <w:tcPr>
            <w:tcW w:w="2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2,543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Reservoir Production</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2,040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262</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1,775</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1,762</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1,852</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151</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7,429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Drilling</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3,368</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667</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2,951</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488</w:t>
            </w:r>
          </w:p>
        </w:tc>
        <w:tc>
          <w:tcPr>
            <w:tcW w:w="32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2,921</w:t>
            </w: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481</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2,999</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450</w:t>
            </w:r>
          </w:p>
        </w:tc>
        <w:tc>
          <w:tcPr>
            <w:tcW w:w="2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12,239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2,086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(9)</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w:t>
            </w:r>
          </w:p>
        </w:tc>
        <w:tc>
          <w:tcPr>
            <w:tcW w:w="3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w:t>
            </w: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(23)</w:t>
            </w: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w:t>
            </w: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7,904</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1,564</w:t>
            </w:r>
          </w:p>
        </w:tc>
        <w:tc>
          <w:tcPr>
            <w:tcW w:w="30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7,128</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1,288</w:t>
            </w:r>
          </w:p>
        </w:tc>
        <w:tc>
          <w:tcPr>
            <w:tcW w:w="32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6,993</w:t>
            </w: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1,241</w:t>
            </w:r>
          </w:p>
        </w:tc>
        <w:tc>
          <w:tcPr>
            <w:tcW w:w="30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7,387</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1,279</w:t>
            </w:r>
          </w:p>
        </w:tc>
        <w:tc>
          <w:tcPr>
            <w:tcW w:w="280" w:type="dxa"/>
            <w:vAlign w:val="bottom"/>
          </w:tcPr>
          <w:p>
            <w:pPr>
              <w:spacing w:after="0"/>
              <w:rPr>
                <w:sz w:val="12"/>
                <w:szCs w:val="12"/>
                <w:color w:val="auto"/>
              </w:rPr>
            </w:pPr>
          </w:p>
        </w:tc>
        <w:tc>
          <w:tcPr>
            <w:tcW w:w="60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29,412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5,372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570</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16</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411</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3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379</w:t>
            </w: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410</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1,770</w:t>
            </w: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8,474</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1,580</w:t>
            </w:r>
          </w:p>
        </w:tc>
        <w:tc>
          <w:tcPr>
            <w:tcW w:w="3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7,539</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1,279</w:t>
            </w:r>
          </w:p>
        </w:tc>
        <w:tc>
          <w:tcPr>
            <w:tcW w:w="3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7,372</w:t>
            </w: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1,221</w:t>
            </w:r>
          </w:p>
        </w:tc>
        <w:tc>
          <w:tcPr>
            <w:tcW w:w="3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7,797</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1,260</w:t>
            </w:r>
          </w:p>
        </w:tc>
        <w:tc>
          <w:tcPr>
            <w:tcW w:w="2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31,182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5,340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(156)</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(161)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(161)</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13</w:t>
            </w: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12</w:t>
            </w:r>
          </w:p>
        </w:tc>
        <w:tc>
          <w:tcPr>
            <w:tcW w:w="2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(62)</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(77)</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(72)</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(251)</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auto"/>
              <w:right w:val="single" w:sz="8" w:color="auto"/>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Income before Tax and Noncontrolling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Interests</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1,343</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815</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986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1,039</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4,183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(330)</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(174)</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(209)</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(199)</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(912)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1,013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641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777</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840</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3,271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(9)</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(8)</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(5)</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auto"/>
              <w:right w:val="single" w:sz="8" w:color="auto"/>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Schlumberger Income from Continuing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9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Operations</w:t>
            </w:r>
          </w:p>
        </w:tc>
        <w:tc>
          <w:tcPr>
            <w:tcW w:w="30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1,004</w:t>
            </w:r>
          </w:p>
        </w:tc>
        <w:tc>
          <w:tcPr>
            <w:tcW w:w="3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633</w:t>
            </w:r>
          </w:p>
        </w:tc>
        <w:tc>
          <w:tcPr>
            <w:tcW w:w="3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772</w:t>
            </w:r>
          </w:p>
        </w:tc>
        <w:tc>
          <w:tcPr>
            <w:tcW w:w="3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835</w:t>
            </w:r>
          </w:p>
        </w:tc>
        <w:tc>
          <w:tcPr>
            <w:tcW w:w="2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3,244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000080"/>
            </w:tcBorders>
            <w:shd w:val="clear" w:color="auto" w:fill="000080"/>
          </w:tcPr>
          <w:p>
            <w:pPr>
              <w:spacing w:after="0"/>
              <w:rPr>
                <w:sz w:val="11"/>
                <w:szCs w:val="11"/>
                <w:color w:val="auto"/>
              </w:rPr>
            </w:pPr>
          </w:p>
        </w:tc>
        <w:tc>
          <w:tcPr>
            <w:tcW w:w="30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240" w:type="dxa"/>
            <w:vAlign w:val="bottom"/>
            <w:shd w:val="clear" w:color="auto" w:fill="000080"/>
          </w:tcPr>
          <w:p>
            <w:pPr>
              <w:spacing w:after="0"/>
              <w:rPr>
                <w:sz w:val="11"/>
                <w:szCs w:val="11"/>
                <w:color w:val="auto"/>
              </w:rPr>
            </w:pPr>
          </w:p>
        </w:tc>
        <w:tc>
          <w:tcPr>
            <w:tcW w:w="3140" w:type="dxa"/>
            <w:vAlign w:val="bottom"/>
            <w:tcBorders>
              <w:right w:val="single" w:sz="8" w:color="000080"/>
            </w:tcBorders>
            <w:gridSpan w:val="7"/>
            <w:shd w:val="clear" w:color="auto" w:fill="000080"/>
          </w:tcPr>
          <w:p>
            <w:pPr>
              <w:jc w:val="right"/>
              <w:ind w:right="37"/>
              <w:spacing w:after="0" w:line="129" w:lineRule="exact"/>
              <w:rPr>
                <w:sz w:val="20"/>
                <w:szCs w:val="20"/>
                <w:color w:val="auto"/>
              </w:rPr>
            </w:pPr>
            <w:r>
              <w:rPr>
                <w:rFonts w:ascii="Arial" w:cs="Arial" w:eastAsia="Arial" w:hAnsi="Arial"/>
                <w:sz w:val="13"/>
                <w:szCs w:val="13"/>
                <w:b w:val="1"/>
                <w:bCs w:val="1"/>
                <w:color w:val="FFFFFF"/>
              </w:rPr>
              <w:t>2 0 0 9  B Y  G E O G R A P H I C  A R E A</w:t>
            </w:r>
          </w:p>
        </w:tc>
        <w:tc>
          <w:tcPr>
            <w:tcW w:w="26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300" w:type="dxa"/>
            <w:vAlign w:val="bottom"/>
            <w:shd w:val="clear" w:color="auto" w:fill="000080"/>
          </w:tcPr>
          <w:p>
            <w:pPr>
              <w:spacing w:after="0"/>
              <w:rPr>
                <w:sz w:val="11"/>
                <w:szCs w:val="11"/>
                <w:color w:val="auto"/>
              </w:rPr>
            </w:pPr>
          </w:p>
        </w:tc>
        <w:tc>
          <w:tcPr>
            <w:tcW w:w="580" w:type="dxa"/>
            <w:vAlign w:val="bottom"/>
            <w:tcBorders>
              <w:right w:val="single" w:sz="8" w:color="000080"/>
            </w:tcBorders>
            <w:shd w:val="clear" w:color="auto" w:fill="000080"/>
          </w:tcPr>
          <w:p>
            <w:pPr>
              <w:spacing w:after="0"/>
              <w:rPr>
                <w:sz w:val="11"/>
                <w:szCs w:val="11"/>
                <w:color w:val="auto"/>
              </w:rPr>
            </w:pPr>
          </w:p>
        </w:tc>
        <w:tc>
          <w:tcPr>
            <w:tcW w:w="24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280" w:type="dxa"/>
            <w:vAlign w:val="bottom"/>
            <w:shd w:val="clear" w:color="auto" w:fill="000080"/>
          </w:tcPr>
          <w:p>
            <w:pPr>
              <w:spacing w:after="0"/>
              <w:rPr>
                <w:sz w:val="11"/>
                <w:szCs w:val="11"/>
                <w:color w:val="auto"/>
              </w:rPr>
            </w:pPr>
          </w:p>
        </w:tc>
        <w:tc>
          <w:tcPr>
            <w:tcW w:w="600" w:type="dxa"/>
            <w:vAlign w:val="bottom"/>
            <w:tcBorders>
              <w:right w:val="single" w:sz="8" w:color="000080"/>
            </w:tcBorders>
            <w:shd w:val="clear" w:color="auto" w:fill="000080"/>
          </w:tcPr>
          <w:p>
            <w:pPr>
              <w:spacing w:after="0"/>
              <w:rPr>
                <w:sz w:val="11"/>
                <w:szCs w:val="11"/>
                <w:color w:val="auto"/>
              </w:rPr>
            </w:pPr>
          </w:p>
        </w:tc>
        <w:tc>
          <w:tcPr>
            <w:tcW w:w="60" w:type="dxa"/>
            <w:vAlign w:val="bottom"/>
            <w:shd w:val="clear" w:color="auto" w:fill="000080"/>
          </w:tcPr>
          <w:p>
            <w:pPr>
              <w:spacing w:after="0"/>
              <w:rPr>
                <w:sz w:val="11"/>
                <w:szCs w:val="11"/>
                <w:color w:val="auto"/>
              </w:rPr>
            </w:pPr>
          </w:p>
        </w:tc>
        <w:tc>
          <w:tcPr>
            <w:tcW w:w="200" w:type="dxa"/>
            <w:vAlign w:val="bottom"/>
            <w:shd w:val="clear" w:color="auto" w:fill="000080"/>
          </w:tcPr>
          <w:p>
            <w:pPr>
              <w:spacing w:after="0"/>
              <w:rPr>
                <w:sz w:val="11"/>
                <w:szCs w:val="11"/>
                <w:color w:val="auto"/>
              </w:rPr>
            </w:pPr>
          </w:p>
        </w:tc>
        <w:tc>
          <w:tcPr>
            <w:tcW w:w="560" w:type="dxa"/>
            <w:vAlign w:val="bottom"/>
            <w:tcBorders>
              <w:right w:val="single" w:sz="8" w:color="auto"/>
            </w:tcBorders>
            <w:shd w:val="clear" w:color="auto" w:fill="000080"/>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Q1</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Q2</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38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4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11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9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North America</w:t>
            </w:r>
          </w:p>
        </w:tc>
        <w:tc>
          <w:tcPr>
            <w:tcW w:w="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2,023</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261</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1,461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72</w:t>
            </w:r>
          </w:p>
        </w:tc>
        <w:tc>
          <w:tcPr>
            <w:tcW w:w="3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1,412</w:t>
            </w:r>
          </w:p>
        </w:tc>
        <w:tc>
          <w:tcPr>
            <w:tcW w:w="2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72</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1,603</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141</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6,499</w:t>
            </w:r>
          </w:p>
        </w:tc>
        <w:tc>
          <w:tcPr>
            <w:tcW w:w="60" w:type="dxa"/>
            <w:vAlign w:val="bottom"/>
          </w:tcPr>
          <w:p>
            <w:pPr>
              <w:spacing w:after="0"/>
              <w:rPr>
                <w:sz w:val="11"/>
                <w:szCs w:val="11"/>
                <w:color w:val="auto"/>
              </w:rPr>
            </w:pPr>
          </w:p>
        </w:tc>
        <w:tc>
          <w:tcPr>
            <w:tcW w:w="2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Latin America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1,403</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283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1,323</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232</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1,400</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245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1,479</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198</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5,605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958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Europe/CIS/W.Africa</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2,528</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543</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2,500</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530</w:t>
            </w:r>
          </w:p>
        </w:tc>
        <w:tc>
          <w:tcPr>
            <w:tcW w:w="32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2,480</w:t>
            </w: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525</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2,482</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502</w:t>
            </w:r>
          </w:p>
        </w:tc>
        <w:tc>
          <w:tcPr>
            <w:tcW w:w="2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9,990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2,100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Middle East &amp; Asia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1,944</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538</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1,834</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506</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1,686</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427</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1,788</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7,252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(61)</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(52)</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15</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(28)</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35</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(31)</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66</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7,904</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1,564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7,128</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1,288</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6,993</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1,241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7,387</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1,279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29,412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5,372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570</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16</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411</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(9)</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379</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(20)</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410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1,770</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8,474</w:t>
            </w:r>
          </w:p>
        </w:tc>
        <w:tc>
          <w:tcPr>
            <w:tcW w:w="24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1,580</w:t>
            </w:r>
          </w:p>
        </w:tc>
        <w:tc>
          <w:tcPr>
            <w:tcW w:w="3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7,539</w:t>
            </w:r>
          </w:p>
        </w:tc>
        <w:tc>
          <w:tcPr>
            <w:tcW w:w="24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1,279</w:t>
            </w:r>
          </w:p>
        </w:tc>
        <w:tc>
          <w:tcPr>
            <w:tcW w:w="3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7,372</w:t>
            </w:r>
          </w:p>
        </w:tc>
        <w:tc>
          <w:tcPr>
            <w:tcW w:w="26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1,221</w:t>
            </w:r>
          </w:p>
        </w:tc>
        <w:tc>
          <w:tcPr>
            <w:tcW w:w="3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7,797</w:t>
            </w:r>
          </w:p>
        </w:tc>
        <w:tc>
          <w:tcPr>
            <w:tcW w:w="24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1,260</w:t>
            </w:r>
          </w:p>
        </w:tc>
        <w:tc>
          <w:tcPr>
            <w:tcW w:w="2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31,182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(156)</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(149)</w:t>
            </w:r>
          </w:p>
        </w:tc>
        <w:tc>
          <w:tcPr>
            <w:tcW w:w="3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(161)</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(161)</w:t>
            </w:r>
          </w:p>
        </w:tc>
        <w:tc>
          <w:tcPr>
            <w:tcW w:w="2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(62)</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(77)</w:t>
            </w: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(74)</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(72)</w:t>
            </w:r>
          </w:p>
        </w:tc>
        <w:tc>
          <w:tcPr>
            <w:tcW w:w="2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(33)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Borders>
              <w:left w:val="single" w:sz="8" w:color="auto"/>
              <w:right w:val="single" w:sz="8" w:color="auto"/>
            </w:tcBorders>
          </w:tcPr>
          <w:p>
            <w:pPr>
              <w:ind w:left="80"/>
              <w:spacing w:after="0" w:line="120" w:lineRule="exact"/>
              <w:rPr>
                <w:sz w:val="20"/>
                <w:szCs w:val="20"/>
                <w:color w:val="auto"/>
              </w:rPr>
            </w:pPr>
            <w:r>
              <w:rPr>
                <w:rFonts w:ascii="Arial" w:cs="Arial" w:eastAsia="Arial" w:hAnsi="Arial"/>
                <w:sz w:val="13"/>
                <w:szCs w:val="13"/>
                <w:b w:val="1"/>
                <w:bCs w:val="1"/>
                <w:color w:val="auto"/>
              </w:rPr>
              <w:t>Income before Tax and Noncontrolling</w:t>
            </w: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Interests</w:t>
            </w:r>
          </w:p>
        </w:tc>
        <w:tc>
          <w:tcPr>
            <w:tcW w:w="3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1,343</w:t>
            </w: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815</w:t>
            </w:r>
          </w:p>
        </w:tc>
        <w:tc>
          <w:tcPr>
            <w:tcW w:w="3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986</w:t>
            </w: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1,039</w:t>
            </w:r>
          </w:p>
        </w:tc>
        <w:tc>
          <w:tcPr>
            <w:tcW w:w="2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4,183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(330)</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(174)</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(209)</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1,013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641</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777</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840</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3,271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(9)</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Borders>
              <w:left w:val="single" w:sz="8" w:color="auto"/>
              <w:right w:val="single" w:sz="8" w:color="auto"/>
            </w:tcBorders>
          </w:tcPr>
          <w:p>
            <w:pPr>
              <w:ind w:left="80"/>
              <w:spacing w:after="0" w:line="120" w:lineRule="exact"/>
              <w:rPr>
                <w:sz w:val="20"/>
                <w:szCs w:val="20"/>
                <w:color w:val="auto"/>
              </w:rPr>
            </w:pPr>
            <w:r>
              <w:rPr>
                <w:rFonts w:ascii="Arial" w:cs="Arial" w:eastAsia="Arial" w:hAnsi="Arial"/>
                <w:sz w:val="13"/>
                <w:szCs w:val="13"/>
                <w:b w:val="1"/>
                <w:bCs w:val="1"/>
                <w:color w:val="auto"/>
              </w:rPr>
              <w:t>Schlumberger Income from Continuing</w:t>
            </w: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Operations</w:t>
            </w:r>
          </w:p>
        </w:tc>
        <w:tc>
          <w:tcPr>
            <w:tcW w:w="3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1,004</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633</w:t>
            </w:r>
          </w:p>
        </w:tc>
        <w:tc>
          <w:tcPr>
            <w:tcW w:w="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772</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835</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CCEEFF"/>
              <w:right w:val="single" w:sz="8" w:color="CCEEFF"/>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 xml:space="preserve">Average Diluted Shares Outstanding </w:t>
            </w:r>
            <w:r>
              <w:rPr>
                <w:rFonts w:ascii="Arial" w:cs="Arial" w:eastAsia="Arial" w:hAnsi="Arial"/>
                <w:sz w:val="10"/>
                <w:szCs w:val="10"/>
                <w:b w:val="1"/>
                <w:bCs w:val="1"/>
                <w:color w:val="auto"/>
              </w:rPr>
              <w:t>(3)</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1,385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1,393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1,393</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80"/>
              <w:spacing w:after="0"/>
              <w:rPr>
                <w:sz w:val="20"/>
                <w:szCs w:val="20"/>
                <w:color w:val="auto"/>
              </w:rPr>
            </w:pPr>
            <w:r>
              <w:rPr>
                <w:rFonts w:ascii="Arial" w:cs="Arial" w:eastAsia="Arial" w:hAnsi="Arial"/>
                <w:sz w:val="13"/>
                <w:szCs w:val="13"/>
                <w:b w:val="1"/>
                <w:bCs w:val="1"/>
                <w:color w:val="auto"/>
              </w:rPr>
              <w:t>Diluted Earnings per Share - excluding</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(4)</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0.74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0.61</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0.56</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0.60</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Diluted Earnings per Share - including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(4)</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0.73</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0.46</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0.56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0.60</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80"/>
              <w:spacing w:after="0"/>
              <w:rPr>
                <w:sz w:val="20"/>
                <w:szCs w:val="20"/>
                <w:color w:val="auto"/>
              </w:rPr>
            </w:pPr>
            <w:r>
              <w:rPr>
                <w:rFonts w:ascii="Arial" w:cs="Arial" w:eastAsia="Arial" w:hAnsi="Arial"/>
                <w:sz w:val="13"/>
                <w:szCs w:val="13"/>
                <w:b w:val="1"/>
                <w:bCs w:val="1"/>
                <w:color w:val="auto"/>
              </w:rPr>
              <w:t>Effective Tax Rate - excluding Charges &amp;</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Credits</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24.6%</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19.6%</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21.3%</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19.2%</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Effective Tax Rate - including Charges &amp;</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Credits</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21.3%</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21.2%</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19.2%</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9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3416300</wp:posOffset>
            </wp:positionH>
            <wp:positionV relativeFrom="page">
              <wp:posOffset>620395</wp:posOffset>
            </wp:positionV>
            <wp:extent cx="72898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8980" cy="205740"/>
                    </a:xfrm>
                    <a:prstGeom prst="rect">
                      <a:avLst/>
                    </a:prstGeom>
                    <a:noFill/>
                  </pic:spPr>
                </pic:pic>
              </a:graphicData>
            </a:graphic>
          </wp:anchor>
        </w:drawing>
        <w:t>2010 UNAUDITED PRO FORMA HISTORICAL CONSOLIDATED FINANCIAL INFORMATION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(Stated in millions, except per share amounts)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940" w:type="dxa"/>
            <w:vAlign w:val="bottom"/>
            <w:tcBorders>
              <w:top w:val="single" w:sz="8" w:color="auto"/>
              <w:left w:val="single" w:sz="8" w:color="auto"/>
              <w:right w:val="single" w:sz="8" w:color="000080"/>
            </w:tcBorders>
            <w:shd w:val="clear" w:color="auto" w:fill="000080"/>
          </w:tcPr>
          <w:p>
            <w:pPr>
              <w:spacing w:after="0"/>
              <w:rPr>
                <w:sz w:val="12"/>
                <w:szCs w:val="12"/>
                <w:color w:val="auto"/>
              </w:rPr>
            </w:pPr>
          </w:p>
        </w:tc>
        <w:tc>
          <w:tcPr>
            <w:tcW w:w="30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240" w:type="dxa"/>
            <w:vAlign w:val="bottom"/>
            <w:tcBorders>
              <w:top w:val="single" w:sz="8" w:color="auto"/>
            </w:tcBorders>
            <w:shd w:val="clear" w:color="auto" w:fill="000080"/>
          </w:tcPr>
          <w:p>
            <w:pPr>
              <w:spacing w:after="0"/>
              <w:rPr>
                <w:sz w:val="12"/>
                <w:szCs w:val="12"/>
                <w:color w:val="auto"/>
              </w:rPr>
            </w:pPr>
          </w:p>
        </w:tc>
        <w:tc>
          <w:tcPr>
            <w:tcW w:w="3140" w:type="dxa"/>
            <w:vAlign w:val="bottom"/>
            <w:tcBorders>
              <w:top w:val="single" w:sz="8" w:color="auto"/>
              <w:right w:val="single" w:sz="8" w:color="000080"/>
            </w:tcBorders>
            <w:gridSpan w:val="7"/>
            <w:shd w:val="clear" w:color="auto" w:fill="000080"/>
          </w:tcPr>
          <w:p>
            <w:pPr>
              <w:jc w:val="right"/>
              <w:ind w:right="117"/>
              <w:spacing w:after="0"/>
              <w:rPr>
                <w:sz w:val="20"/>
                <w:szCs w:val="20"/>
                <w:color w:val="auto"/>
              </w:rPr>
            </w:pPr>
            <w:r>
              <w:rPr>
                <w:rFonts w:ascii="Arial" w:cs="Arial" w:eastAsia="Arial" w:hAnsi="Arial"/>
                <w:sz w:val="13"/>
                <w:szCs w:val="13"/>
                <w:b w:val="1"/>
                <w:bCs w:val="1"/>
                <w:color w:val="FFFFFF"/>
              </w:rPr>
              <w:t>2 0 1 0  B Y  B U S I N E S S  G R O U P</w:t>
            </w:r>
          </w:p>
        </w:tc>
        <w:tc>
          <w:tcPr>
            <w:tcW w:w="26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300" w:type="dxa"/>
            <w:vAlign w:val="bottom"/>
            <w:tcBorders>
              <w:top w:val="single" w:sz="8" w:color="auto"/>
            </w:tcBorders>
            <w:shd w:val="clear" w:color="auto" w:fill="000080"/>
          </w:tcPr>
          <w:p>
            <w:pPr>
              <w:spacing w:after="0"/>
              <w:rPr>
                <w:sz w:val="12"/>
                <w:szCs w:val="12"/>
                <w:color w:val="auto"/>
              </w:rPr>
            </w:pPr>
          </w:p>
        </w:tc>
        <w:tc>
          <w:tcPr>
            <w:tcW w:w="580" w:type="dxa"/>
            <w:vAlign w:val="bottom"/>
            <w:tcBorders>
              <w:top w:val="single" w:sz="8" w:color="auto"/>
              <w:right w:val="single" w:sz="8" w:color="000080"/>
            </w:tcBorders>
            <w:shd w:val="clear" w:color="auto" w:fill="000080"/>
          </w:tcPr>
          <w:p>
            <w:pPr>
              <w:spacing w:after="0"/>
              <w:rPr>
                <w:sz w:val="12"/>
                <w:szCs w:val="12"/>
                <w:color w:val="auto"/>
              </w:rPr>
            </w:pPr>
          </w:p>
        </w:tc>
        <w:tc>
          <w:tcPr>
            <w:tcW w:w="24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000080"/>
            </w:tcBorders>
            <w:shd w:val="clear" w:color="auto" w:fill="000080"/>
          </w:tcPr>
          <w:p>
            <w:pPr>
              <w:spacing w:after="0"/>
              <w:rPr>
                <w:sz w:val="12"/>
                <w:szCs w:val="12"/>
                <w:color w:val="auto"/>
              </w:rPr>
            </w:pPr>
          </w:p>
        </w:tc>
        <w:tc>
          <w:tcPr>
            <w:tcW w:w="280" w:type="dxa"/>
            <w:vAlign w:val="bottom"/>
            <w:tcBorders>
              <w:top w:val="single" w:sz="8" w:color="auto"/>
            </w:tcBorders>
            <w:shd w:val="clear" w:color="auto" w:fill="000080"/>
          </w:tcPr>
          <w:p>
            <w:pPr>
              <w:spacing w:after="0"/>
              <w:rPr>
                <w:sz w:val="12"/>
                <w:szCs w:val="12"/>
                <w:color w:val="auto"/>
              </w:rPr>
            </w:pPr>
          </w:p>
        </w:tc>
        <w:tc>
          <w:tcPr>
            <w:tcW w:w="600" w:type="dxa"/>
            <w:vAlign w:val="bottom"/>
            <w:tcBorders>
              <w:top w:val="single" w:sz="8" w:color="auto"/>
              <w:right w:val="single" w:sz="8" w:color="000080"/>
            </w:tcBorders>
            <w:shd w:val="clear" w:color="auto" w:fill="000080"/>
          </w:tcPr>
          <w:p>
            <w:pPr>
              <w:spacing w:after="0"/>
              <w:rPr>
                <w:sz w:val="12"/>
                <w:szCs w:val="12"/>
                <w:color w:val="auto"/>
              </w:rPr>
            </w:pPr>
          </w:p>
        </w:tc>
        <w:tc>
          <w:tcPr>
            <w:tcW w:w="60" w:type="dxa"/>
            <w:vAlign w:val="bottom"/>
            <w:tcBorders>
              <w:top w:val="single" w:sz="8" w:color="auto"/>
            </w:tcBorders>
            <w:shd w:val="clear" w:color="auto" w:fill="000080"/>
          </w:tcPr>
          <w:p>
            <w:pPr>
              <w:spacing w:after="0"/>
              <w:rPr>
                <w:sz w:val="12"/>
                <w:szCs w:val="12"/>
                <w:color w:val="auto"/>
              </w:rPr>
            </w:pPr>
          </w:p>
        </w:tc>
        <w:tc>
          <w:tcPr>
            <w:tcW w:w="200" w:type="dxa"/>
            <w:vAlign w:val="bottom"/>
            <w:tcBorders>
              <w:top w:val="single" w:sz="8" w:color="auto"/>
            </w:tcBorders>
            <w:shd w:val="clear" w:color="auto" w:fill="000080"/>
          </w:tcPr>
          <w:p>
            <w:pPr>
              <w:spacing w:after="0"/>
              <w:rPr>
                <w:sz w:val="12"/>
                <w:szCs w:val="12"/>
                <w:color w:val="auto"/>
              </w:rPr>
            </w:pPr>
          </w:p>
        </w:tc>
        <w:tc>
          <w:tcPr>
            <w:tcW w:w="560" w:type="dxa"/>
            <w:vAlign w:val="bottom"/>
            <w:tcBorders>
              <w:top w:val="single" w:sz="8" w:color="auto"/>
              <w:right w:val="single" w:sz="8" w:color="auto"/>
            </w:tcBorders>
            <w:shd w:val="clear" w:color="auto" w:fill="000080"/>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Q1</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Q2</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38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4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11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9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Reservoir Characterization</w:t>
            </w:r>
          </w:p>
        </w:tc>
        <w:tc>
          <w:tcPr>
            <w:tcW w:w="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2,301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561</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2,358</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553</w:t>
            </w:r>
          </w:p>
        </w:tc>
        <w:tc>
          <w:tcPr>
            <w:tcW w:w="3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2,338</w:t>
            </w:r>
          </w:p>
        </w:tc>
        <w:tc>
          <w:tcPr>
            <w:tcW w:w="2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525</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2,551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677</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9,548</w:t>
            </w:r>
          </w:p>
        </w:tc>
        <w:tc>
          <w:tcPr>
            <w:tcW w:w="60" w:type="dxa"/>
            <w:vAlign w:val="bottom"/>
          </w:tcPr>
          <w:p>
            <w:pPr>
              <w:spacing w:after="0"/>
              <w:rPr>
                <w:sz w:val="11"/>
                <w:szCs w:val="11"/>
                <w:color w:val="auto"/>
              </w:rPr>
            </w:pPr>
          </w:p>
        </w:tc>
        <w:tc>
          <w:tcPr>
            <w:tcW w:w="2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Reservoir Production</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1,920</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164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2,136</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260</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2,312</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384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2,720</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578</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9,088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Drilling</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3,114</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466</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3,260</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510</w:t>
            </w:r>
          </w:p>
        </w:tc>
        <w:tc>
          <w:tcPr>
            <w:tcW w:w="32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3,131</w:t>
            </w: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432</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3,194</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473</w:t>
            </w:r>
          </w:p>
        </w:tc>
        <w:tc>
          <w:tcPr>
            <w:tcW w:w="2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12,699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1,881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15</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16</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w:t>
            </w:r>
          </w:p>
        </w:tc>
        <w:tc>
          <w:tcPr>
            <w:tcW w:w="3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w:t>
            </w: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(12</w:t>
            </w: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26</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(32)</w:t>
            </w: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67</w:t>
            </w: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7,346</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1,206</w:t>
            </w:r>
          </w:p>
        </w:tc>
        <w:tc>
          <w:tcPr>
            <w:tcW w:w="30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7,770</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1,328</w:t>
            </w:r>
          </w:p>
        </w:tc>
        <w:tc>
          <w:tcPr>
            <w:tcW w:w="32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7,795</w:t>
            </w: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1,329</w:t>
            </w:r>
          </w:p>
        </w:tc>
        <w:tc>
          <w:tcPr>
            <w:tcW w:w="30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8,491</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1,696</w:t>
            </w:r>
          </w:p>
        </w:tc>
        <w:tc>
          <w:tcPr>
            <w:tcW w:w="280" w:type="dxa"/>
            <w:vAlign w:val="bottom"/>
          </w:tcPr>
          <w:p>
            <w:pPr>
              <w:spacing w:after="0"/>
              <w:rPr>
                <w:sz w:val="12"/>
                <w:szCs w:val="12"/>
                <w:color w:val="auto"/>
              </w:rPr>
            </w:pPr>
          </w:p>
        </w:tc>
        <w:tc>
          <w:tcPr>
            <w:tcW w:w="60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31,402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5,559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452</w:t>
            </w: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490</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w:t>
            </w:r>
          </w:p>
        </w:tc>
        <w:tc>
          <w:tcPr>
            <w:tcW w:w="3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548</w:t>
            </w: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3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576</w:t>
            </w: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21</w:t>
            </w:r>
          </w:p>
        </w:tc>
        <w:tc>
          <w:tcPr>
            <w:tcW w:w="2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2,066</w:t>
            </w: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7,798</w:t>
            </w: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1,211</w:t>
            </w:r>
          </w:p>
        </w:tc>
        <w:tc>
          <w:tcPr>
            <w:tcW w:w="3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8,260</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1,342</w:t>
            </w:r>
          </w:p>
        </w:tc>
        <w:tc>
          <w:tcPr>
            <w:tcW w:w="320" w:type="dxa"/>
            <w:vAlign w:val="bottom"/>
            <w:tcBorders>
              <w:bottom w:val="single" w:sz="8" w:color="auto"/>
            </w:tcBorders>
          </w:tcPr>
          <w:p>
            <w:pPr>
              <w:jc w:val="right"/>
              <w:ind w:right="97"/>
              <w:spacing w:after="0" w:line="143"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8,343</w:t>
            </w: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1,349</w:t>
            </w:r>
          </w:p>
        </w:tc>
        <w:tc>
          <w:tcPr>
            <w:tcW w:w="3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9,067</w:t>
            </w: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1,717</w:t>
            </w:r>
          </w:p>
        </w:tc>
        <w:tc>
          <w:tcPr>
            <w:tcW w:w="28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33,468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5,619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(161)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(168)</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(140)</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(152)</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10</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w:t>
            </w:r>
          </w:p>
        </w:tc>
        <w:tc>
          <w:tcPr>
            <w:tcW w:w="2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(66)</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(68)</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(75)</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(15)</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823</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(180</w:t>
            </w: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auto"/>
              <w:right w:val="single" w:sz="8" w:color="auto"/>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Income before Tax and Noncontrolling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Interests</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922</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1,101</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1,974</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1,335</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5,332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(261)</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(229)</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(236)</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(290)</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661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872</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1,738</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1,045</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4,316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auto"/>
              <w:right w:val="single" w:sz="8" w:color="auto"/>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Schlumberger Income from Continuing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9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Operations</w:t>
            </w:r>
          </w:p>
        </w:tc>
        <w:tc>
          <w:tcPr>
            <w:tcW w:w="30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657</w:t>
            </w:r>
          </w:p>
        </w:tc>
        <w:tc>
          <w:tcPr>
            <w:tcW w:w="3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872</w:t>
            </w:r>
          </w:p>
        </w:tc>
        <w:tc>
          <w:tcPr>
            <w:tcW w:w="320" w:type="dxa"/>
            <w:vAlign w:val="bottom"/>
            <w:shd w:val="clear" w:color="auto" w:fill="CCEEFF"/>
          </w:tcPr>
          <w:p>
            <w:pPr>
              <w:spacing w:after="0"/>
              <w:rPr>
                <w:sz w:val="14"/>
                <w:szCs w:val="14"/>
                <w:color w:val="auto"/>
              </w:rPr>
            </w:pPr>
          </w:p>
        </w:tc>
        <w:tc>
          <w:tcPr>
            <w:tcW w:w="560" w:type="dxa"/>
            <w:vAlign w:val="bottom"/>
            <w:tcBorders>
              <w:right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1,738</w:t>
            </w:r>
          </w:p>
        </w:tc>
        <w:tc>
          <w:tcPr>
            <w:tcW w:w="300" w:type="dxa"/>
            <w:vAlign w:val="bottom"/>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1,043</w:t>
            </w:r>
          </w:p>
        </w:tc>
        <w:tc>
          <w:tcPr>
            <w:tcW w:w="28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000080"/>
            </w:tcBorders>
            <w:shd w:val="clear" w:color="auto" w:fill="000080"/>
          </w:tcPr>
          <w:p>
            <w:pPr>
              <w:spacing w:after="0"/>
              <w:rPr>
                <w:sz w:val="11"/>
                <w:szCs w:val="11"/>
                <w:color w:val="auto"/>
              </w:rPr>
            </w:pPr>
          </w:p>
        </w:tc>
        <w:tc>
          <w:tcPr>
            <w:tcW w:w="30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240" w:type="dxa"/>
            <w:vAlign w:val="bottom"/>
            <w:shd w:val="clear" w:color="auto" w:fill="000080"/>
          </w:tcPr>
          <w:p>
            <w:pPr>
              <w:spacing w:after="0"/>
              <w:rPr>
                <w:sz w:val="11"/>
                <w:szCs w:val="11"/>
                <w:color w:val="auto"/>
              </w:rPr>
            </w:pPr>
          </w:p>
        </w:tc>
        <w:tc>
          <w:tcPr>
            <w:tcW w:w="3140" w:type="dxa"/>
            <w:vAlign w:val="bottom"/>
            <w:tcBorders>
              <w:right w:val="single" w:sz="8" w:color="000080"/>
            </w:tcBorders>
            <w:gridSpan w:val="7"/>
            <w:shd w:val="clear" w:color="auto" w:fill="000080"/>
          </w:tcPr>
          <w:p>
            <w:pPr>
              <w:jc w:val="right"/>
              <w:ind w:right="37"/>
              <w:spacing w:after="0" w:line="129" w:lineRule="exact"/>
              <w:rPr>
                <w:sz w:val="20"/>
                <w:szCs w:val="20"/>
                <w:color w:val="auto"/>
              </w:rPr>
            </w:pPr>
            <w:r>
              <w:rPr>
                <w:rFonts w:ascii="Arial" w:cs="Arial" w:eastAsia="Arial" w:hAnsi="Arial"/>
                <w:sz w:val="13"/>
                <w:szCs w:val="13"/>
                <w:b w:val="1"/>
                <w:bCs w:val="1"/>
                <w:color w:val="FFFFFF"/>
              </w:rPr>
              <w:t>2 0 1 0  B Y  G E O G R A P H I C  A R E A</w:t>
            </w:r>
          </w:p>
        </w:tc>
        <w:tc>
          <w:tcPr>
            <w:tcW w:w="26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300" w:type="dxa"/>
            <w:vAlign w:val="bottom"/>
            <w:shd w:val="clear" w:color="auto" w:fill="000080"/>
          </w:tcPr>
          <w:p>
            <w:pPr>
              <w:spacing w:after="0"/>
              <w:rPr>
                <w:sz w:val="11"/>
                <w:szCs w:val="11"/>
                <w:color w:val="auto"/>
              </w:rPr>
            </w:pPr>
          </w:p>
        </w:tc>
        <w:tc>
          <w:tcPr>
            <w:tcW w:w="580" w:type="dxa"/>
            <w:vAlign w:val="bottom"/>
            <w:tcBorders>
              <w:right w:val="single" w:sz="8" w:color="000080"/>
            </w:tcBorders>
            <w:shd w:val="clear" w:color="auto" w:fill="000080"/>
          </w:tcPr>
          <w:p>
            <w:pPr>
              <w:spacing w:after="0"/>
              <w:rPr>
                <w:sz w:val="11"/>
                <w:szCs w:val="11"/>
                <w:color w:val="auto"/>
              </w:rPr>
            </w:pPr>
          </w:p>
        </w:tc>
        <w:tc>
          <w:tcPr>
            <w:tcW w:w="240" w:type="dxa"/>
            <w:vAlign w:val="bottom"/>
            <w:shd w:val="clear" w:color="auto" w:fill="000080"/>
          </w:tcPr>
          <w:p>
            <w:pPr>
              <w:spacing w:after="0"/>
              <w:rPr>
                <w:sz w:val="11"/>
                <w:szCs w:val="11"/>
                <w:color w:val="auto"/>
              </w:rPr>
            </w:pPr>
          </w:p>
        </w:tc>
        <w:tc>
          <w:tcPr>
            <w:tcW w:w="560" w:type="dxa"/>
            <w:vAlign w:val="bottom"/>
            <w:tcBorders>
              <w:right w:val="single" w:sz="8" w:color="000080"/>
            </w:tcBorders>
            <w:shd w:val="clear" w:color="auto" w:fill="000080"/>
          </w:tcPr>
          <w:p>
            <w:pPr>
              <w:spacing w:after="0"/>
              <w:rPr>
                <w:sz w:val="11"/>
                <w:szCs w:val="11"/>
                <w:color w:val="auto"/>
              </w:rPr>
            </w:pPr>
          </w:p>
        </w:tc>
        <w:tc>
          <w:tcPr>
            <w:tcW w:w="280" w:type="dxa"/>
            <w:vAlign w:val="bottom"/>
            <w:shd w:val="clear" w:color="auto" w:fill="000080"/>
          </w:tcPr>
          <w:p>
            <w:pPr>
              <w:spacing w:after="0"/>
              <w:rPr>
                <w:sz w:val="11"/>
                <w:szCs w:val="11"/>
                <w:color w:val="auto"/>
              </w:rPr>
            </w:pPr>
          </w:p>
        </w:tc>
        <w:tc>
          <w:tcPr>
            <w:tcW w:w="600" w:type="dxa"/>
            <w:vAlign w:val="bottom"/>
            <w:tcBorders>
              <w:right w:val="single" w:sz="8" w:color="000080"/>
            </w:tcBorders>
            <w:shd w:val="clear" w:color="auto" w:fill="000080"/>
          </w:tcPr>
          <w:p>
            <w:pPr>
              <w:spacing w:after="0"/>
              <w:rPr>
                <w:sz w:val="11"/>
                <w:szCs w:val="11"/>
                <w:color w:val="auto"/>
              </w:rPr>
            </w:pPr>
          </w:p>
        </w:tc>
        <w:tc>
          <w:tcPr>
            <w:tcW w:w="60" w:type="dxa"/>
            <w:vAlign w:val="bottom"/>
            <w:shd w:val="clear" w:color="auto" w:fill="000080"/>
          </w:tcPr>
          <w:p>
            <w:pPr>
              <w:spacing w:after="0"/>
              <w:rPr>
                <w:sz w:val="11"/>
                <w:szCs w:val="11"/>
                <w:color w:val="auto"/>
              </w:rPr>
            </w:pPr>
          </w:p>
        </w:tc>
        <w:tc>
          <w:tcPr>
            <w:tcW w:w="200" w:type="dxa"/>
            <w:vAlign w:val="bottom"/>
            <w:shd w:val="clear" w:color="auto" w:fill="000080"/>
          </w:tcPr>
          <w:p>
            <w:pPr>
              <w:spacing w:after="0"/>
              <w:rPr>
                <w:sz w:val="11"/>
                <w:szCs w:val="11"/>
                <w:color w:val="auto"/>
              </w:rPr>
            </w:pPr>
          </w:p>
        </w:tc>
        <w:tc>
          <w:tcPr>
            <w:tcW w:w="560" w:type="dxa"/>
            <w:vAlign w:val="bottom"/>
            <w:tcBorders>
              <w:right w:val="single" w:sz="8" w:color="auto"/>
            </w:tcBorders>
            <w:shd w:val="clear" w:color="auto" w:fill="000080"/>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Q1</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Q2</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Q3</w:t>
            </w: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Q4</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ind w:left="380"/>
              <w:spacing w:after="0" w:line="135" w:lineRule="exact"/>
              <w:rPr>
                <w:sz w:val="20"/>
                <w:szCs w:val="20"/>
                <w:color w:val="auto"/>
              </w:rPr>
            </w:pPr>
            <w:r>
              <w:rPr>
                <w:rFonts w:ascii="Arial" w:cs="Arial" w:eastAsia="Arial" w:hAnsi="Arial"/>
                <w:sz w:val="13"/>
                <w:szCs w:val="13"/>
                <w:b w:val="1"/>
                <w:bCs w:val="1"/>
                <w:color w:val="auto"/>
                <w:w w:val="92"/>
              </w:rPr>
              <w:t>Year</w:t>
            </w: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94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20" w:type="dxa"/>
            <w:vAlign w:val="bottom"/>
            <w:tcBorders>
              <w:right w:val="single" w:sz="8" w:color="auto"/>
            </w:tcBorders>
            <w:gridSpan w:val="2"/>
          </w:tcPr>
          <w:p>
            <w:pPr>
              <w:jc w:val="center"/>
              <w:ind w:right="5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800" w:type="dxa"/>
            <w:vAlign w:val="bottom"/>
            <w:tcBorders>
              <w:right w:val="single" w:sz="8" w:color="auto"/>
            </w:tcBorders>
            <w:gridSpan w:val="2"/>
          </w:tcPr>
          <w:p>
            <w:pPr>
              <w:jc w:val="center"/>
              <w:ind w:right="77"/>
              <w:spacing w:after="0" w:line="107" w:lineRule="exact"/>
              <w:rPr>
                <w:sz w:val="20"/>
                <w:szCs w:val="20"/>
                <w:color w:val="auto"/>
              </w:rPr>
            </w:pPr>
            <w:r>
              <w:rPr>
                <w:rFonts w:ascii="Arial" w:cs="Arial" w:eastAsia="Arial" w:hAnsi="Arial"/>
                <w:sz w:val="12"/>
                <w:szCs w:val="12"/>
                <w:b w:val="1"/>
                <w:bCs w:val="1"/>
                <w:color w:val="auto"/>
              </w:rPr>
              <w:t>Pretax</w:t>
            </w:r>
          </w:p>
        </w:tc>
        <w:tc>
          <w:tcPr>
            <w:tcW w:w="880" w:type="dxa"/>
            <w:vAlign w:val="bottom"/>
            <w:tcBorders>
              <w:right w:val="single" w:sz="8" w:color="auto"/>
            </w:tcBorders>
            <w:gridSpan w:val="2"/>
            <w:vMerge w:val="restart"/>
          </w:tcPr>
          <w:p>
            <w:pPr>
              <w:jc w:val="right"/>
              <w:ind w:right="177"/>
              <w:spacing w:after="0"/>
              <w:rPr>
                <w:sz w:val="20"/>
                <w:szCs w:val="20"/>
                <w:color w:val="auto"/>
              </w:rPr>
            </w:pPr>
            <w:r>
              <w:rPr>
                <w:rFonts w:ascii="Arial" w:cs="Arial" w:eastAsia="Arial" w:hAnsi="Arial"/>
                <w:sz w:val="13"/>
                <w:szCs w:val="13"/>
                <w:b w:val="1"/>
                <w:bCs w:val="1"/>
                <w:color w:val="auto"/>
              </w:rPr>
              <w:t>Revenue</w:t>
            </w:r>
          </w:p>
        </w:tc>
        <w:tc>
          <w:tcPr>
            <w:tcW w:w="6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117"/>
              <w:spacing w:after="0" w:line="107" w:lineRule="exact"/>
              <w:rPr>
                <w:sz w:val="20"/>
                <w:szCs w:val="20"/>
                <w:color w:val="auto"/>
              </w:rPr>
            </w:pPr>
            <w:r>
              <w:rPr>
                <w:rFonts w:ascii="Arial" w:cs="Arial" w:eastAsia="Arial" w:hAnsi="Arial"/>
                <w:sz w:val="12"/>
                <w:szCs w:val="12"/>
                <w:b w:val="1"/>
                <w:bCs w:val="1"/>
                <w:color w:val="auto"/>
              </w:rPr>
              <w:t>Pretax</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940" w:type="dxa"/>
            <w:vAlign w:val="bottom"/>
            <w:tcBorders>
              <w:left w:val="single" w:sz="8" w:color="auto"/>
              <w:right w:val="single" w:sz="8" w:color="auto"/>
            </w:tcBorders>
          </w:tcPr>
          <w:p>
            <w:pPr>
              <w:spacing w:after="0"/>
              <w:rPr>
                <w:sz w:val="8"/>
                <w:szCs w:val="8"/>
                <w:color w:val="auto"/>
              </w:rPr>
            </w:pPr>
          </w:p>
        </w:tc>
        <w:tc>
          <w:tcPr>
            <w:tcW w:w="86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20" w:type="dxa"/>
            <w:vAlign w:val="bottom"/>
            <w:tcBorders>
              <w:right w:val="single" w:sz="8" w:color="auto"/>
            </w:tcBorders>
            <w:gridSpan w:val="2"/>
            <w:vMerge w:val="restart"/>
          </w:tcPr>
          <w:p>
            <w:pPr>
              <w:jc w:val="center"/>
              <w:ind w:right="7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800" w:type="dxa"/>
            <w:vAlign w:val="bottom"/>
            <w:tcBorders>
              <w:right w:val="single" w:sz="8" w:color="auto"/>
            </w:tcBorders>
            <w:gridSpan w:val="2"/>
            <w:vMerge w:val="restart"/>
          </w:tcPr>
          <w:p>
            <w:pPr>
              <w:jc w:val="center"/>
              <w:ind w:right="57"/>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gridSpan w:val="2"/>
            <w:vMerge w:val="restart"/>
          </w:tcPr>
          <w:p>
            <w:pPr>
              <w:jc w:val="center"/>
              <w:ind w:right="137"/>
              <w:spacing w:after="0"/>
              <w:rPr>
                <w:sz w:val="20"/>
                <w:szCs w:val="20"/>
                <w:color w:val="auto"/>
              </w:rPr>
            </w:pPr>
            <w:r>
              <w:rPr>
                <w:rFonts w:ascii="Arial" w:cs="Arial" w:eastAsia="Arial" w:hAnsi="Arial"/>
                <w:sz w:val="13"/>
                <w:szCs w:val="13"/>
                <w:b w:val="1"/>
                <w:bCs w:val="1"/>
                <w:color w:val="auto"/>
                <w:w w:val="96"/>
              </w:rPr>
              <w:t>Income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94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gridSpan w:val="2"/>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i w:val="1"/>
                <w:iCs w:val="1"/>
                <w:color w:val="auto"/>
              </w:rPr>
              <w:t>Oilfield Services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North America</w:t>
            </w:r>
          </w:p>
        </w:tc>
        <w:tc>
          <w:tcPr>
            <w:tcW w:w="3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1,854</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195</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1,971</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232</w:t>
            </w:r>
          </w:p>
        </w:tc>
        <w:tc>
          <w:tcPr>
            <w:tcW w:w="3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2,091</w:t>
            </w:r>
          </w:p>
        </w:tc>
        <w:tc>
          <w:tcPr>
            <w:tcW w:w="26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322</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2,584</w:t>
            </w:r>
          </w:p>
        </w:tc>
        <w:tc>
          <w:tcPr>
            <w:tcW w:w="24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589</w:t>
            </w:r>
          </w:p>
        </w:tc>
        <w:tc>
          <w:tcPr>
            <w:tcW w:w="28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8,500</w:t>
            </w:r>
          </w:p>
        </w:tc>
        <w:tc>
          <w:tcPr>
            <w:tcW w:w="60" w:type="dxa"/>
            <w:vAlign w:val="bottom"/>
          </w:tcPr>
          <w:p>
            <w:pPr>
              <w:spacing w:after="0"/>
              <w:rPr>
                <w:sz w:val="11"/>
                <w:szCs w:val="11"/>
                <w:color w:val="auto"/>
              </w:rPr>
            </w:pPr>
          </w:p>
        </w:tc>
        <w:tc>
          <w:tcPr>
            <w:tcW w:w="200" w:type="dxa"/>
            <w:vAlign w:val="bottom"/>
          </w:tcPr>
          <w:p>
            <w:pPr>
              <w:jc w:val="right"/>
              <w:ind w:right="38"/>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1,338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Latin America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1,406</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218</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1,499</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234</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1,389</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1,381</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207</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5,675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Europe/CIS/W.Africa</w:t>
            </w:r>
          </w:p>
        </w:tc>
        <w:tc>
          <w:tcPr>
            <w:tcW w:w="3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2,266</w:t>
            </w: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368</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2,404</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393</w:t>
            </w:r>
          </w:p>
        </w:tc>
        <w:tc>
          <w:tcPr>
            <w:tcW w:w="32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2,434</w:t>
            </w: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409</w:t>
            </w:r>
          </w:p>
        </w:tc>
        <w:tc>
          <w:tcPr>
            <w:tcW w:w="300" w:type="dxa"/>
            <w:vAlign w:val="bottom"/>
          </w:tcPr>
          <w:p>
            <w:pPr>
              <w:spacing w:after="0"/>
              <w:rPr>
                <w:sz w:val="11"/>
                <w:szCs w:val="11"/>
                <w:color w:val="auto"/>
              </w:rPr>
            </w:pPr>
          </w:p>
        </w:tc>
        <w:tc>
          <w:tcPr>
            <w:tcW w:w="58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2,461</w:t>
            </w: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450</w:t>
            </w:r>
          </w:p>
        </w:tc>
        <w:tc>
          <w:tcPr>
            <w:tcW w:w="280" w:type="dxa"/>
            <w:vAlign w:val="bottom"/>
          </w:tcPr>
          <w:p>
            <w:pPr>
              <w:spacing w:after="0"/>
              <w:rPr>
                <w:sz w:val="11"/>
                <w:szCs w:val="11"/>
                <w:color w:val="auto"/>
              </w:rPr>
            </w:pPr>
          </w:p>
        </w:tc>
        <w:tc>
          <w:tcPr>
            <w:tcW w:w="6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9,565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1,620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Middle East &amp; Asia</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1,792</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462</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1,855</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489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1,823</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451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1,973</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464</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7,443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Eliminations &amp; Other</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28</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(37)</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41</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(47)</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92</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(14)</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219</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7,346</w:t>
            </w: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1,206</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7,770</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1,328</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7,795</w:t>
            </w: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1,329</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8,491</w:t>
            </w: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1,696</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31,402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5,559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80"/>
              <w:spacing w:after="0" w:line="135" w:lineRule="exact"/>
              <w:rPr>
                <w:sz w:val="20"/>
                <w:szCs w:val="20"/>
                <w:color w:val="auto"/>
              </w:rPr>
            </w:pPr>
            <w:r>
              <w:rPr>
                <w:rFonts w:ascii="Arial" w:cs="Arial" w:eastAsia="Arial" w:hAnsi="Arial"/>
                <w:sz w:val="13"/>
                <w:szCs w:val="13"/>
                <w:b w:val="1"/>
                <w:bCs w:val="1"/>
                <w:i w:val="1"/>
                <w:iCs w:val="1"/>
                <w:color w:val="auto"/>
              </w:rPr>
              <w:t>Distribution</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452</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490</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14</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548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20</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576</w:t>
            </w: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21</w:t>
            </w: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57"/>
              <w:spacing w:after="0" w:line="135" w:lineRule="exact"/>
              <w:rPr>
                <w:sz w:val="20"/>
                <w:szCs w:val="20"/>
                <w:color w:val="auto"/>
              </w:rPr>
            </w:pPr>
            <w:r>
              <w:rPr>
                <w:rFonts w:ascii="Arial" w:cs="Arial" w:eastAsia="Arial" w:hAnsi="Arial"/>
                <w:sz w:val="13"/>
                <w:szCs w:val="13"/>
                <w:b w:val="1"/>
                <w:bCs w:val="1"/>
                <w:color w:val="auto"/>
              </w:rPr>
              <w:t>2,066</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right"/>
              <w:ind w:right="37"/>
              <w:spacing w:after="0" w:line="135" w:lineRule="exact"/>
              <w:rPr>
                <w:sz w:val="20"/>
                <w:szCs w:val="20"/>
                <w:color w:val="auto"/>
              </w:rPr>
            </w:pPr>
            <w:r>
              <w:rPr>
                <w:rFonts w:ascii="Arial" w:cs="Arial" w:eastAsia="Arial" w:hAnsi="Arial"/>
                <w:sz w:val="13"/>
                <w:szCs w:val="13"/>
                <w:b w:val="1"/>
                <w:bCs w:val="1"/>
                <w:color w:val="auto"/>
              </w:rPr>
              <w:t>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7,798</w:t>
            </w:r>
          </w:p>
        </w:tc>
        <w:tc>
          <w:tcPr>
            <w:tcW w:w="24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1,211</w:t>
            </w:r>
          </w:p>
        </w:tc>
        <w:tc>
          <w:tcPr>
            <w:tcW w:w="3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8,260</w:t>
            </w:r>
          </w:p>
        </w:tc>
        <w:tc>
          <w:tcPr>
            <w:tcW w:w="24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1,342</w:t>
            </w:r>
          </w:p>
        </w:tc>
        <w:tc>
          <w:tcPr>
            <w:tcW w:w="320" w:type="dxa"/>
            <w:vAlign w:val="bottom"/>
            <w:tcBorders>
              <w:bottom w:val="single" w:sz="8" w:color="auto"/>
            </w:tcBorders>
            <w:shd w:val="clear" w:color="auto" w:fill="CCEEFF"/>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8,343</w:t>
            </w:r>
          </w:p>
        </w:tc>
        <w:tc>
          <w:tcPr>
            <w:tcW w:w="26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1,349</w:t>
            </w:r>
          </w:p>
        </w:tc>
        <w:tc>
          <w:tcPr>
            <w:tcW w:w="300" w:type="dxa"/>
            <w:vAlign w:val="bottom"/>
            <w:tcBorders>
              <w:bottom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9,067</w:t>
            </w:r>
          </w:p>
        </w:tc>
        <w:tc>
          <w:tcPr>
            <w:tcW w:w="24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1,717</w:t>
            </w:r>
          </w:p>
        </w:tc>
        <w:tc>
          <w:tcPr>
            <w:tcW w:w="280" w:type="dxa"/>
            <w:vAlign w:val="bottom"/>
            <w:tcBorders>
              <w:bottom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33,468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 xml:space="preserve">Corporate </w:t>
            </w:r>
            <w:r>
              <w:rPr>
                <w:rFonts w:ascii="Arial" w:cs="Arial" w:eastAsia="Arial" w:hAnsi="Arial"/>
                <w:sz w:val="10"/>
                <w:szCs w:val="10"/>
                <w:b w:val="1"/>
                <w:bCs w:val="1"/>
                <w:color w:val="auto"/>
              </w:rPr>
              <w:t>(1)</w:t>
            </w:r>
          </w:p>
        </w:tc>
        <w:tc>
          <w:tcPr>
            <w:tcW w:w="3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(161)</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(168)</w:t>
            </w:r>
          </w:p>
        </w:tc>
        <w:tc>
          <w:tcPr>
            <w:tcW w:w="3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(140)</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(152)</w:t>
            </w:r>
          </w:p>
        </w:tc>
        <w:tc>
          <w:tcPr>
            <w:tcW w:w="2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Interest Income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11</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10</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9</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tcPr>
          <w:p>
            <w:pPr>
              <w:ind w:left="300"/>
              <w:spacing w:after="0" w:line="135" w:lineRule="exact"/>
              <w:rPr>
                <w:sz w:val="20"/>
                <w:szCs w:val="20"/>
                <w:color w:val="auto"/>
              </w:rPr>
            </w:pPr>
            <w:r>
              <w:rPr>
                <w:rFonts w:ascii="Arial" w:cs="Arial" w:eastAsia="Arial" w:hAnsi="Arial"/>
                <w:sz w:val="13"/>
                <w:szCs w:val="13"/>
                <w:b w:val="1"/>
                <w:bCs w:val="1"/>
                <w:color w:val="auto"/>
              </w:rPr>
              <w:t xml:space="preserve">Interest Expense </w:t>
            </w:r>
            <w:r>
              <w:rPr>
                <w:rFonts w:ascii="Arial" w:cs="Arial" w:eastAsia="Arial" w:hAnsi="Arial"/>
                <w:sz w:val="10"/>
                <w:szCs w:val="10"/>
                <w:b w:val="1"/>
                <w:bCs w:val="1"/>
                <w:color w:val="auto"/>
              </w:rPr>
              <w:t>(2)</w:t>
            </w:r>
          </w:p>
        </w:tc>
        <w:tc>
          <w:tcPr>
            <w:tcW w:w="3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(66)</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(69)</w:t>
            </w: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(68)</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(59)</w:t>
            </w:r>
          </w:p>
        </w:tc>
        <w:tc>
          <w:tcPr>
            <w:tcW w:w="2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right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(5)</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(75)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823</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(180</w:t>
            </w: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553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Borders>
              <w:left w:val="single" w:sz="8" w:color="auto"/>
              <w:right w:val="single" w:sz="8" w:color="auto"/>
            </w:tcBorders>
          </w:tcPr>
          <w:p>
            <w:pPr>
              <w:ind w:left="80"/>
              <w:spacing w:after="0" w:line="120" w:lineRule="exact"/>
              <w:rPr>
                <w:sz w:val="20"/>
                <w:szCs w:val="20"/>
                <w:color w:val="auto"/>
              </w:rPr>
            </w:pPr>
            <w:r>
              <w:rPr>
                <w:rFonts w:ascii="Arial" w:cs="Arial" w:eastAsia="Arial" w:hAnsi="Arial"/>
                <w:sz w:val="13"/>
                <w:szCs w:val="13"/>
                <w:b w:val="1"/>
                <w:bCs w:val="1"/>
                <w:color w:val="auto"/>
              </w:rPr>
              <w:t>Income before Tax and Noncontrolling</w:t>
            </w: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Interests</w:t>
            </w:r>
          </w:p>
        </w:tc>
        <w:tc>
          <w:tcPr>
            <w:tcW w:w="30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922</w:t>
            </w: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1,101</w:t>
            </w:r>
          </w:p>
        </w:tc>
        <w:tc>
          <w:tcPr>
            <w:tcW w:w="3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1,974</w:t>
            </w:r>
          </w:p>
        </w:tc>
        <w:tc>
          <w:tcPr>
            <w:tcW w:w="3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1,335</w:t>
            </w:r>
          </w:p>
        </w:tc>
        <w:tc>
          <w:tcPr>
            <w:tcW w:w="2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5,332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Tax Expense</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(261)</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(229)</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(236)</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(290)</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Income from Continuing Operations</w:t>
            </w:r>
          </w:p>
        </w:tc>
        <w:tc>
          <w:tcPr>
            <w:tcW w:w="3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661</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872</w:t>
            </w:r>
          </w:p>
        </w:tc>
        <w:tc>
          <w:tcPr>
            <w:tcW w:w="3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1,738</w:t>
            </w:r>
          </w:p>
        </w:tc>
        <w:tc>
          <w:tcPr>
            <w:tcW w:w="3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1,045</w:t>
            </w:r>
          </w:p>
        </w:tc>
        <w:tc>
          <w:tcPr>
            <w:tcW w:w="2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right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4,316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shd w:val="clear" w:color="auto" w:fill="CCEEFF"/>
          </w:tcPr>
          <w:p>
            <w:pPr>
              <w:ind w:left="300"/>
              <w:spacing w:after="0" w:line="135" w:lineRule="exact"/>
              <w:rPr>
                <w:sz w:val="20"/>
                <w:szCs w:val="20"/>
                <w:color w:val="auto"/>
              </w:rPr>
            </w:pPr>
            <w:r>
              <w:rPr>
                <w:rFonts w:ascii="Arial" w:cs="Arial" w:eastAsia="Arial" w:hAnsi="Arial"/>
                <w:sz w:val="13"/>
                <w:szCs w:val="13"/>
                <w:b w:val="1"/>
                <w:bCs w:val="1"/>
                <w:color w:val="auto"/>
              </w:rPr>
              <w:t>Noncontrolling Interests</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rPr>
              <w:t>(4)</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right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Borders>
              <w:left w:val="single" w:sz="8" w:color="auto"/>
              <w:right w:val="single" w:sz="8" w:color="auto"/>
            </w:tcBorders>
          </w:tcPr>
          <w:p>
            <w:pPr>
              <w:ind w:left="80"/>
              <w:spacing w:after="0" w:line="120" w:lineRule="exact"/>
              <w:rPr>
                <w:sz w:val="20"/>
                <w:szCs w:val="20"/>
                <w:color w:val="auto"/>
              </w:rPr>
            </w:pPr>
            <w:r>
              <w:rPr>
                <w:rFonts w:ascii="Arial" w:cs="Arial" w:eastAsia="Arial" w:hAnsi="Arial"/>
                <w:sz w:val="13"/>
                <w:szCs w:val="13"/>
                <w:b w:val="1"/>
                <w:bCs w:val="1"/>
                <w:color w:val="auto"/>
              </w:rPr>
              <w:t>Schlumberger Income from Continuing</w:t>
            </w:r>
          </w:p>
        </w:tc>
        <w:tc>
          <w:tcPr>
            <w:tcW w:w="3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9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Operations</w:t>
            </w:r>
          </w:p>
        </w:tc>
        <w:tc>
          <w:tcPr>
            <w:tcW w:w="3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657</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872</w:t>
            </w:r>
          </w:p>
        </w:tc>
        <w:tc>
          <w:tcPr>
            <w:tcW w:w="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1,738</w:t>
            </w:r>
          </w:p>
        </w:tc>
        <w:tc>
          <w:tcPr>
            <w:tcW w:w="3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1,043</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4,310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Borders>
              <w:left w:val="single" w:sz="8" w:color="CCEEFF"/>
              <w:right w:val="single" w:sz="8" w:color="CCEEFF"/>
            </w:tcBorders>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 xml:space="preserve">Average Diluted Shares Outstanding </w:t>
            </w:r>
            <w:r>
              <w:rPr>
                <w:rFonts w:ascii="Arial" w:cs="Arial" w:eastAsia="Arial" w:hAnsi="Arial"/>
                <w:sz w:val="10"/>
                <w:szCs w:val="10"/>
                <w:b w:val="1"/>
                <w:bCs w:val="1"/>
                <w:color w:val="auto"/>
              </w:rPr>
              <w:t>(3)</w:t>
            </w:r>
          </w:p>
        </w:tc>
        <w:tc>
          <w:tcPr>
            <w:tcW w:w="3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1,390</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1,383</w:t>
            </w:r>
          </w:p>
        </w:tc>
        <w:tc>
          <w:tcPr>
            <w:tcW w:w="3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57"/>
              <w:spacing w:after="0" w:line="135" w:lineRule="exact"/>
              <w:rPr>
                <w:sz w:val="20"/>
                <w:szCs w:val="20"/>
                <w:color w:val="auto"/>
              </w:rPr>
            </w:pPr>
            <w:r>
              <w:rPr>
                <w:rFonts w:ascii="Arial" w:cs="Arial" w:eastAsia="Arial" w:hAnsi="Arial"/>
                <w:sz w:val="13"/>
                <w:szCs w:val="13"/>
                <w:b w:val="1"/>
                <w:bCs w:val="1"/>
                <w:color w:val="auto"/>
              </w:rPr>
              <w:t>1,375</w:t>
            </w:r>
          </w:p>
        </w:tc>
        <w:tc>
          <w:tcPr>
            <w:tcW w:w="30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1,376</w:t>
            </w:r>
          </w:p>
        </w:tc>
        <w:tc>
          <w:tcPr>
            <w:tcW w:w="2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1,381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80"/>
              <w:spacing w:after="0"/>
              <w:rPr>
                <w:sz w:val="20"/>
                <w:szCs w:val="20"/>
                <w:color w:val="auto"/>
              </w:rPr>
            </w:pPr>
            <w:r>
              <w:rPr>
                <w:rFonts w:ascii="Arial" w:cs="Arial" w:eastAsia="Arial" w:hAnsi="Arial"/>
                <w:sz w:val="13"/>
                <w:szCs w:val="13"/>
                <w:b w:val="1"/>
                <w:bCs w:val="1"/>
                <w:color w:val="auto"/>
              </w:rPr>
              <w:t>Diluted Earnings per Share - excluding</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(4)</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0.56</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0.64</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0.65</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0.85</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Diluted Earnings per Share - including</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 xml:space="preserve">Charges &amp; Credits </w:t>
            </w:r>
            <w:r>
              <w:rPr>
                <w:rFonts w:ascii="Arial" w:cs="Arial" w:eastAsia="Arial" w:hAnsi="Arial"/>
                <w:sz w:val="10"/>
                <w:szCs w:val="10"/>
                <w:b w:val="1"/>
                <w:bCs w:val="1"/>
                <w:color w:val="auto"/>
              </w:rPr>
              <w:t>(4)</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0.47</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0.63</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1.26</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0.76</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940" w:type="dxa"/>
            <w:vAlign w:val="bottom"/>
          </w:tcPr>
          <w:p>
            <w:pPr>
              <w:ind w:left="80"/>
              <w:spacing w:after="0"/>
              <w:rPr>
                <w:sz w:val="20"/>
                <w:szCs w:val="20"/>
                <w:color w:val="auto"/>
              </w:rPr>
            </w:pPr>
            <w:r>
              <w:rPr>
                <w:rFonts w:ascii="Arial" w:cs="Arial" w:eastAsia="Arial" w:hAnsi="Arial"/>
                <w:sz w:val="13"/>
                <w:szCs w:val="13"/>
                <w:b w:val="1"/>
                <w:bCs w:val="1"/>
                <w:color w:val="auto"/>
              </w:rPr>
              <w:t>Effective Tax Rate - excluding Charges &amp;</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300"/>
              <w:spacing w:after="0"/>
              <w:rPr>
                <w:sz w:val="20"/>
                <w:szCs w:val="20"/>
                <w:color w:val="auto"/>
              </w:rPr>
            </w:pPr>
            <w:r>
              <w:rPr>
                <w:rFonts w:ascii="Arial" w:cs="Arial" w:eastAsia="Arial" w:hAnsi="Arial"/>
                <w:sz w:val="13"/>
                <w:szCs w:val="13"/>
                <w:b w:val="1"/>
                <w:bCs w:val="1"/>
                <w:color w:val="auto"/>
              </w:rPr>
              <w:t>Credits</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22.0%</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21.1%</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22.5%</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23.1%</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22.2%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940" w:type="dxa"/>
            <w:vAlign w:val="bottom"/>
            <w:tcBorders>
              <w:left w:val="single" w:sz="8" w:color="CCEEFF"/>
              <w:right w:val="single" w:sz="8" w:color="CCEEFF"/>
            </w:tcBorders>
            <w:shd w:val="clear" w:color="auto" w:fill="CCEEFF"/>
          </w:tcPr>
          <w:p>
            <w:pPr>
              <w:ind w:left="80"/>
              <w:spacing w:after="0" w:line="113" w:lineRule="exact"/>
              <w:rPr>
                <w:sz w:val="20"/>
                <w:szCs w:val="20"/>
                <w:color w:val="auto"/>
              </w:rPr>
            </w:pPr>
            <w:r>
              <w:rPr>
                <w:rFonts w:ascii="Arial" w:cs="Arial" w:eastAsia="Arial" w:hAnsi="Arial"/>
                <w:sz w:val="13"/>
                <w:szCs w:val="13"/>
                <w:b w:val="1"/>
                <w:bCs w:val="1"/>
                <w:color w:val="auto"/>
              </w:rPr>
              <w:t>Effective Tax Rate - including Charges &amp;</w:t>
            </w:r>
          </w:p>
        </w:tc>
        <w:tc>
          <w:tcPr>
            <w:tcW w:w="3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940" w:type="dxa"/>
            <w:vAlign w:val="bottom"/>
            <w:tcBorders>
              <w:left w:val="single" w:sz="8" w:color="CCEEFF"/>
              <w:right w:val="single" w:sz="8" w:color="CCEEFF"/>
            </w:tcBorders>
            <w:shd w:val="clear" w:color="auto" w:fill="CCEEFF"/>
          </w:tcPr>
          <w:p>
            <w:pPr>
              <w:ind w:left="300"/>
              <w:spacing w:after="0"/>
              <w:rPr>
                <w:sz w:val="20"/>
                <w:szCs w:val="20"/>
                <w:color w:val="auto"/>
              </w:rPr>
            </w:pPr>
            <w:r>
              <w:rPr>
                <w:rFonts w:ascii="Arial" w:cs="Arial" w:eastAsia="Arial" w:hAnsi="Arial"/>
                <w:sz w:val="13"/>
                <w:szCs w:val="13"/>
                <w:b w:val="1"/>
                <w:bCs w:val="1"/>
                <w:color w:val="auto"/>
              </w:rPr>
              <w:t>Credits</w:t>
            </w:r>
          </w:p>
        </w:tc>
        <w:tc>
          <w:tcPr>
            <w:tcW w:w="3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28.3%</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20.8%</w:t>
            </w:r>
          </w:p>
        </w:tc>
        <w:tc>
          <w:tcPr>
            <w:tcW w:w="3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12.0%</w:t>
            </w:r>
          </w:p>
        </w:tc>
        <w:tc>
          <w:tcPr>
            <w:tcW w:w="3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21.7%</w:t>
            </w:r>
          </w:p>
        </w:tc>
        <w:tc>
          <w:tcPr>
            <w:tcW w:w="2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9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2" w:right="239" w:bottom="1440" w:gutter="0" w:footer="0" w:header="0"/>
        </w:sectPr>
      </w:pPr>
    </w:p>
    <w:bookmarkStart w:id="8" w:name="page9"/>
    <w:bookmarkEnd w:id="8"/>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620395</wp:posOffset>
            </wp:positionV>
            <wp:extent cx="168973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8973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3"/>
          <w:szCs w:val="23"/>
          <w:b w:val="1"/>
          <w:bCs w:val="1"/>
          <w:color w:val="3E506E"/>
        </w:rPr>
        <w:t>Notes to the Schlumberger Limited Unaudited Pro Forma Historical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3E506E"/>
        </w:rPr>
        <w:t>Consolidated Financial Information</w:t>
      </w:r>
    </w:p>
    <w:p>
      <w:pPr>
        <w:spacing w:after="0" w:line="227" w:lineRule="exact"/>
        <w:rPr>
          <w:sz w:val="20"/>
          <w:szCs w:val="20"/>
          <w:color w:val="auto"/>
        </w:rPr>
      </w:pPr>
    </w:p>
    <w:p>
      <w:pPr>
        <w:ind w:left="340" w:right="66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depreciation and amortization expense associated with fair value adjustments to Smith’s acquired assets of approximately $50 million per quarter.</w:t>
      </w:r>
    </w:p>
    <w:p>
      <w:pPr>
        <w:spacing w:after="0" w:line="88" w:lineRule="exact"/>
        <w:rPr>
          <w:rFonts w:ascii="Arial" w:cs="Arial" w:eastAsia="Arial" w:hAnsi="Arial"/>
          <w:sz w:val="18"/>
          <w:szCs w:val="18"/>
          <w:color w:val="auto"/>
        </w:rPr>
      </w:pPr>
    </w:p>
    <w:p>
      <w:pPr>
        <w:ind w:left="340" w:right="8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a reduction in interest expense of approximately $15 million per quarter as a result of fair value adjustments recorded in purchase accounting relating to Smith’s long-term fixed rate debt.</w:t>
      </w:r>
    </w:p>
    <w:p>
      <w:pPr>
        <w:spacing w:after="0" w:line="88" w:lineRule="exact"/>
        <w:rPr>
          <w:rFonts w:ascii="Arial" w:cs="Arial" w:eastAsia="Arial" w:hAnsi="Arial"/>
          <w:sz w:val="18"/>
          <w:szCs w:val="18"/>
          <w:color w:val="auto"/>
        </w:rPr>
      </w:pPr>
    </w:p>
    <w:p>
      <w:pPr>
        <w:ind w:left="340" w:right="14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shares outstanding was calculated by taking the Schlumberger historical diluted shares outstanding and adding the approximately 176 million shares of Schlumberger common stock issued in connection with the Smith transaction.</w:t>
      </w:r>
    </w:p>
    <w:p>
      <w:pPr>
        <w:spacing w:after="0" w:line="88" w:lineRule="exact"/>
        <w:rPr>
          <w:rFonts w:ascii="Arial" w:cs="Arial" w:eastAsia="Arial" w:hAnsi="Arial"/>
          <w:sz w:val="18"/>
          <w:szCs w:val="18"/>
          <w:color w:val="auto"/>
        </w:rPr>
      </w:pPr>
    </w:p>
    <w:p>
      <w:pPr>
        <w:ind w:left="340" w:right="44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diluted earnings per share reflects the adding back of interest expense associated with Schlumberger’s outstanding convertible debentures to net income, as appropriate, for each period presented.</w:t>
      </w:r>
    </w:p>
    <w:p>
      <w:pPr>
        <w:spacing w:after="0" w:line="88" w:lineRule="exact"/>
        <w:rPr>
          <w:rFonts w:ascii="Arial" w:cs="Arial" w:eastAsia="Arial" w:hAnsi="Arial"/>
          <w:sz w:val="18"/>
          <w:szCs w:val="18"/>
          <w:color w:val="auto"/>
        </w:rPr>
      </w:pPr>
    </w:p>
    <w:p>
      <w:pPr>
        <w:ind w:left="340" w:right="48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is a summary of Charges &amp; Credits recorded in each period as well as a reconciliation of pro forma diluted earnings per share, excluding charges and credits to pro forma diluted earnings per share including charges and credits: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2008 Charges &amp; Credits and Reconciliation of Pro Forma Diluted EPS</w:t>
      </w:r>
    </w:p>
    <w:p>
      <w:pPr>
        <w:spacing w:after="0" w:line="2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(Stated in millions, except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Fourth Quarter 2008</w:t>
            </w:r>
          </w:p>
        </w:tc>
        <w:tc>
          <w:tcPr>
            <w:tcW w:w="8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color w:val="auto"/>
              </w:rPr>
              <w:t>Pretax</w:t>
            </w:r>
          </w:p>
        </w:tc>
        <w:tc>
          <w:tcPr>
            <w:tcW w:w="340" w:type="dxa"/>
            <w:vAlign w:val="bottom"/>
          </w:tcPr>
          <w:p>
            <w:pPr>
              <w:spacing w:after="0"/>
              <w:rPr>
                <w:sz w:val="15"/>
                <w:szCs w:val="15"/>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6"/>
                <w:szCs w:val="16"/>
                <w:color w:val="auto"/>
                <w:w w:val="97"/>
              </w:rPr>
              <w:t>Tax</w:t>
            </w:r>
          </w:p>
        </w:tc>
        <w:tc>
          <w:tcPr>
            <w:tcW w:w="1500" w:type="dxa"/>
            <w:vAlign w:val="bottom"/>
            <w:gridSpan w:val="2"/>
          </w:tcPr>
          <w:p>
            <w:pPr>
              <w:ind w:left="400"/>
              <w:spacing w:after="0" w:line="180" w:lineRule="exact"/>
              <w:rPr>
                <w:sz w:val="20"/>
                <w:szCs w:val="20"/>
                <w:color w:val="auto"/>
              </w:rPr>
            </w:pPr>
            <w:r>
              <w:rPr>
                <w:rFonts w:ascii="Arial" w:cs="Arial" w:eastAsia="Arial" w:hAnsi="Arial"/>
                <w:sz w:val="16"/>
                <w:szCs w:val="16"/>
                <w:color w:val="auto"/>
              </w:rPr>
              <w:t>Noncont.</w:t>
            </w:r>
          </w:p>
        </w:tc>
        <w:tc>
          <w:tcPr>
            <w:tcW w:w="800" w:type="dxa"/>
            <w:vAlign w:val="bottom"/>
            <w:vMerge w:val="restart"/>
          </w:tcPr>
          <w:p>
            <w:pPr>
              <w:jc w:val="right"/>
              <w:ind w:right="299"/>
              <w:spacing w:after="0"/>
              <w:rPr>
                <w:sz w:val="20"/>
                <w:szCs w:val="20"/>
                <w:color w:val="auto"/>
              </w:rPr>
            </w:pPr>
            <w:r>
              <w:rPr>
                <w:rFonts w:ascii="Arial" w:cs="Arial" w:eastAsia="Arial" w:hAnsi="Arial"/>
                <w:sz w:val="16"/>
                <w:szCs w:val="16"/>
                <w:color w:val="auto"/>
              </w:rPr>
              <w:t>Net</w:t>
            </w:r>
          </w:p>
        </w:tc>
        <w:tc>
          <w:tcPr>
            <w:tcW w:w="86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500" w:type="dxa"/>
            <w:vAlign w:val="bottom"/>
            <w:gridSpan w:val="2"/>
            <w:vMerge w:val="restart"/>
          </w:tcPr>
          <w:p>
            <w:pPr>
              <w:jc w:val="right"/>
              <w:ind w:right="419"/>
              <w:spacing w:after="0"/>
              <w:rPr>
                <w:sz w:val="20"/>
                <w:szCs w:val="20"/>
                <w:color w:val="auto"/>
              </w:rPr>
            </w:pPr>
            <w:r>
              <w:rPr>
                <w:rFonts w:ascii="Arial" w:cs="Arial" w:eastAsia="Arial" w:hAnsi="Arial"/>
                <w:sz w:val="16"/>
                <w:szCs w:val="16"/>
                <w:color w:val="auto"/>
              </w:rPr>
              <w:t>Interest</w:t>
            </w:r>
          </w:p>
        </w:tc>
        <w:tc>
          <w:tcPr>
            <w:tcW w:w="800" w:type="dxa"/>
            <w:vAlign w:val="bottom"/>
            <w:vMerge w:val="continue"/>
          </w:tcPr>
          <w:p>
            <w:pPr>
              <w:spacing w:after="0"/>
              <w:rPr>
                <w:sz w:val="9"/>
                <w:szCs w:val="9"/>
                <w:color w:val="auto"/>
              </w:rPr>
            </w:pPr>
          </w:p>
        </w:tc>
        <w:tc>
          <w:tcPr>
            <w:tcW w:w="820" w:type="dxa"/>
            <w:vAlign w:val="bottom"/>
            <w:gridSpan w:val="2"/>
            <w:vMerge w:val="restart"/>
          </w:tcPr>
          <w:p>
            <w:pPr>
              <w:ind w:left="2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$ 1,790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$ 1,326</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74</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tcPr>
          <w:p>
            <w:pPr>
              <w:ind w:left="180"/>
              <w:spacing w:after="0"/>
              <w:rPr>
                <w:sz w:val="20"/>
                <w:szCs w:val="20"/>
                <w:color w:val="auto"/>
              </w:rPr>
            </w:pPr>
            <w:r>
              <w:rPr>
                <w:rFonts w:ascii="Arial" w:cs="Arial" w:eastAsia="Arial" w:hAnsi="Arial"/>
                <w:sz w:val="16"/>
                <w:szCs w:val="16"/>
                <w:i w:val="1"/>
                <w:iCs w:val="1"/>
                <w:color w:val="auto"/>
              </w:rPr>
              <w:t>Provision for doubtful accounts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700" w:type="dxa"/>
            <w:vAlign w:val="bottom"/>
          </w:tcPr>
          <w:p>
            <w:pPr>
              <w:spacing w:after="0"/>
              <w:rPr>
                <w:sz w:val="16"/>
                <w:szCs w:val="16"/>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Other</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Derivative contract related loss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29</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 excluding</w:t>
            </w: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auto"/>
              </w:rPr>
              <w:t>Charges &amp; Credits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$ 1,935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484</w:t>
            </w:r>
          </w:p>
        </w:tc>
        <w:tc>
          <w:tcPr>
            <w:tcW w:w="700" w:type="dxa"/>
            <w:vAlign w:val="bottom"/>
          </w:tcPr>
          <w:p>
            <w:pPr>
              <w:ind w:left="4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7</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$ 1,444</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Twelve Months 2008</w:t>
            </w:r>
          </w:p>
        </w:tc>
        <w:tc>
          <w:tcPr>
            <w:tcW w:w="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color w:val="auto"/>
              </w:rPr>
              <w:t>Pretax</w:t>
            </w:r>
          </w:p>
        </w:tc>
        <w:tc>
          <w:tcPr>
            <w:tcW w:w="340" w:type="dxa"/>
            <w:vAlign w:val="bottom"/>
          </w:tcPr>
          <w:p>
            <w:pPr>
              <w:spacing w:after="0"/>
              <w:rPr>
                <w:sz w:val="15"/>
                <w:szCs w:val="15"/>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6"/>
                <w:szCs w:val="16"/>
                <w:color w:val="auto"/>
                <w:w w:val="97"/>
              </w:rPr>
              <w:t>Tax</w:t>
            </w:r>
          </w:p>
        </w:tc>
        <w:tc>
          <w:tcPr>
            <w:tcW w:w="1500" w:type="dxa"/>
            <w:vAlign w:val="bottom"/>
            <w:gridSpan w:val="2"/>
          </w:tcPr>
          <w:p>
            <w:pPr>
              <w:ind w:left="420"/>
              <w:spacing w:after="0" w:line="180" w:lineRule="exact"/>
              <w:rPr>
                <w:sz w:val="20"/>
                <w:szCs w:val="20"/>
                <w:color w:val="auto"/>
              </w:rPr>
            </w:pPr>
            <w:r>
              <w:rPr>
                <w:rFonts w:ascii="Arial" w:cs="Arial" w:eastAsia="Arial" w:hAnsi="Arial"/>
                <w:sz w:val="16"/>
                <w:szCs w:val="16"/>
                <w:color w:val="auto"/>
              </w:rPr>
              <w:t>Noncont.</w:t>
            </w:r>
          </w:p>
        </w:tc>
        <w:tc>
          <w:tcPr>
            <w:tcW w:w="800" w:type="dxa"/>
            <w:vAlign w:val="bottom"/>
            <w:vMerge w:val="restart"/>
          </w:tcPr>
          <w:p>
            <w:pPr>
              <w:jc w:val="right"/>
              <w:ind w:right="299"/>
              <w:spacing w:after="0"/>
              <w:rPr>
                <w:sz w:val="20"/>
                <w:szCs w:val="20"/>
                <w:color w:val="auto"/>
              </w:rPr>
            </w:pPr>
            <w:r>
              <w:rPr>
                <w:rFonts w:ascii="Arial" w:cs="Arial" w:eastAsia="Arial" w:hAnsi="Arial"/>
                <w:sz w:val="16"/>
                <w:szCs w:val="16"/>
                <w:color w:val="auto"/>
              </w:rPr>
              <w:t>Net</w:t>
            </w:r>
          </w:p>
        </w:tc>
        <w:tc>
          <w:tcPr>
            <w:tcW w:w="86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500" w:type="dxa"/>
            <w:vAlign w:val="bottom"/>
            <w:gridSpan w:val="2"/>
            <w:vMerge w:val="restart"/>
          </w:tcPr>
          <w:p>
            <w:pPr>
              <w:jc w:val="right"/>
              <w:ind w:right="399"/>
              <w:spacing w:after="0"/>
              <w:rPr>
                <w:sz w:val="20"/>
                <w:szCs w:val="20"/>
                <w:color w:val="auto"/>
              </w:rPr>
            </w:pPr>
            <w:r>
              <w:rPr>
                <w:rFonts w:ascii="Arial" w:cs="Arial" w:eastAsia="Arial" w:hAnsi="Arial"/>
                <w:sz w:val="16"/>
                <w:szCs w:val="16"/>
                <w:color w:val="auto"/>
              </w:rPr>
              <w:t>Interest</w:t>
            </w:r>
          </w:p>
        </w:tc>
        <w:tc>
          <w:tcPr>
            <w:tcW w:w="800" w:type="dxa"/>
            <w:vAlign w:val="bottom"/>
            <w:vMerge w:val="continue"/>
          </w:tcPr>
          <w:p>
            <w:pPr>
              <w:spacing w:after="0"/>
              <w:rPr>
                <w:sz w:val="9"/>
                <w:szCs w:val="9"/>
                <w:color w:val="auto"/>
              </w:rPr>
            </w:pPr>
          </w:p>
        </w:tc>
        <w:tc>
          <w:tcPr>
            <w:tcW w:w="820" w:type="dxa"/>
            <w:vAlign w:val="bottom"/>
            <w:gridSpan w:val="2"/>
            <w:vMerge w:val="restart"/>
          </w:tcPr>
          <w:p>
            <w:pPr>
              <w:ind w:left="2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$ 8,112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1,955</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51</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$ 6,106</w:t>
            </w:r>
          </w:p>
        </w:tc>
        <w:tc>
          <w:tcPr>
            <w:tcW w:w="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74</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tcPr>
          <w:p>
            <w:pPr>
              <w:ind w:left="180"/>
              <w:spacing w:after="0"/>
              <w:rPr>
                <w:sz w:val="20"/>
                <w:szCs w:val="20"/>
                <w:color w:val="auto"/>
              </w:rPr>
            </w:pPr>
            <w:r>
              <w:rPr>
                <w:rFonts w:ascii="Arial" w:cs="Arial" w:eastAsia="Arial" w:hAnsi="Arial"/>
                <w:sz w:val="16"/>
                <w:szCs w:val="16"/>
                <w:i w:val="1"/>
                <w:iCs w:val="1"/>
                <w:color w:val="auto"/>
              </w:rPr>
              <w:t>Provision for doubtful accounts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700" w:type="dxa"/>
            <w:vAlign w:val="bottom"/>
          </w:tcPr>
          <w:p>
            <w:pPr>
              <w:spacing w:after="0"/>
              <w:rPr>
                <w:sz w:val="16"/>
                <w:szCs w:val="16"/>
                <w:color w:val="auto"/>
              </w:rPr>
            </w:pP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Other</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Derivative contract related loss</w:t>
            </w: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29</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82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 excluding</w:t>
            </w: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tcPr>
          <w:p>
            <w:pPr>
              <w:ind w:left="180"/>
              <w:spacing w:after="0"/>
              <w:rPr>
                <w:sz w:val="20"/>
                <w:szCs w:val="20"/>
                <w:color w:val="auto"/>
              </w:rPr>
            </w:pPr>
            <w:r>
              <w:rPr>
                <w:rFonts w:ascii="Arial" w:cs="Arial" w:eastAsia="Arial" w:hAnsi="Arial"/>
                <w:sz w:val="16"/>
                <w:szCs w:val="16"/>
                <w:color w:val="auto"/>
              </w:rPr>
              <w:t>Charges &amp; Credits</w:t>
            </w: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$ 8,257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1,982</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59"/>
              <w:spacing w:after="0"/>
              <w:rPr>
                <w:sz w:val="20"/>
                <w:szCs w:val="20"/>
                <w:color w:val="auto"/>
              </w:rPr>
            </w:pPr>
            <w:r>
              <w:rPr>
                <w:rFonts w:ascii="Arial" w:cs="Arial" w:eastAsia="Arial" w:hAnsi="Arial"/>
                <w:sz w:val="16"/>
                <w:szCs w:val="16"/>
                <w:color w:val="auto"/>
              </w:rPr>
              <w:t>51</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$ 6,224</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4.46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2009 Charges &amp; Credits and Reconciliation of Pro Forma Diluted EPS</w:t>
      </w:r>
    </w:p>
    <w:p>
      <w:pPr>
        <w:spacing w:after="0" w:line="2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First Quarter 2009</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6"/>
                <w:szCs w:val="16"/>
                <w:color w:val="auto"/>
                <w:w w:val="97"/>
              </w:rPr>
              <w:t>Tax</w:t>
            </w:r>
          </w:p>
        </w:tc>
        <w:tc>
          <w:tcPr>
            <w:tcW w:w="1560" w:type="dxa"/>
            <w:vAlign w:val="bottom"/>
            <w:gridSpan w:val="2"/>
          </w:tcPr>
          <w:p>
            <w:pPr>
              <w:ind w:left="420"/>
              <w:spacing w:after="0" w:line="180" w:lineRule="exact"/>
              <w:rPr>
                <w:sz w:val="20"/>
                <w:szCs w:val="20"/>
                <w:color w:val="auto"/>
              </w:rPr>
            </w:pPr>
            <w:r>
              <w:rPr>
                <w:rFonts w:ascii="Arial" w:cs="Arial" w:eastAsia="Arial" w:hAnsi="Arial"/>
                <w:sz w:val="16"/>
                <w:szCs w:val="16"/>
                <w:color w:val="auto"/>
              </w:rPr>
              <w:t>Noncont.</w:t>
            </w:r>
          </w:p>
        </w:tc>
        <w:tc>
          <w:tcPr>
            <w:tcW w:w="140" w:type="dxa"/>
            <w:vAlign w:val="bottom"/>
          </w:tcPr>
          <w:p>
            <w:pPr>
              <w:spacing w:after="0"/>
              <w:rPr>
                <w:sz w:val="15"/>
                <w:szCs w:val="15"/>
                <w:color w:val="auto"/>
              </w:rPr>
            </w:pPr>
          </w:p>
        </w:tc>
        <w:tc>
          <w:tcPr>
            <w:tcW w:w="680" w:type="dxa"/>
            <w:vAlign w:val="bottom"/>
            <w:vMerge w:val="restart"/>
          </w:tcPr>
          <w:p>
            <w:pPr>
              <w:jc w:val="right"/>
              <w:ind w:right="319"/>
              <w:spacing w:after="0"/>
              <w:rPr>
                <w:sz w:val="20"/>
                <w:szCs w:val="20"/>
                <w:color w:val="auto"/>
              </w:rPr>
            </w:pPr>
            <w:r>
              <w:rPr>
                <w:rFonts w:ascii="Arial" w:cs="Arial" w:eastAsia="Arial" w:hAnsi="Arial"/>
                <w:sz w:val="16"/>
                <w:szCs w:val="16"/>
                <w:color w:val="auto"/>
              </w:rPr>
              <w:t>Net</w:t>
            </w:r>
          </w:p>
        </w:tc>
        <w:tc>
          <w:tcPr>
            <w:tcW w:w="900" w:type="dxa"/>
            <w:vAlign w:val="bottom"/>
            <w:tcBorders>
              <w:right w:val="single" w:sz="8" w:color="auto"/>
            </w:tcBorders>
            <w:gridSpan w:val="3"/>
          </w:tcPr>
          <w:p>
            <w:pPr>
              <w:ind w:left="26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560" w:type="dxa"/>
            <w:vAlign w:val="bottom"/>
            <w:gridSpan w:val="2"/>
            <w:vMerge w:val="restart"/>
          </w:tcPr>
          <w:p>
            <w:pPr>
              <w:jc w:val="right"/>
              <w:ind w:right="45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13"/>
                <w:szCs w:val="13"/>
                <w:color w:val="auto"/>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1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$ 1,343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9"/>
              </w:rPr>
              <w:t>1,004</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7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w:t>
            </w:r>
          </w:p>
        </w:tc>
        <w:tc>
          <w:tcPr>
            <w:tcW w:w="4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excluding Charges &amp; Credits</w:t>
            </w:r>
          </w:p>
        </w:tc>
        <w:tc>
          <w:tcPr>
            <w:tcW w:w="1100" w:type="dxa"/>
            <w:vAlign w:val="bottom"/>
            <w:gridSpan w:val="3"/>
          </w:tcPr>
          <w:p>
            <w:pPr>
              <w:jc w:val="right"/>
              <w:ind w:right="179"/>
              <w:spacing w:after="0"/>
              <w:rPr>
                <w:sz w:val="20"/>
                <w:szCs w:val="20"/>
                <w:color w:val="auto"/>
              </w:rPr>
            </w:pPr>
            <w:r>
              <w:rPr>
                <w:rFonts w:ascii="Arial" w:cs="Arial" w:eastAsia="Arial" w:hAnsi="Arial"/>
                <w:sz w:val="16"/>
                <w:szCs w:val="16"/>
                <w:color w:val="auto"/>
              </w:rPr>
              <w:t>$ 1,376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339</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w w:val="99"/>
              </w:rPr>
              <w:t>1,028</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0.74</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Second Quarter 2009</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6"/>
                <w:szCs w:val="16"/>
                <w:color w:val="auto"/>
                <w:w w:val="97"/>
              </w:rPr>
              <w:t>Tax</w:t>
            </w:r>
          </w:p>
        </w:tc>
        <w:tc>
          <w:tcPr>
            <w:tcW w:w="1560" w:type="dxa"/>
            <w:vAlign w:val="bottom"/>
            <w:gridSpan w:val="2"/>
          </w:tcPr>
          <w:p>
            <w:pPr>
              <w:ind w:left="420"/>
              <w:spacing w:after="0" w:line="180" w:lineRule="exact"/>
              <w:rPr>
                <w:sz w:val="20"/>
                <w:szCs w:val="20"/>
                <w:color w:val="auto"/>
              </w:rPr>
            </w:pPr>
            <w:r>
              <w:rPr>
                <w:rFonts w:ascii="Arial" w:cs="Arial" w:eastAsia="Arial" w:hAnsi="Arial"/>
                <w:sz w:val="16"/>
                <w:szCs w:val="16"/>
                <w:color w:val="auto"/>
              </w:rPr>
              <w:t>Noncont.</w:t>
            </w:r>
          </w:p>
        </w:tc>
        <w:tc>
          <w:tcPr>
            <w:tcW w:w="140" w:type="dxa"/>
            <w:vAlign w:val="bottom"/>
          </w:tcPr>
          <w:p>
            <w:pPr>
              <w:spacing w:after="0"/>
              <w:rPr>
                <w:sz w:val="15"/>
                <w:szCs w:val="15"/>
                <w:color w:val="auto"/>
              </w:rPr>
            </w:pPr>
          </w:p>
        </w:tc>
        <w:tc>
          <w:tcPr>
            <w:tcW w:w="680" w:type="dxa"/>
            <w:vAlign w:val="bottom"/>
            <w:vMerge w:val="restart"/>
          </w:tcPr>
          <w:p>
            <w:pPr>
              <w:jc w:val="right"/>
              <w:ind w:right="319"/>
              <w:spacing w:after="0"/>
              <w:rPr>
                <w:sz w:val="20"/>
                <w:szCs w:val="20"/>
                <w:color w:val="auto"/>
              </w:rPr>
            </w:pPr>
            <w:r>
              <w:rPr>
                <w:rFonts w:ascii="Arial" w:cs="Arial" w:eastAsia="Arial" w:hAnsi="Arial"/>
                <w:sz w:val="16"/>
                <w:szCs w:val="16"/>
                <w:color w:val="auto"/>
              </w:rPr>
              <w:t>Net</w:t>
            </w:r>
          </w:p>
        </w:tc>
        <w:tc>
          <w:tcPr>
            <w:tcW w:w="900" w:type="dxa"/>
            <w:vAlign w:val="bottom"/>
            <w:tcBorders>
              <w:right w:val="single" w:sz="8" w:color="auto"/>
            </w:tcBorders>
            <w:gridSpan w:val="3"/>
          </w:tcPr>
          <w:p>
            <w:pPr>
              <w:ind w:left="26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560" w:type="dxa"/>
            <w:vAlign w:val="bottom"/>
            <w:gridSpan w:val="2"/>
            <w:vMerge w:val="restart"/>
          </w:tcPr>
          <w:p>
            <w:pPr>
              <w:jc w:val="right"/>
              <w:ind w:right="45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13"/>
                <w:szCs w:val="13"/>
                <w:color w:val="auto"/>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633</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w:t>
            </w: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ind w:left="180"/>
              <w:spacing w:after="0"/>
              <w:rPr>
                <w:sz w:val="20"/>
                <w:szCs w:val="20"/>
                <w:color w:val="auto"/>
              </w:rPr>
            </w:pPr>
            <w:r>
              <w:rPr>
                <w:rFonts w:ascii="Arial" w:cs="Arial" w:eastAsia="Arial" w:hAnsi="Arial"/>
                <w:sz w:val="16"/>
                <w:szCs w:val="16"/>
                <w:i w:val="1"/>
                <w:iCs w:val="1"/>
                <w:color w:val="auto"/>
              </w:rPr>
              <w:t>Postretirement benefits curtailment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136</w:t>
            </w: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70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4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0.09</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excluding Charges &amp; Credits</w:t>
            </w:r>
          </w:p>
        </w:tc>
        <w:tc>
          <w:tcPr>
            <w:tcW w:w="11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$ 1,066</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849</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Third Quarter 2009</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6"/>
                <w:szCs w:val="16"/>
                <w:color w:val="auto"/>
                <w:w w:val="97"/>
              </w:rPr>
              <w:t>Tax</w:t>
            </w:r>
          </w:p>
        </w:tc>
        <w:tc>
          <w:tcPr>
            <w:tcW w:w="1560" w:type="dxa"/>
            <w:vAlign w:val="bottom"/>
            <w:gridSpan w:val="2"/>
          </w:tcPr>
          <w:p>
            <w:pPr>
              <w:ind w:left="420"/>
              <w:spacing w:after="0" w:line="180" w:lineRule="exact"/>
              <w:rPr>
                <w:sz w:val="20"/>
                <w:szCs w:val="20"/>
                <w:color w:val="auto"/>
              </w:rPr>
            </w:pPr>
            <w:r>
              <w:rPr>
                <w:rFonts w:ascii="Arial" w:cs="Arial" w:eastAsia="Arial" w:hAnsi="Arial"/>
                <w:sz w:val="16"/>
                <w:szCs w:val="16"/>
                <w:color w:val="auto"/>
              </w:rPr>
              <w:t>Noncont.</w:t>
            </w:r>
          </w:p>
        </w:tc>
        <w:tc>
          <w:tcPr>
            <w:tcW w:w="140" w:type="dxa"/>
            <w:vAlign w:val="bottom"/>
          </w:tcPr>
          <w:p>
            <w:pPr>
              <w:spacing w:after="0"/>
              <w:rPr>
                <w:sz w:val="15"/>
                <w:szCs w:val="15"/>
                <w:color w:val="auto"/>
              </w:rPr>
            </w:pPr>
          </w:p>
        </w:tc>
        <w:tc>
          <w:tcPr>
            <w:tcW w:w="680" w:type="dxa"/>
            <w:vAlign w:val="bottom"/>
            <w:vMerge w:val="restart"/>
          </w:tcPr>
          <w:p>
            <w:pPr>
              <w:jc w:val="right"/>
              <w:ind w:right="319"/>
              <w:spacing w:after="0"/>
              <w:rPr>
                <w:sz w:val="20"/>
                <w:szCs w:val="20"/>
                <w:color w:val="auto"/>
              </w:rPr>
            </w:pPr>
            <w:r>
              <w:rPr>
                <w:rFonts w:ascii="Arial" w:cs="Arial" w:eastAsia="Arial" w:hAnsi="Arial"/>
                <w:sz w:val="16"/>
                <w:szCs w:val="16"/>
                <w:color w:val="auto"/>
              </w:rPr>
              <w:t>Net</w:t>
            </w:r>
          </w:p>
        </w:tc>
        <w:tc>
          <w:tcPr>
            <w:tcW w:w="900" w:type="dxa"/>
            <w:vAlign w:val="bottom"/>
            <w:tcBorders>
              <w:right w:val="single" w:sz="8" w:color="auto"/>
            </w:tcBorders>
            <w:gridSpan w:val="3"/>
          </w:tcPr>
          <w:p>
            <w:pPr>
              <w:ind w:left="26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560" w:type="dxa"/>
            <w:vAlign w:val="bottom"/>
            <w:gridSpan w:val="2"/>
            <w:vMerge w:val="restart"/>
          </w:tcPr>
          <w:p>
            <w:pPr>
              <w:jc w:val="right"/>
              <w:ind w:right="45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gridSpan w:val="2"/>
            <w:vMerge w:val="restart"/>
          </w:tcPr>
          <w:p>
            <w:pPr>
              <w:ind w:left="26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986</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772</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excluding Charges &amp; Credits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999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213</w:t>
            </w:r>
          </w:p>
        </w:tc>
        <w:tc>
          <w:tcPr>
            <w:tcW w:w="700" w:type="dxa"/>
            <w:vAlign w:val="bottom"/>
          </w:tcPr>
          <w:p>
            <w:pPr>
              <w:ind w:left="4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781</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0.56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Twelve Months 2009</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restart"/>
          </w:tcPr>
          <w:p>
            <w:pPr>
              <w:jc w:val="right"/>
              <w:ind w:right="199"/>
              <w:spacing w:after="0"/>
              <w:rPr>
                <w:sz w:val="20"/>
                <w:szCs w:val="20"/>
                <w:color w:val="auto"/>
              </w:rPr>
            </w:pPr>
            <w:r>
              <w:rPr>
                <w:rFonts w:ascii="Arial" w:cs="Arial" w:eastAsia="Arial" w:hAnsi="Arial"/>
                <w:sz w:val="16"/>
                <w:szCs w:val="16"/>
                <w:color w:val="auto"/>
              </w:rPr>
              <w:t>Pretax</w:t>
            </w:r>
          </w:p>
        </w:tc>
        <w:tc>
          <w:tcPr>
            <w:tcW w:w="36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6"/>
                <w:szCs w:val="16"/>
                <w:color w:val="auto"/>
                <w:w w:val="97"/>
              </w:rPr>
              <w:t>Tax</w:t>
            </w:r>
          </w:p>
        </w:tc>
        <w:tc>
          <w:tcPr>
            <w:tcW w:w="1560" w:type="dxa"/>
            <w:vAlign w:val="bottom"/>
            <w:gridSpan w:val="2"/>
          </w:tcPr>
          <w:p>
            <w:pPr>
              <w:ind w:left="420"/>
              <w:spacing w:after="0" w:line="180" w:lineRule="exact"/>
              <w:rPr>
                <w:sz w:val="20"/>
                <w:szCs w:val="20"/>
                <w:color w:val="auto"/>
              </w:rPr>
            </w:pPr>
            <w:r>
              <w:rPr>
                <w:rFonts w:ascii="Arial" w:cs="Arial" w:eastAsia="Arial" w:hAnsi="Arial"/>
                <w:sz w:val="16"/>
                <w:szCs w:val="16"/>
                <w:color w:val="auto"/>
              </w:rPr>
              <w:t>Noncont.</w:t>
            </w:r>
          </w:p>
        </w:tc>
        <w:tc>
          <w:tcPr>
            <w:tcW w:w="140" w:type="dxa"/>
            <w:vAlign w:val="bottom"/>
          </w:tcPr>
          <w:p>
            <w:pPr>
              <w:spacing w:after="0"/>
              <w:rPr>
                <w:sz w:val="15"/>
                <w:szCs w:val="15"/>
                <w:color w:val="auto"/>
              </w:rPr>
            </w:pPr>
          </w:p>
        </w:tc>
        <w:tc>
          <w:tcPr>
            <w:tcW w:w="680" w:type="dxa"/>
            <w:vAlign w:val="bottom"/>
            <w:vMerge w:val="restart"/>
          </w:tcPr>
          <w:p>
            <w:pPr>
              <w:jc w:val="right"/>
              <w:ind w:right="319"/>
              <w:spacing w:after="0"/>
              <w:rPr>
                <w:sz w:val="20"/>
                <w:szCs w:val="20"/>
                <w:color w:val="auto"/>
              </w:rPr>
            </w:pPr>
            <w:r>
              <w:rPr>
                <w:rFonts w:ascii="Arial" w:cs="Arial" w:eastAsia="Arial" w:hAnsi="Arial"/>
                <w:sz w:val="16"/>
                <w:szCs w:val="16"/>
                <w:color w:val="auto"/>
              </w:rPr>
              <w:t>Net</w:t>
            </w:r>
          </w:p>
        </w:tc>
        <w:tc>
          <w:tcPr>
            <w:tcW w:w="900" w:type="dxa"/>
            <w:vAlign w:val="bottom"/>
            <w:tcBorders>
              <w:right w:val="single" w:sz="8" w:color="auto"/>
            </w:tcBorders>
            <w:gridSpan w:val="3"/>
          </w:tcPr>
          <w:p>
            <w:pPr>
              <w:ind w:left="26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560" w:type="dxa"/>
            <w:vAlign w:val="bottom"/>
            <w:gridSpan w:val="2"/>
            <w:vMerge w:val="restart"/>
          </w:tcPr>
          <w:p>
            <w:pPr>
              <w:jc w:val="right"/>
              <w:ind w:right="459"/>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gridSpan w:val="2"/>
            <w:vMerge w:val="restart"/>
          </w:tcPr>
          <w:p>
            <w:pPr>
              <w:ind w:left="26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1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$ 4,183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9"/>
              </w:rPr>
              <w:t>3,244</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2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85</w:t>
            </w: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tcPr>
          <w:p>
            <w:pPr>
              <w:ind w:left="180"/>
              <w:spacing w:after="0"/>
              <w:rPr>
                <w:sz w:val="20"/>
                <w:szCs w:val="20"/>
                <w:color w:val="auto"/>
              </w:rPr>
            </w:pPr>
            <w:r>
              <w:rPr>
                <w:rFonts w:ascii="Arial" w:cs="Arial" w:eastAsia="Arial" w:hAnsi="Arial"/>
                <w:sz w:val="16"/>
                <w:szCs w:val="16"/>
                <w:i w:val="1"/>
                <w:iCs w:val="1"/>
                <w:color w:val="auto"/>
              </w:rPr>
              <w:t>Postretirement benefits curtailment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136</w:t>
            </w:r>
          </w:p>
        </w:tc>
        <w:tc>
          <w:tcPr>
            <w:tcW w:w="3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70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4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0.09</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ind w:left="180"/>
              <w:spacing w:after="0"/>
              <w:rPr>
                <w:sz w:val="20"/>
                <w:szCs w:val="20"/>
                <w:color w:val="auto"/>
              </w:rPr>
            </w:pPr>
            <w:r>
              <w:rPr>
                <w:rFonts w:ascii="Arial" w:cs="Arial" w:eastAsia="Arial" w:hAnsi="Arial"/>
                <w:sz w:val="16"/>
                <w:szCs w:val="16"/>
                <w:i w:val="1"/>
                <w:iCs w:val="1"/>
                <w:color w:val="auto"/>
              </w:rPr>
              <w:t>Workforce reductions</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59</w:t>
            </w: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42</w:t>
            </w:r>
          </w:p>
        </w:tc>
        <w:tc>
          <w:tcPr>
            <w:tcW w:w="4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excluding Charges &amp; Credits</w:t>
            </w:r>
          </w:p>
        </w:tc>
        <w:tc>
          <w:tcPr>
            <w:tcW w:w="110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$ 4,480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99"/>
              </w:rPr>
              <w:t>3,493</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1"/>
        </w:trPr>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2010 Charges &amp; Credits and Reconciliation of Pro Forma Diluted EPS</w:t>
      </w:r>
    </w:p>
    <w:p>
      <w:pPr>
        <w:spacing w:after="0" w:line="2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Borders>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First Quarter 2010</w:t>
            </w: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6"/>
                <w:szCs w:val="16"/>
                <w:color w:val="auto"/>
              </w:rPr>
              <w:t>Pretax</w:t>
            </w:r>
          </w:p>
        </w:tc>
        <w:tc>
          <w:tcPr>
            <w:tcW w:w="340" w:type="dxa"/>
            <w:vAlign w:val="bottom"/>
          </w:tcPr>
          <w:p>
            <w:pPr>
              <w:spacing w:after="0"/>
              <w:rPr>
                <w:sz w:val="15"/>
                <w:szCs w:val="15"/>
                <w:color w:val="auto"/>
              </w:rPr>
            </w:pPr>
          </w:p>
        </w:tc>
        <w:tc>
          <w:tcPr>
            <w:tcW w:w="520" w:type="dxa"/>
            <w:vAlign w:val="bottom"/>
            <w:vMerge w:val="restart"/>
          </w:tcPr>
          <w:p>
            <w:pPr>
              <w:jc w:val="right"/>
              <w:ind w:right="159"/>
              <w:spacing w:after="0"/>
              <w:rPr>
                <w:sz w:val="20"/>
                <w:szCs w:val="20"/>
                <w:color w:val="auto"/>
              </w:rPr>
            </w:pPr>
            <w:r>
              <w:rPr>
                <w:rFonts w:ascii="Arial" w:cs="Arial" w:eastAsia="Arial" w:hAnsi="Arial"/>
                <w:sz w:val="16"/>
                <w:szCs w:val="16"/>
                <w:color w:val="auto"/>
                <w:w w:val="97"/>
              </w:rPr>
              <w:t>Tax</w:t>
            </w:r>
          </w:p>
        </w:tc>
        <w:tc>
          <w:tcPr>
            <w:tcW w:w="1520" w:type="dxa"/>
            <w:vAlign w:val="bottom"/>
            <w:gridSpan w:val="2"/>
          </w:tcPr>
          <w:p>
            <w:pPr>
              <w:ind w:left="400"/>
              <w:spacing w:after="0" w:line="180" w:lineRule="exact"/>
              <w:rPr>
                <w:sz w:val="20"/>
                <w:szCs w:val="20"/>
                <w:color w:val="auto"/>
              </w:rPr>
            </w:pPr>
            <w:r>
              <w:rPr>
                <w:rFonts w:ascii="Arial" w:cs="Arial" w:eastAsia="Arial" w:hAnsi="Arial"/>
                <w:sz w:val="16"/>
                <w:szCs w:val="16"/>
                <w:color w:val="auto"/>
              </w:rPr>
              <w:t>Noncont.</w:t>
            </w:r>
          </w:p>
        </w:tc>
        <w:tc>
          <w:tcPr>
            <w:tcW w:w="160" w:type="dxa"/>
            <w:vAlign w:val="bottom"/>
          </w:tcPr>
          <w:p>
            <w:pPr>
              <w:spacing w:after="0"/>
              <w:rPr>
                <w:sz w:val="15"/>
                <w:szCs w:val="15"/>
                <w:color w:val="auto"/>
              </w:rPr>
            </w:pPr>
          </w:p>
        </w:tc>
        <w:tc>
          <w:tcPr>
            <w:tcW w:w="70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2"/>
            <w:vMerge w:val="restart"/>
          </w:tcPr>
          <w:p>
            <w:pPr>
              <w:ind w:left="2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657</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i w:val="1"/>
                <w:iCs w:val="1"/>
                <w:color w:val="auto"/>
              </w:rPr>
              <w:t>Medicare Part D subsidy, elimination of tax</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deduction</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Merger-related transaction costs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Venezuela currency devaluation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74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Merger-related transaction costs</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excluding Charges &amp; Credits</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997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740" w:type="dxa"/>
            <w:vAlign w:val="bottom"/>
          </w:tcPr>
          <w:p>
            <w:pPr>
              <w:ind w:left="4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774</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0.56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Second Quarter 2010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6"/>
                <w:szCs w:val="16"/>
                <w:color w:val="auto"/>
              </w:rPr>
              <w:t>Pretax</w:t>
            </w:r>
          </w:p>
        </w:tc>
        <w:tc>
          <w:tcPr>
            <w:tcW w:w="340" w:type="dxa"/>
            <w:vAlign w:val="bottom"/>
          </w:tcPr>
          <w:p>
            <w:pPr>
              <w:spacing w:after="0"/>
              <w:rPr>
                <w:sz w:val="15"/>
                <w:szCs w:val="15"/>
                <w:color w:val="auto"/>
              </w:rPr>
            </w:pPr>
          </w:p>
        </w:tc>
        <w:tc>
          <w:tcPr>
            <w:tcW w:w="520" w:type="dxa"/>
            <w:vAlign w:val="bottom"/>
            <w:vMerge w:val="restart"/>
          </w:tcPr>
          <w:p>
            <w:pPr>
              <w:jc w:val="right"/>
              <w:ind w:right="159"/>
              <w:spacing w:after="0"/>
              <w:rPr>
                <w:sz w:val="20"/>
                <w:szCs w:val="20"/>
                <w:color w:val="auto"/>
              </w:rPr>
            </w:pPr>
            <w:r>
              <w:rPr>
                <w:rFonts w:ascii="Arial" w:cs="Arial" w:eastAsia="Arial" w:hAnsi="Arial"/>
                <w:sz w:val="16"/>
                <w:szCs w:val="16"/>
                <w:color w:val="auto"/>
                <w:w w:val="97"/>
              </w:rPr>
              <w:t>Tax</w:t>
            </w:r>
          </w:p>
        </w:tc>
        <w:tc>
          <w:tcPr>
            <w:tcW w:w="1520" w:type="dxa"/>
            <w:vAlign w:val="bottom"/>
            <w:gridSpan w:val="2"/>
          </w:tcPr>
          <w:p>
            <w:pPr>
              <w:ind w:left="400"/>
              <w:spacing w:after="0" w:line="180" w:lineRule="exact"/>
              <w:rPr>
                <w:sz w:val="20"/>
                <w:szCs w:val="20"/>
                <w:color w:val="auto"/>
              </w:rPr>
            </w:pPr>
            <w:r>
              <w:rPr>
                <w:rFonts w:ascii="Arial" w:cs="Arial" w:eastAsia="Arial" w:hAnsi="Arial"/>
                <w:sz w:val="16"/>
                <w:szCs w:val="16"/>
                <w:color w:val="auto"/>
              </w:rPr>
              <w:t>Noncont.</w:t>
            </w:r>
          </w:p>
        </w:tc>
        <w:tc>
          <w:tcPr>
            <w:tcW w:w="160" w:type="dxa"/>
            <w:vAlign w:val="bottom"/>
          </w:tcPr>
          <w:p>
            <w:pPr>
              <w:spacing w:after="0"/>
              <w:rPr>
                <w:sz w:val="15"/>
                <w:szCs w:val="15"/>
                <w:color w:val="auto"/>
              </w:rPr>
            </w:pPr>
          </w:p>
        </w:tc>
        <w:tc>
          <w:tcPr>
            <w:tcW w:w="70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520" w:type="dxa"/>
            <w:vAlign w:val="bottom"/>
            <w:gridSpan w:val="2"/>
            <w:vMerge w:val="restart"/>
          </w:tcPr>
          <w:p>
            <w:pPr>
              <w:ind w:left="46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13"/>
                <w:szCs w:val="13"/>
                <w:color w:val="auto"/>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080" w:type="dxa"/>
            <w:vAlign w:val="bottom"/>
            <w:gridSpan w:val="4"/>
            <w:shd w:val="clear" w:color="auto" w:fill="CCEEFF"/>
          </w:tcPr>
          <w:p>
            <w:pPr>
              <w:jc w:val="right"/>
              <w:ind w:right="199"/>
              <w:spacing w:after="0"/>
              <w:rPr>
                <w:sz w:val="20"/>
                <w:szCs w:val="20"/>
                <w:color w:val="auto"/>
              </w:rPr>
            </w:pPr>
            <w:r>
              <w:rPr>
                <w:rFonts w:ascii="Arial" w:cs="Arial" w:eastAsia="Arial" w:hAnsi="Arial"/>
                <w:sz w:val="16"/>
                <w:szCs w:val="16"/>
                <w:color w:val="auto"/>
              </w:rPr>
              <w:t>$ 1,101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c>
          <w:tcPr>
            <w:tcW w:w="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872</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Venezuela currency devaluation</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Merger-related transaction costs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74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Gain on investment in @balance</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excluding Charges &amp; Credits</w:t>
            </w:r>
          </w:p>
        </w:tc>
        <w:tc>
          <w:tcPr>
            <w:tcW w:w="1080" w:type="dxa"/>
            <w:vAlign w:val="bottom"/>
            <w:gridSpan w:val="4"/>
          </w:tcPr>
          <w:p>
            <w:pPr>
              <w:jc w:val="right"/>
              <w:ind w:right="199"/>
              <w:spacing w:after="0"/>
              <w:rPr>
                <w:sz w:val="20"/>
                <w:szCs w:val="20"/>
                <w:color w:val="auto"/>
              </w:rPr>
            </w:pPr>
            <w:r>
              <w:rPr>
                <w:rFonts w:ascii="Arial" w:cs="Arial" w:eastAsia="Arial" w:hAnsi="Arial"/>
                <w:sz w:val="16"/>
                <w:szCs w:val="16"/>
                <w:color w:val="auto"/>
              </w:rPr>
              <w:t>$ 1,116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740" w:type="dxa"/>
            <w:vAlign w:val="bottom"/>
          </w:tcPr>
          <w:p>
            <w:pPr>
              <w:ind w:left="4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881</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0.64</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1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Third Quarter 2010</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color w:val="auto"/>
              </w:rPr>
              <w:t>Pretax</w:t>
            </w:r>
          </w:p>
        </w:tc>
        <w:tc>
          <w:tcPr>
            <w:tcW w:w="340" w:type="dxa"/>
            <w:vAlign w:val="bottom"/>
          </w:tcPr>
          <w:p>
            <w:pPr>
              <w:spacing w:after="0"/>
              <w:rPr>
                <w:sz w:val="15"/>
                <w:szCs w:val="15"/>
                <w:color w:val="auto"/>
              </w:rPr>
            </w:pPr>
          </w:p>
        </w:tc>
        <w:tc>
          <w:tcPr>
            <w:tcW w:w="520" w:type="dxa"/>
            <w:vAlign w:val="bottom"/>
            <w:vMerge w:val="restart"/>
          </w:tcPr>
          <w:p>
            <w:pPr>
              <w:jc w:val="right"/>
              <w:ind w:right="159"/>
              <w:spacing w:after="0"/>
              <w:rPr>
                <w:sz w:val="20"/>
                <w:szCs w:val="20"/>
                <w:color w:val="auto"/>
              </w:rPr>
            </w:pPr>
            <w:r>
              <w:rPr>
                <w:rFonts w:ascii="Arial" w:cs="Arial" w:eastAsia="Arial" w:hAnsi="Arial"/>
                <w:sz w:val="16"/>
                <w:szCs w:val="16"/>
                <w:color w:val="auto"/>
                <w:w w:val="97"/>
              </w:rPr>
              <w:t>Tax</w:t>
            </w:r>
          </w:p>
        </w:tc>
        <w:tc>
          <w:tcPr>
            <w:tcW w:w="1520" w:type="dxa"/>
            <w:vAlign w:val="bottom"/>
            <w:gridSpan w:val="2"/>
          </w:tcPr>
          <w:p>
            <w:pPr>
              <w:ind w:left="400"/>
              <w:spacing w:after="0" w:line="180" w:lineRule="exact"/>
              <w:rPr>
                <w:sz w:val="20"/>
                <w:szCs w:val="20"/>
                <w:color w:val="auto"/>
              </w:rPr>
            </w:pPr>
            <w:r>
              <w:rPr>
                <w:rFonts w:ascii="Arial" w:cs="Arial" w:eastAsia="Arial" w:hAnsi="Arial"/>
                <w:sz w:val="16"/>
                <w:szCs w:val="16"/>
                <w:color w:val="auto"/>
              </w:rPr>
              <w:t>Noncont.</w:t>
            </w:r>
          </w:p>
        </w:tc>
        <w:tc>
          <w:tcPr>
            <w:tcW w:w="160" w:type="dxa"/>
            <w:vAlign w:val="bottom"/>
          </w:tcPr>
          <w:p>
            <w:pPr>
              <w:spacing w:after="0"/>
              <w:rPr>
                <w:sz w:val="15"/>
                <w:szCs w:val="15"/>
                <w:color w:val="auto"/>
              </w:rPr>
            </w:pPr>
          </w:p>
        </w:tc>
        <w:tc>
          <w:tcPr>
            <w:tcW w:w="70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520" w:type="dxa"/>
            <w:vAlign w:val="bottom"/>
            <w:gridSpan w:val="2"/>
            <w:vMerge w:val="restart"/>
          </w:tcPr>
          <w:p>
            <w:pPr>
              <w:ind w:left="44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2"/>
            <w:vMerge w:val="restart"/>
          </w:tcPr>
          <w:p>
            <w:pPr>
              <w:ind w:left="2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2"/>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080" w:type="dxa"/>
            <w:vAlign w:val="bottom"/>
            <w:gridSpan w:val="4"/>
            <w:shd w:val="clear" w:color="auto" w:fill="CCEEFF"/>
          </w:tcPr>
          <w:p>
            <w:pPr>
              <w:jc w:val="right"/>
              <w:ind w:right="199"/>
              <w:spacing w:after="0"/>
              <w:rPr>
                <w:sz w:val="20"/>
                <w:szCs w:val="20"/>
                <w:color w:val="auto"/>
              </w:rPr>
            </w:pPr>
            <w:r>
              <w:rPr>
                <w:rFonts w:ascii="Arial" w:cs="Arial" w:eastAsia="Arial" w:hAnsi="Arial"/>
                <w:sz w:val="16"/>
                <w:szCs w:val="16"/>
                <w:color w:val="auto"/>
              </w:rPr>
              <w:t>$ 1,974</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9"/>
              </w:rPr>
              <w:t>1,738</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Add back Schlumberger Charges &amp; Credits: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Severance and other</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Pr>
          <w:p>
            <w:pPr>
              <w:ind w:left="180"/>
              <w:spacing w:after="0" w:line="175" w:lineRule="exact"/>
              <w:rPr>
                <w:sz w:val="20"/>
                <w:szCs w:val="20"/>
                <w:color w:val="auto"/>
              </w:rPr>
            </w:pPr>
            <w:r>
              <w:rPr>
                <w:rFonts w:ascii="Arial" w:cs="Arial" w:eastAsia="Arial" w:hAnsi="Arial"/>
                <w:sz w:val="16"/>
                <w:szCs w:val="16"/>
                <w:i w:val="1"/>
                <w:iCs w:val="1"/>
                <w:color w:val="auto"/>
              </w:rPr>
              <w:t>Impairment relating to WesternGeco’s first</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500" w:type="dxa"/>
            <w:vAlign w:val="bottom"/>
          </w:tcPr>
          <w:p>
            <w:pPr>
              <w:ind w:left="400"/>
              <w:spacing w:after="0"/>
              <w:rPr>
                <w:sz w:val="20"/>
                <w:szCs w:val="20"/>
                <w:color w:val="auto"/>
              </w:rPr>
            </w:pPr>
            <w:r>
              <w:rPr>
                <w:rFonts w:ascii="Arial" w:cs="Arial" w:eastAsia="Arial" w:hAnsi="Arial"/>
                <w:sz w:val="16"/>
                <w:szCs w:val="16"/>
                <w:i w:val="1"/>
                <w:iCs w:val="1"/>
                <w:color w:val="auto"/>
              </w:rPr>
              <w:t>generation Q-Land acquisition system</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740" w:type="dxa"/>
            <w:vAlign w:val="bottom"/>
          </w:tcPr>
          <w:p>
            <w:pPr>
              <w:spacing w:after="0"/>
              <w:rPr>
                <w:sz w:val="17"/>
                <w:szCs w:val="17"/>
                <w:color w:val="auto"/>
              </w:rPr>
            </w:pPr>
          </w:p>
        </w:tc>
        <w:tc>
          <w:tcPr>
            <w:tcW w:w="7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71</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Other WesternGeco-related charges</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Professional fees and other</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6"/>
                <w:szCs w:val="16"/>
                <w:color w:val="auto"/>
              </w:rPr>
            </w:pPr>
          </w:p>
        </w:tc>
        <w:tc>
          <w:tcPr>
            <w:tcW w:w="7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0.04</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Merger-related employee benefits</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Mexico restructuring</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740" w:type="dxa"/>
            <w:vAlign w:val="bottom"/>
          </w:tcPr>
          <w:p>
            <w:pPr>
              <w:spacing w:after="0"/>
              <w:rPr>
                <w:sz w:val="16"/>
                <w:szCs w:val="16"/>
                <w:color w:val="auto"/>
              </w:rPr>
            </w:pPr>
          </w:p>
        </w:tc>
        <w:tc>
          <w:tcPr>
            <w:tcW w:w="7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Inventory fair value adjustments</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Repurchase of bonds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740" w:type="dxa"/>
            <w:vAlign w:val="bottom"/>
          </w:tcPr>
          <w:p>
            <w:pPr>
              <w:spacing w:after="0"/>
              <w:rPr>
                <w:sz w:val="16"/>
                <w:szCs w:val="16"/>
                <w:color w:val="auto"/>
              </w:rPr>
            </w:pPr>
          </w:p>
        </w:tc>
        <w:tc>
          <w:tcPr>
            <w:tcW w:w="7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Gain on investment in M-I SWACO</w:t>
            </w:r>
          </w:p>
        </w:tc>
        <w:tc>
          <w:tcPr>
            <w:tcW w:w="1080" w:type="dxa"/>
            <w:vAlign w:val="bottom"/>
            <w:gridSpan w:val="4"/>
            <w:shd w:val="clear" w:color="auto" w:fill="CCEEFF"/>
          </w:tcPr>
          <w:p>
            <w:pPr>
              <w:jc w:val="right"/>
              <w:ind w:right="139"/>
              <w:spacing w:after="0"/>
              <w:rPr>
                <w:sz w:val="20"/>
                <w:szCs w:val="20"/>
                <w:color w:val="auto"/>
              </w:rPr>
            </w:pPr>
            <w:r>
              <w:rPr>
                <w:rFonts w:ascii="Arial" w:cs="Arial" w:eastAsia="Arial" w:hAnsi="Arial"/>
                <w:sz w:val="16"/>
                <w:szCs w:val="16"/>
                <w:color w:val="auto"/>
              </w:rPr>
              <w:t>(1,270)</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(1,238)</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Add back Smith Charges &amp; Credits: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Merger-related transaction costs</w:t>
            </w:r>
          </w:p>
        </w:tc>
        <w:tc>
          <w:tcPr>
            <w:tcW w:w="2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00" w:type="dxa"/>
            <w:vAlign w:val="bottom"/>
            <w:tcBorders>
              <w:right w:val="single" w:sz="8" w:color="auto"/>
            </w:tcBorders>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6"/>
                <w:szCs w:val="16"/>
                <w:color w:val="auto"/>
              </w:rPr>
              <w:t>Income attributable to Schlumberger,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excluding Charges &amp; Credits</w:t>
            </w:r>
          </w:p>
        </w:tc>
        <w:tc>
          <w:tcPr>
            <w:tcW w:w="1080" w:type="dxa"/>
            <w:vAlign w:val="bottom"/>
            <w:gridSpan w:val="4"/>
          </w:tcPr>
          <w:p>
            <w:pPr>
              <w:jc w:val="right"/>
              <w:ind w:right="199"/>
              <w:spacing w:after="0"/>
              <w:rPr>
                <w:sz w:val="20"/>
                <w:szCs w:val="20"/>
                <w:color w:val="auto"/>
              </w:rPr>
            </w:pPr>
            <w:r>
              <w:rPr>
                <w:rFonts w:ascii="Arial" w:cs="Arial" w:eastAsia="Arial" w:hAnsi="Arial"/>
                <w:sz w:val="16"/>
                <w:szCs w:val="16"/>
                <w:color w:val="auto"/>
              </w:rPr>
              <w:t>$ 1,151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740" w:type="dxa"/>
            <w:vAlign w:val="bottom"/>
          </w:tcPr>
          <w:p>
            <w:pPr>
              <w:ind w:left="4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892</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0.65</w:t>
            </w:r>
          </w:p>
        </w:tc>
        <w:tc>
          <w:tcPr>
            <w:tcW w:w="4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300" w:type="dxa"/>
            <w:vAlign w:val="bottom"/>
            <w:tcBorders>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2010 Charges &amp; Credits and Reconciliation of Pro Forma Diluted EPS (cont.)</w:t>
      </w:r>
    </w:p>
    <w:p>
      <w:pPr>
        <w:spacing w:after="0" w:line="2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(Stated in millions, except per share amounts)</w:t>
      </w:r>
    </w:p>
    <w:p>
      <w:pPr>
        <w:spacing w:after="0" w:line="189" w:lineRule="exact"/>
        <w:rPr>
          <w:sz w:val="20"/>
          <w:szCs w:val="20"/>
          <w:color w:val="auto"/>
        </w:rPr>
      </w:pPr>
    </w:p>
    <w:tbl>
      <w:tblPr>
        <w:tblLayout w:type="fixed"/>
        <w:tblInd w:w="1290" w:type="dxa"/>
        <w:tblCellMar>
          <w:top w:w="0" w:type="dxa"/>
          <w:left w:w="0" w:type="dxa"/>
          <w:bottom w:w="0" w:type="dxa"/>
          <w:right w:w="0" w:type="dxa"/>
        </w:tblCellMar>
      </w:tblPr>
      <w:tr>
        <w:trPr>
          <w:trHeight w:val="206"/>
        </w:trPr>
        <w:tc>
          <w:tcPr>
            <w:tcW w:w="180" w:type="dxa"/>
            <w:vAlign w:val="bottom"/>
            <w:tcBorders>
              <w:top w:val="single" w:sz="8" w:color="auto"/>
              <w:left w:val="single" w:sz="8" w:color="auto"/>
            </w:tcBorders>
          </w:tcPr>
          <w:p>
            <w:pPr>
              <w:spacing w:after="0"/>
              <w:rPr>
                <w:sz w:val="17"/>
                <w:szCs w:val="17"/>
                <w:color w:val="auto"/>
              </w:rPr>
            </w:pPr>
          </w:p>
        </w:tc>
        <w:tc>
          <w:tcPr>
            <w:tcW w:w="3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Fourth Quarter 2010</w:t>
            </w:r>
          </w:p>
        </w:tc>
        <w:tc>
          <w:tcPr>
            <w:tcW w:w="8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6"/>
                <w:szCs w:val="16"/>
                <w:color w:val="auto"/>
              </w:rPr>
              <w:t>Pretax</w:t>
            </w:r>
          </w:p>
        </w:tc>
        <w:tc>
          <w:tcPr>
            <w:tcW w:w="340" w:type="dxa"/>
            <w:vAlign w:val="bottom"/>
          </w:tcPr>
          <w:p>
            <w:pPr>
              <w:spacing w:after="0"/>
              <w:rPr>
                <w:sz w:val="15"/>
                <w:szCs w:val="15"/>
                <w:color w:val="auto"/>
              </w:rPr>
            </w:pPr>
          </w:p>
        </w:tc>
        <w:tc>
          <w:tcPr>
            <w:tcW w:w="520" w:type="dxa"/>
            <w:vAlign w:val="bottom"/>
            <w:vMerge w:val="restart"/>
          </w:tcPr>
          <w:p>
            <w:pPr>
              <w:jc w:val="right"/>
              <w:ind w:right="159"/>
              <w:spacing w:after="0"/>
              <w:rPr>
                <w:sz w:val="20"/>
                <w:szCs w:val="20"/>
                <w:color w:val="auto"/>
              </w:rPr>
            </w:pPr>
            <w:r>
              <w:rPr>
                <w:rFonts w:ascii="Arial" w:cs="Arial" w:eastAsia="Arial" w:hAnsi="Arial"/>
                <w:sz w:val="16"/>
                <w:szCs w:val="16"/>
                <w:color w:val="auto"/>
                <w:w w:val="97"/>
              </w:rPr>
              <w:t>Tax</w:t>
            </w:r>
          </w:p>
        </w:tc>
        <w:tc>
          <w:tcPr>
            <w:tcW w:w="1500" w:type="dxa"/>
            <w:vAlign w:val="bottom"/>
            <w:gridSpan w:val="2"/>
          </w:tcPr>
          <w:p>
            <w:pPr>
              <w:ind w:left="400"/>
              <w:spacing w:after="0" w:line="180" w:lineRule="exact"/>
              <w:rPr>
                <w:sz w:val="20"/>
                <w:szCs w:val="20"/>
                <w:color w:val="auto"/>
              </w:rPr>
            </w:pPr>
            <w:r>
              <w:rPr>
                <w:rFonts w:ascii="Arial" w:cs="Arial" w:eastAsia="Arial" w:hAnsi="Arial"/>
                <w:sz w:val="16"/>
                <w:szCs w:val="16"/>
                <w:color w:val="auto"/>
              </w:rPr>
              <w:t>Noncont.</w:t>
            </w:r>
          </w:p>
        </w:tc>
        <w:tc>
          <w:tcPr>
            <w:tcW w:w="88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500" w:type="dxa"/>
            <w:vAlign w:val="bottom"/>
            <w:gridSpan w:val="2"/>
            <w:vMerge w:val="restart"/>
          </w:tcPr>
          <w:p>
            <w:pPr>
              <w:jc w:val="right"/>
              <w:ind w:right="419"/>
              <w:spacing w:after="0"/>
              <w:rPr>
                <w:sz w:val="20"/>
                <w:szCs w:val="20"/>
                <w:color w:val="auto"/>
              </w:rPr>
            </w:pPr>
            <w:r>
              <w:rPr>
                <w:rFonts w:ascii="Arial" w:cs="Arial" w:eastAsia="Arial" w:hAnsi="Arial"/>
                <w:sz w:val="16"/>
                <w:szCs w:val="16"/>
                <w:color w:val="auto"/>
              </w:rPr>
              <w:t>Interest</w:t>
            </w:r>
          </w:p>
        </w:tc>
        <w:tc>
          <w:tcPr>
            <w:tcW w:w="880" w:type="dxa"/>
            <w:vAlign w:val="bottom"/>
            <w:vMerge w:val="continue"/>
          </w:tcPr>
          <w:p>
            <w:pPr>
              <w:spacing w:after="0"/>
              <w:rPr>
                <w:sz w:val="9"/>
                <w:szCs w:val="9"/>
                <w:color w:val="auto"/>
              </w:rPr>
            </w:pPr>
          </w:p>
        </w:tc>
        <w:tc>
          <w:tcPr>
            <w:tcW w:w="840" w:type="dxa"/>
            <w:vAlign w:val="bottom"/>
            <w:gridSpan w:val="2"/>
            <w:vMerge w:val="restart"/>
          </w:tcPr>
          <w:p>
            <w:pPr>
              <w:ind w:left="240"/>
              <w:spacing w:after="0" w:line="192" w:lineRule="exact"/>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w:t>
            </w:r>
          </w:p>
        </w:tc>
        <w:tc>
          <w:tcPr>
            <w:tcW w:w="4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$ 1,335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$ 1,043</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Borders>
              <w:left w:val="single" w:sz="8" w:color="auto"/>
            </w:tcBorders>
            <w:gridSpan w:val="2"/>
          </w:tcPr>
          <w:p>
            <w:pPr>
              <w:ind w:left="160"/>
              <w:spacing w:after="0"/>
              <w:rPr>
                <w:sz w:val="20"/>
                <w:szCs w:val="20"/>
                <w:color w:val="auto"/>
              </w:rPr>
            </w:pPr>
            <w:r>
              <w:rPr>
                <w:rFonts w:ascii="Arial" w:cs="Arial" w:eastAsia="Arial" w:hAnsi="Arial"/>
                <w:sz w:val="16"/>
                <w:szCs w:val="16"/>
                <w:color w:val="auto"/>
              </w:rPr>
              <w:t>Add back Schlumberger Charges &amp; Credits: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Inventory fair value adjustments</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115</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73</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Merger-related employee benefits</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6"/>
                <w:szCs w:val="16"/>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Merger-related employee benefits</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Reurchase of bonds</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720" w:type="dxa"/>
            <w:vAlign w:val="bottom"/>
          </w:tcPr>
          <w:p>
            <w:pPr>
              <w:spacing w:after="0"/>
              <w:rPr>
                <w:sz w:val="17"/>
                <w:szCs w:val="17"/>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excluding Charges &amp; Credits</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$ 1,515</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$ 1,164</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80" w:type="dxa"/>
            <w:vAlign w:val="bottom"/>
            <w:tcBorders>
              <w:left w:val="single" w:sz="8" w:color="auto"/>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4"/>
        </w:trPr>
        <w:tc>
          <w:tcPr>
            <w:tcW w:w="1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0" w:type="dxa"/>
            <w:vAlign w:val="bottom"/>
            <w:tcBorders>
              <w:left w:val="single" w:sz="8" w:color="auto"/>
            </w:tcBorders>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Twelve Months 2010</w:t>
            </w: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0" w:type="dxa"/>
            <w:vAlign w:val="bottom"/>
            <w:tcBorders>
              <w:left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tcPr>
          <w:p>
            <w:pPr>
              <w:jc w:val="right"/>
              <w:ind w:right="239"/>
              <w:spacing w:after="0"/>
              <w:rPr>
                <w:sz w:val="20"/>
                <w:szCs w:val="20"/>
                <w:color w:val="auto"/>
              </w:rPr>
            </w:pPr>
            <w:r>
              <w:rPr>
                <w:rFonts w:ascii="Arial" w:cs="Arial" w:eastAsia="Arial" w:hAnsi="Arial"/>
                <w:sz w:val="16"/>
                <w:szCs w:val="16"/>
                <w:color w:val="auto"/>
                <w:w w:val="99"/>
              </w:rPr>
              <w:t>Pretax</w:t>
            </w:r>
          </w:p>
        </w:tc>
        <w:tc>
          <w:tcPr>
            <w:tcW w:w="340" w:type="dxa"/>
            <w:vAlign w:val="bottom"/>
          </w:tcPr>
          <w:p>
            <w:pPr>
              <w:spacing w:after="0"/>
              <w:rPr>
                <w:sz w:val="15"/>
                <w:szCs w:val="15"/>
                <w:color w:val="auto"/>
              </w:rPr>
            </w:pPr>
          </w:p>
        </w:tc>
        <w:tc>
          <w:tcPr>
            <w:tcW w:w="520" w:type="dxa"/>
            <w:vAlign w:val="bottom"/>
            <w:vMerge w:val="restart"/>
          </w:tcPr>
          <w:p>
            <w:pPr>
              <w:jc w:val="right"/>
              <w:ind w:right="159"/>
              <w:spacing w:after="0"/>
              <w:rPr>
                <w:sz w:val="20"/>
                <w:szCs w:val="20"/>
                <w:color w:val="auto"/>
              </w:rPr>
            </w:pPr>
            <w:r>
              <w:rPr>
                <w:rFonts w:ascii="Arial" w:cs="Arial" w:eastAsia="Arial" w:hAnsi="Arial"/>
                <w:sz w:val="16"/>
                <w:szCs w:val="16"/>
                <w:color w:val="auto"/>
                <w:w w:val="97"/>
              </w:rPr>
              <w:t>Tax</w:t>
            </w:r>
          </w:p>
        </w:tc>
        <w:tc>
          <w:tcPr>
            <w:tcW w:w="1500" w:type="dxa"/>
            <w:vAlign w:val="bottom"/>
            <w:gridSpan w:val="2"/>
          </w:tcPr>
          <w:p>
            <w:pPr>
              <w:ind w:left="400"/>
              <w:spacing w:after="0" w:line="180" w:lineRule="exact"/>
              <w:rPr>
                <w:sz w:val="20"/>
                <w:szCs w:val="20"/>
                <w:color w:val="auto"/>
              </w:rPr>
            </w:pPr>
            <w:r>
              <w:rPr>
                <w:rFonts w:ascii="Arial" w:cs="Arial" w:eastAsia="Arial" w:hAnsi="Arial"/>
                <w:sz w:val="16"/>
                <w:szCs w:val="16"/>
                <w:color w:val="auto"/>
              </w:rPr>
              <w:t>Noncont.</w:t>
            </w:r>
          </w:p>
        </w:tc>
        <w:tc>
          <w:tcPr>
            <w:tcW w:w="880" w:type="dxa"/>
            <w:vAlign w:val="bottom"/>
            <w:vMerge w:val="restart"/>
          </w:tcPr>
          <w:p>
            <w:pPr>
              <w:jc w:val="right"/>
              <w:ind w:right="339"/>
              <w:spacing w:after="0"/>
              <w:rPr>
                <w:sz w:val="20"/>
                <w:szCs w:val="20"/>
                <w:color w:val="auto"/>
              </w:rPr>
            </w:pPr>
            <w:r>
              <w:rPr>
                <w:rFonts w:ascii="Arial" w:cs="Arial" w:eastAsia="Arial" w:hAnsi="Arial"/>
                <w:sz w:val="16"/>
                <w:szCs w:val="16"/>
                <w:color w:val="auto"/>
              </w:rPr>
              <w:t>Net</w:t>
            </w:r>
          </w:p>
        </w:tc>
        <w:tc>
          <w:tcPr>
            <w:tcW w:w="880" w:type="dxa"/>
            <w:vAlign w:val="bottom"/>
            <w:tcBorders>
              <w:right w:val="single" w:sz="8" w:color="auto"/>
            </w:tcBorders>
            <w:gridSpan w:val="3"/>
          </w:tcPr>
          <w:p>
            <w:pPr>
              <w:ind w:left="240"/>
              <w:spacing w:after="0" w:line="180" w:lineRule="exact"/>
              <w:rPr>
                <w:sz w:val="20"/>
                <w:szCs w:val="20"/>
                <w:color w:val="auto"/>
              </w:rPr>
            </w:pPr>
            <w:r>
              <w:rPr>
                <w:rFonts w:ascii="Arial" w:cs="Arial" w:eastAsia="Arial" w:hAnsi="Arial"/>
                <w:sz w:val="16"/>
                <w:szCs w:val="16"/>
                <w:color w:val="auto"/>
              </w:rPr>
              <w:t>Diluted</w:t>
            </w:r>
          </w:p>
        </w:tc>
        <w:tc>
          <w:tcPr>
            <w:tcW w:w="0" w:type="dxa"/>
            <w:vAlign w:val="bottom"/>
          </w:tcPr>
          <w:p>
            <w:pPr>
              <w:spacing w:after="0"/>
              <w:rPr>
                <w:sz w:val="1"/>
                <w:szCs w:val="1"/>
                <w:color w:val="auto"/>
              </w:rPr>
            </w:pPr>
          </w:p>
        </w:tc>
      </w:tr>
      <w:tr>
        <w:trPr>
          <w:trHeight w:val="105"/>
        </w:trPr>
        <w:tc>
          <w:tcPr>
            <w:tcW w:w="180" w:type="dxa"/>
            <w:vAlign w:val="bottom"/>
            <w:tcBorders>
              <w:left w:val="single" w:sz="8" w:color="auto"/>
            </w:tcBorders>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500" w:type="dxa"/>
            <w:vAlign w:val="bottom"/>
            <w:gridSpan w:val="2"/>
            <w:vMerge w:val="restart"/>
          </w:tcPr>
          <w:p>
            <w:pPr>
              <w:jc w:val="right"/>
              <w:ind w:right="439"/>
              <w:spacing w:after="0"/>
              <w:rPr>
                <w:sz w:val="20"/>
                <w:szCs w:val="20"/>
                <w:color w:val="auto"/>
              </w:rPr>
            </w:pPr>
            <w:r>
              <w:rPr>
                <w:rFonts w:ascii="Arial" w:cs="Arial" w:eastAsia="Arial" w:hAnsi="Arial"/>
                <w:sz w:val="16"/>
                <w:szCs w:val="16"/>
                <w:color w:val="auto"/>
              </w:rPr>
              <w:t>Interest</w:t>
            </w:r>
          </w:p>
        </w:tc>
        <w:tc>
          <w:tcPr>
            <w:tcW w:w="880" w:type="dxa"/>
            <w:vAlign w:val="bottom"/>
            <w:vMerge w:val="continue"/>
          </w:tcPr>
          <w:p>
            <w:pPr>
              <w:spacing w:after="0"/>
              <w:rPr>
                <w:sz w:val="9"/>
                <w:szCs w:val="9"/>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13"/>
                <w:szCs w:val="13"/>
                <w:color w:val="auto"/>
              </w:rPr>
              <w:t>(*)</w:t>
            </w:r>
          </w:p>
        </w:tc>
        <w:tc>
          <w:tcPr>
            <w:tcW w:w="40" w:type="dxa"/>
            <w:vAlign w:val="bottom"/>
            <w:tcBorders>
              <w:right w:val="single" w:sz="8" w:color="auto"/>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0" w:type="dxa"/>
            <w:vAlign w:val="bottom"/>
            <w:tcBorders>
              <w:left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$ 5,332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1,016</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$ 4,310</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Borders>
              <w:left w:val="single" w:sz="8" w:color="auto"/>
            </w:tcBorders>
            <w:gridSpan w:val="2"/>
          </w:tcPr>
          <w:p>
            <w:pPr>
              <w:ind w:left="160"/>
              <w:spacing w:after="0"/>
              <w:rPr>
                <w:sz w:val="20"/>
                <w:szCs w:val="20"/>
                <w:color w:val="auto"/>
              </w:rPr>
            </w:pPr>
            <w:r>
              <w:rPr>
                <w:rFonts w:ascii="Arial" w:cs="Arial" w:eastAsia="Arial" w:hAnsi="Arial"/>
                <w:sz w:val="16"/>
                <w:szCs w:val="16"/>
                <w:color w:val="auto"/>
              </w:rPr>
              <w:t>Add back Schlumberger Charges &amp; Credits:</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i w:val="1"/>
                <w:iCs w:val="1"/>
                <w:color w:val="auto"/>
              </w:rPr>
              <w:t>Medicare Part D subsidy, elimination of tax</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deduction</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Severance and other</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90</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7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77</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0.06</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0" w:type="dxa"/>
            <w:vAlign w:val="bottom"/>
            <w:tcBorders>
              <w:left w:val="single" w:sz="8" w:color="auto"/>
            </w:tcBorders>
          </w:tcPr>
          <w:p>
            <w:pPr>
              <w:spacing w:after="0"/>
              <w:rPr>
                <w:sz w:val="15"/>
                <w:szCs w:val="15"/>
                <w:color w:val="auto"/>
              </w:rPr>
            </w:pPr>
          </w:p>
        </w:tc>
        <w:tc>
          <w:tcPr>
            <w:tcW w:w="350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i w:val="1"/>
                <w:iCs w:val="1"/>
                <w:color w:val="auto"/>
              </w:rPr>
              <w:t>Impairment relating to WesternGeco’s first</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generation Q-Land acquisition system</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Other WesternGeco-related charges</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0.05</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Professional fees and other</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Merger-related employee benefits</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7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0.04</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Mexico restructuring</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Inventory fair value adjustments</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153</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7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97</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0.07</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Repurchase of bonds</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Gain on investment in M-I SWACO</w:t>
            </w:r>
          </w:p>
        </w:tc>
        <w:tc>
          <w:tcPr>
            <w:tcW w:w="1080" w:type="dxa"/>
            <w:vAlign w:val="bottom"/>
            <w:gridSpan w:val="3"/>
          </w:tcPr>
          <w:p>
            <w:pPr>
              <w:jc w:val="right"/>
              <w:ind w:right="139"/>
              <w:spacing w:after="0"/>
              <w:rPr>
                <w:sz w:val="20"/>
                <w:szCs w:val="20"/>
                <w:color w:val="auto"/>
              </w:rPr>
            </w:pPr>
            <w:r>
              <w:rPr>
                <w:rFonts w:ascii="Arial" w:cs="Arial" w:eastAsia="Arial" w:hAnsi="Arial"/>
                <w:sz w:val="16"/>
                <w:szCs w:val="16"/>
                <w:color w:val="auto"/>
              </w:rPr>
              <w:t>(1,270)</w:t>
            </w:r>
          </w:p>
        </w:tc>
        <w:tc>
          <w:tcPr>
            <w:tcW w:w="3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7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(1,238)</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(0.90)</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Add back Smith Charges &amp; Credits:</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Venezuela currency devaluation</w:t>
            </w:r>
          </w:p>
        </w:tc>
        <w:tc>
          <w:tcPr>
            <w:tcW w:w="1080" w:type="dxa"/>
            <w:vAlign w:val="bottom"/>
            <w:gridSpan w:val="3"/>
          </w:tcPr>
          <w:p>
            <w:pPr>
              <w:jc w:val="right"/>
              <w:ind w:right="19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Merger-related transaction costs</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54</w:t>
            </w: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500" w:type="dxa"/>
            <w:vAlign w:val="bottom"/>
          </w:tcPr>
          <w:p>
            <w:pPr>
              <w:ind w:left="180"/>
              <w:spacing w:after="0"/>
              <w:rPr>
                <w:sz w:val="20"/>
                <w:szCs w:val="20"/>
                <w:color w:val="auto"/>
              </w:rPr>
            </w:pPr>
            <w:r>
              <w:rPr>
                <w:rFonts w:ascii="Arial" w:cs="Arial" w:eastAsia="Arial" w:hAnsi="Arial"/>
                <w:sz w:val="16"/>
                <w:szCs w:val="16"/>
                <w:i w:val="1"/>
                <w:iCs w:val="1"/>
                <w:color w:val="auto"/>
              </w:rPr>
              <w:t>Gain on investment in @balance</w:t>
            </w:r>
          </w:p>
        </w:tc>
        <w:tc>
          <w:tcPr>
            <w:tcW w:w="1080" w:type="dxa"/>
            <w:vAlign w:val="bottom"/>
            <w:gridSpan w:val="3"/>
          </w:tcPr>
          <w:p>
            <w:pPr>
              <w:jc w:val="right"/>
              <w:ind w:right="139"/>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720" w:type="dxa"/>
            <w:vAlign w:val="bottom"/>
          </w:tcPr>
          <w:p>
            <w:pPr>
              <w:spacing w:after="0"/>
              <w:rPr>
                <w:sz w:val="17"/>
                <w:szCs w:val="17"/>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Income attributable to Schlumberger,</w:t>
            </w:r>
          </w:p>
        </w:tc>
        <w:tc>
          <w:tcPr>
            <w:tcW w:w="2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Borders>
              <w:left w:val="single" w:sz="8" w:color="auto"/>
            </w:tcBorders>
          </w:tcPr>
          <w:p>
            <w:pPr>
              <w:spacing w:after="0"/>
              <w:rPr>
                <w:sz w:val="16"/>
                <w:szCs w:val="16"/>
                <w:color w:val="auto"/>
              </w:rPr>
            </w:pPr>
          </w:p>
        </w:tc>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excluding Charges &amp; Credits</w:t>
            </w:r>
          </w:p>
        </w:tc>
        <w:tc>
          <w:tcPr>
            <w:tcW w:w="108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$ 4,779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1,062</w:t>
            </w:r>
          </w:p>
        </w:tc>
        <w:tc>
          <w:tcPr>
            <w:tcW w:w="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6</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$ 3,711</w:t>
            </w: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180" w:type="dxa"/>
            <w:vAlign w:val="bottom"/>
            <w:tcBorders>
              <w:left w:val="single" w:sz="8" w:color="auto"/>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480" w:hanging="195"/>
        <w:spacing w:after="0"/>
        <w:tabs>
          <w:tab w:leader="none" w:pos="1480" w:val="left"/>
        </w:tabs>
        <w:numPr>
          <w:ilvl w:val="0"/>
          <w:numId w:val="5"/>
        </w:numPr>
        <w:rPr>
          <w:rFonts w:ascii="Arial" w:cs="Arial" w:eastAsia="Arial" w:hAnsi="Arial"/>
          <w:sz w:val="15"/>
          <w:szCs w:val="15"/>
          <w:color w:val="auto"/>
        </w:rPr>
      </w:pPr>
      <w:r>
        <w:rPr>
          <w:rFonts w:ascii="Arial" w:cs="Arial" w:eastAsia="Arial" w:hAnsi="Arial"/>
          <w:sz w:val="18"/>
          <w:szCs w:val="18"/>
          <w:color w:val="auto"/>
        </w:rPr>
        <w:t>May not add due to rounding</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Diluted earnings per share excluding Charges &amp; Credits and effective tax rate excluding Charges &amp; Credits are non-GAAP financial measures. Schlumberger management believes that the exclusion of Charges &amp; Credits from the foregoing financial measures enables it to evaluate more effectively, Schlumberger’s operations period over period and to identify operating trends that could otherwise be masked by the excluded items. The foregoing non-GAAP financial measures should be considered in addition to, not as a substitute for, or superior to other measures of financial performance prepared in accordance with GAAP.</w:t>
      </w:r>
    </w:p>
    <w:sectPr>
      <w:pgSz w:w="11900" w:h="16838" w:orient="portrait"/>
      <w:cols w:equalWidth="0" w:num="1">
        <w:col w:w="11420"/>
      </w:cols>
      <w:pgMar w:left="240" w:top="9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2019-12-10T03:27:40Z</dcterms:created>
  <dcterms:modified xsi:type="dcterms:W3CDTF">2019-12-10T03:27:40Z</dcterms:modified>
</cp:coreProperties>
</file>