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Palladyne AI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80359A106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80359A106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Schlumberger N.V. (Schlumberger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NETHERLANDS ANTILLES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1,323,293.00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1,323,293.00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1,323,293.00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9760"/>
          </w:cols>
          <w:pgMar w:left="320" w:top="166" w:right="6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Based on 30,112,399 Common Shares outstanding as of September 30, 2024,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on the Form 10-Q submitted by the Issuer to the Securities and Exchange Commission (the "SEC") on November 13, 2024.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80359A106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Schlumberger B.V.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NETHERLANDS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1,323,293.00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1,323,293.00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920"/>
          </w:cols>
          <w:pgMar w:left="320" w:top="166" w:right="6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1,323,293.00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Based on 30,112,399 Common Shares outstanding as of September 30, 2024,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on the Form 10-Q submitted by the Issuer to the SEC on November 13,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80359A106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Schlumberger Holdings Corporation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760"/>
          </w:cols>
          <w:pgMar w:left="320" w:top="111" w:right="819" w:bottom="453"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1,323,293.00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1,323,293.00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1,323,293.00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9600"/>
          </w:cols>
          <w:pgMar w:left="320" w:top="111" w:right="819" w:bottom="453"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Based on 30,112,399 Common Shares outstanding as of September 30, 2024,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on the Form 10-Q submitted by the Issuer to the SEC on November 13, 2024.</w:t>
      </w:r>
    </w:p>
    <w:p>
      <w:pPr>
        <w:sectPr>
          <w:pgSz w:w="11900" w:h="16838" w:orient="portrait"/>
          <w:cols w:equalWidth="0" w:num="1">
            <w:col w:w="10760"/>
          </w:cols>
          <w:pgMar w:left="320" w:top="111" w:right="819" w:bottom="453" w:gutter="0" w:footer="0" w:header="0"/>
          <w:type w:val="continuous"/>
        </w:sectPr>
      </w:pPr>
    </w:p>
    <w:bookmarkStart w:id="3" w:name="page4"/>
    <w:bookmarkEnd w:id="3"/>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80359A106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Schlumberger Technology Corporation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97" w:orient="portrait"/>
          <w:cols w:equalWidth="0" w:num="1">
            <w:col w:w="11100"/>
          </w:cols>
          <w:pgMar w:left="320" w:top="110"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1,323,293.00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1,323,293.00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1,323,293.00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97" w:orient="portrait"/>
          <w:cols w:equalWidth="0" w:num="2">
            <w:col w:w="1100" w:space="60"/>
            <w:col w:w="9940"/>
          </w:cols>
          <w:pgMar w:left="320" w:top="110" w:right="479" w:bottom="0" w:gutter="0" w:footer="0" w:header="0"/>
          <w:type w:val="continuous"/>
        </w:sectPr>
      </w:pPr>
    </w:p>
    <w:p>
      <w:pPr>
        <w:spacing w:after="0" w:line="70"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Based on 30,112,399 Common Shares outstanding as of September 30, 2024,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on the Form 10-Q submitted by the Issuer to the SEC on November 13,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Palladyne AI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650 South 500 West, Suite 150 Salt Lake City, Utah, USA</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Schedule 13G/A is being jointly filed on behalf of the following persons (collectively, the "Reporting Persons"):</w:t>
      </w:r>
    </w:p>
    <w:p>
      <w:pPr>
        <w:spacing w:after="0" w:line="25" w:lineRule="exact"/>
        <w:rPr>
          <w:rFonts w:ascii="Times New Roman" w:cs="Times New Roman" w:eastAsia="Times New Roman" w:hAnsi="Times New Roman"/>
          <w:sz w:val="22"/>
          <w:szCs w:val="22"/>
          <w:color w:val="auto"/>
        </w:rPr>
      </w:pPr>
    </w:p>
    <w:p>
      <w:pPr>
        <w:ind w:left="960" w:right="26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 Schlumberger N.V. (Schlumberger Limited), a corporation formed under the laws of Curacao ("SLB"); (ii) Schlumberger B.V., a corporation formed under the laws of the Netherlands ("SBV"); (iii) Schlumberger Holdings Corporation, a corporation formed under the laws of Delaware, United States ("SHC"); and (iv) Schlumberger</w:t>
      </w:r>
    </w:p>
    <w:p>
      <w:pPr>
        <w:sectPr>
          <w:pgSz w:w="11900" w:h="16897" w:orient="portrait"/>
          <w:cols w:equalWidth="0" w:num="1">
            <w:col w:w="11100"/>
          </w:cols>
          <w:pgMar w:left="320" w:top="110" w:right="479" w:bottom="0" w:gutter="0" w:footer="0" w:header="0"/>
          <w:type w:val="continuous"/>
        </w:sectPr>
      </w:pPr>
    </w:p>
    <w:bookmarkStart w:id="4" w:name="page5"/>
    <w:bookmarkEnd w:id="4"/>
    <w:p>
      <w:pPr>
        <w:ind w:left="920" w:right="420"/>
        <w:spacing w:after="0" w:line="256" w:lineRule="auto"/>
        <w:rPr>
          <w:sz w:val="20"/>
          <w:szCs w:val="20"/>
          <w:color w:val="auto"/>
        </w:rPr>
      </w:pPr>
      <w:r>
        <w:rPr>
          <w:rFonts w:ascii="Times New Roman" w:cs="Times New Roman" w:eastAsia="Times New Roman" w:hAnsi="Times New Roman"/>
          <w:sz w:val="22"/>
          <w:szCs w:val="22"/>
          <w:color w:val="auto"/>
        </w:rPr>
        <w:t>Technology Corporation, a corporation formed under the laws of Texas, United States ("STC"). SLB is the sole stockholder of SBV. SBV is the sole stockholder of SHC. SHC is the sole stockholder of STC.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jc w:val="both"/>
        <w:ind w:left="920" w:right="14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address of SLB for purposes of this Schedule 13G/A is 5599 San Felipe, Houston, Texas 77056. The business address of SBV is Parkstraat 83, 2514 JG, The Hague, Netherlands. The business address of each of SHC and STC is 300 Schlumberger Drive, Sugar Land, Texas 77478.</w:t>
      </w:r>
    </w:p>
    <w:p>
      <w:pPr>
        <w:sectPr>
          <w:pgSz w:w="11900" w:h="16838" w:orient="portrait"/>
          <w:cols w:equalWidth="0" w:num="1">
            <w:col w:w="10960"/>
          </w:cols>
          <w:pgMar w:left="360" w:top="112" w:right="57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information required by Item 3(c) is set forth in Row 4 of the cover pages hereto for each Reporting Person and is incorporated herein by reference for each such Reporting Person.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80359A106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0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4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040"/>
          </w:cols>
          <w:pgMar w:left="360" w:top="112" w:right="579" w:bottom="0" w:gutter="0" w:footer="0" w:header="0"/>
          <w:type w:val="continuous"/>
        </w:sect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6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4(a)-(c) is set forth in Rows 5-11 of the cover pages hereto for each Reporting Person and is incorporated herein by reference for each such Reporting Person.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4(a)-(c) is set forth in Rows 5-11 of the cover pages hereto for each Reporting Person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4(a)-(c) is set forth in Rows 5-11 of the cover pages hereto for each Reporting Person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4(a)-(c) is set forth in Rows 5-11 of the cover pages hereto for each Reporting Person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4(a)-(c) is set forth in Rows 5-11 of the cover pages hereto for each Reporting Person and is incorporated herein by reference for each such Reporting Person.</w:t>
      </w:r>
    </w:p>
    <w:p>
      <w:pPr>
        <w:sectPr>
          <w:pgSz w:w="11900" w:h="16838" w:orient="portrait"/>
          <w:cols w:equalWidth="0" w:num="1">
            <w:col w:w="10960"/>
          </w:cols>
          <w:pgMar w:left="360" w:top="112" w:right="57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Schlumberger N.V. (Schlumberger Limited)</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Samantha Blons</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Assistant Secretary</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Schlumberger B.V.</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Eileen Hardell</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Secretary</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Schlumberger Holdings Corporation</w:t>
      </w:r>
    </w:p>
    <w:p>
      <w:pPr>
        <w:spacing w:after="0" w:line="152"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Ashish Gehi</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Treasurer</w:t>
      </w:r>
    </w:p>
    <w:p>
      <w:pPr>
        <w:spacing w:after="0" w:line="44"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Schlumberger Technology Corporation</w:t>
      </w:r>
    </w:p>
    <w:p>
      <w:pPr>
        <w:spacing w:after="0" w:line="152"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Ashish Gehi</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Treasurer</w:t>
      </w:r>
    </w:p>
    <w:p>
      <w:pPr>
        <w:spacing w:after="0" w:line="44"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sectPr>
      <w:pgSz w:w="11900" w:h="16838" w:orient="portrait"/>
      <w:cols w:equalWidth="0" w:num="1">
        <w:col w:w="11140"/>
      </w:cols>
      <w:pgMar w:left="360" w:top="15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2025-02-12T08:05:12Z</dcterms:created>
  <dcterms:modified xsi:type="dcterms:W3CDTF">2025-02-12T08:05:12Z</dcterms:modified>
</cp:coreProperties>
</file>