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Biguet Stephane</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03/12/2021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1,617</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2"/>
              </w:rPr>
              <w:t>56,685</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03/12/2021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637</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2"/>
              </w:rPr>
              <w:t>56,048</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1,773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17, 2018. Vesting of the PSUs was based on three-year Company performance relative to select key competitors. Most of these competitors had not reported their 2020 audited financial results when the Company's compensation committee met in January 2021 to certify performance under the PSUs. As a result, the Company's compensation committee approved the issuance of 90% of the shares that the committee determined had been earned according to the information available to the committee at the time. As of March 12, 2021, all such competitors had reported their 2020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03/16/2021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273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2021-03-16T08:32:19Z</dcterms:created>
  <dcterms:modified xsi:type="dcterms:W3CDTF">2021-03-16T08:32:19Z</dcterms:modified>
</cp:coreProperties>
</file>