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4034790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12"/>
        <w:spacing w:after="0" w:line="219" w:lineRule="exact"/>
        <w:tabs>
          <w:tab w:leader="none" w:pos="30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9"/>
          <w:szCs w:val="19"/>
          <w:color w:val="auto"/>
          <w:vertAlign w:val="superscript"/>
        </w:rPr>
        <w:t>☐</w:t>
      </w:r>
    </w:p>
    <w:p>
      <w:pPr>
        <w:spacing w:after="0" w:line="179"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1"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22"/>
          <w:szCs w:val="22"/>
          <w:color w:val="auto"/>
          <w:vertAlign w:val="superscript"/>
        </w:rPr>
      </w:pPr>
      <w:r>
        <w:rPr>
          <w:rFonts w:ascii="Arial" w:cs="Arial" w:eastAsia="Arial" w:hAnsi="Arial"/>
          <w:sz w:val="18"/>
          <w:szCs w:val="18"/>
          <w:b w:val="1"/>
          <w:bCs w:val="1"/>
          <w:color w:val="auto"/>
        </w:rPr>
        <w:t>Confidential, for Use of the Commission Only (as permitted by Rule 14a-6(e)(2))</w:t>
      </w:r>
    </w:p>
    <w:p>
      <w:pPr>
        <w:spacing w:after="0" w:line="76" w:lineRule="exact"/>
        <w:rPr>
          <w:rFonts w:ascii="MS PGothic" w:cs="MS PGothic" w:eastAsia="MS PGothic" w:hAnsi="MS PGothic"/>
          <w:sz w:val="22"/>
          <w:szCs w:val="22"/>
          <w:color w:val="auto"/>
          <w:vertAlign w:val="superscript"/>
        </w:rPr>
      </w:pPr>
    </w:p>
    <w:p>
      <w:pPr>
        <w:ind w:left="452" w:hanging="452"/>
        <w:spacing w:after="0" w:line="220" w:lineRule="auto"/>
        <w:tabs>
          <w:tab w:leader="none" w:pos="452" w:val="left"/>
        </w:tabs>
        <w:numPr>
          <w:ilvl w:val="0"/>
          <w:numId w:val="2"/>
        </w:numPr>
        <w:rPr>
          <w:rFonts w:ascii="MS PGothic" w:cs="MS PGothic" w:eastAsia="MS PGothic" w:hAnsi="MS PGothic"/>
          <w:sz w:val="22"/>
          <w:szCs w:val="22"/>
          <w:color w:val="auto"/>
          <w:vertAlign w:val="superscript"/>
        </w:rPr>
      </w:pPr>
      <w:r>
        <w:rPr>
          <w:rFonts w:ascii="Arial" w:cs="Arial" w:eastAsia="Arial" w:hAnsi="Arial"/>
          <w:sz w:val="18"/>
          <w:szCs w:val="18"/>
          <w:color w:val="auto"/>
        </w:rPr>
        <w:t>Definitive Proxy Statement</w:t>
      </w:r>
    </w:p>
    <w:p>
      <w:pPr>
        <w:spacing w:after="0" w:line="75" w:lineRule="exact"/>
        <w:rPr>
          <w:rFonts w:ascii="MS PGothic" w:cs="MS PGothic" w:eastAsia="MS PGothic" w:hAnsi="MS PGothic"/>
          <w:sz w:val="22"/>
          <w:szCs w:val="22"/>
          <w:color w:val="auto"/>
          <w:vertAlign w:val="superscript"/>
        </w:rPr>
      </w:pPr>
    </w:p>
    <w:p>
      <w:pPr>
        <w:ind w:left="452" w:hanging="452"/>
        <w:spacing w:after="0" w:line="220" w:lineRule="auto"/>
        <w:tabs>
          <w:tab w:leader="none" w:pos="452" w:val="left"/>
        </w:tabs>
        <w:numPr>
          <w:ilvl w:val="0"/>
          <w:numId w:val="2"/>
        </w:numPr>
        <w:rPr>
          <w:rFonts w:ascii="MS PGothic" w:cs="MS PGothic" w:eastAsia="MS PGothic" w:hAnsi="MS PGothic"/>
          <w:sz w:val="22"/>
          <w:szCs w:val="22"/>
          <w:color w:val="auto"/>
          <w:vertAlign w:val="superscript"/>
        </w:rPr>
      </w:pPr>
      <w:r>
        <w:rPr>
          <w:rFonts w:ascii="Arial" w:cs="Arial" w:eastAsia="Arial" w:hAnsi="Arial"/>
          <w:sz w:val="18"/>
          <w:szCs w:val="18"/>
          <w:color w:val="auto"/>
        </w:rPr>
        <w:t>Definitive Additional Materials</w:t>
      </w:r>
    </w:p>
    <w:p>
      <w:pPr>
        <w:spacing w:after="0" w:line="75" w:lineRule="exact"/>
        <w:rPr>
          <w:rFonts w:ascii="MS PGothic" w:cs="MS PGothic" w:eastAsia="MS PGothic" w:hAnsi="MS PGothic"/>
          <w:sz w:val="22"/>
          <w:szCs w:val="22"/>
          <w:color w:val="auto"/>
          <w:vertAlign w:val="superscript"/>
        </w:rPr>
      </w:pPr>
    </w:p>
    <w:p>
      <w:pPr>
        <w:ind w:left="452" w:hanging="452"/>
        <w:spacing w:after="0" w:line="220" w:lineRule="auto"/>
        <w:tabs>
          <w:tab w:leader="none" w:pos="452" w:val="left"/>
        </w:tabs>
        <w:numPr>
          <w:ilvl w:val="0"/>
          <w:numId w:val="2"/>
        </w:numPr>
        <w:rPr>
          <w:rFonts w:ascii="MS PGothic" w:cs="MS PGothic" w:eastAsia="MS PGothic" w:hAnsi="MS PGothic"/>
          <w:sz w:val="22"/>
          <w:szCs w:val="22"/>
          <w:color w:val="auto"/>
          <w:vertAlign w:val="superscript"/>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3"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2"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22"/>
          <w:szCs w:val="22"/>
          <w:color w:val="auto"/>
          <w:vertAlign w:val="superscript"/>
        </w:rPr>
      </w:pPr>
      <w:r>
        <w:rPr>
          <w:rFonts w:ascii="Arial" w:cs="Arial" w:eastAsia="Arial" w:hAnsi="Arial"/>
          <w:sz w:val="18"/>
          <w:szCs w:val="18"/>
          <w:color w:val="auto"/>
        </w:rPr>
        <w:t>Fee computed on table below per Exchange Act Rules 14a-6(i)(1) and 0-11.</w:t>
      </w:r>
    </w:p>
    <w:p>
      <w:pPr>
        <w:spacing w:after="0" w:line="142" w:lineRule="exact"/>
        <w:rPr>
          <w:rFonts w:ascii="MS PGothic" w:cs="MS PGothic" w:eastAsia="MS PGothic" w:hAnsi="MS PGothic"/>
          <w:sz w:val="22"/>
          <w:szCs w:val="22"/>
          <w:color w:val="auto"/>
          <w:vertAlign w:val="superscript"/>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22"/>
          <w:szCs w:val="22"/>
          <w:color w:val="auto"/>
          <w:vertAlign w:val="superscript"/>
        </w:rPr>
      </w:pPr>
      <w:r>
        <w:rPr>
          <w:rFonts w:ascii="Arial" w:cs="Arial" w:eastAsia="Arial" w:hAnsi="Arial"/>
          <w:sz w:val="18"/>
          <w:szCs w:val="18"/>
          <w:color w:val="auto"/>
        </w:rPr>
        <w:t>Fee paid previously with preliminary materials.</w:t>
      </w:r>
    </w:p>
    <w:p>
      <w:pPr>
        <w:spacing w:after="0" w:line="142" w:lineRule="exact"/>
        <w:rPr>
          <w:rFonts w:ascii="MS PGothic" w:cs="MS PGothic" w:eastAsia="MS PGothic" w:hAnsi="MS PGothic"/>
          <w:sz w:val="22"/>
          <w:szCs w:val="22"/>
          <w:color w:val="auto"/>
          <w:vertAlign w:val="superscript"/>
        </w:rPr>
      </w:pPr>
    </w:p>
    <w:p>
      <w:pPr>
        <w:ind w:left="452" w:right="680" w:hanging="452"/>
        <w:spacing w:after="0" w:line="272" w:lineRule="auto"/>
        <w:tabs>
          <w:tab w:leader="none" w:pos="452" w:val="left"/>
        </w:tabs>
        <w:numPr>
          <w:ilvl w:val="0"/>
          <w:numId w:val="4"/>
        </w:numPr>
        <w:rPr>
          <w:rFonts w:ascii="MS PGothic" w:cs="MS PGothic" w:eastAsia="MS PGothic" w:hAnsi="MS PGothic"/>
          <w:sz w:val="21"/>
          <w:szCs w:val="21"/>
          <w:color w:val="auto"/>
          <w:vertAlign w:val="superscript"/>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3" w:lineRule="exact"/>
        <w:rPr>
          <w:rFonts w:ascii="MS PGothic" w:cs="MS PGothic" w:eastAsia="MS PGothic" w:hAnsi="MS PGothic"/>
          <w:sz w:val="21"/>
          <w:szCs w:val="21"/>
          <w:color w:val="auto"/>
          <w:vertAlign w:val="superscript"/>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-4130675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-3693160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-3118485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-2680970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-2243455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-1111885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-674370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200025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92"/>
          </w:cols>
          <w:pgMar w:left="248" w:top="219" w:right="259" w:bottom="1107"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ind w:left="20"/>
        <w:spacing w:after="0" w:line="226" w:lineRule="auto"/>
        <w:rPr>
          <w:sz w:val="20"/>
          <w:szCs w:val="20"/>
          <w:color w:val="auto"/>
        </w:rPr>
      </w:pPr>
      <w:r>
        <w:rPr>
          <w:rFonts w:ascii="Arial" w:cs="Arial" w:eastAsia="Arial" w:hAnsi="Arial"/>
          <w:sz w:val="18"/>
          <w:szCs w:val="18"/>
          <w:color w:val="auto"/>
        </w:rPr>
        <w:t>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10022-4624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12, 2006</w:t>
      </w:r>
    </w:p>
    <w:p>
      <w:pPr>
        <w:spacing w:after="0" w:line="151" w:lineRule="exact"/>
        <w:rPr>
          <w:sz w:val="20"/>
          <w:szCs w:val="20"/>
          <w:color w:val="auto"/>
        </w:rPr>
      </w:pPr>
    </w:p>
    <w:p>
      <w:pPr>
        <w:ind w:left="10300"/>
        <w:spacing w:after="0"/>
        <w:tabs>
          <w:tab w:leader="none" w:pos="10960" w:val="left"/>
        </w:tabs>
        <w:rPr>
          <w:sz w:val="20"/>
          <w:szCs w:val="20"/>
          <w:color w:val="auto"/>
        </w:rPr>
      </w:pPr>
      <w:r>
        <w:rPr>
          <w:rFonts w:ascii="Arial" w:cs="Arial" w:eastAsia="Arial" w:hAnsi="Arial"/>
          <w:sz w:val="15"/>
          <w:szCs w:val="15"/>
          <w:color w:val="auto"/>
        </w:rPr>
        <w:t>March</w:t>
        <w:tab/>
        <w:t>, 2006</w:t>
      </w:r>
    </w:p>
    <w:p>
      <w:pPr>
        <w:spacing w:after="0" w:line="192" w:lineRule="exact"/>
        <w:rPr>
          <w:sz w:val="20"/>
          <w:szCs w:val="20"/>
          <w:color w:val="auto"/>
        </w:rPr>
      </w:pPr>
    </w:p>
    <w:p>
      <w:pPr>
        <w:ind w:right="3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Curaçao Marriott Beach Resort, Piscadera Bay, Willemstad, Curaçao, Netherlands Antilles, on Wednesday, April 12, 2006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12 directors.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2005, to approve the Company’s Consolidated Balance Sheet as at December 31, 2005, its Consolidated Statement of Income for the year ended December 31, 2005, and the declaration of dividends by the Board of Directors as reflected in the Company’s 2005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adopt an amendment to the Company’s Articles of Incorporation to increase authorized common share capital.</w:t>
      </w:r>
    </w:p>
    <w:p>
      <w:pPr>
        <w:spacing w:after="0" w:line="76"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and Restatement of the Schlumberger 2005 Stock Option Plan to authorize limited grants of restricted stock and restricted stock units.</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close of business on March 1, 2006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ind w:left="260" w:right="2040"/>
        <w:spacing w:after="0" w:line="301" w:lineRule="auto"/>
        <w:rPr>
          <w:sz w:val="20"/>
          <w:szCs w:val="20"/>
          <w:color w:val="auto"/>
        </w:rPr>
      </w:pPr>
      <w:r>
        <w:rPr>
          <w:rFonts w:ascii="Arial" w:cs="Arial" w:eastAsia="Arial" w:hAnsi="Arial"/>
          <w:sz w:val="16"/>
          <w:szCs w:val="16"/>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3 and 4 without your instructions.</w:t>
      </w:r>
    </w:p>
    <w:p>
      <w:pPr>
        <w:sectPr>
          <w:pgSz w:w="11900" w:h="16838" w:orient="portrait"/>
          <w:cols w:equalWidth="0" w:num="1">
            <w:col w:w="11420"/>
          </w:cols>
          <w:pgMar w:left="240" w:top="8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both"/>
        <w:ind w:left="10300"/>
        <w:spacing w:after="0"/>
        <w:tabs>
          <w:tab w:leader="none" w:pos="10960" w:val="left"/>
        </w:tabs>
        <w:rPr>
          <w:sz w:val="20"/>
          <w:szCs w:val="20"/>
          <w:color w:val="auto"/>
        </w:rPr>
      </w:pPr>
      <w:r>
        <w:rPr>
          <w:rFonts w:ascii="Arial" w:cs="Arial" w:eastAsia="Arial" w:hAnsi="Arial"/>
          <w:sz w:val="18"/>
          <w:szCs w:val="18"/>
          <w:color w:val="auto"/>
        </w:rPr>
        <w:t>March</w:t>
        <w:tab/>
        <w:t>,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2006 Annual General Meeting of Stockholders. The approximate mailing date of this proxy statement is March , 2006.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2005 Annual Report to Stockholders is included in this package as a separate document. The Company’s Consolidated Balance Sheet as at December 31, 2005, its Consolidated Statement of Income for the year ended December 31, 2005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 and Voting Procedures</w:t>
      </w:r>
    </w:p>
    <w:p>
      <w:pPr>
        <w:spacing w:after="0" w:line="83"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 xml:space="preserve">Each stockholder of record at the close of business on March 1, 2006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owners. On</w:t>
      </w:r>
    </w:p>
    <w:p>
      <w:pPr>
        <w:spacing w:after="0" w:line="1" w:lineRule="exact"/>
        <w:rPr>
          <w:sz w:val="20"/>
          <w:szCs w:val="20"/>
          <w:color w:val="auto"/>
        </w:rPr>
      </w:pPr>
    </w:p>
    <w:p>
      <w:pPr>
        <w:spacing w:after="0"/>
        <w:tabs>
          <w:tab w:leader="none" w:pos="2460" w:val="left"/>
          <w:tab w:leader="none" w:pos="7620" w:val="left"/>
        </w:tabs>
        <w:rPr>
          <w:sz w:val="20"/>
          <w:szCs w:val="20"/>
          <w:color w:val="auto"/>
        </w:rPr>
      </w:pPr>
      <w:r>
        <w:rPr>
          <w:rFonts w:ascii="Arial" w:cs="Arial" w:eastAsia="Arial" w:hAnsi="Arial"/>
          <w:sz w:val="18"/>
          <w:szCs w:val="18"/>
          <w:color w:val="auto"/>
        </w:rPr>
        <w:t>March 1, 2006, there were</w:t>
      </w:r>
      <w:r>
        <w:rPr>
          <w:sz w:val="20"/>
          <w:szCs w:val="20"/>
          <w:color w:val="auto"/>
        </w:rPr>
        <w:tab/>
      </w:r>
      <w:r>
        <w:rPr>
          <w:rFonts w:ascii="Arial" w:cs="Arial" w:eastAsia="Arial" w:hAnsi="Arial"/>
          <w:sz w:val="18"/>
          <w:szCs w:val="18"/>
          <w:color w:val="auto"/>
        </w:rPr>
        <w:t>outstanding shares of common stock of Schlumberger, excluding</w:t>
      </w:r>
      <w:r>
        <w:rPr>
          <w:sz w:val="20"/>
          <w:szCs w:val="20"/>
          <w:color w:val="auto"/>
        </w:rPr>
        <w:tab/>
      </w:r>
      <w:r>
        <w:rPr>
          <w:rFonts w:ascii="Arial" w:cs="Arial" w:eastAsia="Arial" w:hAnsi="Arial"/>
          <w:sz w:val="15"/>
          <w:szCs w:val="15"/>
          <w:color w:val="auto"/>
        </w:rPr>
        <w:t>shares held in treasury.</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 xml:space="preserve">Fifty percent of the outstanding shares, exclusive of shares held in treasury, must be present in person or by proxy to constitute a quorum for the taking of any action at the meeting. Abstentions and broker non-votes are counted for determining the presence of a quorum. Broker non-votes occur when brokers who hold their customers shares submit proxies and vote on “routine” items, which include election of directors and Items 2 and 5. Brokers cannot vote on Items 3 and 4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If a quorum is not present at the meeting, the Board may call a second General Meeting at which the quorum requirement will not apply.</w:t>
      </w:r>
    </w:p>
    <w:p>
      <w:pPr>
        <w:spacing w:after="0" w:line="2"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Computershare and participants who hold shares in the Schlumberger Discounted Stock Purchase Plan (“DSPP”) may authorize a proxy by:</w:t>
      </w:r>
    </w:p>
    <w:p>
      <w:pPr>
        <w:spacing w:after="0" w:line="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http://www.eproxyvote.com/slb;</w:t>
      </w:r>
    </w:p>
    <w:p>
      <w:pPr>
        <w:spacing w:after="0" w:line="29" w:lineRule="exact"/>
        <w:rPr>
          <w:rFonts w:ascii="Arial" w:cs="Arial" w:eastAsia="Arial" w:hAnsi="Arial"/>
          <w:sz w:val="18"/>
          <w:szCs w:val="18"/>
          <w:color w:val="auto"/>
        </w:rPr>
      </w:pPr>
    </w:p>
    <w:p>
      <w:pPr>
        <w:ind w:left="780" w:right="260" w:hanging="326"/>
        <w:spacing w:after="0" w:line="25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Telephonically in the United States by calling toll-free 1-877-779-8683 or outside the United States by calling collect on a touch tone phone, 1-201-536-8073; or</w:t>
      </w: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30"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11, 2006. The internet and telephone voting procedures have been designed to authenticate stockholders and to allow you to vote your shares and to confirm that your instructions have been properly recorded.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both"/>
        <w:ind w:right="26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It is intended to fix the number of directors at 12 and to elect a Board of Directors of 12 members, each to hold office until the next Annual General Meeting of Stockholders and until a director’s successor is elected and qualified or until a director’s death, resignation or removal. Each of the nominees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ind w:left="24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9"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ind w:left="240"/>
              <w:spacing w:after="0"/>
              <w:rPr>
                <w:sz w:val="20"/>
                <w:szCs w:val="20"/>
                <w:color w:val="auto"/>
              </w:rPr>
            </w:pPr>
            <w:r>
              <w:rPr>
                <w:rFonts w:ascii="Arial" w:cs="Arial" w:eastAsia="Arial" w:hAnsi="Arial"/>
                <w:sz w:val="18"/>
                <w:szCs w:val="18"/>
                <w:b w:val="1"/>
                <w:bCs w:val="1"/>
                <w:color w:val="344274"/>
                <w:w w:val="79"/>
              </w:rPr>
              <w:t>Since</w:t>
            </w:r>
          </w:p>
        </w:tc>
      </w:tr>
      <w:tr>
        <w:trPr>
          <w:trHeight w:val="110"/>
        </w:trPr>
        <w:tc>
          <w:tcPr>
            <w:tcW w:w="4960" w:type="dxa"/>
            <w:vAlign w:val="bottom"/>
            <w:tcBorders>
              <w:bottom w:val="single" w:sz="8" w:color="auto"/>
            </w:tcBorders>
          </w:tcPr>
          <w:p>
            <w:pPr>
              <w:spacing w:after="0"/>
              <w:rPr>
                <w:sz w:val="9"/>
                <w:szCs w:val="9"/>
                <w:color w:val="auto"/>
              </w:rPr>
            </w:pPr>
          </w:p>
        </w:tc>
        <w:tc>
          <w:tcPr>
            <w:tcW w:w="58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rPr>
              <w:t>JOHN DEUTCH, 67; Institute Professor, Massachusetts Institute of Technology, Cambridge, Massachusetts. (1)</w:t>
            </w:r>
          </w:p>
        </w:tc>
        <w:tc>
          <w:tcPr>
            <w:tcW w:w="640" w:type="dxa"/>
            <w:vAlign w:val="bottom"/>
          </w:tcPr>
          <w:p>
            <w:pPr>
              <w:spacing w:after="0"/>
              <w:rPr>
                <w:sz w:val="24"/>
                <w:szCs w:val="24"/>
                <w:color w:val="auto"/>
              </w:rPr>
            </w:pPr>
          </w:p>
        </w:tc>
      </w:tr>
      <w:tr>
        <w:trPr>
          <w:trHeight w:val="358"/>
        </w:trPr>
        <w:tc>
          <w:tcPr>
            <w:tcW w:w="49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1997</w:t>
            </w:r>
          </w:p>
        </w:tc>
      </w:tr>
      <w:tr>
        <w:trPr>
          <w:trHeight w:val="216"/>
        </w:trPr>
        <w:tc>
          <w:tcPr>
            <w:tcW w:w="49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22"/>
        </w:trPr>
        <w:tc>
          <w:tcPr>
            <w:tcW w:w="49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rPr>
              <w:t>JAMIE S. GORELICK, 55; Partner, Wilmer Cutler Pickering Hale and Dorr LLP, an international law firm, since July 2003, Vice Chair of</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Fannie Mae, financing of U.S. home mortgages, from May 1997 to July 2003, Washington, D.C. (2)</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ANDREW GOULD, 59; Chairman and Chief Executive Officer since February 2003, President and Chief Operating Officer, March 2002 to</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February 2003, Executive Vice President Oilfield Services from January 1999 to March 2002. (3)</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TONY ISAAC, 64; Chief Executive, The BOC Group plc, an international group with three business segments consisting of Gases and Related</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Products, Vacuum Technology and Supply Chain Solutions, since September 1999, Surrey, U.K. (4)</w:t>
            </w:r>
          </w:p>
        </w:tc>
        <w:tc>
          <w:tcPr>
            <w:tcW w:w="6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ADRIAN LAJOUS, 62; Senior Energy Advisor, McKinsey &amp; Company, Houston, Texas, and President of Petrométrica, an energy consulting</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company, since January 2001, Mexico City. (5)</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ANDRE LEVY-LANG, 68; Independent Investor since November 1999; Chairman of the Executive Board of Paribas, an international banking</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group, May 1998 to August 1999, Paris. (6)</w:t>
            </w:r>
          </w:p>
        </w:tc>
        <w:tc>
          <w:tcPr>
            <w:tcW w:w="64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9"/>
              </w:rPr>
              <w:t>MICHAEL E. MARKS, 55; Member of Kohlberg Kravis Roberts &amp; Co., a private equity firm in Menlo Park, CA, since January 2006; Chief</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20"/>
              <w:spacing w:after="0"/>
              <w:rPr>
                <w:sz w:val="20"/>
                <w:szCs w:val="20"/>
                <w:color w:val="auto"/>
              </w:rPr>
            </w:pPr>
            <w:r>
              <w:rPr>
                <w:rFonts w:ascii="Arial" w:cs="Arial" w:eastAsia="Arial" w:hAnsi="Arial"/>
                <w:sz w:val="18"/>
                <w:szCs w:val="18"/>
                <w:color w:val="auto"/>
                <w:w w:val="98"/>
              </w:rPr>
              <w:t>Executive Officer of Flextronics, an electronics manufacturing services company in Singapore, from January 1994 to January 2006 and</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since January 2006 and from July 1993 to January 2003. (7)</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365"/>
        </w:trPr>
        <w:tc>
          <w:tcPr>
            <w:tcW w:w="1078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rPr>
              <w:t>Since</w:t>
            </w:r>
          </w:p>
        </w:tc>
      </w:tr>
      <w:tr>
        <w:trPr>
          <w:trHeight w:val="110"/>
        </w:trPr>
        <w:tc>
          <w:tcPr>
            <w:tcW w:w="4740" w:type="dxa"/>
            <w:vAlign w:val="bottom"/>
            <w:tcBorders>
              <w:bottom w:val="single" w:sz="8" w:color="auto"/>
            </w:tcBorders>
          </w:tcPr>
          <w:p>
            <w:pPr>
              <w:spacing w:after="0"/>
              <w:rPr>
                <w:sz w:val="9"/>
                <w:szCs w:val="9"/>
                <w:color w:val="auto"/>
              </w:rPr>
            </w:pPr>
          </w:p>
        </w:tc>
        <w:tc>
          <w:tcPr>
            <w:tcW w:w="60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4"/>
        </w:trPr>
        <w:tc>
          <w:tcPr>
            <w:tcW w:w="10780" w:type="dxa"/>
            <w:vAlign w:val="bottom"/>
            <w:gridSpan w:val="2"/>
          </w:tcPr>
          <w:p>
            <w:pPr>
              <w:spacing w:after="0"/>
              <w:rPr>
                <w:sz w:val="20"/>
                <w:szCs w:val="20"/>
                <w:color w:val="auto"/>
              </w:rPr>
            </w:pPr>
            <w:r>
              <w:rPr>
                <w:rFonts w:ascii="Arial" w:cs="Arial" w:eastAsia="Arial" w:hAnsi="Arial"/>
                <w:sz w:val="18"/>
                <w:szCs w:val="18"/>
                <w:color w:val="auto"/>
              </w:rPr>
              <w:t>DIDIER PRIMAT, 61; President, Primwest Holding N.V., an investment management company, Curaçao, N.A. (7)</w:t>
            </w:r>
          </w:p>
        </w:tc>
        <w:tc>
          <w:tcPr>
            <w:tcW w:w="64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7"/>
              </w:rPr>
              <w:t>TORE I. SANDVOLD, 58; Chairman, Sandvold Energy AS, an advisory company in the energy business, since September 2002, Chairman</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of the Board of Petoro AS, a Norwegian state-owned oil company, from May 2001 to September 2002, Director General, Norwegian</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Ministry of Oil &amp; Energy from 1990 to May 2001, Oslo, Norway. (8)</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NICOLAS SEYDOUX, 66; Chairman, Gaumont, a French filmmaking enterprise, Paris. (7) (9)</w:t>
            </w:r>
          </w:p>
        </w:tc>
        <w:tc>
          <w:tcPr>
            <w:tcW w:w="640" w:type="dxa"/>
            <w:vAlign w:val="bottom"/>
          </w:tcPr>
          <w:p>
            <w:pPr>
              <w:jc w:val="right"/>
              <w:spacing w:after="0"/>
              <w:rPr>
                <w:sz w:val="20"/>
                <w:szCs w:val="20"/>
                <w:color w:val="auto"/>
              </w:rPr>
            </w:pPr>
            <w:r>
              <w:rPr>
                <w:rFonts w:ascii="Arial" w:cs="Arial" w:eastAsia="Arial" w:hAnsi="Arial"/>
                <w:sz w:val="18"/>
                <w:szCs w:val="18"/>
                <w:color w:val="auto"/>
              </w:rPr>
              <w:t>1982</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LINDA GILLESPIE STUNTZ, 51; Partner, Stuntz, Davis &amp; Staffier P.C., a law firm, Washington, D.C. (10)</w:t>
            </w:r>
          </w:p>
        </w:tc>
        <w:tc>
          <w:tcPr>
            <w:tcW w:w="64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RANA TALWAR, 57; Chairman, Sabre Capital Worldwide Inc., Tortola, BVI, a private equity and management firm focused on investing in</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20"/>
              <w:spacing w:after="0"/>
              <w:rPr>
                <w:sz w:val="20"/>
                <w:szCs w:val="20"/>
                <w:color w:val="auto"/>
              </w:rPr>
            </w:pPr>
            <w:r>
              <w:rPr>
                <w:rFonts w:ascii="Arial" w:cs="Arial" w:eastAsia="Arial" w:hAnsi="Arial"/>
                <w:sz w:val="18"/>
                <w:szCs w:val="18"/>
                <w:color w:val="auto"/>
                <w:w w:val="97"/>
              </w:rPr>
              <w:t>financial institutions in emerging markets with an emphasis on Asia, since December 2002; Group Chief Executive, Standard Chartered</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PLC, a global bank in London, from June 1997 to December 2001. (11)</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20" w:hanging="332"/>
        <w:spacing w:after="0" w:line="23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Deutch is a director of Citigroup, a banking and insurance organization, where he serves on its Audit, Public Affairs and Governance and Nominating Committees; Cummins Inc., a manufacturer of diesel engines and components, where he serves on its Technology and Finance Committees; and Raytheon Corporation, a defense technology company, where he serves on its Governance and Nominating and Public Affairs Committees. Mr. Deutch’s adult son, Paul Deutch, was previously employed by a unit of Schlumberger until June 2005. The prior employment of Mr. Deutch’s son was not influenced by John Deutch’s position as a director of Schlumberger.</w:t>
      </w:r>
    </w:p>
    <w:p>
      <w:pPr>
        <w:spacing w:after="0" w:line="44" w:lineRule="exact"/>
        <w:rPr>
          <w:rFonts w:ascii="Arial" w:cs="Arial" w:eastAsia="Arial" w:hAnsi="Arial"/>
          <w:sz w:val="14"/>
          <w:szCs w:val="14"/>
          <w:color w:val="auto"/>
        </w:rPr>
      </w:pPr>
    </w:p>
    <w:p>
      <w:pPr>
        <w:ind w:left="34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Finance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Chairman of its Audit Committee and a member of its Remuneration Committee.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Isaac is a director of International Power plc and is Chairman of its Audit Committee and serves on its Remuneration and Appointments Committees.</w:t>
      </w:r>
    </w:p>
    <w:p>
      <w:pPr>
        <w:spacing w:after="0" w:line="55" w:lineRule="exact"/>
        <w:rPr>
          <w:rFonts w:ascii="Arial" w:cs="Arial" w:eastAsia="Arial" w:hAnsi="Arial"/>
          <w:sz w:val="14"/>
          <w:szCs w:val="14"/>
          <w:color w:val="auto"/>
        </w:rPr>
      </w:pPr>
    </w:p>
    <w:p>
      <w:pPr>
        <w:ind w:left="340" w:right="6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Lajous is a director of Ternium, S.A., a flat and long steel producer, headquartered in Luxembourg and a member of its Audit Committee; and Chairman of Oxford Institute for Energy Studies, Oxford, U.K.</w:t>
      </w:r>
    </w:p>
    <w:p>
      <w:pPr>
        <w:spacing w:after="0" w:line="43" w:lineRule="exact"/>
        <w:rPr>
          <w:rFonts w:ascii="Arial" w:cs="Arial" w:eastAsia="Arial" w:hAnsi="Arial"/>
          <w:sz w:val="14"/>
          <w:szCs w:val="14"/>
          <w:color w:val="auto"/>
        </w:rPr>
      </w:pPr>
    </w:p>
    <w:p>
      <w:pPr>
        <w:ind w:left="340" w:right="6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Lévy-Lang is a director and member of the Compensation Committee of AGF, a French insurance company, a director and member of the Audit and Compensation Committees of SCOR, a French reinsurance company, a director and member of the Nominating Committee of Dexia, a Belgian financial services company, and a director of Paris-Orleans, a holding company for the Rothschild Group of Companies.</w:t>
      </w:r>
    </w:p>
    <w:p>
      <w:pPr>
        <w:spacing w:after="0" w:line="44" w:lineRule="exact"/>
        <w:rPr>
          <w:rFonts w:ascii="Arial" w:cs="Arial" w:eastAsia="Arial" w:hAnsi="Arial"/>
          <w:sz w:val="14"/>
          <w:szCs w:val="14"/>
          <w:color w:val="auto"/>
        </w:rPr>
      </w:pPr>
    </w:p>
    <w:p>
      <w:pPr>
        <w:ind w:left="340" w:right="10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Nominating and Governance Committees,; a director of KLA Tencor, a semiconductor fabrication equipment company headquartered in California, where he serves on its Compensation Committee; and a director of Crocs, Inc., a specialty shoe manufacturer.</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Seydoux is a director of Arte, a Franco-German TV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Mrs. Stuntz is a director of Raytheon Company, a defense technology company, where she serves on its Audit Committee.</w:t>
      </w:r>
    </w:p>
    <w:p>
      <w:pPr>
        <w:spacing w:after="0" w:line="55" w:lineRule="exact"/>
        <w:rPr>
          <w:rFonts w:ascii="Arial" w:cs="Arial" w:eastAsia="Arial" w:hAnsi="Arial"/>
          <w:sz w:val="14"/>
          <w:szCs w:val="14"/>
          <w:color w:val="auto"/>
        </w:rPr>
      </w:pPr>
    </w:p>
    <w:p>
      <w:pPr>
        <w:ind w:left="340" w:right="160" w:hanging="332"/>
        <w:spacing w:after="0" w:line="23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Talwar is a director of Pearson PLC, an international media company in London, and a member of its Personnel, Nominating and Treasury Committees; a director of Fortis, an integrated financial services provider in Belgium and the Netherlands, and a member of its Risk and Capital Committees; Chairman of Centurion Bank, India, and a member of its Executive and Nominating Committees; a member of the Governing Body of the Indian School of Business; a director of the National Society for the Prevention of Cruelty to Children in the U.K.; and a member of the Strategy Board in the U.K. Department of Trade and Industry.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74"/>
        </w:trPr>
        <w:tc>
          <w:tcPr>
            <w:tcW w:w="87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7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Research and Management Company (1)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59,646,400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South Hope Street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8720" w:type="dxa"/>
            <w:vAlign w:val="bottom"/>
            <w:gridSpan w:val="3"/>
          </w:tcPr>
          <w:p>
            <w:pPr>
              <w:spacing w:after="0"/>
              <w:rPr>
                <w:sz w:val="20"/>
                <w:szCs w:val="20"/>
                <w:color w:val="auto"/>
              </w:rPr>
            </w:pPr>
            <w:r>
              <w:rPr>
                <w:rFonts w:ascii="Arial" w:cs="Arial" w:eastAsia="Arial" w:hAnsi="Arial"/>
                <w:sz w:val="18"/>
                <w:szCs w:val="18"/>
                <w:color w:val="auto"/>
              </w:rPr>
              <w:t>FMR Corp. (2)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54,402,098</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Arial" w:cs="Arial" w:eastAsia="Arial" w:hAnsi="Arial"/>
                <w:sz w:val="18"/>
                <w:szCs w:val="18"/>
                <w:color w:val="auto"/>
              </w:rPr>
              <w:t>85 Devonshire Street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3"/>
          </w:tcPr>
          <w:p>
            <w:pPr>
              <w:spacing w:after="0"/>
              <w:rPr>
                <w:sz w:val="20"/>
                <w:szCs w:val="20"/>
                <w:color w:val="auto"/>
              </w:rPr>
            </w:pPr>
            <w:r>
              <w:rPr>
                <w:rFonts w:ascii="Arial" w:cs="Arial" w:eastAsia="Arial" w:hAnsi="Arial"/>
                <w:sz w:val="18"/>
                <w:szCs w:val="18"/>
                <w:color w:val="auto"/>
              </w:rPr>
              <w:t>Boston, Massachusetts 02109</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4" w:lineRule="exact"/>
        <w:rPr>
          <w:sz w:val="20"/>
          <w:szCs w:val="20"/>
          <w:color w:val="auto"/>
        </w:rPr>
      </w:pPr>
    </w:p>
    <w:p>
      <w:pPr>
        <w:jc w:val="both"/>
        <w:ind w:left="340" w:right="180" w:hanging="332"/>
        <w:spacing w:after="0" w:line="28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an amendment to a Statement on Schedule 13G dated February 7, 2006. Such filing indicates that Capital Research and Management Company acts as investment adviser to various investment companies registered under Section 8 of the Investment Company Act of 1940 has sole voting power with respect to 15,473,400 shares and sole despositive power with respect to 59,646,400 shares. The filing indicates that the common stock was acquired in the ordinary course of business and not for the purpose of changing or influencing the control of the Company.</w:t>
      </w:r>
    </w:p>
    <w:p>
      <w:pPr>
        <w:spacing w:after="0" w:line="16" w:lineRule="exact"/>
        <w:rPr>
          <w:rFonts w:ascii="Arial" w:cs="Arial" w:eastAsia="Arial" w:hAnsi="Arial"/>
          <w:sz w:val="12"/>
          <w:szCs w:val="12"/>
          <w:color w:val="auto"/>
        </w:rPr>
      </w:pPr>
    </w:p>
    <w:p>
      <w:pPr>
        <w:ind w:left="340" w:right="100" w:hanging="332"/>
        <w:spacing w:after="0" w:line="28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an amendment to a Statement on Schedule 13G dated February 14, 2006. Such filing indicates that FMR Corp. has sole voting power with respect to 3,083,752 shares and sole dispositive power with respect to 54,402,098 shares. FMR Corp. is the parent of Fidelity Management &amp; Research Company, investment adviser to the Fidelity group of investment companies. The filing indicates that the common stock was acquired in the ordinary course of business and not for the purpose of changing or influencing the control of the Company.</w:t>
      </w:r>
    </w:p>
    <w:p>
      <w:pPr>
        <w:spacing w:after="0" w:line="10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February 2, 2006 by all directors and nominees, by each of the named executive officers, and by the directors, director nominees and executive officers as a group. Except as footnoted, each individual has sole voting and investment power over the shares listed by that individual’s name. As of February 2, 2006, no nominee for director owned more than 1% of the outstanding shares of the Company’s common stock, except Mr. Primat who owned 2.7%. All directors, director nominees and executive officers as a group owned 3.2% of the outstanding shares of the Company at February 2, 2006.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gridSpan w:val="4"/>
          </w:tcPr>
          <w:p>
            <w:pPr>
              <w:ind w:left="860"/>
              <w:spacing w:after="0"/>
              <w:rPr>
                <w:sz w:val="20"/>
                <w:szCs w:val="20"/>
                <w:color w:val="auto"/>
              </w:rPr>
            </w:pPr>
            <w:r>
              <w:rPr>
                <w:rFonts w:ascii="Arial" w:cs="Arial" w:eastAsia="Arial" w:hAnsi="Arial"/>
                <w:sz w:val="18"/>
                <w:szCs w:val="18"/>
                <w:b w:val="1"/>
                <w:bCs w:val="1"/>
                <w:color w:val="auto"/>
              </w:rPr>
              <w:t>Name</w:t>
            </w:r>
          </w:p>
        </w:tc>
        <w:tc>
          <w:tcPr>
            <w:tcW w:w="16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Dalton Boutte</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212,703</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John Deutch</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7,600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Andrew Gould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1,212,350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Isaac</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Adrian Lajous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5,890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André Lévy-Lang</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Michael E. Marks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Satish Pai</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122,350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Jean-Marc Perraud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199,232</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Didier Primat</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16,162,628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222,457</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Nicolas Seydoux</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241,660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10,800</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Rana Talwar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(24 persons)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19,228,671</w:t>
            </w: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Includes 206,869 shares which may be acquired by Mr. Boutte within 60 days through the exercise of stock options.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ind w:left="340" w:right="20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600 shares owned by Mr. Deutch’s wife, as to which he disclaims beneficial ownership, and excludes 500 shares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2,500 shares which she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1,112,350 shares which may be acquired by Mr. Gould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2,500 shares which 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118,945 shares which may be exercised by Mr. Pai within 60 days by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166,475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560,000 shares as to which Mr. Primat shares investment power and 3,999,008 shares held for account of the minor children of Mr. Primat as to which he has joint voting and investment power.</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204,673 shares which may be acquired by Mr. Sbiti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15,364 shares owned by Mr. Seydoux’s wife, as to which he has no voting and investment power.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3,000 shares as to which Mrs. Stuntz shares voting power and 300 shares owned by a minor child in a trust for which Mrs. Stuntz serves as trustee.</w:t>
      </w:r>
    </w:p>
    <w:p>
      <w:pPr>
        <w:spacing w:after="0" w:line="55"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2,509,721 shares which may be acquired by executive officers as a group within 60 days through the exercise of stock options and excludes 5,500 shares for which directors deferred receipt under the Stock and Deferral Plan for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 (a) Beneficial Ownership Reporting Compliance</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2005 all of its officers and directors filed on a timely basis the reports required to be filed under Section 16 (a) of the Securities Exchange Act of 1934, except for a late Form 4 filing by Adrian Lajous to report a purchase of 590 shares by a limited liability company in which he has an indirect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Compensation</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on committees of the Board. The following table provides information on Schlumberger’s compensation and reimbursement practices for non-employee directors.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40,000</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Additional fee for committee membership</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auto"/>
                <w:w w:val="89"/>
              </w:rPr>
              <w:t>10,000 per committee</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fee for committee chair (in lieu of committee membership fee)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9"/>
              </w:rPr>
              <w:t>20,000 per committee</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2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4,000 shares</w:t>
            </w:r>
            <w:r>
              <w:rPr>
                <w:rFonts w:ascii="Arial" w:cs="Arial" w:eastAsia="Arial" w:hAnsi="Arial"/>
                <w:sz w:val="11"/>
                <w:szCs w:val="11"/>
                <w:color w:val="auto"/>
              </w:rPr>
              <w:t>(1)</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Reimbursement of expenses attendant to Board membership</w:t>
            </w:r>
          </w:p>
        </w:tc>
        <w:tc>
          <w:tcPr>
            <w:tcW w:w="2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Yes</w:t>
            </w:r>
          </w:p>
        </w:tc>
      </w:tr>
      <w:tr>
        <w:trPr>
          <w:trHeight w:val="108"/>
        </w:trPr>
        <w:tc>
          <w:tcPr>
            <w:tcW w:w="1760" w:type="dxa"/>
            <w:vAlign w:val="bottom"/>
            <w:tcBorders>
              <w:bottom w:val="single" w:sz="8" w:color="auto"/>
            </w:tcBorders>
          </w:tcPr>
          <w:p>
            <w:pPr>
              <w:spacing w:after="0"/>
              <w:rPr>
                <w:sz w:val="9"/>
                <w:szCs w:val="9"/>
                <w:color w:val="auto"/>
              </w:rPr>
            </w:pPr>
          </w:p>
        </w:tc>
        <w:tc>
          <w:tcPr>
            <w:tcW w:w="56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720" w:type="dxa"/>
            <w:vAlign w:val="bottom"/>
          </w:tcPr>
          <w:p>
            <w:pPr>
              <w:spacing w:after="0"/>
              <w:rPr>
                <w:sz w:val="9"/>
                <w:szCs w:val="9"/>
                <w:color w:val="auto"/>
              </w:rPr>
            </w:pPr>
          </w:p>
        </w:tc>
      </w:tr>
    </w:tbl>
    <w:p>
      <w:pPr>
        <w:spacing w:after="0" w:line="97" w:lineRule="exact"/>
        <w:rPr>
          <w:sz w:val="20"/>
          <w:szCs w:val="20"/>
          <w:color w:val="auto"/>
        </w:rPr>
      </w:pPr>
    </w:p>
    <w:p>
      <w:pPr>
        <w:ind w:left="340" w:right="60" w:hanging="332"/>
        <w:spacing w:after="0" w:line="23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provided under the Schlumberger Stock and Deferral Plan for Non-Employee Directors, this number was adjusted from 2,000 to 4,000 shares to reflect the 2-for-1 stock split announced on January 19, 2006. The annual stock award may be in the form of shares of common stock, shares of restricted common stock or restricted stock units, each of which will represent the right to receive one share of Schlumberger common stock. The form of stock award and its terms, conditions and restrictions (including vesting) will be determined by Schlumberger’s Nominating and Governance Committee. A non-employee director may elect to defer the receipt of all or part of a stock award.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Board believes that ownership of stock of the Company by Board members aligns their interests with the interests of the Company’s stockholders. Accordingly, the Board has established a guideline that, within five years after April 22, 2004 or after joining the Board, each Board member own at least 10,000 shares or restricted stock units (after giving effect to the stock split).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Meetings and Committees</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2005, the Board of Directors held five meetings. Schlumberger has an Audit, a Compensation, a Nominating and Governance, a Finance, and a Technology Committee. During 2005, the Audit Committee met five times; the Compensation Committee met five times; the Finance Committee met four times; the Nominating and Governance Committee met four times; and the Technology Committee met once. All incumbent director nominees attended at least 75% of the aggregate of the meetings of the Board and of the committees of the Board on which such directors served.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Members of the Committees of the Board of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jc w:val="center"/>
              <w:ind w:left="66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60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8"/>
              </w:rPr>
              <w:t>and</w:t>
            </w:r>
          </w:p>
        </w:tc>
        <w:tc>
          <w:tcPr>
            <w:tcW w:w="16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219"/>
              <w:spacing w:after="0" w:line="149" w:lineRule="exact"/>
              <w:rPr>
                <w:sz w:val="20"/>
                <w:szCs w:val="20"/>
                <w:color w:val="auto"/>
              </w:rPr>
            </w:pPr>
            <w:r>
              <w:rPr>
                <w:rFonts w:ascii="Arial" w:cs="Arial" w:eastAsia="Arial" w:hAnsi="Arial"/>
                <w:sz w:val="14"/>
                <w:szCs w:val="14"/>
                <w:b w:val="1"/>
                <w:bCs w:val="1"/>
                <w:color w:val="auto"/>
                <w:w w:val="89"/>
              </w:rPr>
              <w:t>Audit</w:t>
            </w:r>
          </w:p>
        </w:tc>
        <w:tc>
          <w:tcPr>
            <w:tcW w:w="1940" w:type="dxa"/>
            <w:vAlign w:val="bottom"/>
            <w:tcBorders>
              <w:right w:val="single" w:sz="8" w:color="auto"/>
            </w:tcBorders>
          </w:tcPr>
          <w:p>
            <w:pPr>
              <w:jc w:val="center"/>
              <w:ind w:left="699"/>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700" w:type="dxa"/>
            <w:vAlign w:val="bottom"/>
            <w:tcBorders>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600" w:type="dxa"/>
            <w:vAlign w:val="bottom"/>
            <w:tcBorders>
              <w:right w:val="single" w:sz="8" w:color="auto"/>
            </w:tcBorders>
          </w:tcPr>
          <w:p>
            <w:pPr>
              <w:jc w:val="center"/>
              <w:ind w:left="678"/>
              <w:spacing w:after="0" w:line="149" w:lineRule="exact"/>
              <w:rPr>
                <w:sz w:val="20"/>
                <w:szCs w:val="20"/>
                <w:color w:val="auto"/>
              </w:rPr>
            </w:pPr>
            <w:r>
              <w:rPr>
                <w:rFonts w:ascii="Arial" w:cs="Arial" w:eastAsia="Arial" w:hAnsi="Arial"/>
                <w:sz w:val="14"/>
                <w:szCs w:val="14"/>
                <w:b w:val="1"/>
                <w:bCs w:val="1"/>
                <w:color w:val="auto"/>
                <w:w w:val="83"/>
              </w:rPr>
              <w:t>Finance</w:t>
            </w:r>
          </w:p>
        </w:tc>
        <w:tc>
          <w:tcPr>
            <w:tcW w:w="1680" w:type="dxa"/>
            <w:vAlign w:val="bottom"/>
            <w:tcBorders>
              <w:right w:val="single" w:sz="8" w:color="auto"/>
            </w:tcBorders>
          </w:tcPr>
          <w:p>
            <w:pPr>
              <w:jc w:val="center"/>
              <w:ind w:left="580"/>
              <w:spacing w:after="0" w:line="149" w:lineRule="exact"/>
              <w:rPr>
                <w:sz w:val="20"/>
                <w:szCs w:val="20"/>
                <w:color w:val="auto"/>
              </w:rPr>
            </w:pPr>
            <w:r>
              <w:rPr>
                <w:rFonts w:ascii="Arial" w:cs="Arial" w:eastAsia="Arial" w:hAnsi="Arial"/>
                <w:sz w:val="14"/>
                <w:szCs w:val="14"/>
                <w:b w:val="1"/>
                <w:bCs w:val="1"/>
                <w:color w:val="auto"/>
                <w:w w:val="83"/>
              </w:rPr>
              <w:t>Technology</w:t>
            </w:r>
          </w:p>
        </w:tc>
        <w:tc>
          <w:tcPr>
            <w:tcW w:w="0" w:type="dxa"/>
            <w:vAlign w:val="bottom"/>
          </w:tcPr>
          <w:p>
            <w:pPr>
              <w:spacing w:after="0"/>
              <w:rPr>
                <w:sz w:val="1"/>
                <w:szCs w:val="1"/>
                <w:color w:val="auto"/>
              </w:rPr>
            </w:pPr>
          </w:p>
        </w:tc>
      </w:tr>
      <w:tr>
        <w:trPr>
          <w:trHeight w:val="174"/>
        </w:trPr>
        <w:tc>
          <w:tcPr>
            <w:tcW w:w="33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John Deutch</w:t>
            </w:r>
          </w:p>
        </w:tc>
        <w:tc>
          <w:tcPr>
            <w:tcW w:w="1140" w:type="dxa"/>
            <w:vAlign w:val="bottom"/>
            <w:tcBorders>
              <w:bottom w:val="single" w:sz="8" w:color="auto"/>
              <w:right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8"/>
              </w:rPr>
              <w:t>Committee</w:t>
            </w:r>
          </w:p>
        </w:tc>
        <w:tc>
          <w:tcPr>
            <w:tcW w:w="194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661"/>
              <w:spacing w:after="0"/>
              <w:rPr>
                <w:sz w:val="20"/>
                <w:szCs w:val="20"/>
                <w:color w:val="auto"/>
              </w:rPr>
            </w:pPr>
            <w:r>
              <w:rPr>
                <w:rFonts w:ascii="Arial" w:cs="Arial" w:eastAsia="Arial" w:hAnsi="Arial"/>
                <w:sz w:val="14"/>
                <w:szCs w:val="14"/>
                <w:b w:val="1"/>
                <w:bCs w:val="1"/>
                <w:color w:val="auto"/>
                <w:w w:val="88"/>
              </w:rPr>
              <w:t>Committee</w:t>
            </w:r>
          </w:p>
        </w:tc>
        <w:tc>
          <w:tcPr>
            <w:tcW w:w="1600" w:type="dxa"/>
            <w:vAlign w:val="bottom"/>
            <w:tcBorders>
              <w:bottom w:val="single" w:sz="8" w:color="auto"/>
              <w:right w:val="single" w:sz="8" w:color="auto"/>
            </w:tcBorders>
          </w:tcPr>
          <w:p>
            <w:pPr>
              <w:jc w:val="center"/>
              <w:ind w:left="678"/>
              <w:spacing w:after="0"/>
              <w:rPr>
                <w:sz w:val="20"/>
                <w:szCs w:val="20"/>
                <w:color w:val="auto"/>
              </w:rPr>
            </w:pPr>
            <w:r>
              <w:rPr>
                <w:rFonts w:ascii="Arial" w:cs="Arial" w:eastAsia="Arial" w:hAnsi="Arial"/>
                <w:sz w:val="14"/>
                <w:szCs w:val="14"/>
                <w:b w:val="1"/>
                <w:bCs w:val="1"/>
                <w:color w:val="auto"/>
                <w:w w:val="88"/>
              </w:rPr>
              <w:t>Committee</w:t>
            </w:r>
          </w:p>
        </w:tc>
        <w:tc>
          <w:tcPr>
            <w:tcW w:w="1680" w:type="dxa"/>
            <w:vAlign w:val="bottom"/>
            <w:tcBorders>
              <w:bottom w:val="single" w:sz="8" w:color="auto"/>
              <w:right w:val="single" w:sz="8" w:color="auto"/>
            </w:tcBorders>
          </w:tcPr>
          <w:p>
            <w:pPr>
              <w:jc w:val="center"/>
              <w:ind w:left="560"/>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vMerge w:val="continue"/>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Jamie S. Gorelick</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60" w:type="dxa"/>
            <w:vAlign w:val="bottom"/>
            <w:tcBorders>
              <w:right w:val="single" w:sz="8" w:color="auto"/>
            </w:tcBorders>
            <w:gridSpan w:val="2"/>
          </w:tcPr>
          <w:p>
            <w:pPr>
              <w:ind w:left="120"/>
              <w:spacing w:after="0" w:line="196" w:lineRule="exact"/>
              <w:rPr>
                <w:sz w:val="20"/>
                <w:szCs w:val="20"/>
                <w:color w:val="auto"/>
              </w:rPr>
            </w:pPr>
            <w:r>
              <w:rPr>
                <w:rFonts w:ascii="Arial" w:cs="Arial" w:eastAsia="Arial" w:hAnsi="Arial"/>
                <w:sz w:val="18"/>
                <w:szCs w:val="18"/>
                <w:color w:val="auto"/>
              </w:rPr>
              <w:t>Andrew Gould</w:t>
            </w:r>
          </w:p>
        </w:tc>
        <w:tc>
          <w:tcPr>
            <w:tcW w:w="114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Tony Isaac</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78"/>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Adrian Lajous</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4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André Lévy-Lang</w:t>
            </w:r>
          </w:p>
        </w:tc>
        <w:tc>
          <w:tcPr>
            <w:tcW w:w="1140" w:type="dxa"/>
            <w:vAlign w:val="bottom"/>
            <w:tcBorders>
              <w:bottom w:val="single" w:sz="8" w:color="auto"/>
              <w:right w:val="single" w:sz="8" w:color="auto"/>
            </w:tcBorders>
          </w:tcPr>
          <w:p>
            <w:pPr>
              <w:jc w:val="center"/>
              <w:ind w:left="219"/>
              <w:spacing w:after="0"/>
              <w:rPr>
                <w:sz w:val="20"/>
                <w:szCs w:val="20"/>
                <w:color w:val="auto"/>
              </w:rPr>
            </w:pPr>
            <w:r>
              <w:rPr>
                <w:rFonts w:ascii="Arial" w:cs="Arial" w:eastAsia="Arial" w:hAnsi="Arial"/>
                <w:sz w:val="18"/>
                <w:szCs w:val="18"/>
                <w:color w:val="auto"/>
              </w:rPr>
              <w:t>X*</w:t>
            </w: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left="5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Michael Marks</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left="5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Didier Primat</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Tore I. Sandvold</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Nicolas Seydoux</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Linda Gillespie Stuntz</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4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Rana Talwar</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  Chair</w:t>
            </w: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is comprised of four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accounting firm’s qualifications and independence, and the performance of Schlumberger’s internal audit function and of the independent registered public accounting firm. The Audit Committee recommends for stockholders approval the appointment of an independent registered public accounting firm to audit the Schlumberger consolidated financial statements. The Audit Committee has the sole authority and responsibility to appoint, subject to stockholder approval, compensate and oversee the independent registered public accounting firm, and to pre-approve all engagements, fees and terms for audit and other services provided by the Company’s independent registered public accounting firm. The independent registered public accounting firm is accountable to the Audit Committee. The Board of Directors has determined that Messrs. Isaac, Lévy-Lang and Talwar, who are independent under applicable New York Stock Exchange listing standards, are “audit committee financial experts” as defined by applicable SEC rules. The Audit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Compensation Committee is comprised of four independent directors who meet the independence requirements of the New York Stock Exchange’s listing standards. The Committee assists the Board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right="4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discharging its responsibilities with regard to executive compensation and oversight of the general compensation philosophy of the Company and prepares a report on executive compensation to the Company’s stockholders. It is responsible for reviewing and approving the objectives, evaluating the performance, and reviewing and recommending the compensation of the Chief Executive Officer to the Board meeting in executive session. The Compensation Committee also administers the Company’s stock option plans. The Compensation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Nominating and Governance Committee is comprised of five independent directors, who meet the independence requirements of the New York Stock Exchange’s listing standards. The Nominating and Governance Committee assists the Board in identifying individuals qualified to become directors under criteria approved by the Board. The Nominating and Governance Committee recommends to the Board the number and names of persons to be proposed by the Board for election as directors at the annual general meeting of stockholders and may also recommend to the Board persons to be appointed by the Board or to be elected by the stockholders to fill any vacancies which occur on the Board. The Nominating and Governance Committee is responsible for periodically reviewing director compensation and benefits, reviewing corporate governance trends, reviewing the status of the Company’s compliance program and recommending to the Board any improvements to the Company’s corporate governance guidelines as it deems appropriate. The Nominating and Governance Committee also recommends directors to serve on and to chair the Board Committees and leads the Board’s appraisal process. The Nominating and Governance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Finance Committee</w:t>
      </w:r>
    </w:p>
    <w:p>
      <w:pPr>
        <w:spacing w:after="0" w:line="8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Finance Committee advises the Board and senior management on various matters, including dividends, financial policies and the investment and reinvestment of funds. The Finance Committee periodically reviews the administration of the Schlumberger employee benefit plans and those of its subsidiaries. In addition, the Finance Committee reviews financial risk management, financial aspects of acquisitions submitted to the Board, and the Investor Relations and Stockholder Services of the Company. The Finance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The Technology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Corporate Governance Matters</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Independence</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Board of Directors had determined that each director is independent, as defined for purposes of the New York Stock Exchange’s listing standards, other than Mr. Gould, who is Chairman and Chief Executive Officer of Schlumberger. In making this determination, the Board affirmatively determined that each independent director has no material relationship with Schlumberger or 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current categorical standards if it:</w:t>
      </w:r>
    </w:p>
    <w:p>
      <w:pPr>
        <w:ind w:left="780" w:right="94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ind w:left="780" w:right="32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but under that item does not require disclosure; or</w:t>
      </w:r>
    </w:p>
    <w:p>
      <w:pPr>
        <w:ind w:left="780" w:right="20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None of the independent directors has ongoing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All potential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care of the Secretary, Schlumberger Limited, 153 East 53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Street, 57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New York, New York 10022-4624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3" w:lineRule="exact"/>
        <w:rPr>
          <w:sz w:val="20"/>
          <w:szCs w:val="20"/>
          <w:color w:val="auto"/>
        </w:rPr>
      </w:pPr>
    </w:p>
    <w:p>
      <w:pPr>
        <w:ind w:right="18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 with Board Members</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has established a process for interested parties to send communications, other than sales-related communications, to one or more of its members. Any such communication should be sent by letter addressed to the presiding director and/or any members of the Board to whom the communication is directed, care of the Secretary, Schlumberger Limited,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 All such communications will be forwarded to the Board member or members specified.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to attend, and that the Company will make all appropriate arrangements for directors that choose to attend. In 2005, Mr. Lévy-Lang attended the Annual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Copies of Schlumberger’s Corporate Governance Guidelines and Schlumberger’s Code of Ethics are available at the Company’s corporate governance website located at www.slb.com/ir. Stockholders may also obtain copies of Schlumberger’s Corporate Governance Guidelines and Schlumberger’s Code of Ethics without charge by writing to the Secretary of the Company at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Audit Committee Report</w:t>
      </w:r>
    </w:p>
    <w:p>
      <w:pPr>
        <w:spacing w:after="0" w:line="164"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During 2005,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Public Accounting Oversight Board. However, as of the filing of this preliminary proxy statement, neither the audit of the financial statements nor the financial reporting are complete and further communication will occur. The Audit Committee will discuss with the Company’s senior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will review and discuss such other matters as it deemed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4" w:lineRule="exact"/>
        <w:rPr>
          <w:sz w:val="20"/>
          <w:szCs w:val="20"/>
          <w:color w:val="auto"/>
        </w:rPr>
      </w:pPr>
    </w:p>
    <w:p>
      <w:pPr>
        <w:ind w:right="26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Independence Standards Board Standard No. 1 (Independence Discussions with Audit Committees), and the Committee discussed PricewaterhouseCoopers LLP’s independence with them.</w:t>
      </w:r>
    </w:p>
    <w:p>
      <w:pPr>
        <w:spacing w:after="0" w:line="1" w:lineRule="exact"/>
        <w:rPr>
          <w:sz w:val="20"/>
          <w:szCs w:val="20"/>
          <w:color w:val="auto"/>
        </w:rPr>
      </w:pPr>
    </w:p>
    <w:p>
      <w:pPr>
        <w:ind w:right="160" w:firstLine="228"/>
        <w:spacing w:after="0" w:line="254" w:lineRule="auto"/>
        <w:rPr>
          <w:sz w:val="20"/>
          <w:szCs w:val="20"/>
          <w:color w:val="auto"/>
        </w:rPr>
      </w:pPr>
      <w:r>
        <w:rPr>
          <w:rFonts w:ascii="Arial" w:cs="Arial" w:eastAsia="Arial" w:hAnsi="Arial"/>
          <w:sz w:val="18"/>
          <w:szCs w:val="18"/>
          <w:color w:val="auto"/>
        </w:rPr>
        <w:t>Based on the foregoing review and discussion, and relying on the expected representation of Company management and the expected independent registered public accounting firm’s report to the Audit Committee, the Audit Committee is expected to recommend that the Board of Directors include the financial statements in the Company’s Annual Report on Form 10-K for the year ended December 31, 2005 filed with the Securities and Exchange Commission when the audits by PricewaterhouseCoopers LLP are complete.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Adrian Lajous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André Lévy-Lang, Chair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1" w:lineRule="exact"/>
        <w:rPr>
          <w:sz w:val="20"/>
          <w:szCs w:val="20"/>
          <w:color w:val="auto"/>
        </w:rPr>
      </w:pPr>
    </w:p>
    <w:p>
      <w:pPr>
        <w:sectPr>
          <w:pgSz w:w="11900" w:h="16838" w:orient="portrait"/>
          <w:cols w:equalWidth="0" w:num="2">
            <w:col w:w="5260" w:space="720"/>
            <w:col w:w="544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27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Cash and Certain Other Compensation</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shows the compensation paid by the Company and its subsidiaries to the Chief Executive Officer and the next four most highly compensated executive officers as at December 31, 2005 for the fiscal years ending December 31, 2005, 2004 and 2003.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Long 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Annual Compensation</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Securities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Underlying</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Salary</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Options</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8"/>
              </w:rPr>
              <w:t>Year</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($)(3)</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 Gould</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2,175,000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400,000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288,000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w:t>
            </w:r>
          </w:p>
        </w:tc>
        <w:tc>
          <w:tcPr>
            <w:tcW w:w="4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2,100,000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415,000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Executive Officer</w:t>
            </w: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w w:val="83"/>
              </w:rPr>
              <w:t>1,125,000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 Sbiti (1)</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626,566</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908,521</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90,000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100,633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4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618,047</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848,269</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559,284</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629,195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J.-M. Perraud</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882,000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116,640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4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858,000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Financial Officer</w:t>
            </w: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550,000</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385,000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Dalton Boutte (2)</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521,024</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573,126</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66,115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Vice President</w:t>
            </w: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519,125</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555,464</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30,857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Satish Pai (1)</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551,378</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609,273</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30,000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73,638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7"/>
              </w:rPr>
              <w:t>Vice President Oilfield Technologies</w:t>
            </w: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470,541</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448,455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53,673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Messrs. Sbiti and Pai are paid in Euros.</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Boutte is paid in Pounds Sterling.</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Salary and bonus amounts include cash compensation earned and received and any amounts deferred under the Schlumberger Restoration Savings Plan.</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has granted no stock appreciation rights or restricted stock.</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2005 amounts disclosed in this column include:</w:t>
      </w:r>
    </w:p>
    <w:p>
      <w:pPr>
        <w:ind w:left="780" w:hanging="434"/>
        <w:spacing w:after="0" w:line="221" w:lineRule="auto"/>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contributions to Schlumberger Profit Sharing Plans</w:t>
      </w:r>
    </w:p>
    <w:p>
      <w:pPr>
        <w:ind w:left="780" w:hanging="434"/>
        <w:spacing w:after="0" w:line="221" w:lineRule="auto"/>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contributions to the International Staff Profit Sharing Plan</w:t>
      </w:r>
    </w:p>
    <w:p>
      <w:pPr>
        <w:ind w:left="780" w:hanging="434"/>
        <w:spacing w:after="0" w:line="221" w:lineRule="auto"/>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unfunded credits to the Schlumberger Supplementary Benefit Plan</w:t>
      </w:r>
    </w:p>
    <w:p>
      <w:pPr>
        <w:ind w:left="780" w:hanging="434"/>
        <w:spacing w:after="0" w:line="221" w:lineRule="auto"/>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unfunded matching credits to the Schlumberger Restoration Savings Plan</w:t>
      </w:r>
    </w:p>
    <w:p>
      <w:pPr>
        <w:ind w:left="780" w:hanging="434"/>
        <w:spacing w:after="0"/>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contributions paid in cash in lieu of credits due to limits in the Profit Sharing Plans</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9"/>
              </w:rPr>
              <w:t>(a)($)</w:t>
            </w:r>
          </w:p>
        </w:tc>
        <w:tc>
          <w:tcPr>
            <w:tcW w:w="20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5"/>
                <w:szCs w:val="15"/>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16,800</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169,500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101,700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Mr. Sbiti</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100,633</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Perraud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16,800</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62,400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37,440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Mr. Boutte</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10,500</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40,358</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Pai</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42,829</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24,509</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60" w:right="160"/>
        <w:spacing w:after="0" w:line="288" w:lineRule="auto"/>
        <w:rPr>
          <w:sz w:val="20"/>
          <w:szCs w:val="20"/>
          <w:color w:val="auto"/>
        </w:rPr>
      </w:pPr>
      <w:r>
        <w:rPr>
          <w:rFonts w:ascii="Arial" w:cs="Arial" w:eastAsia="Arial" w:hAnsi="Arial"/>
          <w:sz w:val="12"/>
          <w:szCs w:val="12"/>
          <w:color w:val="auto"/>
        </w:rPr>
        <w:t>The Company’s matching credits under the Schlumberger Restoration Savings Plan are vested one-third at two years of service, two-thirds at three years, fully at four years or upon the earliest of age 60, death or change of control. The amounts accumulated under the Schlumberger Restoration Savings Plan and the International Staff Profit Sharing Plan will be paid upon the satisfaction of certain conditions on termination or retirement, death, disability or in the case of the Schlumberger Restoration Savings Plan, a change in control.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Table</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following table sets forth certain information concerning options granted during 2005 to the named executive officers. Any value realized upon exercise of the options will depend upon the market price of Schlumberger common stock at the time the option is exercised relative to the exercise price of the option.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Individual Grants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 of Total</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Number of Securities</w:t>
            </w:r>
          </w:p>
        </w:tc>
        <w:tc>
          <w:tcPr>
            <w:tcW w:w="19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7"/>
              </w:rPr>
              <w:t>Options Granted to</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Underlying Options Granted</w:t>
            </w:r>
          </w:p>
        </w:tc>
        <w:tc>
          <w:tcPr>
            <w:tcW w:w="19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Employees in</w:t>
            </w:r>
          </w:p>
        </w:tc>
        <w:tc>
          <w:tcPr>
            <w:tcW w:w="1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4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4"/>
        </w:trPr>
        <w:tc>
          <w:tcPr>
            <w:tcW w:w="32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(#)(1)</w:t>
            </w:r>
          </w:p>
        </w:tc>
        <w:tc>
          <w:tcPr>
            <w:tcW w:w="19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Fiscal Year</w:t>
            </w: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($/SH)(2)</w:t>
            </w:r>
          </w:p>
        </w:tc>
        <w:tc>
          <w:tcPr>
            <w:tcW w:w="14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Date</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24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400,000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5,248,000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C. Sbiti</w:t>
            </w:r>
          </w:p>
        </w:tc>
        <w:tc>
          <w:tcPr>
            <w:tcW w:w="24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90,000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8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tcPr>
          <w:p>
            <w:pPr>
              <w:spacing w:after="0"/>
              <w:rPr>
                <w:sz w:val="12"/>
                <w:szCs w:val="12"/>
                <w:color w:val="auto"/>
              </w:rPr>
            </w:pPr>
          </w:p>
        </w:tc>
        <w:tc>
          <w:tcPr>
            <w:tcW w:w="14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1,180,800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24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50,000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D. Boutte</w:t>
            </w:r>
          </w:p>
        </w:tc>
        <w:tc>
          <w:tcPr>
            <w:tcW w:w="24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50,000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8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tcPr>
          <w:p>
            <w:pPr>
              <w:spacing w:after="0"/>
              <w:rPr>
                <w:sz w:val="12"/>
                <w:szCs w:val="12"/>
                <w:color w:val="auto"/>
              </w:rPr>
            </w:pPr>
          </w:p>
        </w:tc>
        <w:tc>
          <w:tcPr>
            <w:tcW w:w="14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 Pai</w:t>
            </w:r>
          </w:p>
        </w:tc>
        <w:tc>
          <w:tcPr>
            <w:tcW w:w="24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30,000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20" w:hanging="332"/>
        <w:spacing w:after="0" w:line="22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Options listed above become exercisable in installments of 25% each year following the date of grant. The gain on each option grant is capped at 125% of the exercise price.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ind w:left="340" w:right="42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following assumptions were used to calculate the grant date present value under the Black-Scholes method: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300" w:type="dxa"/>
            <w:vAlign w:val="bottom"/>
            <w:gridSpan w:val="3"/>
          </w:tcPr>
          <w:p>
            <w:pPr>
              <w:spacing w:after="0"/>
              <w:rPr>
                <w:sz w:val="20"/>
                <w:szCs w:val="20"/>
                <w:color w:val="auto"/>
              </w:rPr>
            </w:pPr>
            <w:r>
              <w:rPr>
                <w:rFonts w:ascii="Arial" w:cs="Arial" w:eastAsia="Arial" w:hAnsi="Arial"/>
                <w:sz w:val="14"/>
                <w:szCs w:val="14"/>
                <w:b w:val="1"/>
                <w:bCs w:val="1"/>
                <w:color w:val="auto"/>
              </w:rPr>
              <w:t>Assumption</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January 19,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98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Life of Option</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gridSpan w:val="2"/>
          </w:tcPr>
          <w:p>
            <w:pPr>
              <w:spacing w:after="0" w:line="149" w:lineRule="exact"/>
              <w:rPr>
                <w:sz w:val="20"/>
                <w:szCs w:val="20"/>
                <w:color w:val="auto"/>
              </w:rPr>
            </w:pPr>
            <w:r>
              <w:rPr>
                <w:rFonts w:ascii="Arial" w:cs="Arial" w:eastAsia="Arial" w:hAnsi="Arial"/>
                <w:sz w:val="14"/>
                <w:szCs w:val="14"/>
                <w:color w:val="auto"/>
              </w:rPr>
              <w:t>Risk Free Rate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gridSpan w:val="2"/>
          </w:tcPr>
          <w:p>
            <w:pPr>
              <w:spacing w:after="0" w:line="149" w:lineRule="exact"/>
              <w:rPr>
                <w:sz w:val="20"/>
                <w:szCs w:val="20"/>
                <w:color w:val="auto"/>
              </w:rPr>
            </w:pPr>
            <w:r>
              <w:rPr>
                <w:rFonts w:ascii="Arial" w:cs="Arial" w:eastAsia="Arial" w:hAnsi="Arial"/>
                <w:sz w:val="14"/>
                <w:szCs w:val="14"/>
                <w:color w:val="auto"/>
              </w:rPr>
              <w:t>Dividend Yield</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Price Appreciation Cap</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December 31, 2005 Stock Option Value Table</w:t>
      </w:r>
    </w:p>
    <w:p>
      <w:pPr>
        <w:spacing w:after="0" w:line="7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following table shows certain information concerning options exercised during 2005 by the named executive officers and the number and value of unexercised options at December 31, 2005. The values of unexercised in-the-money stock options at December 31, 2005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Securities Underlying</w:t>
            </w:r>
          </w:p>
        </w:tc>
        <w:tc>
          <w:tcPr>
            <w:tcW w:w="1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Unexercised Options</w:t>
            </w:r>
          </w:p>
        </w:tc>
        <w:tc>
          <w:tcPr>
            <w:tcW w:w="1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Value</w:t>
            </w:r>
          </w:p>
        </w:tc>
        <w:tc>
          <w:tcPr>
            <w:tcW w:w="780" w:type="dxa"/>
            <w:vAlign w:val="bottom"/>
          </w:tcPr>
          <w:p>
            <w:pPr>
              <w:spacing w:after="0"/>
              <w:rPr>
                <w:sz w:val="12"/>
                <w:szCs w:val="12"/>
                <w:color w:val="auto"/>
              </w:rPr>
            </w:pP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at FY-End (#)</w:t>
            </w:r>
          </w:p>
        </w:tc>
        <w:tc>
          <w:tcPr>
            <w:tcW w:w="8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at FY-End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Shares Acquired</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Realized</w:t>
            </w:r>
          </w:p>
        </w:tc>
        <w:tc>
          <w:tcPr>
            <w:tcW w:w="780" w:type="dxa"/>
            <w:vAlign w:val="bottom"/>
          </w:tcPr>
          <w:p>
            <w:pPr>
              <w:spacing w:after="0"/>
              <w:rPr>
                <w:sz w:val="12"/>
                <w:szCs w:val="12"/>
                <w:color w:val="auto"/>
              </w:rPr>
            </w:pP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Exercisable /</w:t>
            </w:r>
          </w:p>
        </w:tc>
        <w:tc>
          <w:tcPr>
            <w:tcW w:w="8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Exercisable /</w:t>
            </w:r>
          </w:p>
        </w:tc>
        <w:tc>
          <w:tcPr>
            <w:tcW w:w="0" w:type="dxa"/>
            <w:vAlign w:val="bottom"/>
          </w:tcPr>
          <w:p>
            <w:pPr>
              <w:spacing w:after="0"/>
              <w:rPr>
                <w:sz w:val="1"/>
                <w:szCs w:val="1"/>
                <w:color w:val="auto"/>
              </w:rPr>
            </w:pPr>
          </w:p>
        </w:tc>
      </w:tr>
      <w:tr>
        <w:trPr>
          <w:trHeight w:val="174"/>
        </w:trPr>
        <w:tc>
          <w:tcPr>
            <w:tcW w:w="50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on Exercises (#)</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w:t>
            </w:r>
          </w:p>
        </w:tc>
        <w:tc>
          <w:tcPr>
            <w:tcW w:w="7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Unexercisable</w:t>
            </w:r>
          </w:p>
        </w:tc>
        <w:tc>
          <w:tcPr>
            <w:tcW w:w="8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65,940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3,622,414</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848,600</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1,031,250</w:t>
            </w: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29,176,808</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41,453,062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C. Sbiti</w:t>
            </w: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179,757</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237,500</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7,032,701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9,235,263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1,949,670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167,133</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143,500</w:t>
            </w: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6,329,030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5,379,463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D. Boutte</w:t>
            </w: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184,369</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167,500</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6,834,524</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6,488,412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 Pai</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106,445</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109,500</w:t>
            </w: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3,957,172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4,133,282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Market value of stock on date of exercise less exercise price.</w:t>
      </w:r>
    </w:p>
    <w:p>
      <w:pPr>
        <w:spacing w:after="0"/>
        <w:tabs>
          <w:tab w:leader="none" w:pos="320" w:val="left"/>
        </w:tabs>
        <w:rPr>
          <w:sz w:val="20"/>
          <w:szCs w:val="20"/>
          <w:color w:val="auto"/>
        </w:rPr>
      </w:pPr>
      <w:r>
        <w:rPr>
          <w:rFonts w:ascii="Arial" w:cs="Arial" w:eastAsia="Arial" w:hAnsi="Arial"/>
          <w:sz w:val="14"/>
          <w:szCs w:val="14"/>
          <w:color w:val="auto"/>
        </w:rPr>
        <w:t>(2)</w:t>
        <w:tab/>
        <w:t>Closing price of stock on December 30, 2005 ($97.15) less exercise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Plans</w:t>
      </w:r>
    </w:p>
    <w:p>
      <w:pPr>
        <w:spacing w:after="0" w:line="8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plans also permit or require contributions by employees.</w:t>
      </w:r>
    </w:p>
    <w:p>
      <w:pPr>
        <w:ind w:right="60" w:firstLine="228"/>
        <w:spacing w:after="0" w:line="250" w:lineRule="auto"/>
        <w:rPr>
          <w:sz w:val="20"/>
          <w:szCs w:val="20"/>
          <w:color w:val="auto"/>
        </w:rPr>
      </w:pPr>
      <w:r>
        <w:rPr>
          <w:rFonts w:ascii="Arial" w:cs="Arial" w:eastAsia="Arial" w:hAnsi="Arial"/>
          <w:sz w:val="18"/>
          <w:szCs w:val="18"/>
          <w:color w:val="auto"/>
        </w:rPr>
        <w:t>Benefits under the international staff pension plans of the Company and certain of its subsidiaries are based on a participant’s admissible compensation (generally, base salary plus incentive) for each year in which the employee participates in the plans and the employee’s length of service with the Company or the subsidiary. Since January 1, 1993, the benefit earned has been 3.2% of admissible compensation for each year of service. Benefits are payable upon normal retirement age, at or after age 55, or upon early retirement. Estimated annual benefits from these plans payable upon retirement are: $137,033 for Mr. Gould, $94,648 for Mr. Sbiti, $13,608 for Mr. Perraud, $27,793 for Mr. Pai, and $238,177 for Mr. Boutte, assuming admissible compensation continues at the December 31, 2005 level until age 55 for Mr. Boutte.</w:t>
      </w:r>
    </w:p>
    <w:p>
      <w:pPr>
        <w:spacing w:after="0" w:line="3"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$5,098 for Mr. Sbiti and $63,250 for Mr. Boutte, and, assuming admissible compensation continues at the December 31, 2005 levels until age 65, $685,253 for Mr. Gould, $304,542 for Mr. Perraud, and $508,637 for Mr. Pai.</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Dollar Value of Total Compensation for 2005</w:t>
      </w:r>
    </w:p>
    <w:p>
      <w:pPr>
        <w:spacing w:after="0" w:line="8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Set forth below is a summary of the dollar values of the total annual compensation provided, granted to or received by each of the named executive officers during the fiscal year ended December 31, 2005:</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760" w:type="dxa"/>
            <w:vAlign w:val="bottom"/>
            <w:tcBorders>
              <w:top w:val="single" w:sz="8" w:color="auto"/>
              <w:left w:val="single" w:sz="8" w:color="auto"/>
            </w:tcBorders>
          </w:tcPr>
          <w:p>
            <w:pPr>
              <w:spacing w:after="0"/>
              <w:rPr>
                <w:sz w:val="12"/>
                <w:szCs w:val="12"/>
                <w:color w:val="auto"/>
              </w:rPr>
            </w:pPr>
          </w:p>
        </w:tc>
        <w:tc>
          <w:tcPr>
            <w:tcW w:w="40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gridSpan w:val="2"/>
            <w:vMerge w:val="restart"/>
          </w:tcPr>
          <w:p>
            <w:pPr>
              <w:ind w:left="340"/>
              <w:spacing w:after="0"/>
              <w:rPr>
                <w:sz w:val="20"/>
                <w:szCs w:val="20"/>
                <w:color w:val="auto"/>
              </w:rPr>
            </w:pPr>
            <w:r>
              <w:rPr>
                <w:rFonts w:ascii="Arial" w:cs="Arial" w:eastAsia="Arial" w:hAnsi="Arial"/>
                <w:sz w:val="14"/>
                <w:szCs w:val="14"/>
                <w:b w:val="1"/>
                <w:bCs w:val="1"/>
                <w:color w:val="auto"/>
                <w:w w:val="87"/>
              </w:rPr>
              <w:t>Salary Earned</w:t>
            </w:r>
          </w:p>
        </w:tc>
        <w:tc>
          <w:tcPr>
            <w:tcW w:w="1200" w:type="dxa"/>
            <w:vAlign w:val="bottom"/>
            <w:tcBorders>
              <w:top w:val="single" w:sz="8" w:color="auto"/>
              <w:right w:val="single" w:sz="8" w:color="auto"/>
            </w:tcBorders>
            <w:gridSpan w:val="2"/>
            <w:vMerge w:val="restart"/>
          </w:tcPr>
          <w:p>
            <w:pPr>
              <w:ind w:left="340"/>
              <w:spacing w:after="0"/>
              <w:rPr>
                <w:sz w:val="20"/>
                <w:szCs w:val="20"/>
                <w:color w:val="auto"/>
              </w:rPr>
            </w:pPr>
            <w:r>
              <w:rPr>
                <w:rFonts w:ascii="Arial" w:cs="Arial" w:eastAsia="Arial" w:hAnsi="Arial"/>
                <w:sz w:val="14"/>
                <w:szCs w:val="14"/>
                <w:b w:val="1"/>
                <w:bCs w:val="1"/>
                <w:color w:val="auto"/>
                <w:w w:val="86"/>
              </w:rPr>
              <w:t>Bonus Earned</w:t>
            </w:r>
          </w:p>
        </w:tc>
        <w:tc>
          <w:tcPr>
            <w:tcW w:w="1160" w:type="dxa"/>
            <w:vAlign w:val="bottom"/>
            <w:tcBorders>
              <w:top w:val="single" w:sz="8" w:color="auto"/>
              <w:right w:val="single" w:sz="8" w:color="auto"/>
            </w:tcBorders>
          </w:tcPr>
          <w:p>
            <w:pPr>
              <w:jc w:val="center"/>
              <w:ind w:left="272"/>
              <w:spacing w:after="0" w:line="149" w:lineRule="exact"/>
              <w:rPr>
                <w:sz w:val="20"/>
                <w:szCs w:val="20"/>
                <w:color w:val="auto"/>
              </w:rPr>
            </w:pPr>
            <w:r>
              <w:rPr>
                <w:rFonts w:ascii="Arial" w:cs="Arial" w:eastAsia="Arial" w:hAnsi="Arial"/>
                <w:sz w:val="14"/>
                <w:szCs w:val="14"/>
                <w:b w:val="1"/>
                <w:bCs w:val="1"/>
                <w:color w:val="auto"/>
                <w:w w:val="87"/>
              </w:rPr>
              <w:t>January 2005</w:t>
            </w:r>
          </w:p>
        </w:tc>
        <w:tc>
          <w:tcPr>
            <w:tcW w:w="1140" w:type="dxa"/>
            <w:vAlign w:val="bottom"/>
            <w:tcBorders>
              <w:top w:val="single" w:sz="8" w:color="auto"/>
              <w:right w:val="single" w:sz="8" w:color="auto"/>
            </w:tcBorders>
            <w:gridSpan w:val="2"/>
            <w:vMerge w:val="restart"/>
          </w:tcPr>
          <w:p>
            <w:pPr>
              <w:ind w:left="360"/>
              <w:spacing w:after="0"/>
              <w:rPr>
                <w:sz w:val="20"/>
                <w:szCs w:val="20"/>
                <w:color w:val="auto"/>
              </w:rPr>
            </w:pPr>
            <w:r>
              <w:rPr>
                <w:rFonts w:ascii="Arial" w:cs="Arial" w:eastAsia="Arial" w:hAnsi="Arial"/>
                <w:sz w:val="14"/>
                <w:szCs w:val="14"/>
                <w:b w:val="1"/>
                <w:bCs w:val="1"/>
                <w:color w:val="auto"/>
                <w:w w:val="82"/>
              </w:rPr>
              <w:t>2005 Pension</w:t>
            </w:r>
          </w:p>
        </w:tc>
        <w:tc>
          <w:tcPr>
            <w:tcW w:w="1220" w:type="dxa"/>
            <w:vAlign w:val="bottom"/>
            <w:tcBorders>
              <w:top w:val="single" w:sz="8" w:color="auto"/>
              <w:right w:val="single" w:sz="8" w:color="auto"/>
            </w:tcBorders>
            <w:gridSpan w:val="2"/>
            <w:vMerge w:val="restart"/>
          </w:tcPr>
          <w:p>
            <w:pPr>
              <w:ind w:left="360"/>
              <w:spacing w:after="0"/>
              <w:rPr>
                <w:sz w:val="20"/>
                <w:szCs w:val="20"/>
                <w:color w:val="auto"/>
              </w:rPr>
            </w:pPr>
            <w:r>
              <w:rPr>
                <w:rFonts w:ascii="Arial" w:cs="Arial" w:eastAsia="Arial" w:hAnsi="Arial"/>
                <w:sz w:val="14"/>
                <w:szCs w:val="14"/>
                <w:b w:val="1"/>
                <w:bCs w:val="1"/>
                <w:color w:val="auto"/>
                <w:w w:val="88"/>
              </w:rPr>
              <w:t>Profit Sharing</w:t>
            </w: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right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right w:val="single" w:sz="8" w:color="auto"/>
            </w:tcBorders>
            <w:vMerge w:val="restart"/>
          </w:tcPr>
          <w:p>
            <w:pPr>
              <w:jc w:val="right"/>
              <w:ind w:right="72"/>
              <w:spacing w:after="0"/>
              <w:rPr>
                <w:sz w:val="20"/>
                <w:szCs w:val="20"/>
                <w:color w:val="auto"/>
              </w:rPr>
            </w:pPr>
            <w:r>
              <w:rPr>
                <w:rFonts w:ascii="Arial" w:cs="Arial" w:eastAsia="Arial" w:hAnsi="Arial"/>
                <w:sz w:val="14"/>
                <w:szCs w:val="14"/>
                <w:b w:val="1"/>
                <w:bCs w:val="1"/>
                <w:color w:val="auto"/>
                <w:w w:val="93"/>
              </w:rPr>
              <w:t>Health</w:t>
            </w:r>
          </w:p>
        </w:tc>
        <w:tc>
          <w:tcPr>
            <w:tcW w:w="1320" w:type="dxa"/>
            <w:vAlign w:val="bottom"/>
            <w:tcBorders>
              <w:top w:val="single" w:sz="8" w:color="auto"/>
              <w:right w:val="single" w:sz="8" w:color="auto"/>
            </w:tcBorders>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Value of Total</w:t>
            </w:r>
          </w:p>
        </w:tc>
        <w:tc>
          <w:tcPr>
            <w:tcW w:w="0" w:type="dxa"/>
            <w:vAlign w:val="bottom"/>
          </w:tcPr>
          <w:p>
            <w:pPr>
              <w:spacing w:after="0"/>
              <w:rPr>
                <w:sz w:val="1"/>
                <w:szCs w:val="1"/>
                <w:color w:val="auto"/>
              </w:rPr>
            </w:pPr>
          </w:p>
        </w:tc>
      </w:tr>
      <w:tr>
        <w:trPr>
          <w:trHeight w:val="134"/>
        </w:trPr>
        <w:tc>
          <w:tcPr>
            <w:tcW w:w="1760" w:type="dxa"/>
            <w:vAlign w:val="bottom"/>
            <w:tcBorders>
              <w:lef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gridSpan w:val="2"/>
            <w:vMerge w:val="continue"/>
          </w:tcPr>
          <w:p>
            <w:pPr>
              <w:spacing w:after="0"/>
              <w:rPr>
                <w:sz w:val="11"/>
                <w:szCs w:val="11"/>
                <w:color w:val="auto"/>
              </w:rPr>
            </w:pPr>
          </w:p>
        </w:tc>
        <w:tc>
          <w:tcPr>
            <w:tcW w:w="1200" w:type="dxa"/>
            <w:vAlign w:val="bottom"/>
            <w:tcBorders>
              <w:right w:val="single" w:sz="8" w:color="auto"/>
            </w:tcBorders>
            <w:gridSpan w:val="2"/>
            <w:vMerge w:val="continue"/>
          </w:tcPr>
          <w:p>
            <w:pPr>
              <w:spacing w:after="0"/>
              <w:rPr>
                <w:sz w:val="11"/>
                <w:szCs w:val="11"/>
                <w:color w:val="auto"/>
              </w:rPr>
            </w:pPr>
          </w:p>
        </w:tc>
        <w:tc>
          <w:tcPr>
            <w:tcW w:w="1160" w:type="dxa"/>
            <w:vAlign w:val="bottom"/>
            <w:tcBorders>
              <w:right w:val="single" w:sz="8" w:color="auto"/>
            </w:tcBorders>
          </w:tcPr>
          <w:p>
            <w:pPr>
              <w:jc w:val="center"/>
              <w:ind w:left="272"/>
              <w:spacing w:after="0" w:line="135" w:lineRule="exact"/>
              <w:rPr>
                <w:sz w:val="20"/>
                <w:szCs w:val="20"/>
                <w:color w:val="auto"/>
              </w:rPr>
            </w:pPr>
            <w:r>
              <w:rPr>
                <w:rFonts w:ascii="Arial" w:cs="Arial" w:eastAsia="Arial" w:hAnsi="Arial"/>
                <w:sz w:val="14"/>
                <w:szCs w:val="14"/>
                <w:b w:val="1"/>
                <w:bCs w:val="1"/>
                <w:color w:val="auto"/>
                <w:w w:val="92"/>
              </w:rPr>
              <w:t>Grant Date</w:t>
            </w:r>
          </w:p>
        </w:tc>
        <w:tc>
          <w:tcPr>
            <w:tcW w:w="1140" w:type="dxa"/>
            <w:vAlign w:val="bottom"/>
            <w:tcBorders>
              <w:right w:val="single" w:sz="8" w:color="auto"/>
            </w:tcBorders>
            <w:gridSpan w:val="2"/>
            <w:vMerge w:val="continue"/>
          </w:tcPr>
          <w:p>
            <w:pPr>
              <w:spacing w:after="0"/>
              <w:rPr>
                <w:sz w:val="11"/>
                <w:szCs w:val="11"/>
                <w:color w:val="auto"/>
              </w:rPr>
            </w:pPr>
          </w:p>
        </w:tc>
        <w:tc>
          <w:tcPr>
            <w:tcW w:w="1220" w:type="dxa"/>
            <w:vAlign w:val="bottom"/>
            <w:tcBorders>
              <w:right w:val="single" w:sz="8" w:color="auto"/>
            </w:tcBorders>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13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In 2005</w:t>
            </w: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For 2005</w:t>
            </w:r>
          </w:p>
        </w:tc>
        <w:tc>
          <w:tcPr>
            <w:tcW w:w="1160" w:type="dxa"/>
            <w:vAlign w:val="bottom"/>
            <w:tcBorders>
              <w:bottom w:val="single" w:sz="8" w:color="auto"/>
              <w:right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Accrual</w:t>
            </w:r>
          </w:p>
        </w:tc>
        <w:tc>
          <w:tcPr>
            <w:tcW w:w="122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87"/>
              </w:rPr>
              <w:t>Contributions</w:t>
            </w:r>
          </w:p>
        </w:tc>
        <w:tc>
          <w:tcPr>
            <w:tcW w:w="1020" w:type="dxa"/>
            <w:vAlign w:val="bottom"/>
            <w:tcBorders>
              <w:bottom w:val="single" w:sz="8" w:color="auto"/>
              <w:right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82"/>
              </w:rPr>
              <w:t>Perquisites</w:t>
            </w:r>
          </w:p>
        </w:tc>
        <w:tc>
          <w:tcPr>
            <w:tcW w:w="1020" w:type="dxa"/>
            <w:vAlign w:val="bottom"/>
            <w:tcBorders>
              <w:bottom w:val="single" w:sz="8" w:color="auto"/>
              <w:right w:val="single" w:sz="8" w:color="auto"/>
            </w:tcBorders>
            <w:gridSpan w:val="2"/>
          </w:tcPr>
          <w:p>
            <w:pPr>
              <w:ind w:left="360"/>
              <w:spacing w:after="0" w:line="176" w:lineRule="exact"/>
              <w:rPr>
                <w:sz w:val="20"/>
                <w:szCs w:val="20"/>
                <w:color w:val="auto"/>
              </w:rPr>
            </w:pPr>
            <w:r>
              <w:rPr>
                <w:rFonts w:ascii="Arial" w:cs="Arial" w:eastAsia="Arial" w:hAnsi="Arial"/>
                <w:sz w:val="13"/>
                <w:szCs w:val="13"/>
                <w:b w:val="1"/>
                <w:bCs w:val="1"/>
                <w:color w:val="auto"/>
                <w:w w:val="97"/>
              </w:rPr>
              <w:t>&amp;Welfare</w:t>
            </w:r>
            <w:r>
              <w:rPr>
                <w:rFonts w:ascii="Arial" w:cs="Arial" w:eastAsia="Arial" w:hAnsi="Arial"/>
                <w:sz w:val="20"/>
                <w:szCs w:val="20"/>
                <w:b w:val="1"/>
                <w:bCs w:val="1"/>
                <w:color w:val="auto"/>
                <w:w w:val="97"/>
                <w:vertAlign w:val="superscript"/>
              </w:rPr>
              <w:t>1</w:t>
            </w:r>
          </w:p>
        </w:tc>
        <w:tc>
          <w:tcPr>
            <w:tcW w:w="1320" w:type="dxa"/>
            <w:vAlign w:val="bottom"/>
            <w:tcBorders>
              <w:bottom w:val="single" w:sz="8" w:color="auto"/>
              <w:right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Andrew Gould</w:t>
            </w:r>
          </w:p>
        </w:tc>
        <w:tc>
          <w:tcPr>
            <w:tcW w:w="480" w:type="dxa"/>
            <w:vAlign w:val="bottom"/>
            <w:tcBorders>
              <w:bottom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1,500,000</w:t>
            </w:r>
          </w:p>
        </w:tc>
        <w:tc>
          <w:tcPr>
            <w:tcW w:w="460" w:type="dxa"/>
            <w:vAlign w:val="bottom"/>
            <w:tcBorders>
              <w:bottom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2,175,000</w:t>
            </w:r>
          </w:p>
        </w:tc>
        <w:tc>
          <w:tcPr>
            <w:tcW w:w="11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5,248,000</w:t>
            </w:r>
          </w:p>
        </w:tc>
        <w:tc>
          <w:tcPr>
            <w:tcW w:w="480" w:type="dxa"/>
            <w:vAlign w:val="bottom"/>
            <w:tcBorders>
              <w:bottom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72,000</w:t>
            </w:r>
          </w:p>
        </w:tc>
        <w:tc>
          <w:tcPr>
            <w:tcW w:w="600" w:type="dxa"/>
            <w:vAlign w:val="bottom"/>
            <w:tcBorders>
              <w:bottom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288,000</w:t>
            </w:r>
          </w:p>
        </w:tc>
        <w:tc>
          <w:tcPr>
            <w:tcW w:w="660" w:type="dxa"/>
            <w:vAlign w:val="bottom"/>
            <w:tcBorders>
              <w:bottom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9967</w:t>
            </w:r>
          </w:p>
        </w:tc>
        <w:tc>
          <w:tcPr>
            <w:tcW w:w="54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9,292,967</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Chakib Sbiti</w:t>
            </w:r>
          </w:p>
        </w:tc>
        <w:tc>
          <w:tcPr>
            <w:tcW w:w="4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626,566</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908,521</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1,180,800</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100,633</w:t>
            </w: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8314</w:t>
            </w:r>
          </w:p>
        </w:tc>
        <w:tc>
          <w:tcPr>
            <w:tcW w:w="5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2,824,834</w:t>
            </w:r>
          </w:p>
        </w:tc>
        <w:tc>
          <w:tcPr>
            <w:tcW w:w="0" w:type="dxa"/>
            <w:vAlign w:val="bottom"/>
          </w:tcPr>
          <w:p>
            <w:pPr>
              <w:spacing w:after="0"/>
              <w:rPr>
                <w:sz w:val="1"/>
                <w:szCs w:val="1"/>
                <w:color w:val="auto"/>
              </w:rPr>
            </w:pPr>
          </w:p>
        </w:tc>
      </w:tr>
      <w:tr>
        <w:trPr>
          <w:trHeight w:val="169"/>
        </w:trPr>
        <w:tc>
          <w:tcPr>
            <w:tcW w:w="216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Jean-Marc Perraud</w:t>
            </w:r>
          </w:p>
        </w:tc>
        <w:tc>
          <w:tcPr>
            <w:tcW w:w="4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882,000</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656,000</w:t>
            </w:r>
          </w:p>
        </w:tc>
        <w:tc>
          <w:tcPr>
            <w:tcW w:w="4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29,160</w:t>
            </w:r>
          </w:p>
        </w:tc>
        <w:tc>
          <w:tcPr>
            <w:tcW w:w="6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116,640</w:t>
            </w: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right w:val="single" w:sz="8" w:color="auto"/>
            </w:tcBorders>
            <w:shd w:val="clear" w:color="auto" w:fill="CCEEFF"/>
          </w:tcPr>
          <w:p>
            <w:pPr>
              <w:jc w:val="right"/>
              <w:spacing w:after="0" w:line="169" w:lineRule="exact"/>
              <w:rPr>
                <w:sz w:val="20"/>
                <w:szCs w:val="20"/>
                <w:color w:val="auto"/>
              </w:rPr>
            </w:pPr>
            <w:r>
              <w:rPr>
                <w:rFonts w:ascii="Arial" w:cs="Arial" w:eastAsia="Arial" w:hAnsi="Arial"/>
                <w:sz w:val="12"/>
                <w:szCs w:val="12"/>
                <w:color w:val="auto"/>
              </w:rPr>
              <w:t>0</w:t>
            </w:r>
            <w:r>
              <w:rPr>
                <w:rFonts w:ascii="Arial" w:cs="Arial" w:eastAsia="Arial" w:hAnsi="Arial"/>
                <w:sz w:val="19"/>
                <w:szCs w:val="19"/>
                <w:color w:val="auto"/>
                <w:vertAlign w:val="superscript"/>
              </w:rPr>
              <w:t>2</w:t>
            </w:r>
          </w:p>
        </w:tc>
        <w:tc>
          <w:tcPr>
            <w:tcW w:w="4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10,826</w:t>
            </w:r>
          </w:p>
        </w:tc>
        <w:tc>
          <w:tcPr>
            <w:tcW w:w="5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2,321,109</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Dalton Boutte</w:t>
            </w:r>
          </w:p>
        </w:tc>
        <w:tc>
          <w:tcPr>
            <w:tcW w:w="4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521,024</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573,126</w:t>
            </w:r>
          </w:p>
        </w:tc>
        <w:tc>
          <w:tcPr>
            <w:tcW w:w="11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656,000</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35,188</w:t>
            </w: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66,115</w:t>
            </w: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1364</w:t>
            </w:r>
          </w:p>
        </w:tc>
        <w:tc>
          <w:tcPr>
            <w:tcW w:w="5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1,852,817</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Satish Pai</w:t>
            </w:r>
          </w:p>
        </w:tc>
        <w:tc>
          <w:tcPr>
            <w:tcW w:w="4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551,378</w:t>
            </w:r>
          </w:p>
        </w:tc>
        <w:tc>
          <w:tcPr>
            <w:tcW w:w="4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609,273</w:t>
            </w:r>
          </w:p>
        </w:tc>
        <w:tc>
          <w:tcPr>
            <w:tcW w:w="11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393,600</w:t>
            </w:r>
          </w:p>
        </w:tc>
        <w:tc>
          <w:tcPr>
            <w:tcW w:w="4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20,540</w:t>
            </w:r>
          </w:p>
        </w:tc>
        <w:tc>
          <w:tcPr>
            <w:tcW w:w="6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73,638</w:t>
            </w:r>
          </w:p>
        </w:tc>
        <w:tc>
          <w:tcPr>
            <w:tcW w:w="6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4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8099</w:t>
            </w:r>
          </w:p>
        </w:tc>
        <w:tc>
          <w:tcPr>
            <w:tcW w:w="5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1,656,528</w:t>
            </w:r>
          </w:p>
        </w:tc>
        <w:tc>
          <w:tcPr>
            <w:tcW w:w="0" w:type="dxa"/>
            <w:vAlign w:val="bottom"/>
          </w:tcPr>
          <w:p>
            <w:pPr>
              <w:spacing w:after="0"/>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Company cost of medical, prescription drug, vision, dental, life insurance and disability</w:t>
      </w:r>
    </w:p>
    <w:p>
      <w:pPr>
        <w:spacing w:after="0"/>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2"/>
          <w:szCs w:val="12"/>
          <w:color w:val="auto"/>
        </w:rPr>
        <w:t>Does not include a $24,000 housing allowance in lieu of hotel expenses.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described above, the named executive officers are also participants in certain of the Company’s pension and profit sharing plans. The following table identifies</w:t>
      </w:r>
    </w:p>
    <w:p>
      <w:pPr>
        <w:spacing w:after="0" w:line="38"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aggregate annual payments that each named executive officer would be entitled to receive under the pension plans for life at normal retirement age and</w:t>
      </w:r>
    </w:p>
    <w:p>
      <w:pPr>
        <w:spacing w:after="0" w:line="32" w:lineRule="exact"/>
        <w:rPr>
          <w:rFonts w:ascii="Arial" w:cs="Arial" w:eastAsia="Arial" w:hAnsi="Arial"/>
          <w:sz w:val="16"/>
          <w:szCs w:val="16"/>
          <w:color w:val="auto"/>
        </w:rPr>
      </w:pPr>
    </w:p>
    <w:p>
      <w:pPr>
        <w:ind w:right="200" w:firstLine="8"/>
        <w:spacing w:after="0" w:line="261"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account balances the executive would be entitled to receive in a lump sum upon satisfaction of certain conditions under the profit sharing plans, in either case if the executive had terminated employment on December 31, 2005.</w:t>
      </w:r>
    </w:p>
    <w:p>
      <w:pPr>
        <w:spacing w:after="0" w:line="113" w:lineRule="exact"/>
        <w:rPr>
          <w:sz w:val="20"/>
          <w:szCs w:val="20"/>
          <w:color w:val="auto"/>
        </w:rPr>
      </w:pPr>
    </w:p>
    <w:tbl>
      <w:tblPr>
        <w:tblLayout w:type="fixed"/>
        <w:tblInd w:w="1450" w:type="dxa"/>
        <w:tblCellMar>
          <w:top w:w="0" w:type="dxa"/>
          <w:left w:w="0" w:type="dxa"/>
          <w:bottom w:w="0" w:type="dxa"/>
          <w:right w:w="0" w:type="dxa"/>
        </w:tblCellMar>
      </w:tblPr>
      <w:tr>
        <w:trPr>
          <w:trHeight w:val="149"/>
        </w:trPr>
        <w:tc>
          <w:tcPr>
            <w:tcW w:w="4360" w:type="dxa"/>
            <w:vAlign w:val="bottom"/>
            <w:tcBorders>
              <w:top w:val="single" w:sz="8" w:color="auto"/>
              <w:left w:val="single" w:sz="8" w:color="auto"/>
              <w:right w:val="single" w:sz="8" w:color="auto"/>
            </w:tcBorders>
          </w:tcPr>
          <w:p>
            <w:pPr>
              <w:spacing w:after="0"/>
              <w:rPr>
                <w:sz w:val="12"/>
                <w:szCs w:val="12"/>
                <w:color w:val="auto"/>
              </w:rPr>
            </w:pPr>
          </w:p>
        </w:tc>
        <w:tc>
          <w:tcPr>
            <w:tcW w:w="1840" w:type="dxa"/>
            <w:vAlign w:val="bottom"/>
            <w:tcBorders>
              <w:top w:val="single" w:sz="8" w:color="auto"/>
              <w:right w:val="single" w:sz="8" w:color="auto"/>
            </w:tcBorders>
            <w:gridSpan w:val="2"/>
          </w:tcPr>
          <w:p>
            <w:pPr>
              <w:ind w:left="940"/>
              <w:spacing w:after="0" w:line="149" w:lineRule="exact"/>
              <w:rPr>
                <w:sz w:val="20"/>
                <w:szCs w:val="20"/>
                <w:color w:val="auto"/>
              </w:rPr>
            </w:pPr>
            <w:r>
              <w:rPr>
                <w:rFonts w:ascii="Arial" w:cs="Arial" w:eastAsia="Arial" w:hAnsi="Arial"/>
                <w:sz w:val="14"/>
                <w:szCs w:val="14"/>
                <w:b w:val="1"/>
                <w:bCs w:val="1"/>
                <w:color w:val="auto"/>
                <w:w w:val="87"/>
              </w:rPr>
              <w:t>Annual Benefit</w:t>
            </w:r>
          </w:p>
        </w:tc>
        <w:tc>
          <w:tcPr>
            <w:tcW w:w="2360" w:type="dxa"/>
            <w:vAlign w:val="bottom"/>
            <w:tcBorders>
              <w:top w:val="single" w:sz="8" w:color="auto"/>
              <w:right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Lump Sum Benefit</w:t>
            </w:r>
          </w:p>
        </w:tc>
      </w:tr>
      <w:tr>
        <w:trPr>
          <w:trHeight w:val="161"/>
        </w:trPr>
        <w:tc>
          <w:tcPr>
            <w:tcW w:w="4360" w:type="dxa"/>
            <w:vAlign w:val="bottom"/>
            <w:tcBorders>
              <w:left w:val="single" w:sz="8" w:color="auto"/>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2360" w:type="dxa"/>
            <w:vAlign w:val="bottom"/>
            <w:tcBorders>
              <w:bottom w:val="single" w:sz="8" w:color="auto"/>
              <w:right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w w:val="94"/>
              </w:rPr>
              <w:t>Profit Sharing Plans</w:t>
            </w:r>
          </w:p>
        </w:tc>
      </w:tr>
      <w:tr>
        <w:trPr>
          <w:trHeight w:val="142"/>
        </w:trPr>
        <w:tc>
          <w:tcPr>
            <w:tcW w:w="436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Andrew Gould</w:t>
            </w:r>
          </w:p>
        </w:tc>
        <w:tc>
          <w:tcPr>
            <w:tcW w:w="1180" w:type="dxa"/>
            <w:vAlign w:val="bottom"/>
            <w:tcBorders>
              <w:bottom w:val="single" w:sz="8" w:color="auto"/>
            </w:tcBorders>
            <w:shd w:val="clear" w:color="auto" w:fill="CCEEFF"/>
          </w:tcPr>
          <w:p>
            <w:pPr>
              <w:ind w:left="94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390,286</w:t>
            </w:r>
          </w:p>
        </w:tc>
        <w:tc>
          <w:tcPr>
            <w:tcW w:w="1400" w:type="dxa"/>
            <w:vAlign w:val="bottom"/>
            <w:tcBorders>
              <w:bottom w:val="single" w:sz="8" w:color="auto"/>
            </w:tcBorders>
            <w:shd w:val="clear" w:color="auto" w:fill="CCEEFF"/>
          </w:tcPr>
          <w:p>
            <w:pPr>
              <w:ind w:left="1060"/>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3,214,478</w:t>
            </w:r>
          </w:p>
        </w:tc>
      </w:tr>
      <w:tr>
        <w:trPr>
          <w:trHeight w:val="142"/>
        </w:trPr>
        <w:tc>
          <w:tcPr>
            <w:tcW w:w="43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Chakib Sbiti</w:t>
            </w:r>
          </w:p>
        </w:tc>
        <w:tc>
          <w:tcPr>
            <w:tcW w:w="11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99,747</w:t>
            </w:r>
          </w:p>
        </w:tc>
        <w:tc>
          <w:tcPr>
            <w:tcW w:w="14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832,656</w:t>
            </w:r>
          </w:p>
        </w:tc>
      </w:tr>
      <w:tr>
        <w:trPr>
          <w:trHeight w:val="142"/>
        </w:trPr>
        <w:tc>
          <w:tcPr>
            <w:tcW w:w="436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Jean-Marc Perraud</w:t>
            </w:r>
          </w:p>
        </w:tc>
        <w:tc>
          <w:tcPr>
            <w:tcW w:w="1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116,460</w:t>
            </w:r>
          </w:p>
        </w:tc>
        <w:tc>
          <w:tcPr>
            <w:tcW w:w="1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1,911,344</w:t>
            </w:r>
          </w:p>
        </w:tc>
      </w:tr>
      <w:tr>
        <w:trPr>
          <w:trHeight w:val="142"/>
        </w:trPr>
        <w:tc>
          <w:tcPr>
            <w:tcW w:w="43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Dalton Boutte</w:t>
            </w:r>
          </w:p>
        </w:tc>
        <w:tc>
          <w:tcPr>
            <w:tcW w:w="11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164,607</w:t>
            </w:r>
          </w:p>
        </w:tc>
        <w:tc>
          <w:tcPr>
            <w:tcW w:w="14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929,958</w:t>
            </w:r>
          </w:p>
        </w:tc>
      </w:tr>
      <w:tr>
        <w:trPr>
          <w:trHeight w:val="142"/>
        </w:trPr>
        <w:tc>
          <w:tcPr>
            <w:tcW w:w="436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Satish Pai</w:t>
            </w:r>
          </w:p>
        </w:tc>
        <w:tc>
          <w:tcPr>
            <w:tcW w:w="1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105,101</w:t>
            </w:r>
          </w:p>
        </w:tc>
        <w:tc>
          <w:tcPr>
            <w:tcW w:w="1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749,395</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pension plans do not provide for a lump sum payment, whether upon a change of control or otherwise.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274"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Performance Graph</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w:t>
      </w:r>
    </w:p>
    <w:p>
      <w:pPr>
        <w:spacing w:after="0" w:line="101" w:lineRule="exact"/>
        <w:rPr>
          <w:sz w:val="20"/>
          <w:szCs w:val="20"/>
          <w:color w:val="auto"/>
        </w:rPr>
      </w:pPr>
    </w:p>
    <w:p>
      <w:pPr>
        <w:jc w:val="center"/>
        <w:ind w:left="260" w:right="2180"/>
        <w:spacing w:after="0" w:line="262" w:lineRule="auto"/>
        <w:rPr>
          <w:sz w:val="20"/>
          <w:szCs w:val="20"/>
          <w:color w:val="auto"/>
        </w:rPr>
      </w:pPr>
      <w:r>
        <w:rPr>
          <w:rFonts w:ascii="Arial" w:cs="Arial" w:eastAsia="Arial" w:hAnsi="Arial"/>
          <w:sz w:val="18"/>
          <w:szCs w:val="18"/>
          <w:b w:val="1"/>
          <w:bCs w:val="1"/>
          <w:color w:val="344274"/>
        </w:rPr>
        <w:t>COMPARISON OF FIVE-YEAR CUMULATIVE TOTAL RETURN AMONG SCHLUMBERGER LIMITED, S&amp;P 500 INDEX 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84455</wp:posOffset>
            </wp:positionV>
            <wp:extent cx="5162550" cy="2855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255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Assumes $100 invested on December 31, 2000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Committee</w:t>
      </w:r>
    </w:p>
    <w:p>
      <w:pPr>
        <w:spacing w:after="0" w:line="83" w:lineRule="exact"/>
        <w:rPr>
          <w:sz w:val="20"/>
          <w:szCs w:val="20"/>
          <w:color w:val="auto"/>
        </w:rPr>
      </w:pPr>
    </w:p>
    <w:p>
      <w:pPr>
        <w:ind w:left="240" w:right="180" w:hanging="227"/>
        <w:spacing w:after="0" w:line="305" w:lineRule="auto"/>
        <w:rPr>
          <w:sz w:val="20"/>
          <w:szCs w:val="20"/>
          <w:color w:val="auto"/>
        </w:rPr>
      </w:pPr>
      <w:r>
        <w:rPr>
          <w:rFonts w:ascii="Arial" w:cs="Arial" w:eastAsia="Arial" w:hAnsi="Arial"/>
          <w:sz w:val="15"/>
          <w:szCs w:val="15"/>
          <w:color w:val="auto"/>
        </w:rPr>
        <w:t>The Compensation Committee is comprised of four directors who meet the independence requirements of the New York Stock Exchange’s listing standards. The purpose of the Committee is to assist the Board in carrying out its responsibilities with regard to executive compensation, overseeing the compensation</w:t>
      </w:r>
    </w:p>
    <w:p>
      <w:pPr>
        <w:ind w:right="100"/>
        <w:spacing w:after="0" w:line="281" w:lineRule="auto"/>
        <w:rPr>
          <w:sz w:val="20"/>
          <w:szCs w:val="20"/>
          <w:color w:val="auto"/>
        </w:rPr>
      </w:pPr>
      <w:r>
        <w:rPr>
          <w:rFonts w:ascii="Arial" w:cs="Arial" w:eastAsia="Arial" w:hAnsi="Arial"/>
          <w:sz w:val="16"/>
          <w:szCs w:val="16"/>
          <w:color w:val="auto"/>
        </w:rPr>
        <w:t>philosophy of Schlumberger, serving as the Stock Option Committee under Schlumberger’s stock option plans, and reporting on executive compensation and benefits to the Company’s stockholders. With regard to CEO compensation, the Committee reviews and approves annual objectives, evaluates performance and recommends compensation to the non-management members of the Board. The Committee reviews the compensation and benefits of Schlumberger’s executive officers and administers and makes awards under the Company’s stock option plans.</w:t>
      </w:r>
    </w:p>
    <w:p>
      <w:pPr>
        <w:spacing w:after="0" w:line="3" w:lineRule="exact"/>
        <w:rPr>
          <w:sz w:val="20"/>
          <w:szCs w:val="20"/>
          <w:color w:val="auto"/>
        </w:rPr>
      </w:pPr>
    </w:p>
    <w:p>
      <w:pPr>
        <w:ind w:right="100" w:firstLine="228"/>
        <w:spacing w:after="0" w:line="323" w:lineRule="auto"/>
        <w:rPr>
          <w:sz w:val="20"/>
          <w:szCs w:val="20"/>
          <w:color w:val="auto"/>
        </w:rPr>
      </w:pPr>
      <w:r>
        <w:rPr>
          <w:rFonts w:ascii="Arial" w:cs="Arial" w:eastAsia="Arial" w:hAnsi="Arial"/>
          <w:sz w:val="16"/>
          <w:szCs w:val="16"/>
          <w:color w:val="auto"/>
        </w:rPr>
        <w:t>The Committee retains a consulting firm that advises them on subjects relating to executive compensation. Management does not work with this firm on any assignments other than topics of interest to the Committee. The consultants report to and act at the direction of the Compensation Committee.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Principles of Compensation Philosophy</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compensation philosophy is to maintain the short-and long-term motivation of its employees through programs designed to promote their retention in support of the Company’s business needs. These programs have consistently been the same design for all exempt employees, from entry through executive levels, and are based on reward for performance. This is achieved through an annual objectives-setting process and review, which extends globally through the exempt population. The Company sets its reward targets to be competitive with selected companies in the oil and general industry sectors, referred to as the comparator group. The Committee considers the benchmark compensation data for the comparator group in making their decisions. In years of average performance the Committee positions executive jobs at or around the median of the market, but positions compensation between the 50th and 75th percentiles or higher for exceptional business performance, for key skills in critical demand, and for positions that are of high internal value. The same compensation vehicles are used for all levels of exempt employees: base salary, annual incentive and stock awards. Additionally, the Company provides minimal perquisites and has no employment agreements. Change in control mechanisms are limited to full vesting of stock options and the supplemental retirement savings plan should the Company be acquired.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Components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 Base Salary</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salary range midpoints are generally positioned around the median of the comparator markets (as described below)</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salaries are reviewed annually</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While the Company targets the median base salary of the comparator group, the Committee is willing to pay more for positions in high demand or to those employees determined to have high internal value. This is particularly true today with the level of market competitiveness and the high demand for technically trained professionals.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 Annual Performance-Based Incentive</w:t>
      </w:r>
    </w:p>
    <w:p>
      <w:pPr>
        <w:spacing w:after="0" w:line="7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years of less than excellent performance, the annual incentive payout is at or below the median of the comparator market.</w:t>
      </w:r>
    </w:p>
    <w:p>
      <w:pPr>
        <w:spacing w:after="0" w:line="36"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years of outstanding performance, the Committee approves annual performance-based cash incentives to be in the top quartile of the comparator market for recognition, motivation and retention purposes.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Compensation</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combination of base salary and annual incentive is positioned competitively against the market, based on individual and Company performance. When the individual and Company have average results, cash compensation is positioned at or below the median of the market. With outstanding results, cash compensation is positioned at the 75th percentile or higher versus the market.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third component of compensation is long-term incentives, which for Schlumberger is stock options. The Company’s stock option plan aligns executive interests with those of stockholders. Additionally, the Company maintains a stock purchase plan designed to allow all employees, where permitted by local law, to own equity in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ind w:left="780" w:right="340" w:hanging="326"/>
        <w:spacing w:after="0" w:line="25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options are awarded annually to retain high value employees and to reward a specific achievement. The use of stock options has long been a vital component of the Company’s overall compensation philosophy.</w:t>
      </w:r>
    </w:p>
    <w:p>
      <w:pPr>
        <w:ind w:left="780" w:right="100" w:hanging="326"/>
        <w:spacing w:after="0" w:line="281"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 options are granted with an exercise price equal to the fair market value on the date of grant; vest 25% annually over four years; and have a ten-year life. The gain on appreciation for all options granted since July 2003 is capped at 125% of the price on the date of grant.</w:t>
      </w:r>
    </w:p>
    <w:p>
      <w:pPr>
        <w:spacing w:after="0" w:line="1" w:lineRule="exact"/>
        <w:rPr>
          <w:rFonts w:ascii="Arial" w:cs="Arial" w:eastAsia="Arial" w:hAnsi="Arial"/>
          <w:sz w:val="16"/>
          <w:szCs w:val="16"/>
          <w:color w:val="auto"/>
        </w:rPr>
      </w:pPr>
    </w:p>
    <w:p>
      <w:pPr>
        <w:ind w:left="780" w:right="60" w:hanging="326"/>
        <w:spacing w:after="0" w:line="250"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Exempt employees are eligible for stock options. Company management conducts a review annually to identify high value employees and those who have made a significant achievement or received a key promotion during the year. Recommending an employee for a stock option grant at Schlumberger is a highly selective and discretionary process. Each grant typically includes fewer than 10% of the exempt population. Nominations are based on performance and results.</w:t>
      </w:r>
    </w:p>
    <w:p>
      <w:pPr>
        <w:spacing w:after="0" w:line="1" w:lineRule="exact"/>
        <w:rPr>
          <w:rFonts w:ascii="Arial" w:cs="Arial" w:eastAsia="Arial" w:hAnsi="Arial"/>
          <w:sz w:val="18"/>
          <w:szCs w:val="18"/>
          <w:color w:val="auto"/>
        </w:rPr>
      </w:pPr>
    </w:p>
    <w:p>
      <w:pPr>
        <w:ind w:left="780" w:hanging="326"/>
        <w:spacing w:after="0" w:line="254"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Option grants are based on performance, potential impact on the Company, support of long-term retention and comparison to the comparator market and internal peer jobs. The Committee approves the size of each general grant with the knowledge of comparator market data of the selected oil and oil-related and general industry peer group practices, and reviews by name each recommendation of 5,000 shares or more. The Committee also reviews key statistics of each general grant, including nationality and gender diversity.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Direct Compensation (Base Salary + Annual Incentive + Long Term Incentive)</w:t>
      </w:r>
    </w:p>
    <w:p>
      <w:pPr>
        <w:spacing w:after="0" w:line="7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portion of an employee’s total direct compensation that varies based on individual and Company performance is related to the job’s impact on the Company’s overall success. The higher the job impact, the higher the percent of variable pay in the mix of total compensation. The Committee positions the total direct compensation versus the market based on individual and company performance, market demand and the need to retain certain key individuals.</w:t>
      </w:r>
    </w:p>
    <w:p>
      <w:pPr>
        <w:spacing w:after="0" w:line="1" w:lineRule="exact"/>
        <w:rPr>
          <w:sz w:val="20"/>
          <w:szCs w:val="20"/>
          <w:color w:val="auto"/>
        </w:rPr>
      </w:pPr>
    </w:p>
    <w:p>
      <w:pPr>
        <w:jc w:val="both"/>
        <w:ind w:right="440" w:firstLine="228"/>
        <w:spacing w:after="0" w:line="302" w:lineRule="auto"/>
        <w:rPr>
          <w:sz w:val="20"/>
          <w:szCs w:val="20"/>
          <w:color w:val="auto"/>
        </w:rPr>
      </w:pPr>
      <w:r>
        <w:rPr>
          <w:rFonts w:ascii="Arial" w:cs="Arial" w:eastAsia="Arial" w:hAnsi="Arial"/>
          <w:sz w:val="16"/>
          <w:szCs w:val="16"/>
          <w:color w:val="auto"/>
        </w:rPr>
        <w:t>As regards executive compensation, the Committee may decide, as appropriate, to modify the mix of base, annual and long term incentives to best fit an officer’s specific circumstances. For example, the Committee may reduce the size of a typical stock option award with a corresponding increase in incentive award. This provides more flexibility to the Committee to reward officers appropriately as they near retirement.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Stock/Restricted Stock Units Proposal</w:t>
      </w:r>
    </w:p>
    <w:p>
      <w:pPr>
        <w:spacing w:after="0" w:line="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Due to the extreme market competitiveness for expertise in the oilfield services arena, and with the intention of expanding the mix of the Company’s long-term incentive programs, the Committee has reviewed, approved and is proposing for approval by the shareholders an amendment to the 2005 stock option plan to include the ability to grant restricted stock and restricted stock units. The proposed amendment would not add to the current authorized shares under the 2005 Stock Option Plan, and would limit the number of available shares for use as restricted stock and restricted stock units to three million shares (after giving effect to the recently announced stock split). The plan as amended would require a vesting schedule, holding period or combination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 w:name="page19"/>
    <w:bookmarkEnd w:id="18"/>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vesting and holding period totaling a minimum of three years from date of award for awards that do not contain performance criteria. Under the proposed amendment, executive officers would not be eligible for grants of restricted stock or restricted stock units without performance criteria.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Committee Activities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addition to the compensation plans mentioned above, the Committee reviews and approves benefit and compensation plans in which the executive officers participate. In 2005, the Committee reviewed the design of and Company contributions to the U.S. and International Staff pension and profit sharing plans, and approved cost-of-living updates to the U.S. and International Staff active and retiree pension plans. Updates are used for career average pension plans that do not automatically adjust for inflationary loss in purchasing power. With the approval of the Committee, the Company grants discretionary increases on retiree pensions when it is deemed appropriate, based on factors such as funding level and effects of inflation.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Committee reviewed the Company’s deferred benefit plans to ensure compliance with the American Jobs Creation Act of 2004, which added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409A to the US Internal Revenue Code and, among other things, limits an individual’s ability to control certain payments from deferred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9" w:lineRule="exact"/>
        <w:rPr>
          <w:sz w:val="20"/>
          <w:szCs w:val="20"/>
          <w:color w:val="auto"/>
        </w:rPr>
      </w:pPr>
    </w:p>
    <w:p>
      <w:pPr>
        <w:ind w:right="320" w:firstLine="228"/>
        <w:spacing w:after="0" w:line="250" w:lineRule="auto"/>
        <w:rPr>
          <w:sz w:val="20"/>
          <w:szCs w:val="20"/>
          <w:color w:val="auto"/>
        </w:rPr>
      </w:pPr>
      <w:r>
        <w:rPr>
          <w:rFonts w:ascii="Arial" w:cs="Arial" w:eastAsia="Arial" w:hAnsi="Arial"/>
          <w:sz w:val="18"/>
          <w:szCs w:val="18"/>
          <w:color w:val="auto"/>
        </w:rPr>
        <w:t>In April the Committee reviewed compensation for the technical communities (not including executive officers), with a view to strengthen retention. As a result, there was a special merit review for high performers within these groups and a special stock option grant.</w:t>
      </w:r>
    </w:p>
    <w:p>
      <w:pPr>
        <w:spacing w:after="0" w:line="1"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The Committee established a country-specific sub plan under the 2005 Stock Option Plan in order to comply with a country’s requirements and to allow the Company to better manage the cost of the plan.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July, the Committee reviewed all US healthcare plans from the perspectives of cost, compliance and potential changes for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Selection of Comparator Market Companies</w:t>
      </w:r>
    </w:p>
    <w:p>
      <w:pPr>
        <w:spacing w:after="0" w:line="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Committee approves the companies used in the annual executive competitive analysis, which are recommended by the Committee’s outside consultants. The 2005 comparator company data are taken from recognized executive compensation surveys. There are two peer groups: The first peer group includes 33 companies in the oil services, exploration and production, refining and pipeline industries, including 11 direct competitors in the oilfield services industry, which are part of the Value Line comparator companies. These companies have median revenues and assets similar to Schlumberger. In 2005, several international oil and oil-related companies that meet the established criteria were added to the list at the request of the Committee.</w:t>
      </w:r>
    </w:p>
    <w:p>
      <w:pPr>
        <w:spacing w:after="0" w:line="2" w:lineRule="exact"/>
        <w:rPr>
          <w:sz w:val="20"/>
          <w:szCs w:val="20"/>
          <w:color w:val="auto"/>
        </w:rPr>
      </w:pPr>
    </w:p>
    <w:p>
      <w:pPr>
        <w:ind w:right="280" w:firstLine="228"/>
        <w:spacing w:after="0" w:line="323" w:lineRule="auto"/>
        <w:rPr>
          <w:sz w:val="20"/>
          <w:szCs w:val="20"/>
          <w:color w:val="auto"/>
        </w:rPr>
      </w:pPr>
      <w:r>
        <w:rPr>
          <w:rFonts w:ascii="Arial" w:cs="Arial" w:eastAsia="Arial" w:hAnsi="Arial"/>
          <w:sz w:val="16"/>
          <w:szCs w:val="16"/>
          <w:color w:val="auto"/>
        </w:rPr>
        <w:t>The second peer group includes 78 companies of similarly sized revenues ($5-$25 billion, median revenue $10 billion). Excluded from this peer group are companies from industry sectors that are least comparable to Schlumberger’s areas of focus and do not have a global presence.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Committee has set January as the time each year that executive officer compensation will be reviewed, including base salary, annual performance-based cash incentives and stock option awards. Special stock option grants may be awarded to non-executive officers for specific achievements and promotions during the quarterly Committee meetings of the Board.</w:t>
      </w:r>
    </w:p>
    <w:p>
      <w:pPr>
        <w:ind w:firstLine="228"/>
        <w:spacing w:after="0" w:line="250" w:lineRule="auto"/>
        <w:rPr>
          <w:sz w:val="20"/>
          <w:szCs w:val="20"/>
          <w:color w:val="auto"/>
        </w:rPr>
      </w:pPr>
      <w:r>
        <w:rPr>
          <w:rFonts w:ascii="Arial" w:cs="Arial" w:eastAsia="Arial" w:hAnsi="Arial"/>
          <w:sz w:val="18"/>
          <w:szCs w:val="18"/>
          <w:color w:val="auto"/>
        </w:rPr>
        <w:t>In 2005 the Committee reviewed internal pay equity, meaning the relative positioning of the compensation package of the CEO and the other executive officers. In October 2005 the Committee requested that an overview of executive compensation practices be presented to the full Board. The Committee also requested that the outside compensation consultants prepare and present a benchmarking of executive compensation market practices, which was presented to the Committee in October.</w:t>
      </w:r>
    </w:p>
    <w:p>
      <w:pPr>
        <w:spacing w:after="0" w:line="2" w:lineRule="exact"/>
        <w:rPr>
          <w:sz w:val="20"/>
          <w:szCs w:val="20"/>
          <w:color w:val="auto"/>
        </w:rPr>
      </w:pPr>
    </w:p>
    <w:p>
      <w:pPr>
        <w:jc w:val="both"/>
        <w:ind w:right="80" w:firstLine="228"/>
        <w:spacing w:after="0" w:line="255" w:lineRule="auto"/>
        <w:rPr>
          <w:sz w:val="20"/>
          <w:szCs w:val="20"/>
          <w:color w:val="auto"/>
        </w:rPr>
      </w:pPr>
      <w:r>
        <w:rPr>
          <w:rFonts w:ascii="Arial" w:cs="Arial" w:eastAsia="Arial" w:hAnsi="Arial"/>
          <w:sz w:val="18"/>
          <w:szCs w:val="18"/>
          <w:color w:val="auto"/>
        </w:rPr>
        <w:t>Also in 2005 the Company developed tally sheets for the named executive officers that list all amounts of compensation provided by the Company, including base salary, annual incentive, vested and unvested long-term incentives, the dollar value of benefits and perquisites, including qualified and non-qualified plans. The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tally sheet also lists the lump sum benefits the executives would receive if they were to terminate/retire from the Company.</w:t>
      </w:r>
    </w:p>
    <w:p>
      <w:pPr>
        <w:spacing w:after="0" w:line="15"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to the Company’s Chief Executive Officer or any of the other four most highly compensated executives. The Company’s stock option plans are in compliance with the provisions of Section 162(m) and are not subject to the $1 million limitation. The Committee continues to believe that the cash compensation payable in excess of this amount for the five named executives will not result in any material loss of tax deduction.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Elements for Executive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Each executive officer position is compared to similar jobs in both peer groups, as explained above. A base salary increase is awarded according to individual performance against objectives, comparison to internal peer positions, the Company’s relative performance during the year and comparator market movement. A base salary is generally fixed for a number of years.</w:t>
      </w:r>
    </w:p>
    <w:p>
      <w:pPr>
        <w:ind w:right="200" w:firstLine="228"/>
        <w:spacing w:after="0" w:line="323" w:lineRule="auto"/>
        <w:rPr>
          <w:sz w:val="20"/>
          <w:szCs w:val="20"/>
          <w:color w:val="auto"/>
        </w:rPr>
      </w:pPr>
      <w:r>
        <w:rPr>
          <w:rFonts w:ascii="Arial" w:cs="Arial" w:eastAsia="Arial" w:hAnsi="Arial"/>
          <w:sz w:val="16"/>
          <w:szCs w:val="16"/>
          <w:color w:val="auto"/>
        </w:rPr>
        <w:t>The comparative market data provides guidance to the Committee in making decisions on executive compensation. However, the Committee determines the compensation of an executive officer based on the value of the position to the Company and the market competitiveness for the position’s requisite skills.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the executive officer level, the annual performance-based cash incentive program is a combination of financial and personal objectives, each providing half of the award opportunity. Award criteria vary by position and are expressed as a percentage of base salary. In 2005, the financial half of the executive officer’s incentive was based on earnings per share. A minimum performance level is set, below which no incentive is paid for this half of the incentive. For executive officers (and certain other high level management positions), if the financial performance exceeds preset, approved objectives, the financial half of the award can increase from 100% to up to 200% of the incentive potential (increasing the total annual incentive opportunity to 150% of the total award). The second half of the incentive is related to personal objectives that may include market share, acquisitions, divestitures, growth or any relevant business priority.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Stock options are a key element of executive compensation. The size of the grant is based on performance, significant promotion, comparison of comparator market practices for similar-sized jobs, as well as total career grants compared with internal peer jobs. In recent years, options for executive officers have been granted early in the year with respect to performance in the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Compensation (Annual Cash-Based Incentive and Long Term Incentive)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Typically, the variable performance-based portion of compensation, including annual performance-based cash incentives and stock options, comprises more than 60% of an executive officer’s compensation. The Committee may decide to vary the mix of variable compensation depending on the specific circumstances of the executive officer. There were no changes in the mix of pay for 2005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Guidelines (For Executive Officers and other Key Positions)</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Committee and management believe strongly in linking stockholder value with executive long-term rewards, so executive officers and other key position holders have stock ownership guidelines. The guidelines include ownership requirements for the CEO at 5 times base salary; Executive Vice Presidents at 3 times base salary; Officers at 1.5 times base salary and key staff positions at 1 times base salary. In addition, each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0" w:name="page21"/>
    <w:bookmarkEnd w:id="20"/>
    <w:p>
      <w:pPr>
        <w:jc w:val="both"/>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covered by the guidelines must hold in shares at least 30% of their gain on the stock option exercise for a period of six months. Those who do not meet the guidelines after the six-month period must continue to hold the shares until the guidelines are met. There is no specified timeline to achieve the guidelines, as many of the executives hold their options for the life of the grant.</w:t>
      </w:r>
    </w:p>
    <w:p>
      <w:pPr>
        <w:ind w:firstLine="228"/>
        <w:spacing w:after="0" w:line="255" w:lineRule="auto"/>
        <w:rPr>
          <w:sz w:val="20"/>
          <w:szCs w:val="20"/>
          <w:color w:val="auto"/>
        </w:rPr>
      </w:pPr>
      <w:r>
        <w:rPr>
          <w:rFonts w:ascii="Arial" w:cs="Arial" w:eastAsia="Arial" w:hAnsi="Arial"/>
          <w:sz w:val="18"/>
          <w:szCs w:val="18"/>
          <w:color w:val="auto"/>
        </w:rPr>
        <w:t>The guidelines prohibit executives from speculating in the Company’s stock, which includes, but is not limited to, short selling (profiting if the market price of the securities decreases); buying or selling publicly traded options, including writing covered calls; and hedging or any other type of derivative arrangement that has a similar economic effect.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Benefits for Executive Officers</w:t>
      </w:r>
    </w:p>
    <w:p>
      <w:pPr>
        <w:spacing w:after="0" w:line="77" w:lineRule="exact"/>
        <w:rPr>
          <w:sz w:val="20"/>
          <w:szCs w:val="20"/>
          <w:color w:val="auto"/>
        </w:rPr>
      </w:pPr>
    </w:p>
    <w:p>
      <w:pPr>
        <w:ind w:right="720"/>
        <w:spacing w:after="0" w:line="254" w:lineRule="auto"/>
        <w:rPr>
          <w:sz w:val="20"/>
          <w:szCs w:val="20"/>
          <w:color w:val="auto"/>
        </w:rPr>
      </w:pPr>
      <w:r>
        <w:rPr>
          <w:rFonts w:ascii="Arial" w:cs="Arial" w:eastAsia="Arial" w:hAnsi="Arial"/>
          <w:sz w:val="18"/>
          <w:szCs w:val="18"/>
          <w:color w:val="auto"/>
        </w:rPr>
        <w:t>Schlumberger executives enjoy the same benefits other employees are offered, including medical exams and supplemental plans chosen and paid for by employees who want the additional coverage.</w:t>
      </w:r>
    </w:p>
    <w:p>
      <w:pPr>
        <w:jc w:val="both"/>
        <w:ind w:right="180" w:firstLine="228"/>
        <w:spacing w:after="0" w:line="250" w:lineRule="auto"/>
        <w:rPr>
          <w:sz w:val="20"/>
          <w:szCs w:val="20"/>
          <w:color w:val="auto"/>
        </w:rPr>
      </w:pPr>
      <w:r>
        <w:rPr>
          <w:rFonts w:ascii="Arial" w:cs="Arial" w:eastAsia="Arial" w:hAnsi="Arial"/>
          <w:sz w:val="18"/>
          <w:szCs w:val="18"/>
          <w:color w:val="auto"/>
        </w:rPr>
        <w:t>Employees assigned outside the US are covered by country-specific benefit plans, while all employees in the US whose compensation exceeds the qualified plan limits are eligible to participate in non-qualified excess benefit programs for 401(k), profit sharing and pension, entitling them to receive larger allocations and make larger contributions than allowed under the qualified plan limits.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are no employment agreements for the executive officers.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Named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Messrs Boutte, Perraud and Pai were not awarded a base salary increase in 2005. The Committee approved a base salary increase for Mr. Sbiti, to €600,000, effective January 2006, to recognize the significant management responsibility of the position and Mr. Sbiti’s performance during the year. Mr. Sbiti’s last base salary increase was in January 2003. This base salary change places Mr. Sbiti between the 50th and the 75th percentiles of the comparator market.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Incentives are paid in February for the prior year’s performance against agreed-to objectives. In 2005 the financial half of the incentive for each of the named executive officers was based on an earnings per share goal that was exceeded. The second half of the incentive for Messrs. Sbiti, Boutte and Pai focused on business objectives for Oilfield Services, WesternGeco and the Technologies Group of Oilfield Services, respectively. Their awards were commensurate with the financial performance of their respective business as measured against their goals. The second half of Mr. Perraud’s performance-based cash incentive included business and function-related objectives. His award was commensurate with achievement of these goals. In each case the named executive officer did not receive the full payout on the personal half of their objectives.</w:t>
      </w:r>
    </w:p>
    <w:p>
      <w:pPr>
        <w:spacing w:after="0" w:line="1" w:lineRule="exact"/>
        <w:rPr>
          <w:sz w:val="20"/>
          <w:szCs w:val="20"/>
          <w:color w:val="auto"/>
        </w:rPr>
      </w:pPr>
    </w:p>
    <w:p>
      <w:pPr>
        <w:ind w:right="200" w:firstLine="228"/>
        <w:spacing w:after="0" w:line="261" w:lineRule="auto"/>
        <w:rPr>
          <w:sz w:val="20"/>
          <w:szCs w:val="20"/>
          <w:color w:val="auto"/>
        </w:rPr>
      </w:pPr>
      <w:r>
        <w:rPr>
          <w:rFonts w:ascii="Arial" w:cs="Arial" w:eastAsia="Arial" w:hAnsi="Arial"/>
          <w:sz w:val="18"/>
          <w:szCs w:val="18"/>
          <w:color w:val="auto"/>
        </w:rPr>
        <w:t>The combination of base salary and performance-based cash incentives placed Messrs. Sbiti, Perraud and Boutte in the top quartile of the comparator group and Mr. Pai between the 50th and 75th percentiles of the comparator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Messrs. Sbiti, Perraud, Boutte and Pai were granted capped stock options in 2005 and 2006 with vesting over four years and a ten-year term.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Direct Compensation</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2005, these executive officers received in excess of 60% of their annual compensation in the form of variable components, which include the performance-based cash incentive and the value of their 2005 stock option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Overall, the total direct compensation for Messrs. Sbiti, and Perraud was between the 50th and 75th percentiles of the market. Mr. Boutte was placed in the top quartile of the market, and Mr. Pai at the median of the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Chief Executive Officer and Chairman of the Board</w:t>
      </w:r>
    </w:p>
    <w:p>
      <w:pPr>
        <w:spacing w:after="0" w:line="83"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Mr. Gould’s base salary was set at $1,500,000 in 2003, when he became CEO of the Company. The Committee awarded Mr. Gould a base salary increase to $2,500,000, effective January 2006. This increase is based on the Committee’s evaluation of Mr. Gould’s exceptional business and individual performance in 2005 and places Mr. Gould’s base salary in the top quartile of the comparator market.</w:t>
      </w:r>
    </w:p>
    <w:p>
      <w:pPr>
        <w:jc w:val="both"/>
        <w:ind w:firstLine="228"/>
        <w:spacing w:after="0" w:line="250" w:lineRule="auto"/>
        <w:rPr>
          <w:sz w:val="20"/>
          <w:szCs w:val="20"/>
          <w:color w:val="auto"/>
        </w:rPr>
      </w:pPr>
      <w:r>
        <w:rPr>
          <w:rFonts w:ascii="Arial" w:cs="Arial" w:eastAsia="Arial" w:hAnsi="Arial"/>
          <w:sz w:val="18"/>
          <w:szCs w:val="18"/>
          <w:color w:val="auto"/>
        </w:rPr>
        <w:t>In years when the Company’s performance significantly exceeds expectations, Mr. Gould’s annual incentive opportunity can reach a maximum level of 150% of base salary. Early each year the Compensation Committee approves the objectives the CEO will work toward during the year. In 2005, the financial half of the performance-based incentive was an earnings per share goal, which was exceeded.</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The second half of the annual performance-based cash incentive award reflects the Committee’s evaluation of Mr. Gould’s performance against strategic and business objectives that are presented to and approved by the Committee early in the year. In 2005, Mr. Gould had objectives in the areas of acquisitions and divestitures, new strategic directions in R&amp;D, familiarizing the market with Schlumberger’s strategy for Integrated Project Management (IPM) and entering specific new markets.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Based on Mr. Gould’s overall results in 2005, the Committee recommended and presented to the Board a performance-based cash incentive award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$2,175,000, which places Mr. Gould’s 2005 total cash compensation (base salary and annual incentive) between the 50th and 75th percentiles of the comparator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9" w:lineRule="exact"/>
        <w:rPr>
          <w:sz w:val="20"/>
          <w:szCs w:val="20"/>
          <w:color w:val="auto"/>
        </w:rPr>
      </w:pPr>
    </w:p>
    <w:p>
      <w:pPr>
        <w:jc w:val="both"/>
        <w:ind w:right="20" w:firstLine="228"/>
        <w:spacing w:after="0" w:line="300" w:lineRule="auto"/>
        <w:rPr>
          <w:sz w:val="20"/>
          <w:szCs w:val="20"/>
          <w:color w:val="auto"/>
        </w:rPr>
      </w:pPr>
      <w:r>
        <w:rPr>
          <w:rFonts w:ascii="Arial" w:cs="Arial" w:eastAsia="Arial" w:hAnsi="Arial"/>
          <w:sz w:val="15"/>
          <w:szCs w:val="15"/>
          <w:color w:val="auto"/>
        </w:rPr>
        <w:t>The Committee awarded Mr. Gould a stock option grant of 400,000 shares in January 2005 and a stock option grant of 400,000 shares in January 2006. Both grants have a cap on the gain at 125% of the price on the date of grant, a ten-year term and vest 25% each year following the date of grant. When considering the size of the grant for the CEO, the Committee takes into account Company and personal performance during the year, benchmark data, and internal equity.</w:t>
      </w:r>
    </w:p>
    <w:p>
      <w:pPr>
        <w:spacing w:after="0" w:line="1" w:lineRule="exact"/>
        <w:rPr>
          <w:sz w:val="20"/>
          <w:szCs w:val="20"/>
          <w:color w:val="auto"/>
        </w:rPr>
      </w:pPr>
    </w:p>
    <w:p>
      <w:pPr>
        <w:ind w:right="160" w:firstLine="228"/>
        <w:spacing w:after="0" w:line="292" w:lineRule="auto"/>
        <w:rPr>
          <w:sz w:val="20"/>
          <w:szCs w:val="20"/>
          <w:color w:val="auto"/>
        </w:rPr>
      </w:pPr>
      <w:r>
        <w:rPr>
          <w:rFonts w:ascii="Arial" w:cs="Arial" w:eastAsia="Arial" w:hAnsi="Arial"/>
          <w:sz w:val="16"/>
          <w:szCs w:val="16"/>
          <w:color w:val="auto"/>
        </w:rPr>
        <w:t>Mr. Gould received more than 70% of his 2005 annual compensation from variable compensation components, which include his performance-based cash incentive paid in January 2006 and the value of his January 2005 stock option grant, positioning his total direct compensation (base salary + annual incentive + stock options) between the 50th and 75th percentiles of the comparator market. As stated earlier in the report, Schlumberger does not provide an employment agreement or significant perquisites to the CEO. There are no change in control vehicles except for stock options, which vest fully should the Company be acquired, as well as full vesting of the Restoration Savings Plan (RSP), the supplemental retirement savings plan.</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4274"/>
        </w:rPr>
        <w:t>Summary Statement</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Committee has reviewed all compensation components for executive officers, including base salary, annual performance-based cash incentives, stock option grants, profit sharing allocations, individual officer perquisites, and the tally sheets containing compensation data.</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340"/>
          </w:cols>
          <w:pgMar w:left="240" w:top="280" w:right="319" w:bottom="1440" w:gutter="0" w:footer="0" w:header="0"/>
        </w:sectPr>
      </w:pPr>
    </w:p>
    <w:p>
      <w:pPr>
        <w:spacing w:after="0" w:line="15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Linda G. Stuntz, Chair</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Jamie S. Gorelick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Nicolas Seydoux</w:t>
      </w:r>
    </w:p>
    <w:p>
      <w:pPr>
        <w:spacing w:after="0" w:line="173" w:lineRule="exact"/>
        <w:rPr>
          <w:sz w:val="20"/>
          <w:szCs w:val="20"/>
          <w:color w:val="auto"/>
        </w:rPr>
      </w:pPr>
    </w:p>
    <w:p>
      <w:pPr>
        <w:sectPr>
          <w:pgSz w:w="11900" w:h="16838" w:orient="portrait"/>
          <w:cols w:equalWidth="0" w:num="2">
            <w:col w:w="5260" w:space="720"/>
            <w:col w:w="5360"/>
          </w:cols>
          <w:pgMar w:left="240" w:top="280"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40"/>
          </w:cols>
          <w:pgMar w:left="240" w:top="280" w:right="31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2005, its Consolidated Statement of Income for the year ended December 31, 2005, as audited by PricewaterhouseCoopers LLP, and the amount of dividends declared by the Board of Directors during 2005 are submitted to the stockholders pursuant to Schlumberger’s Articles of Incorporation.</w:t>
      </w:r>
    </w:p>
    <w:p>
      <w:pPr>
        <w:spacing w:after="0" w:line="1"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A majority of the votes cast is required for the approval of the financial results as set forth in the financial statements and of the declaration of dividends by the Board of Directors as reflected in the 2005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ind w:left="3940" w:right="3000" w:hanging="914"/>
        <w:spacing w:after="0" w:line="378" w:lineRule="auto"/>
        <w:tabs>
          <w:tab w:leader="none" w:pos="3192" w:val="left"/>
        </w:tabs>
        <w:numPr>
          <w:ilvl w:val="0"/>
          <w:numId w:val="19"/>
        </w:numPr>
        <w:rPr>
          <w:rFonts w:ascii="Arial" w:cs="Arial" w:eastAsia="Arial" w:hAnsi="Arial"/>
          <w:sz w:val="15"/>
          <w:szCs w:val="15"/>
          <w:b w:val="1"/>
          <w:bCs w:val="1"/>
          <w:color w:val="344274"/>
        </w:rPr>
      </w:pPr>
      <w:r>
        <w:rPr>
          <w:rFonts w:ascii="Arial" w:cs="Arial" w:eastAsia="Arial" w:hAnsi="Arial"/>
          <w:sz w:val="15"/>
          <w:szCs w:val="15"/>
          <w:b w:val="1"/>
          <w:bCs w:val="1"/>
          <w:color w:val="344274"/>
        </w:rPr>
        <w:t>Adoption of Amendment to Schlumberger’s Articles of Incorporation to Increase Authorized Common Share Capital</w:t>
      </w:r>
    </w:p>
    <w:p>
      <w:pPr>
        <w:spacing w:after="0" w:line="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Board of Directors has proposed for stockholder approval an amendment to Schlumberger’s Articles of Incorporation to increase Schlumberger’s authorized common share capital (as defined in Schlumberger’s Articles of Incorporation) from 1,500,000,000 shares to 3,000,000,000 shares.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Authorized Common Share Capital</w:t>
      </w:r>
    </w:p>
    <w:p>
      <w:pPr>
        <w:spacing w:after="0" w:line="7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On January 19, 2006, Schlumberger announced that its Board of Directors had approved a two-for-one stock split in the form of a stock dividend. Each stockholder of record at the close of business on March 1, 2006, including Schlumberger, will receive one additional share of Schlumberger’s common stock for each share of Schlumberger’s common stock held on the record date. In addition, the number of shares of Schlumberger common stock held in treasury will double as a result of the stock split. The additional shares of stock will be payable on or about April 7, 2006.</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January 31, 2006 and on a pro forma basis to reflect the stock split:</w:t>
      </w:r>
    </w:p>
    <w:p>
      <w:pPr>
        <w:spacing w:after="0" w:line="9" w:lineRule="exact"/>
        <w:rPr>
          <w:sz w:val="20"/>
          <w:szCs w:val="20"/>
          <w:color w:val="auto"/>
        </w:rPr>
      </w:pPr>
    </w:p>
    <w:p>
      <w:pPr>
        <w:ind w:left="780" w:right="320" w:hanging="326"/>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1,181,737,386 shares of Schlumberger common stock were issued and outstanding (excluding 152,474,778 shares of Schlumberger common stock held in treasury);</w:t>
      </w:r>
    </w:p>
    <w:p>
      <w:pPr>
        <w:ind w:left="780" w:right="80" w:hanging="326"/>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38,217,538 shares of Schlumberger common stock were reserved for issuance upon conversion of Schlumberger’s 1.500% convertible debentures and 2.125% convertible debentures;</w:t>
      </w:r>
    </w:p>
    <w:p>
      <w:pPr>
        <w:ind w:left="780" w:right="20" w:hanging="326"/>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56,892,812 shares of Schlumberger common stock were reserved for issuance upon the exercise of stock options granted by Schlumberger prior to that date;</w:t>
      </w:r>
    </w:p>
    <w:p>
      <w:pPr>
        <w:ind w:left="780" w:right="60" w:hanging="326"/>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15,244,308 shares of Schlumberger common stock were available for issuance under Schlumberger’s stock option plans pursuant to options that could be granted in the future;</w:t>
      </w: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12,346,440 shares of Schlumberger common stock were reserved for issuance under Schlumberger’s stock purchase plan; and</w:t>
      </w:r>
    </w:p>
    <w:p>
      <w:pPr>
        <w:spacing w:after="0" w:line="29"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219,000 shares of Schlumberger common stock were reserved for issuance under the Schlumberger Stock and Deferral Plan for Non-Employee Directors</w:t>
      </w:r>
    </w:p>
    <w:p>
      <w:pPr>
        <w:spacing w:after="0" w:line="11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Thus, as of January 31, 2006 and on a pro forma basis to reflect the stock split, Schlumberger has only 42,867,738 unissued shares and 152,474,778 shares in treasury available for future needs.</w:t>
      </w:r>
    </w:p>
    <w:p>
      <w:pPr>
        <w:ind w:right="440" w:firstLine="228"/>
        <w:spacing w:after="0" w:line="261" w:lineRule="auto"/>
        <w:rPr>
          <w:sz w:val="20"/>
          <w:szCs w:val="20"/>
          <w:color w:val="auto"/>
        </w:rPr>
      </w:pPr>
      <w:r>
        <w:rPr>
          <w:rFonts w:ascii="Arial" w:cs="Arial" w:eastAsia="Arial" w:hAnsi="Arial"/>
          <w:sz w:val="18"/>
          <w:szCs w:val="18"/>
          <w:color w:val="auto"/>
        </w:rPr>
        <w:t>Schlumberger’s Articles of Incorporation also authorize Schlumberger to issue 200,000,000 shares of preferred stock. There are no outstanding shares of preferred stock, and this amendment would not change the number of authorized shares of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and Effects of Increasing Schlumberger’s Authorized Common Share Capital</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Board of Directors believes that it is advisable and in the best interests of Schlumberger’s stockholders to have available additional authorized but unissued shares of common stock in an amount adequate to provide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3" w:name="page24"/>
    <w:bookmarkEnd w:id="2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Schlumberger’s future needs. The newly authorized shares of common stock will constitute additional shares of the existing class of common stock and, if and when issued, will have the same rights and privileges as the shares of common stock currently authorized. Schlumberger currently has no specific plans to issue the additional shares of common stock that would be authorized by this proposal. However, the additional shares would provide flexibility to use capital stock for business and financial purposes in the future. The additional shares may be used for various purposes, including:</w:t>
      </w:r>
    </w:p>
    <w:p>
      <w:pPr>
        <w:spacing w:after="0" w:line="3"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raising capital;</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equity incentives to employees, officers and directors;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Schlumberger’s business through acquisitions;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paying stock dividends or effecting stock splits;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general corporate purposes.</w:t>
      </w:r>
    </w:p>
    <w:p>
      <w:pPr>
        <w:spacing w:after="0" w:line="36" w:lineRule="exact"/>
        <w:rPr>
          <w:sz w:val="20"/>
          <w:szCs w:val="20"/>
          <w:color w:val="auto"/>
        </w:rPr>
      </w:pPr>
    </w:p>
    <w:p>
      <w:pPr>
        <w:jc w:val="both"/>
        <w:ind w:right="60" w:firstLine="228"/>
        <w:spacing w:after="0" w:line="305" w:lineRule="auto"/>
        <w:rPr>
          <w:sz w:val="20"/>
          <w:szCs w:val="20"/>
          <w:color w:val="auto"/>
        </w:rPr>
      </w:pPr>
      <w:r>
        <w:rPr>
          <w:rFonts w:ascii="Arial" w:cs="Arial" w:eastAsia="Arial" w:hAnsi="Arial"/>
          <w:sz w:val="15"/>
          <w:szCs w:val="15"/>
          <w:color w:val="auto"/>
        </w:rPr>
        <w:t>Because the two-for-one stock split will have the effect of doubling the issued and outstanding shares of common stock, the Board of Directors believes that a doubling of the authorized common share capital from 1.5 billion shares to 3.0 billion shares is the appropriate level to provide for future corporate requirements.</w:t>
      </w:r>
    </w:p>
    <w:p>
      <w:pPr>
        <w:ind w:right="40" w:firstLine="228"/>
        <w:spacing w:after="0" w:line="281" w:lineRule="auto"/>
        <w:rPr>
          <w:sz w:val="20"/>
          <w:szCs w:val="20"/>
          <w:color w:val="auto"/>
        </w:rPr>
      </w:pPr>
      <w:r>
        <w:rPr>
          <w:rFonts w:ascii="Arial" w:cs="Arial" w:eastAsia="Arial" w:hAnsi="Arial"/>
          <w:sz w:val="16"/>
          <w:szCs w:val="16"/>
          <w:color w:val="auto"/>
        </w:rPr>
        <w:t>Like the currently authorized but unissued shares of Schlumberger’s common stock, the additional shares of common stock authorized by this proposal would be available for issuance without further action by Schlumberger’s stockholders, unless further action is required by law, the rules of the New York Stock Exchange or any other stock exchange on which Schlumberger’s common stock may be listed. The authorization of additional shares of Schlumberger’s common stock will enable Schlumberger, as the need may arise, to take advantage of market conditions and favorable opportunities without the delay and expense associated with the holding of a special meeting of Schlumberger’s stockholders.</w:t>
      </w:r>
    </w:p>
    <w:p>
      <w:pPr>
        <w:spacing w:after="0" w:line="3"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This proposal to increase the authorized number of shares of common stock has been prompted by business and financial considerations. However, Schlumberger could use the additional shares of common stock to oppose a hostile takeover attempt or delay or prevent changes in control or management (although Schlumberger is not currently aware of any such attempts directed at it). Stockholders should be aware that approval of this proposal could facilitate future efforts to prevent changes in control of the Board of Directors, including transactions in which stockholders might otherwise receive a premium for their shares over then current market prices.</w:t>
      </w:r>
    </w:p>
    <w:p>
      <w:pPr>
        <w:spacing w:after="0" w:line="2"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To the extent that additional authorized shares are issued in the future, they may decrease the existing stockholders’ percentage equity ownership and, depending on the price at which they are issued, could be dilutive to the existing stockholders. The holders of common stock have no preemptive rights, and the Board of Directors has no plans to grant such rights with respect to any such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Resolutions Adopting the Proposed Amendment</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following resolutions, which will be presented to the Annual General Meeting of Stockholders, will adopt the proposed amendment to Schlumberger’s Articles of Incorporation to increase its authorized common share capital:</w:t>
      </w:r>
    </w:p>
    <w:p>
      <w:pPr>
        <w:spacing w:after="0" w:line="37"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RESOLVED, to amend and restate the first sentence of Section 4.1 of Article 4 of Schlumberger’s Articles of Incorporation is hereby amended and restated to read in its entirety as follows:</w:t>
      </w:r>
    </w:p>
    <w:p>
      <w:pPr>
        <w:spacing w:after="0" w:line="37"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The nominal capital of the Company (nominal capital being defined in the law and in these Articles of Incorporation as the sum of the par values of all of the issued and outstanding shares in the Company’s capital stock at any time) shall not exceed THIRTY-TWO MILLION UNITED STATES DOLLARS (US$32,000,000), divided into (a) three billion (3,000,000,000)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w:t>
      </w:r>
    </w:p>
    <w:p>
      <w:pPr>
        <w:spacing w:after="0" w:line="50"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RESOLVED, that each lawyer of STvB Advocaten (Curaçao) N.V., Netherlands Antilles counsel to Schlumberger, is authorized to execute and file in the Netherlands Antilles the notarial deed of amendment effectuating such amendment.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Vote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the holders of a majority of Schlumberger’s shares outstanding and entitled to vote is required for the adoption of the foregoing resolution.</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 broker will deliver a non-vote. Accordingly, abstentions and broker non-votes will have the same effect as no votes.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Effectiveness of Amendments</w:t>
      </w:r>
    </w:p>
    <w:p>
      <w:pPr>
        <w:spacing w:after="0" w:line="8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If the amendment to increase Schlumberger’s authorized common share capital is approved by Schlumberger’s stockholders, the amendment will become effective when the notarial deed is executed.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the approval of the amendment to the Articles of Incorporation.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5" w:name="page26"/>
    <w:bookmarkEnd w:id="25"/>
    <w:p>
      <w:pPr>
        <w:ind w:left="380" w:hanging="170"/>
        <w:spacing w:after="0"/>
        <w:tabs>
          <w:tab w:leader="none" w:pos="380" w:val="left"/>
        </w:tabs>
        <w:numPr>
          <w:ilvl w:val="0"/>
          <w:numId w:val="22"/>
        </w:numPr>
        <w:rPr>
          <w:rFonts w:ascii="Arial" w:cs="Arial" w:eastAsia="Arial" w:hAnsi="Arial"/>
          <w:sz w:val="16"/>
          <w:szCs w:val="16"/>
          <w:b w:val="1"/>
          <w:bCs w:val="1"/>
          <w:color w:val="344274"/>
        </w:rPr>
      </w:pPr>
      <w:r>
        <w:rPr>
          <w:rFonts w:ascii="Arial" w:cs="Arial" w:eastAsia="Arial" w:hAnsi="Arial"/>
          <w:sz w:val="16"/>
          <w:szCs w:val="16"/>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 of the Amendment and Restatement of the Schlumberger 2005 Stock Option Plan to Authorize Limited Grants of Restricted Stock and</w:t>
      </w:r>
    </w:p>
    <w:p>
      <w:pPr>
        <w:spacing w:after="0" w:line="44" w:lineRule="exact"/>
        <w:rPr>
          <w:rFonts w:ascii="Arial" w:cs="Arial" w:eastAsia="Arial" w:hAnsi="Arial"/>
          <w:sz w:val="16"/>
          <w:szCs w:val="16"/>
          <w:b w:val="1"/>
          <w:bCs w:val="1"/>
          <w:color w:val="344274"/>
        </w:rPr>
      </w:pPr>
    </w:p>
    <w:p>
      <w:pPr>
        <w:ind w:left="4880"/>
        <w:spacing w:after="0"/>
        <w:rPr>
          <w:rFonts w:ascii="Arial" w:cs="Arial" w:eastAsia="Arial" w:hAnsi="Arial"/>
          <w:sz w:val="16"/>
          <w:szCs w:val="16"/>
          <w:b w:val="1"/>
          <w:bCs w:val="1"/>
          <w:color w:val="344274"/>
        </w:rPr>
      </w:pPr>
      <w:r>
        <w:rPr>
          <w:rFonts w:ascii="Arial" w:cs="Arial" w:eastAsia="Arial" w:hAnsi="Arial"/>
          <w:sz w:val="18"/>
          <w:szCs w:val="18"/>
          <w:b w:val="1"/>
          <w:bCs w:val="1"/>
          <w:color w:val="344274"/>
        </w:rPr>
        <w:t>Restricted Stock Units</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requesting that our stockholders vote in favor of the amendment and restatement of the Schlumberger 2005 Stock Option Plan (the “Option Plan”), which was originally adopted by Schlumberger’s Board of Directors on January 20, 2005 and approved by Schlumberger’s stockholders on April 13, 2005. The Option Plan currently provides for the grant to our employees of stock options covering shares of our common stock. A stock option gives the holder the right to purchase a specified number of shares of stock, at a fixed exercise price, in the future. We have historically used stock options as our primary form of equity compensation.</w:t>
      </w:r>
    </w:p>
    <w:p>
      <w:pPr>
        <w:ind w:right="160" w:firstLine="228"/>
        <w:spacing w:after="0" w:line="250" w:lineRule="auto"/>
        <w:rPr>
          <w:sz w:val="20"/>
          <w:szCs w:val="20"/>
          <w:color w:val="auto"/>
        </w:rPr>
      </w:pPr>
      <w:r>
        <w:rPr>
          <w:rFonts w:ascii="Arial" w:cs="Arial" w:eastAsia="Arial" w:hAnsi="Arial"/>
          <w:sz w:val="18"/>
          <w:szCs w:val="18"/>
          <w:color w:val="auto"/>
        </w:rPr>
        <w:t>We now believe that it is important for us to have the flexibility to use restricted stock and restricted stock units as part of our equity compensation program. Restricted stock is common stock that is restricted or subject to forfeiture provisions. Restricted stock units are units evidencing the right to receive shares of common stock that are restricted or subject to forfeiture provisions.</w:t>
      </w:r>
    </w:p>
    <w:p>
      <w:pPr>
        <w:spacing w:after="0" w:line="1" w:lineRule="exact"/>
        <w:rPr>
          <w:sz w:val="20"/>
          <w:szCs w:val="20"/>
          <w:color w:val="auto"/>
        </w:rPr>
      </w:pPr>
    </w:p>
    <w:p>
      <w:pPr>
        <w:ind w:right="800" w:firstLine="228"/>
        <w:spacing w:after="0" w:line="250" w:lineRule="auto"/>
        <w:rPr>
          <w:sz w:val="20"/>
          <w:szCs w:val="20"/>
          <w:color w:val="auto"/>
        </w:rPr>
      </w:pPr>
      <w:r>
        <w:rPr>
          <w:rFonts w:ascii="Arial" w:cs="Arial" w:eastAsia="Arial" w:hAnsi="Arial"/>
          <w:sz w:val="18"/>
          <w:szCs w:val="18"/>
          <w:color w:val="auto"/>
        </w:rPr>
        <w:t>We believe that we need the added flexibility to use restricted stock and restricted stock units in order to maintain the competitiveness of our equity compensation program.</w:t>
      </w:r>
    </w:p>
    <w:p>
      <w:pPr>
        <w:spacing w:after="0" w:line="1"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We are not seeking an increase in the number of shares of Schlumberger common stock authorized for issuance under the Option Plan. Our current lack of flexibility could adversely impact our ability to retain, attract and motivate current and prospective employees. Recently, we have seen intense competition for experienced technical personnel, and believe that we need equity compensation tools in addition to stock options in order to compete most effectively for talent. Therefore, we consider approval of the proposed amendment and restatement of the Option Plan vital to our future success.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approved by our stockholders, the amendments to the Option Plan would:</w:t>
      </w:r>
    </w:p>
    <w:p>
      <w:pPr>
        <w:spacing w:after="0" w:line="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name of the plan to the Schlumberger 2005 Stock Incentive Plan;</w:t>
      </w:r>
    </w:p>
    <w:p>
      <w:pPr>
        <w:spacing w:after="0" w:line="29"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for the grant of restricted stock and restricted stock units with respect to up to 3,000,000 shares of common stock (after giving effect to the 2-for-1stock split (the “stock split”) announced by Schlumberger on January 19, 2006)</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for certain limits on the vesting or holding period for restricted stock and restricted stock units;</w:t>
      </w:r>
    </w:p>
    <w:p>
      <w:pPr>
        <w:spacing w:after="0" w:line="29" w:lineRule="exact"/>
        <w:rPr>
          <w:rFonts w:ascii="Arial" w:cs="Arial" w:eastAsia="Arial" w:hAnsi="Arial"/>
          <w:sz w:val="18"/>
          <w:szCs w:val="18"/>
          <w:color w:val="auto"/>
        </w:rPr>
      </w:pPr>
    </w:p>
    <w:p>
      <w:pPr>
        <w:ind w:left="780" w:right="680" w:hanging="326"/>
        <w:spacing w:after="0" w:line="25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restricted stock or restricted stock units may not be granted to executive officers of Schlumberger unless the grants are subject to performance-based vesting;</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certain other conforming amendments; and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restate the plan in its entirety.</w:t>
      </w:r>
    </w:p>
    <w:p>
      <w:pPr>
        <w:spacing w:after="0" w:line="36"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Schlumberger’s Board of Directors approved the amended and restated plan (the “Amended and Restated Plan”) on January 19, 2006, subject to stockholder approval. If the Amended and Restated Plan is not approved by our stockholders, the Option plan will continue in effect in its current form.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the Amended and Restated Plan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summary of certain major features of the Amended and Restated Plan is subject to the specific provisions contained in the full text of the Amended and Restated Plan set forth as Appendix 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Amended and Restated Plan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Amended and Restated Plan was adopted for the purpose of providing incentives to our key employees in order to:</w:t>
      </w:r>
    </w:p>
    <w:p>
      <w:pPr>
        <w:spacing w:after="0" w:line="15"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unusually valuable;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development and financial success.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Terms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key provisions of the Amended and Restated Plan.</w:t>
      </w:r>
    </w:p>
    <w:p>
      <w:pPr>
        <w:sectPr>
          <w:pgSz w:w="11900" w:h="16838" w:orient="portrait"/>
          <w:cols w:equalWidth="0" w:num="1">
            <w:col w:w="11400"/>
          </w:cols>
          <w:pgMar w:left="240" w:top="274" w:right="25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Types: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Ineligible Participants: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Shares Available for Issuance under the Amended and Restated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Shares Available for Issuance Under the Amended and Restated Plan as a Percent of Outstanding Common Stock:</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following types of awards (collectively “awards”) are available for issuance under the Amended and Restated Plan:</w:t>
      </w:r>
    </w:p>
    <w:p>
      <w:pPr>
        <w:spacing w:after="0" w:line="38" w:lineRule="exact"/>
        <w:rPr>
          <w:sz w:val="20"/>
          <w:szCs w:val="20"/>
          <w:color w:val="auto"/>
        </w:rPr>
      </w:pPr>
    </w:p>
    <w:p>
      <w:pPr>
        <w:ind w:left="289" w:hanging="289"/>
        <w:spacing w:after="0"/>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Non-qualified and incentive stock options.</w:t>
      </w:r>
    </w:p>
    <w:p>
      <w:pPr>
        <w:spacing w:after="0" w:line="9" w:lineRule="exact"/>
        <w:rPr>
          <w:rFonts w:ascii="Arial" w:cs="Arial" w:eastAsia="Arial" w:hAnsi="Arial"/>
          <w:sz w:val="18"/>
          <w:szCs w:val="18"/>
          <w:color w:val="auto"/>
        </w:rPr>
      </w:pPr>
    </w:p>
    <w:p>
      <w:pPr>
        <w:ind w:left="289" w:hanging="289"/>
        <w:spacing w:after="0"/>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 and restricted stock units.</w:t>
      </w:r>
    </w:p>
    <w:p>
      <w:pPr>
        <w:spacing w:after="0" w:line="84" w:lineRule="exact"/>
        <w:rPr>
          <w:sz w:val="20"/>
          <w:szCs w:val="20"/>
          <w:color w:val="auto"/>
        </w:rPr>
      </w:pPr>
    </w:p>
    <w:p>
      <w:pPr>
        <w:ind w:left="9"/>
        <w:spacing w:after="0"/>
        <w:rPr>
          <w:sz w:val="20"/>
          <w:szCs w:val="20"/>
          <w:color w:val="auto"/>
        </w:rPr>
      </w:pPr>
      <w:r>
        <w:rPr>
          <w:rFonts w:ascii="Arial" w:cs="Arial" w:eastAsia="Arial" w:hAnsi="Arial"/>
          <w:sz w:val="18"/>
          <w:szCs w:val="18"/>
          <w:color w:val="auto"/>
        </w:rPr>
        <w:t>Awards may be granted under the Amended and Restated Plan on or before January 20, 2015.</w:t>
      </w:r>
    </w:p>
    <w:p>
      <w:pPr>
        <w:spacing w:after="0" w:line="77" w:lineRule="exact"/>
        <w:rPr>
          <w:sz w:val="20"/>
          <w:szCs w:val="20"/>
          <w:color w:val="auto"/>
        </w:rPr>
      </w:pPr>
    </w:p>
    <w:p>
      <w:pPr>
        <w:ind w:left="9" w:right="180"/>
        <w:spacing w:after="0" w:line="259" w:lineRule="auto"/>
        <w:rPr>
          <w:sz w:val="20"/>
          <w:szCs w:val="20"/>
          <w:color w:val="auto"/>
        </w:rPr>
      </w:pPr>
      <w:r>
        <w:rPr>
          <w:rFonts w:ascii="Arial" w:cs="Arial" w:eastAsia="Arial" w:hAnsi="Arial"/>
          <w:sz w:val="18"/>
          <w:szCs w:val="18"/>
          <w:color w:val="auto"/>
        </w:rPr>
        <w:t>All employees of Schlumberger and our subsidiaries who are executive, administrative, professional or technical personnel and who have responsibilities affecting the management, direction, development and financial success of the Company and our subsidiaries.</w:t>
      </w:r>
    </w:p>
    <w:p>
      <w:pPr>
        <w:spacing w:after="0" w:line="46" w:lineRule="exact"/>
        <w:rPr>
          <w:sz w:val="20"/>
          <w:szCs w:val="20"/>
          <w:color w:val="auto"/>
        </w:rPr>
      </w:pPr>
    </w:p>
    <w:p>
      <w:pPr>
        <w:ind w:left="9" w:right="140"/>
        <w:spacing w:after="0" w:line="254" w:lineRule="auto"/>
        <w:rPr>
          <w:sz w:val="20"/>
          <w:szCs w:val="20"/>
          <w:color w:val="auto"/>
        </w:rPr>
      </w:pPr>
      <w:r>
        <w:rPr>
          <w:rFonts w:ascii="Arial" w:cs="Arial" w:eastAsia="Arial" w:hAnsi="Arial"/>
          <w:sz w:val="18"/>
          <w:szCs w:val="18"/>
          <w:color w:val="auto"/>
        </w:rPr>
        <w:t>Persons who are executive officers on the date of grant may not receive restricted stock or restricted stock units that are not subject to performance-based vesting.</w:t>
      </w:r>
    </w:p>
    <w:p>
      <w:pPr>
        <w:ind w:left="9"/>
        <w:spacing w:after="0" w:line="255" w:lineRule="auto"/>
        <w:rPr>
          <w:sz w:val="20"/>
          <w:szCs w:val="20"/>
          <w:color w:val="auto"/>
        </w:rPr>
      </w:pPr>
      <w:r>
        <w:rPr>
          <w:rFonts w:ascii="Arial" w:cs="Arial" w:eastAsia="Arial" w:hAnsi="Arial"/>
          <w:sz w:val="18"/>
          <w:szCs w:val="18"/>
          <w:color w:val="auto"/>
        </w:rPr>
        <w:t>The Compensation Committee will determine which employees will participate in the Amended and Restated Plan. As of January 31, 2006, approximately 9,600 employees are participants under our equity compensation plans, including the Option Plan.</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following persons are not eligible to participate in the Amended and Restated Plan:</w:t>
      </w:r>
    </w:p>
    <w:p>
      <w:pPr>
        <w:spacing w:after="0" w:line="15" w:lineRule="exact"/>
        <w:rPr>
          <w:sz w:val="20"/>
          <w:szCs w:val="20"/>
          <w:color w:val="auto"/>
        </w:rPr>
      </w:pPr>
    </w:p>
    <w:p>
      <w:pPr>
        <w:ind w:left="289" w:hanging="289"/>
        <w:spacing w:after="0"/>
        <w:tabs>
          <w:tab w:leader="none" w:pos="2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directors who are not also employees; and</w:t>
      </w:r>
    </w:p>
    <w:p>
      <w:pPr>
        <w:spacing w:after="0" w:line="9" w:lineRule="exact"/>
        <w:rPr>
          <w:rFonts w:ascii="Arial" w:cs="Arial" w:eastAsia="Arial" w:hAnsi="Arial"/>
          <w:sz w:val="18"/>
          <w:szCs w:val="18"/>
          <w:color w:val="auto"/>
        </w:rPr>
      </w:pPr>
    </w:p>
    <w:p>
      <w:pPr>
        <w:ind w:left="349" w:right="220" w:hanging="349"/>
        <w:spacing w:after="0" w:line="261" w:lineRule="auto"/>
        <w:tabs>
          <w:tab w:leader="none" w:pos="2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person who owns, directly or indirectly, stock possessing more than 5% of the total combined voting power or value of all classes of our stock.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 w:right="20"/>
        <w:spacing w:after="0" w:line="289" w:lineRule="auto"/>
        <w:rPr>
          <w:sz w:val="20"/>
          <w:szCs w:val="20"/>
          <w:color w:val="auto"/>
        </w:rPr>
      </w:pPr>
      <w:r>
        <w:rPr>
          <w:rFonts w:ascii="Arial" w:cs="Arial" w:eastAsia="Arial" w:hAnsi="Arial"/>
          <w:sz w:val="16"/>
          <w:szCs w:val="16"/>
          <w:color w:val="auto"/>
        </w:rPr>
        <w:t>A total of 18,000,000 shares of Schlumberger common stock are subject to the Amended and Restated Plan (after giving effect to the stock split). Of such shares, there were outstanding stock options with respect to 2,774,580 shares of Schlumberger common stock as of January 31, 2006 and no shares of Schlumberger common stock had been issued prior to that date under the Option Plan (after giving effect to the stock split). As a result, as of January 31, 2006, a total of 15,225,420 shares were available for future option grants, of which a maximum of 3,000,000 shares may be the subject of restricted stock or restricted stock unit awards if the Amended and Restated Plan is approved by Schlumberger stockholders. The number of shares available for issuance under the Amended and Restated Plan is subject to adjustment to reflect stock splits, reorganizations and similar events.</w:t>
      </w:r>
    </w:p>
    <w:p>
      <w:pPr>
        <w:spacing w:after="0" w:line="24" w:lineRule="exact"/>
        <w:rPr>
          <w:sz w:val="20"/>
          <w:szCs w:val="20"/>
          <w:color w:val="auto"/>
        </w:rPr>
      </w:pPr>
    </w:p>
    <w:p>
      <w:pPr>
        <w:ind w:left="9" w:right="40"/>
        <w:spacing w:after="0" w:line="252" w:lineRule="auto"/>
        <w:rPr>
          <w:sz w:val="20"/>
          <w:szCs w:val="20"/>
          <w:color w:val="auto"/>
        </w:rPr>
      </w:pPr>
      <w:r>
        <w:rPr>
          <w:rFonts w:ascii="Arial" w:cs="Arial" w:eastAsia="Arial" w:hAnsi="Arial"/>
          <w:sz w:val="18"/>
          <w:szCs w:val="18"/>
          <w:color w:val="auto"/>
        </w:rPr>
        <w:t>The shares subject to issuance under the Amended and Restated Plan consist of authorized and unissued shares or previously issued shares reacquired and held by us or any subsidiary. Under the following circumstances, shares that were once subject to issuance upon the exercise or vesting of awards may again become available for future grants under the Amended and Restated Plan:</w:t>
      </w:r>
    </w:p>
    <w:p>
      <w:pPr>
        <w:spacing w:after="0" w:line="1" w:lineRule="exact"/>
        <w:rPr>
          <w:sz w:val="20"/>
          <w:szCs w:val="20"/>
          <w:color w:val="auto"/>
        </w:rPr>
      </w:pPr>
    </w:p>
    <w:p>
      <w:pPr>
        <w:ind w:left="289" w:hanging="289"/>
        <w:spacing w:after="0"/>
        <w:tabs>
          <w:tab w:leader="none" w:pos="2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forfeiture or termination of an award; and</w:t>
      </w:r>
    </w:p>
    <w:p>
      <w:pPr>
        <w:spacing w:after="0" w:line="9" w:lineRule="exact"/>
        <w:rPr>
          <w:rFonts w:ascii="Arial" w:cs="Arial" w:eastAsia="Arial" w:hAnsi="Arial"/>
          <w:sz w:val="18"/>
          <w:szCs w:val="18"/>
          <w:color w:val="auto"/>
        </w:rPr>
      </w:pPr>
    </w:p>
    <w:p>
      <w:pPr>
        <w:ind w:left="289" w:hanging="289"/>
        <w:spacing w:after="0"/>
        <w:tabs>
          <w:tab w:leader="none" w:pos="2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of an unexercised stock option.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ind w:left="2749"/>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2360" w:space="511"/>
            <w:col w:w="8529"/>
          </w:cols>
          <w:pgMar w:left="240" w:top="274" w:right="259" w:bottom="1440" w:gutter="0" w:footer="0" w:header="0"/>
          <w:type w:val="continuous"/>
        </w:sectPr>
      </w:pPr>
    </w:p>
    <w:bookmarkStart w:id="27" w:name="page28"/>
    <w:bookmarkEnd w:id="27"/>
    <w:p>
      <w:pPr>
        <w:spacing w:after="0" w:line="298" w:lineRule="auto"/>
        <w:rPr>
          <w:sz w:val="20"/>
          <w:szCs w:val="20"/>
          <w:color w:val="auto"/>
        </w:rPr>
      </w:pPr>
      <w:r>
        <w:rPr>
          <w:rFonts w:ascii="Arial" w:cs="Arial" w:eastAsia="Arial" w:hAnsi="Arial"/>
          <w:sz w:val="16"/>
          <w:szCs w:val="16"/>
          <w:i w:val="1"/>
          <w:iCs w:val="1"/>
          <w:color w:val="auto"/>
        </w:rPr>
        <w:t>Shares Available for Issuance Under All Equity Compensation Plans as a Percent of Outstanding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Terms: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-631190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7" w:lineRule="exact"/>
        <w:rPr>
          <w:sz w:val="20"/>
          <w:szCs w:val="20"/>
          <w:color w:val="auto"/>
        </w:rPr>
      </w:pPr>
    </w:p>
    <w:p>
      <w:pPr>
        <w:ind w:left="9"/>
        <w:spacing w:after="0"/>
        <w:rPr>
          <w:sz w:val="20"/>
          <w:szCs w:val="20"/>
          <w:color w:val="auto"/>
        </w:rPr>
      </w:pPr>
      <w:r>
        <w:rPr>
          <w:rFonts w:ascii="Arial" w:cs="Arial" w:eastAsia="Arial" w:hAnsi="Arial"/>
          <w:sz w:val="18"/>
          <w:szCs w:val="18"/>
          <w:color w:val="auto"/>
        </w:rPr>
        <w:t>Stock options will have a term no longer than 10 years.</w:t>
      </w:r>
    </w:p>
    <w:p>
      <w:pPr>
        <w:spacing w:after="0" w:line="77" w:lineRule="exact"/>
        <w:rPr>
          <w:sz w:val="20"/>
          <w:szCs w:val="20"/>
          <w:color w:val="auto"/>
        </w:rPr>
      </w:pPr>
    </w:p>
    <w:p>
      <w:pPr>
        <w:ind w:left="9"/>
        <w:spacing w:after="0" w:line="256" w:lineRule="auto"/>
        <w:rPr>
          <w:sz w:val="20"/>
          <w:szCs w:val="20"/>
          <w:color w:val="auto"/>
        </w:rPr>
      </w:pPr>
      <w:r>
        <w:rPr>
          <w:rFonts w:ascii="Arial" w:cs="Arial" w:eastAsia="Arial" w:hAnsi="Arial"/>
          <w:sz w:val="18"/>
          <w:szCs w:val="18"/>
          <w:color w:val="auto"/>
        </w:rPr>
        <w:t>Stock options will not vest or become exercisable unless the optionee remains employed by us or a subsidiary for at least one year after the grant date. Otherwise, vesting is determined by the Compensation Committee (subject to specific provisions on death, termination of employment or retirement). Please read “Vesting and Exercise of Stock Options” below for more information.</w:t>
      </w:r>
    </w:p>
    <w:p>
      <w:pPr>
        <w:spacing w:after="0" w:line="49" w:lineRule="exact"/>
        <w:rPr>
          <w:sz w:val="20"/>
          <w:szCs w:val="20"/>
          <w:color w:val="auto"/>
        </w:rPr>
      </w:pPr>
    </w:p>
    <w:p>
      <w:pPr>
        <w:ind w:left="9" w:right="120"/>
        <w:spacing w:after="0" w:line="314" w:lineRule="auto"/>
        <w:rPr>
          <w:sz w:val="20"/>
          <w:szCs w:val="20"/>
          <w:color w:val="auto"/>
        </w:rPr>
      </w:pPr>
      <w:r>
        <w:rPr>
          <w:rFonts w:ascii="Arial" w:cs="Arial" w:eastAsia="Arial" w:hAnsi="Arial"/>
          <w:sz w:val="15"/>
          <w:szCs w:val="15"/>
          <w:color w:val="auto"/>
        </w:rPr>
        <w:t>Restricted stock and restricted stock units will be subject to a vesting schedule, restriction period or holding period, or any combination thereof, totaling at least three years from the date of grant (the vesting, lapse, or termination of which may be no more rapid in combination than pro rata over three years), subject to early termination upon a termination of employment by reason of death or disability. Any restricted stock or restricted stock unit granted to a person who is an executive officer of Schlumberger on the date of grant will be subject to performance-based vesting and not solely to time-based vesting. Please read “Vesting of Restricted Stock and Restricted Stock Units” below for more information.</w:t>
      </w:r>
    </w:p>
    <w:p>
      <w:pPr>
        <w:spacing w:after="0" w:line="24" w:lineRule="exact"/>
        <w:rPr>
          <w:sz w:val="20"/>
          <w:szCs w:val="20"/>
          <w:color w:val="auto"/>
        </w:rPr>
      </w:pPr>
    </w:p>
    <w:p>
      <w:pPr>
        <w:ind w:left="389" w:hanging="389"/>
        <w:spacing w:after="0"/>
        <w:tabs>
          <w:tab w:leader="none" w:pos="3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15" w:lineRule="exact"/>
        <w:rPr>
          <w:rFonts w:ascii="Arial" w:cs="Arial" w:eastAsia="Arial" w:hAnsi="Arial"/>
          <w:sz w:val="18"/>
          <w:szCs w:val="18"/>
          <w:color w:val="auto"/>
        </w:rPr>
      </w:pPr>
    </w:p>
    <w:p>
      <w:pPr>
        <w:ind w:left="389" w:hanging="389"/>
        <w:spacing w:after="0"/>
        <w:tabs>
          <w:tab w:leader="none" w:pos="3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 w:lineRule="exact"/>
        <w:rPr>
          <w:rFonts w:ascii="Arial" w:cs="Arial" w:eastAsia="Arial" w:hAnsi="Arial"/>
          <w:sz w:val="18"/>
          <w:szCs w:val="18"/>
          <w:color w:val="auto"/>
        </w:rPr>
      </w:pPr>
    </w:p>
    <w:p>
      <w:pPr>
        <w:ind w:left="389" w:hanging="389"/>
        <w:spacing w:after="0"/>
        <w:tabs>
          <w:tab w:leader="none" w:pos="3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Substituting a new option grant with an exercise price lower than the exercise price of an outstanding option grant;</w:t>
      </w:r>
    </w:p>
    <w:p>
      <w:pPr>
        <w:spacing w:after="0" w:line="32" w:lineRule="exact"/>
        <w:rPr>
          <w:rFonts w:ascii="Arial" w:cs="Arial" w:eastAsia="Arial" w:hAnsi="Arial"/>
          <w:sz w:val="16"/>
          <w:szCs w:val="16"/>
          <w:color w:val="auto"/>
        </w:rPr>
      </w:pPr>
    </w:p>
    <w:p>
      <w:pPr>
        <w:ind w:left="389" w:hanging="389"/>
        <w:spacing w:after="0"/>
        <w:tabs>
          <w:tab w:leader="none" w:pos="3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Reload grants;</w:t>
      </w:r>
    </w:p>
    <w:p>
      <w:pPr>
        <w:spacing w:after="0" w:line="9" w:lineRule="exact"/>
        <w:rPr>
          <w:rFonts w:ascii="Arial" w:cs="Arial" w:eastAsia="Arial" w:hAnsi="Arial"/>
          <w:sz w:val="18"/>
          <w:szCs w:val="18"/>
          <w:color w:val="auto"/>
        </w:rPr>
      </w:pPr>
    </w:p>
    <w:p>
      <w:pPr>
        <w:ind w:left="389" w:hanging="389"/>
        <w:spacing w:after="0"/>
        <w:tabs>
          <w:tab w:leader="none" w:pos="3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Granting stock options that are exercisable less than one year after the grant date;</w:t>
      </w:r>
    </w:p>
    <w:p>
      <w:pPr>
        <w:spacing w:after="0" w:line="9" w:lineRule="exact"/>
        <w:rPr>
          <w:rFonts w:ascii="Arial" w:cs="Arial" w:eastAsia="Arial" w:hAnsi="Arial"/>
          <w:sz w:val="18"/>
          <w:szCs w:val="18"/>
          <w:color w:val="auto"/>
        </w:rPr>
      </w:pPr>
    </w:p>
    <w:p>
      <w:pPr>
        <w:ind w:left="429" w:right="500" w:hanging="429"/>
        <w:spacing w:after="0" w:line="250" w:lineRule="auto"/>
        <w:tabs>
          <w:tab w:leader="none" w:pos="3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Granting awards with respect to more than 1,500,000 shares (after giving effect to the stock split) to any one participant during the life of the Amended and Restated Plan;</w:t>
      </w:r>
    </w:p>
    <w:p>
      <w:pPr>
        <w:ind w:left="429" w:right="440" w:hanging="429"/>
        <w:spacing w:after="0" w:line="250" w:lineRule="auto"/>
        <w:tabs>
          <w:tab w:leader="none" w:pos="3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Granting restricted stock or restricted stock units to executive officers of Schlumberger that are not subject to performance-based vesting;</w:t>
      </w:r>
    </w:p>
    <w:p>
      <w:pPr>
        <w:spacing w:after="0" w:line="1" w:lineRule="exact"/>
        <w:rPr>
          <w:sz w:val="20"/>
          <w:szCs w:val="20"/>
          <w:color w:val="auto"/>
        </w:rPr>
      </w:pPr>
    </w:p>
    <w:p>
      <w:pPr>
        <w:sectPr>
          <w:pgSz w:w="11900" w:h="16838" w:orient="portrait"/>
          <w:cols w:equalWidth="0" w:num="2">
            <w:col w:w="2260" w:space="611"/>
            <w:col w:w="8489"/>
          </w:cols>
          <w:pgMar w:left="240" w:top="280" w:right="299" w:bottom="1440" w:gutter="0" w:footer="0" w:header="0"/>
        </w:sectPr>
      </w:pPr>
    </w:p>
    <w:p>
      <w:pPr>
        <w:ind w:left="3260" w:hanging="389"/>
        <w:spacing w:after="0"/>
        <w:tabs>
          <w:tab w:leader="none" w:pos="3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Granting stock appreciation rights; or</w:t>
      </w:r>
    </w:p>
    <w:p>
      <w:pPr>
        <w:spacing w:after="0" w:line="9" w:lineRule="exact"/>
        <w:rPr>
          <w:rFonts w:ascii="Arial" w:cs="Arial" w:eastAsia="Arial" w:hAnsi="Arial"/>
          <w:sz w:val="18"/>
          <w:szCs w:val="18"/>
          <w:color w:val="auto"/>
        </w:rPr>
      </w:pPr>
    </w:p>
    <w:p>
      <w:pPr>
        <w:ind w:left="3240" w:hanging="369"/>
        <w:spacing w:after="0"/>
        <w:tabs>
          <w:tab w:leader="none" w:pos="3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Accelerating vesting of stock options.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Vesting and Exercise of Stock Options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7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Subject to specific provisions on death, termination of employment and retirement (described below), the Compensation Committee will determine at the time of grant when each stock option will vest, provided that no stock option may vest less than one year from the date of grant. The Compensation Committee’s current practice is to grant options that vest in four equal annual installments beginning on the first anniversary of the grant date. The Compensation Committee does not have the power to accelerate the vesting of options granted under the Amended and Restated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p>
    <w:p>
      <w:pPr>
        <w:spacing w:after="0" w:line="7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exercise price of stock options granted under the Amended and Restated Plan may not be less than the fair market value (the mean between the high and low sales prices on the New York Stock Exchange on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type w:val="continuous"/>
        </w:sectPr>
      </w:pPr>
    </w:p>
    <w:bookmarkStart w:id="28" w:name="page29"/>
    <w:bookmarkEnd w:id="2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date) of the common stock on the date of grant. As of January 31, 2006, the mean between the high and low sales prices of Schlumberger common stock on the New York Stock Exchange was $128.56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option term may not be longer than 10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Purchase Price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38"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3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Schlumberger may require, prior to issuing common stock under the Amended and Restated Plan, that the participant remit an amount in cash, or authorize withholding of common stock in connection with the option exercise, sufficient to satisfy tax withholding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Employment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consequences in the event an option holder’s employment is terminated (other than due to retirement):</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with consent of Schlumberger and not for cause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Death while employed by Schlumberger or after termination of employment but prior to full exercise of stock options that were exercisable on the date of such termination</w:t>
      </w:r>
    </w:p>
    <w:p>
      <w:pPr>
        <w:spacing w:after="0" w:line="200" w:lineRule="exact"/>
        <w:rPr>
          <w:sz w:val="20"/>
          <w:szCs w:val="20"/>
          <w:color w:val="auto"/>
        </w:rPr>
      </w:pPr>
    </w:p>
    <w:p>
      <w:pPr>
        <w:spacing w:after="0" w:line="27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Termination of employment for cause or without the consent of Schlumberger (other than due to death).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Compensation Committee may permit stock options to be exercised at any time within three months after termination, provided that stock options may be exercised only before their expiration and only to the extent they are exercisable on the date of termination.</w:t>
      </w:r>
    </w:p>
    <w:p>
      <w:pPr>
        <w:spacing w:after="0" w:line="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Stock options may be exercised before expiration of their term by a person entitled to do so under the option holder’s will or the laws of descent and distribution, but only if such exercise occurs within 60 months after death (or, if earlier, the date of termination of employment) and only to the extent they are exercisable on the date of death.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option holder’s rights terminate immediately.</w:t>
      </w:r>
    </w:p>
    <w:p>
      <w:pPr>
        <w:spacing w:after="0" w:line="373" w:lineRule="exact"/>
        <w:rPr>
          <w:sz w:val="20"/>
          <w:szCs w:val="20"/>
          <w:color w:val="auto"/>
        </w:rPr>
      </w:pPr>
    </w:p>
    <w:p>
      <w:pPr>
        <w:sectPr>
          <w:pgSz w:w="11900" w:h="16838" w:orient="portrait"/>
          <w:cols w:equalWidth="0" w:num="2">
            <w:col w:w="5640" w:space="540"/>
            <w:col w:w="5160"/>
          </w:cols>
          <w:pgMar w:left="240" w:top="280" w:right="319" w:bottom="1440" w:gutter="0" w:footer="0" w:header="0"/>
          <w:type w:val="continuous"/>
        </w:sectPr>
      </w:pPr>
    </w:p>
    <w:p>
      <w:pPr>
        <w:ind w:right="22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Amended and Restated Plan) within one year after termination of employment.</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consequences in the event an option holder’s employment is terminated due to retirement:</w:t>
      </w:r>
    </w:p>
    <w:p>
      <w:pPr>
        <w:spacing w:after="0" w:line="188"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due to retirement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Stock options will be exercisable at any time during the 60-month period after termination by retirement or during the remainder of the option period, whichever is shorter (the “post-retirement exercise period”), but only to the extent they are exercisable on the date of termination.</w:t>
      </w:r>
    </w:p>
    <w:p>
      <w:pPr>
        <w:spacing w:after="0" w:line="18" w:lineRule="exact"/>
        <w:rPr>
          <w:sz w:val="20"/>
          <w:szCs w:val="20"/>
          <w:color w:val="auto"/>
        </w:rPr>
      </w:pPr>
    </w:p>
    <w:p>
      <w:pPr>
        <w:sectPr>
          <w:pgSz w:w="11900" w:h="16838" w:orient="portrait"/>
          <w:cols w:equalWidth="0" w:num="2">
            <w:col w:w="5460" w:space="720"/>
            <w:col w:w="522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Death after retirement during post-retirement exercise period</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Stock options may be exercised during a 60-month period after the date of retirement by a person entitled to do so under the option holder’s will or the laws of descent and distribution, provided that the stock options may be exercised only before their expiration and only to the extent they were exercisable on the date of death.</w:t>
      </w:r>
    </w:p>
    <w:p>
      <w:pPr>
        <w:spacing w:after="0" w:line="102" w:lineRule="exact"/>
        <w:rPr>
          <w:sz w:val="20"/>
          <w:szCs w:val="20"/>
          <w:color w:val="auto"/>
        </w:rPr>
      </w:pPr>
    </w:p>
    <w:p>
      <w:pPr>
        <w:sectPr>
          <w:pgSz w:w="11900" w:h="16838" w:orient="portrait"/>
          <w:cols w:equalWidth="0" w:num="2">
            <w:col w:w="5460" w:space="720"/>
            <w:col w:w="5220"/>
          </w:cols>
          <w:pgMar w:left="240" w:top="280" w:right="259" w:bottom="1440" w:gutter="0" w:footer="0" w:header="0"/>
          <w:type w:val="continuous"/>
        </w:sectPr>
      </w:pPr>
    </w:p>
    <w:p>
      <w:pPr>
        <w:jc w:val="both"/>
        <w:ind w:right="28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Amended and Restated Plan) within five years after termination of employment by retirement.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of Restricted Stock and Restricted Stock Units</w:t>
      </w:r>
    </w:p>
    <w:p>
      <w:pPr>
        <w:spacing w:after="0" w:line="7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 maximum of 3,000,000 shares(after giving effect to the stock split) may be the subject of restricted stock or restricted stock unit awards. The terms, conditions and limitations applicable to grants of restricted stock and restricted stock units will be determined by our Compensation Committee. Restricted stock and restricted stock units will be subject to a vesting schedule, restriction period or holding period, or any combination thereof, totaling at least three years from the grant date (the vesting, lapse, or termination of which may be no more rapid in combination than pro rata over three years), except that the Compensation Committee may provide for earlier vesting, lapse of restriction or end of holding period upon a termination of employment by reason of death or disability.</w:t>
      </w:r>
    </w:p>
    <w:p>
      <w:pPr>
        <w:spacing w:after="0" w:line="2" w:lineRule="exact"/>
        <w:rPr>
          <w:sz w:val="20"/>
          <w:szCs w:val="20"/>
          <w:color w:val="auto"/>
        </w:rPr>
      </w:pPr>
    </w:p>
    <w:p>
      <w:pPr>
        <w:ind w:right="220" w:firstLine="228"/>
        <w:spacing w:after="0" w:line="292" w:lineRule="auto"/>
        <w:rPr>
          <w:sz w:val="20"/>
          <w:szCs w:val="20"/>
          <w:color w:val="auto"/>
        </w:rPr>
      </w:pPr>
      <w:r>
        <w:rPr>
          <w:rFonts w:ascii="Arial" w:cs="Arial" w:eastAsia="Arial" w:hAnsi="Arial"/>
          <w:sz w:val="16"/>
          <w:szCs w:val="16"/>
          <w:color w:val="auto"/>
        </w:rPr>
        <w:t>Any restricted stock or restricted stock unit granted to a person who is an executive officer of Schlumberger on the date of grant will be subject to performance-based vesting and not solely to time-based vesting. A performance-based award is an award that is subject to the attainment of one or more future performance goals. At the discretion of the Compensation Committee, certain performance-based awards may be intended to qualify as performance-based compensation under Section 162(m) of the Code, which generally disallows deductions for compensation in excess of $1,000,000 for some executive officers unless the compensation qualifies as performance-based compensation.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type w:val="continuous"/>
        </w:sectPr>
      </w:pPr>
    </w:p>
    <w:bookmarkStart w:id="30" w:name="page31"/>
    <w:bookmarkEnd w:id="30"/>
    <w:p>
      <w:pPr>
        <w:ind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making qualified performance-based awards, the Compensation Committee may base a performance goal on one or more of the following business criteria that may be applied to the participant, one or more business units, divisions or sectors of Schlumberger, or Schlumberger as a whole, or by comparison with a peer group of companies:</w:t>
      </w:r>
    </w:p>
    <w:p>
      <w:pPr>
        <w:sectPr>
          <w:pgSz w:w="11900" w:h="16838" w:orient="portrait"/>
          <w:cols w:equalWidth="0" w:num="1">
            <w:col w:w="11420"/>
          </w:cols>
          <w:pgMar w:left="240" w:top="280" w:right="239" w:bottom="1440" w:gutter="0" w:footer="0" w:header="0"/>
        </w:sectPr>
      </w:pPr>
    </w:p>
    <w:p>
      <w:pPr>
        <w:spacing w:after="0" w:line="127" w:lineRule="exact"/>
        <w:rPr>
          <w:sz w:val="20"/>
          <w:szCs w:val="20"/>
          <w:color w:val="auto"/>
        </w:rPr>
      </w:pPr>
    </w:p>
    <w:p>
      <w:pPr>
        <w:ind w:left="720" w:hanging="28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measures;</w:t>
      </w:r>
    </w:p>
    <w:p>
      <w:pPr>
        <w:spacing w:after="0" w:line="15" w:lineRule="exact"/>
        <w:rPr>
          <w:rFonts w:ascii="Arial" w:cs="Arial" w:eastAsia="Arial" w:hAnsi="Arial"/>
          <w:sz w:val="18"/>
          <w:szCs w:val="18"/>
          <w:color w:val="auto"/>
        </w:rPr>
      </w:pPr>
    </w:p>
    <w:p>
      <w:pPr>
        <w:ind w:left="780" w:hanging="340"/>
        <w:spacing w:after="0" w:line="250" w:lineRule="auto"/>
        <w:tabs>
          <w:tab w:leader="none" w:pos="7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measures (including, but not limited to, income after capital costs and income before or after taxes);</w:t>
      </w:r>
    </w:p>
    <w:p>
      <w:pPr>
        <w:ind w:left="780" w:right="200" w:hanging="340"/>
        <w:spacing w:after="0" w:line="250" w:lineRule="auto"/>
        <w:tabs>
          <w:tab w:leader="none" w:pos="7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shareholder return);</w:t>
      </w:r>
    </w:p>
    <w:p>
      <w:pPr>
        <w:ind w:left="720" w:hanging="28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720" w:hanging="28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 w:lineRule="exact"/>
        <w:rPr>
          <w:rFonts w:ascii="Arial" w:cs="Arial" w:eastAsia="Arial" w:hAnsi="Arial"/>
          <w:sz w:val="18"/>
          <w:szCs w:val="18"/>
          <w:color w:val="auto"/>
        </w:rPr>
      </w:pPr>
    </w:p>
    <w:p>
      <w:pPr>
        <w:ind w:left="780" w:right="80" w:hanging="340"/>
        <w:spacing w:after="0" w:line="250" w:lineRule="auto"/>
        <w:tabs>
          <w:tab w:leader="none" w:pos="7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earnings before interest, taxes, depreciation, amortization, and charges and credits;</w:t>
      </w:r>
    </w:p>
    <w:p>
      <w:pPr>
        <w:ind w:left="720" w:hanging="28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 w:lineRule="exact"/>
        <w:rPr>
          <w:rFonts w:ascii="Arial" w:cs="Arial" w:eastAsia="Arial" w:hAnsi="Arial"/>
          <w:sz w:val="18"/>
          <w:szCs w:val="18"/>
          <w:color w:val="auto"/>
        </w:rPr>
      </w:pPr>
    </w:p>
    <w:p>
      <w:pPr>
        <w:ind w:left="780" w:hanging="340"/>
        <w:spacing w:after="0" w:line="250" w:lineRule="auto"/>
        <w:tabs>
          <w:tab w:leader="none" w:pos="7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flow measures (including, but not limited to, net cash flow and net cash flow before financing activities);</w:t>
      </w:r>
    </w:p>
    <w:p>
      <w:pPr>
        <w:ind w:left="780" w:right="120" w:hanging="340"/>
        <w:spacing w:after="0" w:line="302" w:lineRule="auto"/>
        <w:tabs>
          <w:tab w:leader="none" w:pos="7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equity, return on average assets, return on capital, risk-adjusted return on capital, return on investors’ capital and return on average equity);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340" w:right="360" w:hanging="340"/>
        <w:spacing w:after="0" w:line="253" w:lineRule="auto"/>
        <w:tabs>
          <w:tab w:leader="none" w:pos="2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measures (including operating income, funds from operations, cash from operations, after-tax operating income and sales volumes)</w:t>
      </w:r>
    </w:p>
    <w:p>
      <w:pPr>
        <w:ind w:left="340" w:right="280" w:hanging="340"/>
        <w:spacing w:after="0" w:line="250" w:lineRule="auto"/>
        <w:tabs>
          <w:tab w:leader="none" w:pos="2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 measures (including, but not limited to, overhead cost and general and administrative expense);</w:t>
      </w:r>
    </w:p>
    <w:p>
      <w:pPr>
        <w:ind w:left="280" w:hanging="280"/>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divestitures;</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market value; and</w:t>
      </w:r>
    </w:p>
    <w:p>
      <w:pPr>
        <w:spacing w:after="0" w:line="9" w:lineRule="exact"/>
        <w:rPr>
          <w:rFonts w:ascii="Arial" w:cs="Arial" w:eastAsia="Arial" w:hAnsi="Arial"/>
          <w:sz w:val="18"/>
          <w:szCs w:val="18"/>
          <w:color w:val="auto"/>
        </w:rPr>
      </w:pPr>
    </w:p>
    <w:p>
      <w:pPr>
        <w:ind w:left="340" w:right="1000" w:hanging="340"/>
        <w:spacing w:after="0" w:line="261" w:lineRule="auto"/>
        <w:tabs>
          <w:tab w:leader="none" w:pos="2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corporate values measures (including ethics compliance, environmental and safety).</w:t>
      </w:r>
    </w:p>
    <w:p>
      <w:pPr>
        <w:spacing w:after="0" w:line="1217" w:lineRule="exact"/>
        <w:rPr>
          <w:sz w:val="20"/>
          <w:szCs w:val="20"/>
          <w:color w:val="auto"/>
        </w:rPr>
      </w:pPr>
    </w:p>
    <w:p>
      <w:pPr>
        <w:sectPr>
          <w:pgSz w:w="11900" w:h="16838" w:orient="portrait"/>
          <w:cols w:equalWidth="0" w:num="2">
            <w:col w:w="5740" w:space="440"/>
            <w:col w:w="5240"/>
          </w:cols>
          <w:pgMar w:left="240" w:top="280" w:right="239" w:bottom="1440" w:gutter="0" w:footer="0" w:header="0"/>
          <w:type w:val="continuous"/>
        </w:sectPr>
      </w:pPr>
    </w:p>
    <w:p>
      <w:pPr>
        <w:ind w:right="160" w:firstLine="228"/>
        <w:spacing w:after="0" w:line="268" w:lineRule="auto"/>
        <w:rPr>
          <w:sz w:val="20"/>
          <w:szCs w:val="20"/>
          <w:color w:val="auto"/>
        </w:rPr>
      </w:pPr>
      <w:r>
        <w:rPr>
          <w:rFonts w:ascii="Arial" w:cs="Arial" w:eastAsia="Arial" w:hAnsi="Arial"/>
          <w:sz w:val="18"/>
          <w:szCs w:val="18"/>
          <w:color w:val="auto"/>
        </w:rPr>
        <w:t>Performance goals need not be based upon an increase or positive result under a particular business criterion and could include, for example, maintaining the status quo or limiting economic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Transferability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Awards granted under the Amended and Restated Plan are not assignable or otherwise transferable except by will or the laws of descent and distribution.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Compensation Committee, which is made up of at least three directors who meet the applicable independence requirements of the New York Stock Exchange and all other applicable laws and regulations, will administer the Amended and Restated Plan. The Compensation Committee has full power and authority to:</w:t>
      </w: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interpret the Amended and Restated Plan and supervise its administration;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the persons to whom awards will be granted;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subject to certain limitations, the number of shares to be covered by each award;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whether stock options will be designated “incentive stock options” or “non-qualified stock options”;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determine whether performance-based restricted stock and restricted stock unit awards will be designated “qualified performance-based awards”; and</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all other terms of each award consistent with the provisions of the Amended and Restated Plan.</w:t>
      </w:r>
    </w:p>
    <w:p>
      <w:pPr>
        <w:spacing w:after="0" w:line="36"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Termination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may amend, alter, suspend or discontinue the Amended and Restated Plan at any time as permitted by law, provided that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may not amend the Amended and Restated Plan without the approval of the stockholders:</w:t>
      </w:r>
    </w:p>
    <w:p>
      <w:pPr>
        <w:spacing w:after="0" w:line="9" w:lineRule="exact"/>
        <w:rPr>
          <w:sz w:val="20"/>
          <w:szCs w:val="20"/>
          <w:color w:val="auto"/>
        </w:rPr>
      </w:pPr>
    </w:p>
    <w:p>
      <w:pPr>
        <w:ind w:left="780" w:right="160" w:hanging="326"/>
        <w:spacing w:after="0" w:line="250"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except as described below under “Adjustments,” the amendment would permit the decrease of the purchase price of a stock option after the grant date or grant to the holder of an outstanding stock option a new stock option with a lower exercise price in exchange for an outstanding stock option; or</w:t>
      </w:r>
    </w:p>
    <w:p>
      <w:pPr>
        <w:spacing w:after="0" w:line="1" w:lineRule="exact"/>
        <w:rPr>
          <w:rFonts w:ascii="Arial" w:cs="Arial" w:eastAsia="Arial" w:hAnsi="Arial"/>
          <w:sz w:val="18"/>
          <w:szCs w:val="18"/>
          <w:color w:val="auto"/>
        </w:rPr>
      </w:pPr>
    </w:p>
    <w:p>
      <w:pPr>
        <w:ind w:left="780" w:right="60" w:hanging="326"/>
        <w:spacing w:after="0" w:line="300" w:lineRule="auto"/>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if the amendment or alteration would constitute a material revision to the Amended and Restated Plan requiring stockholder approval under applicable legal requirements or the applicable requirements of the New York Stock Exchange or such other securities exchange on which our common stock is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listed.</w:t>
      </w:r>
    </w:p>
    <w:p>
      <w:pPr>
        <w:spacing w:after="0" w:line="9" w:lineRule="exact"/>
        <w:rPr>
          <w:sz w:val="20"/>
          <w:szCs w:val="20"/>
          <w:color w:val="auto"/>
        </w:rPr>
      </w:pPr>
    </w:p>
    <w:p>
      <w:pPr>
        <w:ind w:right="320" w:firstLine="228"/>
        <w:spacing w:after="0" w:line="261" w:lineRule="auto"/>
        <w:rPr>
          <w:sz w:val="20"/>
          <w:szCs w:val="20"/>
          <w:color w:val="auto"/>
        </w:rPr>
      </w:pPr>
      <w:r>
        <w:rPr>
          <w:rFonts w:ascii="Arial" w:cs="Arial" w:eastAsia="Arial" w:hAnsi="Arial"/>
          <w:sz w:val="18"/>
          <w:szCs w:val="18"/>
          <w:color w:val="auto"/>
        </w:rPr>
        <w:t>No amendment of the Amended and Restated Plan may alter or impair any of the rights or obligations of any person, without his or her consent, under any award previously granted under the Amended and Restated Plan or the Option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Adjustments</w:t>
      </w:r>
    </w:p>
    <w:p>
      <w:pPr>
        <w:spacing w:after="0" w:line="83"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Amended and Restated Plan will be proportionally adjusted and the number of shares of common stock with respect to which outstanding awards or other property subject to an outstanding award granted under the Amended and Restated Plan shall:</w:t>
      </w:r>
    </w:p>
    <w:p>
      <w:pPr>
        <w:spacing w:after="0" w:line="3" w:lineRule="exact"/>
        <w:rPr>
          <w:sz w:val="20"/>
          <w:szCs w:val="20"/>
          <w:color w:val="auto"/>
        </w:rPr>
      </w:pPr>
    </w:p>
    <w:p>
      <w:pPr>
        <w:ind w:left="780" w:right="160" w:hanging="326"/>
        <w:spacing w:after="0" w:line="250"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780" w:right="280" w:hanging="326"/>
        <w:spacing w:after="0" w:line="250"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In the event of any reorganization, merger or consolidation where Schlumberger is not the surviving corporation, or upon the liquidation or dissolution of Schlumberger, all outstanding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w:t>
      </w:r>
    </w:p>
    <w:p>
      <w:pPr>
        <w:spacing w:after="0" w:line="2" w:lineRule="exact"/>
        <w:rPr>
          <w:sz w:val="20"/>
          <w:szCs w:val="20"/>
          <w:color w:val="auto"/>
        </w:rPr>
      </w:pPr>
    </w:p>
    <w:p>
      <w:pPr>
        <w:ind w:right="100" w:firstLine="228"/>
        <w:spacing w:after="0" w:line="292"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Schlumberger awards granted pursuant to the Amended and Restated Plan shall be entitled to receive, upon exercise or vesting, in lieu of the number of shares with respect to which the award is exercisable or vested,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U.S. Federal Income Tax Consequences</w:t>
      </w:r>
    </w:p>
    <w:p>
      <w:pPr>
        <w:spacing w:after="0" w:line="8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following discussion of tax consequences relates only to U.S. federal income tax matters. The tax consequences of participating in the Amended and Restated Plan may vary according to country of participation. Also, the tax consequences of participating in the Amended and Restated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Some of the options issued under the Amended and Restated Plan are intended to constitute “incentive stock options” within the meaning of Section 422 of the Internal Revenue Code of 1986, as amended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2" w:name="page33"/>
    <w:bookmarkEnd w:id="32"/>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while other options granted under the Amended and Restated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spacing w:after="0" w:line="2"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3" w:lineRule="exact"/>
        <w:rPr>
          <w:sz w:val="20"/>
          <w:szCs w:val="20"/>
          <w:color w:val="auto"/>
        </w:rPr>
      </w:pPr>
    </w:p>
    <w:p>
      <w:pPr>
        <w:jc w:val="both"/>
        <w:ind w:right="160" w:firstLine="228"/>
        <w:spacing w:after="0" w:line="300" w:lineRule="auto"/>
        <w:rPr>
          <w:sz w:val="20"/>
          <w:szCs w:val="20"/>
          <w:color w:val="auto"/>
        </w:rPr>
      </w:pPr>
      <w:r>
        <w:rPr>
          <w:rFonts w:ascii="Arial" w:cs="Arial" w:eastAsia="Arial" w:hAnsi="Arial"/>
          <w:sz w:val="15"/>
          <w:szCs w:val="15"/>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1" w:lineRule="exact"/>
        <w:rPr>
          <w:sz w:val="20"/>
          <w:szCs w:val="20"/>
          <w:color w:val="auto"/>
        </w:rPr>
      </w:pPr>
    </w:p>
    <w:p>
      <w:pPr>
        <w:ind w:right="120" w:firstLine="228"/>
        <w:spacing w:after="0" w:line="292" w:lineRule="auto"/>
        <w:rPr>
          <w:sz w:val="20"/>
          <w:szCs w:val="20"/>
          <w:color w:val="auto"/>
        </w:rPr>
      </w:pPr>
      <w:r>
        <w:rPr>
          <w:rFonts w:ascii="Arial" w:cs="Arial" w:eastAsia="Arial" w:hAnsi="Arial"/>
          <w:sz w:val="16"/>
          <w:szCs w:val="16"/>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7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 participant generally will not have taxable income upon the grant of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2"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3"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Subject to the discussion below under “Certain Tax Code Limitations on Deductibility,” we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Tax Code Limitations on Deductibility</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162(m) of the Code provides that certain compensation received in any year by a “covered employee” in excess of $1 million is non-deductible by us for federal income tax purposes. Section 162(m) provides an exception, however, for “performance-based compensation.” The Compensation Committee may determine to designate awards granted to “covered employees” as performance-based compensation. However, the Compensation Committee may award compensation that is or may become non-deductible, and expects to consider whether it believes such grants are in the best interest of Schlumberger, balancing tax efficiency with long-term strategic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Equity Compensation Plan Information</w:t>
      </w:r>
    </w:p>
    <w:p>
      <w:pPr>
        <w:spacing w:after="0" w:line="8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table below sets forth the following information(after giving effect to the two-for-one stock split) as of the end of Schlumberger’s 2005 fiscal year for (1) all compensation plans previously approved by our stockholders and (2) all compensation plans not previously approved by our stockholders.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(a)</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ind w:left="640"/>
              <w:spacing w:after="0"/>
              <w:rPr>
                <w:sz w:val="20"/>
                <w:szCs w:val="20"/>
                <w:color w:val="auto"/>
              </w:rPr>
            </w:pPr>
            <w:r>
              <w:rPr>
                <w:rFonts w:ascii="Arial" w:cs="Arial" w:eastAsia="Arial" w:hAnsi="Arial"/>
                <w:sz w:val="14"/>
                <w:szCs w:val="14"/>
                <w:b w:val="1"/>
                <w:bCs w:val="1"/>
                <w:color w:val="auto"/>
              </w:rPr>
              <w:t>(b)</w:t>
            </w:r>
          </w:p>
        </w:tc>
        <w:tc>
          <w:tcPr>
            <w:tcW w:w="1560" w:type="dxa"/>
            <w:vAlign w:val="bottom"/>
          </w:tcPr>
          <w:p>
            <w:pPr>
              <w:jc w:val="right"/>
              <w:ind w:right="632"/>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issued upon exercise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2"/>
          </w:tcPr>
          <w:p>
            <w:pPr>
              <w:jc w:val="right"/>
              <w:ind w:right="124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of outstanding options,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2"/>
          </w:tcPr>
          <w:p>
            <w:pPr>
              <w:jc w:val="right"/>
              <w:ind w:right="1240"/>
              <w:spacing w:after="0" w:line="149" w:lineRule="exact"/>
              <w:rPr>
                <w:sz w:val="20"/>
                <w:szCs w:val="20"/>
                <w:color w:val="auto"/>
              </w:rPr>
            </w:pPr>
            <w:r>
              <w:rPr>
                <w:rFonts w:ascii="Arial" w:cs="Arial" w:eastAsia="Arial" w:hAnsi="Arial"/>
                <w:sz w:val="14"/>
                <w:szCs w:val="14"/>
                <w:b w:val="1"/>
                <w:bCs w:val="1"/>
                <w:color w:val="auto"/>
                <w:w w:val="89"/>
              </w:rPr>
              <w:t>price of such outstanding</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plans (excluding securities</w:t>
            </w:r>
          </w:p>
        </w:tc>
        <w:tc>
          <w:tcPr>
            <w:tcW w:w="0" w:type="dxa"/>
            <w:vAlign w:val="bottom"/>
          </w:tcPr>
          <w:p>
            <w:pPr>
              <w:spacing w:after="0"/>
              <w:rPr>
                <w:sz w:val="1"/>
                <w:szCs w:val="1"/>
                <w:color w:val="auto"/>
              </w:rPr>
            </w:pPr>
          </w:p>
        </w:tc>
      </w:tr>
      <w:tr>
        <w:trPr>
          <w:trHeight w:val="174"/>
        </w:trPr>
        <w:tc>
          <w:tcPr>
            <w:tcW w:w="42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warrants and rights</w:t>
            </w:r>
          </w:p>
        </w:tc>
        <w:tc>
          <w:tcPr>
            <w:tcW w:w="620" w:type="dxa"/>
            <w:vAlign w:val="bottom"/>
          </w:tcPr>
          <w:p>
            <w:pPr>
              <w:spacing w:after="0"/>
              <w:rPr>
                <w:sz w:val="15"/>
                <w:szCs w:val="15"/>
                <w:color w:val="auto"/>
              </w:rPr>
            </w:pPr>
          </w:p>
        </w:tc>
        <w:tc>
          <w:tcPr>
            <w:tcW w:w="290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w w:val="87"/>
              </w:rPr>
              <w:t>options, warrants and rights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9"/>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1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Equity compensation plans approved by security</w:t>
            </w:r>
          </w:p>
        </w:tc>
        <w:tc>
          <w:tcPr>
            <w:tcW w:w="15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holders</w:t>
            </w:r>
          </w:p>
        </w:tc>
        <w:tc>
          <w:tcPr>
            <w:tcW w:w="214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52,978,806</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31.386</w:t>
            </w:r>
          </w:p>
        </w:tc>
        <w:tc>
          <w:tcPr>
            <w:tcW w:w="1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27,809,748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3"/>
          </w:tcPr>
          <w:p>
            <w:pPr>
              <w:spacing w:after="0" w:line="138" w:lineRule="exact"/>
              <w:rPr>
                <w:sz w:val="20"/>
                <w:szCs w:val="20"/>
                <w:color w:val="auto"/>
              </w:rPr>
            </w:pPr>
            <w:r>
              <w:rPr>
                <w:rFonts w:ascii="Arial" w:cs="Arial" w:eastAsia="Arial" w:hAnsi="Arial"/>
                <w:sz w:val="14"/>
                <w:szCs w:val="14"/>
                <w:color w:val="auto"/>
              </w:rPr>
              <w:t>Equity compensation plans not approved by security</w:t>
            </w:r>
          </w:p>
        </w:tc>
        <w:tc>
          <w:tcPr>
            <w:tcW w:w="1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holders</w:t>
            </w:r>
          </w:p>
        </w:tc>
        <w:tc>
          <w:tcPr>
            <w:tcW w:w="21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N/A</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2"/>
          </w:tcPr>
          <w:p>
            <w:pPr>
              <w:jc w:val="right"/>
              <w:ind w:right="1240"/>
              <w:spacing w:after="0" w:line="159" w:lineRule="exact"/>
              <w:rPr>
                <w:sz w:val="20"/>
                <w:szCs w:val="20"/>
                <w:color w:val="auto"/>
              </w:rPr>
            </w:pPr>
            <w:r>
              <w:rPr>
                <w:rFonts w:ascii="Arial" w:cs="Arial" w:eastAsia="Arial" w:hAnsi="Arial"/>
                <w:sz w:val="14"/>
                <w:szCs w:val="14"/>
                <w:color w:val="auto"/>
              </w:rPr>
              <w:t>N/A</w:t>
            </w:r>
          </w:p>
        </w:tc>
        <w:tc>
          <w:tcPr>
            <w:tcW w:w="156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2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52,978,806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31.386</w:t>
            </w:r>
          </w:p>
        </w:tc>
        <w:tc>
          <w:tcPr>
            <w:tcW w:w="1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27,809,748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Equity compensation plans approved by our stockholders include the Schlumberger 1989 Stock Incentive Plan as amended, the Schlumberger 1994 Stock Option Plan as amended, the Schlumberger 1998 Stock Option Plan as amended, the Schlumberger 2001 Stock Option Plan, the Schlumberger 2005 Stock Option Plan and the Schlumberger Discounted Stock Purchase Plan and the Schlumberger Stock and Deferral Plan for Non-Employee Directors.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Amended and Restated Plan, provided that the total vote cast on the proposal represents over 50% of all outstanding shares. </w:t>
      </w: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this 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 “FOR” the amendment and restatement of the Schlumberger 2005 Stock Incentive Plan.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Appointment of Independent Registered Public Accounting Firm</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PricewaterhouseCoopers LLP have been selected by the Board of Directors as independent registered public accountants to audit the accounts of the Company for the year 2006. A majority of the votes cast is required for such approval. A representative of PricewaterhouseCoopers LLP will attend the 2006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2005 and 2004 annual financial statements and reviews of quarterly financial statements and other audit services and (ii) the other services described below that were billed in 2005 and 2004.</w:t>
      </w:r>
    </w:p>
    <w:p>
      <w:pPr>
        <w:spacing w:after="0" w:line="122" w:lineRule="exact"/>
        <w:rPr>
          <w:sz w:val="20"/>
          <w:szCs w:val="20"/>
          <w:color w:val="auto"/>
        </w:rPr>
      </w:pPr>
    </w:p>
    <w:p>
      <w:pPr>
        <w:jc w:val="center"/>
        <w:ind w:left="1022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10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60325</wp:posOffset>
            </wp:positionV>
            <wp:extent cx="7632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4"/>
                <w:szCs w:val="14"/>
                <w:b w:val="1"/>
                <w:bCs w:val="1"/>
                <w:color w:val="auto"/>
                <w:w w:val="76"/>
              </w:rPr>
              <w:t>2005</w:t>
            </w:r>
          </w:p>
        </w:tc>
        <w:tc>
          <w:tcPr>
            <w:tcW w:w="9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4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Audit Fees (1)</w:t>
            </w:r>
          </w:p>
        </w:tc>
        <w:tc>
          <w:tcPr>
            <w:tcW w:w="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$ 24,589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gridSpan w:val="2"/>
          </w:tcPr>
          <w:p>
            <w:pPr>
              <w:spacing w:after="0" w:line="149" w:lineRule="exact"/>
              <w:rPr>
                <w:sz w:val="20"/>
                <w:szCs w:val="20"/>
                <w:color w:val="auto"/>
              </w:rPr>
            </w:pPr>
            <w:r>
              <w:rPr>
                <w:rFonts w:ascii="Arial" w:cs="Arial" w:eastAsia="Arial" w:hAnsi="Arial"/>
                <w:sz w:val="14"/>
                <w:szCs w:val="14"/>
                <w:color w:val="auto"/>
              </w:rPr>
              <w:t>Audit-Related Fees (2)</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 Fees (3)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0" w:type="dxa"/>
            <w:vAlign w:val="bottom"/>
            <w:gridSpan w:val="2"/>
          </w:tcPr>
          <w:p>
            <w:pPr>
              <w:spacing w:after="0"/>
              <w:rPr>
                <w:sz w:val="20"/>
                <w:szCs w:val="20"/>
                <w:color w:val="auto"/>
              </w:rPr>
            </w:pPr>
            <w:r>
              <w:rPr>
                <w:rFonts w:ascii="Arial" w:cs="Arial" w:eastAsia="Arial" w:hAnsi="Arial"/>
                <w:sz w:val="14"/>
                <w:szCs w:val="14"/>
                <w:color w:val="auto"/>
              </w:rPr>
              <w:t>All Other Fees (4)</w:t>
            </w: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$ 27,261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760" w:type="dxa"/>
            <w:vAlign w:val="bottom"/>
            <w:gridSpan w:val="2"/>
          </w:tcPr>
          <w:p>
            <w:pPr>
              <w:spacing w:after="0"/>
              <w:rPr>
                <w:sz w:val="11"/>
                <w:szCs w:val="11"/>
                <w:color w:val="auto"/>
              </w:rPr>
            </w:pPr>
          </w:p>
        </w:tc>
        <w:tc>
          <w:tcPr>
            <w:tcW w:w="8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760" w:type="dxa"/>
            <w:vAlign w:val="bottom"/>
            <w:gridSpan w:val="2"/>
          </w:tcPr>
          <w:p>
            <w:pPr>
              <w:spacing w:after="0"/>
              <w:rPr>
                <w:sz w:val="20"/>
                <w:szCs w:val="20"/>
                <w:color w:val="auto"/>
              </w:rPr>
            </w:pPr>
            <w:r>
              <w:rPr>
                <w:rFonts w:ascii="Arial" w:cs="Arial" w:eastAsia="Arial" w:hAnsi="Arial"/>
                <w:sz w:val="14"/>
                <w:szCs w:val="14"/>
                <w:color w:val="auto"/>
              </w:rPr>
              <w:t>(1)</w:t>
            </w:r>
          </w:p>
        </w:tc>
        <w:tc>
          <w:tcPr>
            <w:tcW w:w="8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4"/>
                <w:szCs w:val="14"/>
                <w:color w:val="auto"/>
              </w:rPr>
              <w:t>(2)</w:t>
            </w:r>
          </w:p>
        </w:tc>
        <w:tc>
          <w:tcPr>
            <w:tcW w:w="8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-481330</wp:posOffset>
            </wp:positionV>
            <wp:extent cx="17589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589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-481330</wp:posOffset>
            </wp:positionV>
            <wp:extent cx="31305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2005,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2007 Annual General Meeting</w:t>
      </w:r>
    </w:p>
    <w:p>
      <w:pPr>
        <w:spacing w:after="0" w:line="83"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2007 Annual General Meeting of Stockholders, written proposals must be received by the Secretary of the Company, 153 East 53rd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no later than November 8, 2006.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5" w:name="page36"/>
    <w:bookmarkEnd w:id="35"/>
    <w:p>
      <w:pPr>
        <w:ind w:right="120" w:firstLine="228"/>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rules under the Securities Exchange Act of 1934, the Company may use discretionary authority to vote with respect to stockholder proposals presented in person at the 2007 Annual General Meeting if the stockholder making the proposal has not given notice to the Company by January 22, 2007.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8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2" w:lineRule="exact"/>
        <w:rPr>
          <w:sz w:val="20"/>
          <w:szCs w:val="20"/>
          <w:color w:val="auto"/>
        </w:rPr>
      </w:pPr>
    </w:p>
    <w:p>
      <w:pPr>
        <w:ind w:right="120" w:firstLine="228"/>
        <w:spacing w:after="0" w:line="246"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March</w:t>
        <w:tab/>
        <w:t>, 2006</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28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SCHLUMBERGER 2005 STOCK INCENTIVE PLAN</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(As Amended and Restated Effective January 19, 2006)</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Purpose of the Plan</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Stock Incentive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1" w:lineRule="exact"/>
        <w:rPr>
          <w:rFonts w:ascii="Arial" w:cs="Arial" w:eastAsia="Arial" w:hAnsi="Arial"/>
          <w:sz w:val="18"/>
          <w:szCs w:val="18"/>
          <w:b w:val="1"/>
          <w:bCs w:val="1"/>
          <w:color w:val="auto"/>
        </w:rPr>
      </w:pPr>
    </w:p>
    <w:p>
      <w:pPr>
        <w:ind w:right="280" w:firstLine="236"/>
        <w:spacing w:after="0" w:line="281" w:lineRule="auto"/>
        <w:tabs>
          <w:tab w:leader="none" w:pos="467"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Board of Directors shall appoint and maintain a Compensation Committee (the “Committee”) which shall consist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three (3) members of the Board of Directors, none of whom is an officer or employee of the Company, who shall serve at the pleasure of the Board. No member of such Committee shall be eligible to receive Awards under this Plan during his or her tenure on the Committee.</w:t>
      </w:r>
    </w:p>
    <w:p>
      <w:pPr>
        <w:spacing w:after="0" w:line="2" w:lineRule="exact"/>
        <w:rPr>
          <w:rFonts w:ascii="Arial" w:cs="Arial" w:eastAsia="Arial" w:hAnsi="Arial"/>
          <w:sz w:val="16"/>
          <w:szCs w:val="16"/>
          <w:color w:val="auto"/>
        </w:rPr>
      </w:pPr>
    </w:p>
    <w:p>
      <w:pPr>
        <w:ind w:right="40" w:firstLine="236"/>
        <w:spacing w:after="0" w:line="281" w:lineRule="auto"/>
        <w:tabs>
          <w:tab w:leader="none" w:pos="477"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Any decision reduced to writing and signed by a majority of the members shall be fully effective as if adopted by a majority at a meeting duly held. The Committee may from time to time grant incentive stock options and non-qualified stock options (“Stock Options”) and restricted stock and restricted stock units (“Stock Awards”) under the Plan to the persons described in Section 3 hereof. Subject to the provisions of the Plan, the Committee shall have full and final authority to determine the persons to whom Stock Options and Stock Awards (collectively referred to as “Awards”) hereunder shall be granted, the number of shares to be covered by each Award except that no participant may be granted options for more than 1,500,000 shares of common stock (after giving effect to the 2-for-1 stock split (“stock split”) announced by the Company on January 19, 2006) during the life of the Plan, whether each Stock Option shall be designated an “incentive stock option” or a “non-qualified stock option,” and all other terms of each Award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8" w:lineRule="exact"/>
        <w:rPr>
          <w:rFonts w:ascii="Arial" w:cs="Arial" w:eastAsia="Arial" w:hAnsi="Arial"/>
          <w:sz w:val="16"/>
          <w:szCs w:val="16"/>
          <w:color w:val="auto"/>
        </w:rPr>
      </w:pPr>
    </w:p>
    <w:p>
      <w:pPr>
        <w:ind w:right="180" w:firstLine="236"/>
        <w:spacing w:after="0" w:line="261" w:lineRule="auto"/>
        <w:tabs>
          <w:tab w:leader="none" w:pos="467"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Committee Liability</w:t>
      </w:r>
      <w:r>
        <w:rPr>
          <w:rFonts w:ascii="Arial" w:cs="Arial" w:eastAsia="Arial" w:hAnsi="Arial"/>
          <w:sz w:val="18"/>
          <w:szCs w:val="18"/>
          <w:color w:val="auto"/>
        </w:rPr>
        <w:t>. No member of the Committee shall be liable for anything done or omitted to be done by him or by her or any other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connection with the Plan, except for his or her own willful misconduct or as expressly provided by statute.</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Awards</w:t>
      </w:r>
    </w:p>
    <w:p>
      <w:pPr>
        <w:spacing w:after="0" w:line="21" w:lineRule="exact"/>
        <w:rPr>
          <w:rFonts w:ascii="Arial" w:cs="Arial" w:eastAsia="Arial" w:hAnsi="Arial"/>
          <w:sz w:val="18"/>
          <w:szCs w:val="18"/>
          <w:b w:val="1"/>
          <w:bCs w:val="1"/>
          <w:color w:val="auto"/>
        </w:rPr>
      </w:pPr>
    </w:p>
    <w:p>
      <w:pPr>
        <w:ind w:right="40" w:firstLine="236"/>
        <w:spacing w:after="0" w:line="281" w:lineRule="auto"/>
        <w:tabs>
          <w:tab w:leader="none" w:pos="467"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Eligibility for Awards</w:t>
      </w:r>
      <w:r>
        <w:rPr>
          <w:rFonts w:ascii="Arial" w:cs="Arial" w:eastAsia="Arial" w:hAnsi="Arial"/>
          <w:sz w:val="16"/>
          <w:szCs w:val="16"/>
          <w:color w:val="auto"/>
        </w:rPr>
        <w:t>. The persons eligible for participation in the Plan as recipients of Awards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Awards at the Committee’s discretion including simultaneous grants of different forms of Awards.</w:t>
      </w:r>
    </w:p>
    <w:p>
      <w:pPr>
        <w:spacing w:after="0" w:line="4" w:lineRule="exact"/>
        <w:rPr>
          <w:rFonts w:ascii="Arial" w:cs="Arial" w:eastAsia="Arial" w:hAnsi="Arial"/>
          <w:sz w:val="16"/>
          <w:szCs w:val="16"/>
          <w:color w:val="auto"/>
        </w:rPr>
      </w:pPr>
    </w:p>
    <w:p>
      <w:pPr>
        <w:ind w:right="220" w:firstLine="236"/>
        <w:spacing w:after="0" w:line="323" w:lineRule="auto"/>
        <w:tabs>
          <w:tab w:leader="none" w:pos="477"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Discretion in and Documentation of Awards</w:t>
      </w:r>
      <w:r>
        <w:rPr>
          <w:rFonts w:ascii="Arial" w:cs="Arial" w:eastAsia="Arial" w:hAnsi="Arial"/>
          <w:sz w:val="16"/>
          <w:szCs w:val="16"/>
          <w:color w:val="auto"/>
        </w:rPr>
        <w:t>. The Committee in granting Awards hereunder shall have discretion to determine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upon which such Awards may vest and become exercisable, subject to and as further described in Section 5 and 6 of this Plan. Each grant of an Award shall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7" w:name="page38"/>
    <w:bookmarkEnd w:id="37"/>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communicated, in the form and manner decided by the Committee, to the person to whom such Award is granted. In addition, the Committee may require that the grant be confirmed by an agreement, and may require that the optionee execute such agreement.</w:t>
      </w:r>
    </w:p>
    <w:p>
      <w:pPr>
        <w:ind w:left="480" w:hanging="244"/>
        <w:spacing w:after="0"/>
        <w:tabs>
          <w:tab w:leader="none" w:pos="48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Form of Awards</w:t>
      </w:r>
      <w:r>
        <w:rPr>
          <w:rFonts w:ascii="Arial" w:cs="Arial" w:eastAsia="Arial" w:hAnsi="Arial"/>
          <w:sz w:val="18"/>
          <w:szCs w:val="18"/>
          <w:color w:val="auto"/>
        </w:rPr>
        <w:t>.  Awards may be granted in the following forms:</w:t>
      </w:r>
    </w:p>
    <w:p>
      <w:pPr>
        <w:spacing w:after="0" w:line="9" w:lineRule="exact"/>
        <w:rPr>
          <w:rFonts w:ascii="Arial" w:cs="Arial" w:eastAsia="Arial" w:hAnsi="Arial"/>
          <w:sz w:val="18"/>
          <w:szCs w:val="18"/>
          <w:color w:val="auto"/>
        </w:rPr>
      </w:pPr>
    </w:p>
    <w:p>
      <w:pPr>
        <w:ind w:left="660" w:hanging="200"/>
        <w:spacing w:after="0"/>
        <w:tabs>
          <w:tab w:leader="none" w:pos="6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 Stock Option, in accordance with Section 5, or</w:t>
      </w:r>
    </w:p>
    <w:p>
      <w:pPr>
        <w:spacing w:after="0" w:line="9" w:lineRule="exact"/>
        <w:rPr>
          <w:rFonts w:ascii="Arial" w:cs="Arial" w:eastAsia="Arial" w:hAnsi="Arial"/>
          <w:sz w:val="18"/>
          <w:szCs w:val="18"/>
          <w:color w:val="auto"/>
        </w:rPr>
      </w:pPr>
    </w:p>
    <w:p>
      <w:pPr>
        <w:ind w:left="720" w:hanging="260"/>
        <w:spacing w:after="0"/>
        <w:tabs>
          <w:tab w:leader="none" w:pos="7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 Stock Award in accordance with Section 6, or</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 combination of the foregoing.</w:t>
      </w:r>
    </w:p>
    <w:p>
      <w:pPr>
        <w:spacing w:after="0" w:line="9" w:lineRule="exact"/>
        <w:rPr>
          <w:rFonts w:ascii="Arial" w:cs="Arial" w:eastAsia="Arial" w:hAnsi="Arial"/>
          <w:sz w:val="18"/>
          <w:szCs w:val="18"/>
          <w:color w:val="auto"/>
        </w:rPr>
      </w:pPr>
    </w:p>
    <w:p>
      <w:pPr>
        <w:jc w:val="both"/>
        <w:ind w:right="720" w:firstLine="236"/>
        <w:spacing w:after="0" w:line="250" w:lineRule="auto"/>
        <w:tabs>
          <w:tab w:leader="none" w:pos="477"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Employment for Plan Purposes</w:t>
      </w:r>
      <w:r>
        <w:rPr>
          <w:rFonts w:ascii="Arial" w:cs="Arial" w:eastAsia="Arial" w:hAnsi="Arial"/>
          <w:sz w:val="18"/>
          <w:szCs w:val="18"/>
          <w:color w:val="auto"/>
        </w:rPr>
        <w:t>. For purposes of this Plan, employment with the Company shall include employment with any subsidiary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Awards granted under this Plan shall not be affected by an employee’s transfer of employment from the Company to a subsidiary, from a subsidiary to the Company or between subsidiaries.</w:t>
      </w:r>
    </w:p>
    <w:p>
      <w:pPr>
        <w:spacing w:after="0" w:line="1" w:lineRule="exact"/>
        <w:rPr>
          <w:rFonts w:ascii="Arial" w:cs="Arial" w:eastAsia="Arial" w:hAnsi="Arial"/>
          <w:sz w:val="18"/>
          <w:szCs w:val="18"/>
          <w:color w:val="auto"/>
        </w:rPr>
      </w:pPr>
    </w:p>
    <w:p>
      <w:pPr>
        <w:ind w:right="20" w:firstLine="236"/>
        <w:spacing w:after="0" w:line="295" w:lineRule="auto"/>
        <w:tabs>
          <w:tab w:leader="none" w:pos="467"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Payment of Purchase Price for Stock Options</w:t>
      </w:r>
      <w:r>
        <w:rPr>
          <w:rFonts w:ascii="Arial" w:cs="Arial" w:eastAsia="Arial" w:hAnsi="Arial"/>
          <w:sz w:val="16"/>
          <w:szCs w:val="16"/>
          <w:color w:val="auto"/>
        </w:rPr>
        <w:t>. The purchase price of the shares of Common Stock as to which a Stock Option is exercised shall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full at the time of the exercise 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95"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Subject to adjustment as provided in Section 8 hereof, there shall be subject to the Plan 18,000,000 shares of common stock (after giving effect to the stock split), par value $0.01 per share, of the Company (“Common Stock”). All of the shares of Common Stock authorized for issuance may be issued pursuant to Stock Options. No more than 3,000,000 shares of Common Stock (after to giving effect to the stock split) of the shares authorized shall be available for the Stock Awards. The shares of Common Stock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of Common Stock to meet the requirements of the Plan. After termination of the Plan, the number of shares of Common Stock reserved for purposes of the Plan from time to time shall be only such number of shares of Common Stock as are issuable under then outstanding Awards.</w:t>
      </w:r>
    </w:p>
    <w:p>
      <w:pPr>
        <w:spacing w:after="0" w:line="5"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Awards under this Plan that are forfeited or terminated or expire unexercised shall not count against the aggregate plan maximum and shall again immediately become available for grants hereunder. Shares of Common Stock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 The Committee may from time to time adopt and observe such rules and procedures concerning the counting of shares of Common Stock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21" w:lineRule="exact"/>
        <w:rPr>
          <w:rFonts w:ascii="Arial" w:cs="Arial" w:eastAsia="Arial" w:hAnsi="Arial"/>
          <w:sz w:val="18"/>
          <w:szCs w:val="18"/>
          <w:b w:val="1"/>
          <w:bCs w:val="1"/>
          <w:color w:val="auto"/>
        </w:rPr>
      </w:pPr>
    </w:p>
    <w:p>
      <w:pPr>
        <w:ind w:right="100" w:firstLine="236"/>
        <w:spacing w:after="0" w:line="254" w:lineRule="auto"/>
        <w:tabs>
          <w:tab w:leader="none" w:pos="467"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 Committee may designate a Stock Option as an “incentive stock option” for purposes of Section 422 of the Code,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that is not so designated shall not be an incentive stock option. Stock Options granted under this Plan which are designated as “incentive stock options” may be granted with respect to any number of shares of Common Stock, up to the full number of shares of Common Stock subject to the Plan, provided that the aggregate Fair Market Value of such shares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8" w:name="page39"/>
    <w:bookmarkEnd w:id="38"/>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of Common Stock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2" w:lineRule="exact"/>
        <w:rPr>
          <w:sz w:val="20"/>
          <w:szCs w:val="20"/>
          <w:color w:val="auto"/>
        </w:rPr>
      </w:pPr>
    </w:p>
    <w:p>
      <w:pPr>
        <w:ind w:firstLine="236"/>
        <w:spacing w:after="0" w:line="281" w:lineRule="auto"/>
        <w:tabs>
          <w:tab w:leader="none" w:pos="477"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Purchase Price; Fair Market Value</w:t>
      </w:r>
      <w:r>
        <w:rPr>
          <w:rFonts w:ascii="Arial" w:cs="Arial" w:eastAsia="Arial" w:hAnsi="Arial"/>
          <w:sz w:val="16"/>
          <w:szCs w:val="16"/>
          <w:color w:val="auto"/>
        </w:rPr>
        <w:t>. The purchase price of each share of Common Stock subject to a Stock Option shall be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granting a Stock Option. The Committee shall set the purchase price for each share of Common Stock at either the fair market value (the “Fair Market Value”) of each share of Common Stock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of Common Stock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6" w:lineRule="exact"/>
        <w:rPr>
          <w:rFonts w:ascii="Arial" w:cs="Arial" w:eastAsia="Arial" w:hAnsi="Arial"/>
          <w:sz w:val="16"/>
          <w:szCs w:val="16"/>
          <w:color w:val="auto"/>
        </w:rPr>
      </w:pPr>
    </w:p>
    <w:p>
      <w:pPr>
        <w:ind w:firstLine="236"/>
        <w:spacing w:after="0" w:line="281" w:lineRule="auto"/>
        <w:tabs>
          <w:tab w:leader="none" w:pos="467"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Permitted Restriction on Transfer of Option shares of Common Stock</w:t>
      </w:r>
      <w:r>
        <w:rPr>
          <w:rFonts w:ascii="Arial" w:cs="Arial" w:eastAsia="Arial" w:hAnsi="Arial"/>
          <w:sz w:val="16"/>
          <w:szCs w:val="16"/>
          <w:color w:val="auto"/>
        </w:rPr>
        <w:t>. At the time of the grant of a Stock Option, the Committee may determine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covered by such option shall be restricted as to transferability when and if such shares of Common Stock are delivered upon exercise. If so restricted, such shares of Common Stock shall not be sold, transferred or disposed of in any manner, and such shares of Common Stock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 of Common Stock.</w:t>
      </w:r>
    </w:p>
    <w:p>
      <w:pPr>
        <w:spacing w:after="0" w:line="3" w:lineRule="exact"/>
        <w:rPr>
          <w:rFonts w:ascii="Arial" w:cs="Arial" w:eastAsia="Arial" w:hAnsi="Arial"/>
          <w:sz w:val="16"/>
          <w:szCs w:val="16"/>
          <w:color w:val="auto"/>
        </w:rPr>
      </w:pPr>
    </w:p>
    <w:p>
      <w:pPr>
        <w:ind w:left="480" w:hanging="24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right="280" w:firstLine="220"/>
        <w:spacing w:after="0" w:line="250" w:lineRule="auto"/>
        <w:tabs>
          <w:tab w:leader="none" w:pos="673"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Exercise Schedule</w:t>
      </w:r>
      <w:r>
        <w:rPr>
          <w:rFonts w:ascii="Arial" w:cs="Arial" w:eastAsia="Arial" w:hAnsi="Arial"/>
          <w:sz w:val="18"/>
          <w:szCs w:val="18"/>
          <w:color w:val="auto"/>
        </w:rPr>
        <w:t>. 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color w:val="auto"/>
        </w:rPr>
      </w:pPr>
    </w:p>
    <w:p>
      <w:pPr>
        <w:ind w:left="1460" w:hanging="547"/>
        <w:spacing w:after="0"/>
        <w:tabs>
          <w:tab w:leader="none" w:pos="1460" w:val="left"/>
        </w:tabs>
        <w:numPr>
          <w:ilvl w:val="3"/>
          <w:numId w:val="40"/>
        </w:numPr>
        <w:rPr>
          <w:rFonts w:ascii="Arial" w:cs="Arial" w:eastAsia="Arial" w:hAnsi="Arial"/>
          <w:sz w:val="18"/>
          <w:szCs w:val="18"/>
          <w:color w:val="auto"/>
        </w:rPr>
      </w:pPr>
      <w:r>
        <w:rPr>
          <w:rFonts w:ascii="Arial" w:cs="Arial" w:eastAsia="Arial" w:hAnsi="Arial"/>
          <w:sz w:val="18"/>
          <w:szCs w:val="18"/>
          <w:color w:val="auto"/>
        </w:rPr>
        <w:t>No Stock Option may be exercised after the expiration of ten (10) years from the date such option is granted.</w:t>
      </w:r>
    </w:p>
    <w:p>
      <w:pPr>
        <w:spacing w:after="0" w:line="9" w:lineRule="exact"/>
        <w:rPr>
          <w:rFonts w:ascii="Arial" w:cs="Arial" w:eastAsia="Arial" w:hAnsi="Arial"/>
          <w:sz w:val="18"/>
          <w:szCs w:val="18"/>
          <w:color w:val="auto"/>
        </w:rPr>
      </w:pPr>
    </w:p>
    <w:p>
      <w:pPr>
        <w:ind w:left="1460" w:hanging="547"/>
        <w:spacing w:after="0" w:line="281" w:lineRule="auto"/>
        <w:tabs>
          <w:tab w:leader="none" w:pos="1460" w:val="left"/>
        </w:tabs>
        <w:numPr>
          <w:ilvl w:val="3"/>
          <w:numId w:val="40"/>
        </w:numPr>
        <w:rPr>
          <w:rFonts w:ascii="Arial" w:cs="Arial" w:eastAsia="Arial" w:hAnsi="Arial"/>
          <w:sz w:val="16"/>
          <w:szCs w:val="16"/>
          <w:color w:val="auto"/>
        </w:rPr>
      </w:pPr>
      <w:r>
        <w:rPr>
          <w:rFonts w:ascii="Arial" w:cs="Arial" w:eastAsia="Arial" w:hAnsi="Arial"/>
          <w:sz w:val="16"/>
          <w:szCs w:val="16"/>
          <w:color w:val="auto"/>
        </w:rPr>
        <w:t>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2" w:lineRule="exact"/>
        <w:rPr>
          <w:rFonts w:ascii="Arial" w:cs="Arial" w:eastAsia="Arial" w:hAnsi="Arial"/>
          <w:sz w:val="16"/>
          <w:szCs w:val="16"/>
          <w:color w:val="auto"/>
        </w:rPr>
      </w:pPr>
    </w:p>
    <w:p>
      <w:pPr>
        <w:ind w:left="240" w:right="120" w:firstLine="220"/>
        <w:spacing w:after="0" w:line="250" w:lineRule="auto"/>
        <w:tabs>
          <w:tab w:leader="none" w:pos="722"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of Common Stock shall be cumulative so that when the right to purchase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has accrued, such shares of Common Stock or any part thereof may be purchased at any time thereafter until the expiration or termination of the Stock Option.</w:t>
      </w:r>
    </w:p>
    <w:p>
      <w:pPr>
        <w:spacing w:after="0" w:line="1" w:lineRule="exact"/>
        <w:rPr>
          <w:rFonts w:ascii="Arial" w:cs="Arial" w:eastAsia="Arial" w:hAnsi="Arial"/>
          <w:sz w:val="18"/>
          <w:szCs w:val="18"/>
          <w:color w:val="auto"/>
        </w:rPr>
      </w:pPr>
    </w:p>
    <w:p>
      <w:pPr>
        <w:ind w:left="760" w:hanging="300"/>
        <w:spacing w:after="0"/>
        <w:tabs>
          <w:tab w:leader="none" w:pos="76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Reload. </w:t>
      </w:r>
      <w:r>
        <w:rPr>
          <w:rFonts w:ascii="Arial" w:cs="Arial" w:eastAsia="Arial" w:hAnsi="Arial"/>
          <w:sz w:val="18"/>
          <w:szCs w:val="18"/>
          <w:color w:val="auto"/>
        </w:rPr>
        <w:t>No Stock Option may include provisions that “reload” the option upon exercise.</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60" w:right="180" w:firstLine="224"/>
        <w:spacing w:after="0" w:line="281" w:lineRule="auto"/>
        <w:tabs>
          <w:tab w:leader="none" w:pos="967" w:val="left"/>
        </w:tabs>
        <w:numPr>
          <w:ilvl w:val="2"/>
          <w:numId w:val="40"/>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only before its expiration and may be exercised within such three-month period only to the extent it was exercisable on the date of such termination.</w:t>
      </w:r>
    </w:p>
    <w:p>
      <w:pPr>
        <w:spacing w:after="0" w:line="2" w:lineRule="exact"/>
        <w:rPr>
          <w:rFonts w:ascii="Arial" w:cs="Arial" w:eastAsia="Arial" w:hAnsi="Arial"/>
          <w:sz w:val="16"/>
          <w:szCs w:val="16"/>
          <w:color w:val="auto"/>
        </w:rPr>
      </w:pPr>
    </w:p>
    <w:p>
      <w:pPr>
        <w:ind w:left="460" w:right="180" w:firstLine="224"/>
        <w:spacing w:after="0" w:line="255" w:lineRule="auto"/>
        <w:tabs>
          <w:tab w:leader="none" w:pos="957" w:val="left"/>
        </w:tabs>
        <w:numPr>
          <w:ilvl w:val="2"/>
          <w:numId w:val="40"/>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39" w:name="page40"/>
    <w:bookmarkEnd w:id="39"/>
    <w:p>
      <w:pPr>
        <w:jc w:val="both"/>
        <w:ind w:right="3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optionee’s will or the laws of descent and distribution during the “Post-Death Exercise Period” (as hereinafter defined) to the extent exercisable by the optionee at the date of death. The Post-Death Exercise Period shall be a period commencing on the date of death and ending sixty (60) months after the date of death (or, if earlier, the date of termination of employment).</w:t>
      </w:r>
    </w:p>
    <w:p>
      <w:pPr>
        <w:jc w:val="both"/>
        <w:ind w:right="100" w:firstLine="224"/>
        <w:spacing w:after="0" w:line="250" w:lineRule="auto"/>
        <w:tabs>
          <w:tab w:leader="none" w:pos="4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 w:lineRule="exact"/>
        <w:rPr>
          <w:rFonts w:ascii="Arial" w:cs="Arial" w:eastAsia="Arial" w:hAnsi="Arial"/>
          <w:sz w:val="18"/>
          <w:szCs w:val="18"/>
          <w:color w:val="auto"/>
        </w:rPr>
      </w:pPr>
    </w:p>
    <w:p>
      <w:pPr>
        <w:ind w:firstLine="224"/>
        <w:spacing w:after="0" w:line="281" w:lineRule="auto"/>
        <w:tabs>
          <w:tab w:leader="none" w:pos="507"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hereinafter defined) within one year after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10" w:lineRule="exact"/>
        <w:rPr>
          <w:rFonts w:ascii="Arial" w:cs="Arial" w:eastAsia="Arial" w:hAnsi="Arial"/>
          <w:sz w:val="16"/>
          <w:szCs w:val="16"/>
          <w:color w:val="auto"/>
        </w:rPr>
      </w:pPr>
    </w:p>
    <w:p>
      <w:pPr>
        <w:ind w:left="240" w:hanging="240"/>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Retirement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right="180" w:firstLine="224"/>
        <w:spacing w:after="0" w:line="281" w:lineRule="auto"/>
        <w:tabs>
          <w:tab w:leader="none" w:pos="507"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3" w:lineRule="exact"/>
        <w:rPr>
          <w:rFonts w:ascii="Arial" w:cs="Arial" w:eastAsia="Arial" w:hAnsi="Arial"/>
          <w:sz w:val="16"/>
          <w:szCs w:val="16"/>
          <w:color w:val="auto"/>
        </w:rPr>
      </w:pPr>
    </w:p>
    <w:p>
      <w:pPr>
        <w:ind w:right="120" w:firstLine="224"/>
        <w:spacing w:after="0" w:line="281" w:lineRule="auto"/>
        <w:tabs>
          <w:tab w:leader="none" w:pos="4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2" w:lineRule="exact"/>
        <w:rPr>
          <w:rFonts w:ascii="Arial" w:cs="Arial" w:eastAsia="Arial" w:hAnsi="Arial"/>
          <w:sz w:val="16"/>
          <w:szCs w:val="16"/>
          <w:color w:val="auto"/>
        </w:rPr>
      </w:pPr>
    </w:p>
    <w:p>
      <w:pPr>
        <w:ind w:firstLine="224"/>
        <w:spacing w:after="0" w:line="287" w:lineRule="auto"/>
        <w:tabs>
          <w:tab w:leader="none" w:pos="4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40" w:name="page41"/>
    <w:bookmarkEnd w:id="40"/>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w:t>
      </w:r>
      <w:r>
        <w:rPr>
          <w:sz w:val="20"/>
          <w:szCs w:val="20"/>
          <w:color w:val="auto"/>
        </w:rPr>
        <w:tab/>
      </w:r>
      <w:r>
        <w:rPr>
          <w:rFonts w:ascii="Arial" w:cs="Arial" w:eastAsia="Arial" w:hAnsi="Arial"/>
          <w:sz w:val="15"/>
          <w:szCs w:val="15"/>
          <w:b w:val="1"/>
          <w:bCs w:val="1"/>
          <w:color w:val="auto"/>
        </w:rPr>
        <w:t>Stock Awards</w:t>
      </w:r>
    </w:p>
    <w:p>
      <w:pPr>
        <w:spacing w:after="0" w:line="2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An Award may be in the form of a Stock Award. The terms, conditions and limitations applicable to any Stock Awards granted pursuant to this Plan shall be determined by the Committee, subject to the limitations provided herein. Each Stock Award shall be subject to a vesting schedule, restriction period or holding period, or any combination thereof, totaling at least three years from the date of the Stock Award (the vesting, lapse, or termination of which may be no more rapid in combination than pro rata over three years), provided that the Committee may provide for earlier vesting, lapse of restriction or end of holding period upon a termination of employment by reason of death or disability.</w:t>
      </w:r>
    </w:p>
    <w:p>
      <w:pPr>
        <w:spacing w:after="0" w:line="3"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Any Stock Award granted to a person who is an executive officer of the Company at the time of grant shall be performance-based and not eligible for vesting based solely on the passage of time.</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Without limiting the type or number of Stock Awards that may be made under the other provisions of this Plan, a Stock Award may be in the form of a performance award. The terms, conditions and limitations applicable to any performance awards granted to participants pursuant to this Plan shall be determined by the Committee, subject to the limitations set forth below. The Committee shall set performance goals in its discretion which, depending on the extent to which they are met, will determine the amount of performance awards that will be paid out to the participant.</w:t>
      </w:r>
    </w:p>
    <w:p>
      <w:pPr>
        <w:spacing w:after="0" w:line="3" w:lineRule="exact"/>
        <w:rPr>
          <w:sz w:val="20"/>
          <w:szCs w:val="20"/>
          <w:color w:val="auto"/>
        </w:rPr>
      </w:pPr>
    </w:p>
    <w:p>
      <w:pPr>
        <w:ind w:right="380" w:firstLine="236"/>
        <w:spacing w:after="0" w:line="250" w:lineRule="auto"/>
        <w:tabs>
          <w:tab w:leader="none" w:pos="467"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participants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based on achievement of such goals and be subject to such terms, conditions, and restrictions as the Committee or its delegate shall determine.</w:t>
      </w:r>
    </w:p>
    <w:p>
      <w:pPr>
        <w:spacing w:after="0" w:line="1" w:lineRule="exact"/>
        <w:rPr>
          <w:rFonts w:ascii="Arial" w:cs="Arial" w:eastAsia="Arial" w:hAnsi="Arial"/>
          <w:sz w:val="18"/>
          <w:szCs w:val="18"/>
          <w:color w:val="auto"/>
        </w:rPr>
      </w:pPr>
    </w:p>
    <w:p>
      <w:pPr>
        <w:ind w:firstLine="236"/>
        <w:spacing w:after="0" w:line="300" w:lineRule="auto"/>
        <w:tabs>
          <w:tab w:leader="none" w:pos="477" w:val="left"/>
        </w:tabs>
        <w:numPr>
          <w:ilvl w:val="0"/>
          <w:numId w:val="43"/>
        </w:numPr>
        <w:rPr>
          <w:rFonts w:ascii="Arial" w:cs="Arial" w:eastAsia="Arial" w:hAnsi="Arial"/>
          <w:sz w:val="15"/>
          <w:szCs w:val="15"/>
          <w:color w:val="auto"/>
        </w:rPr>
      </w:pPr>
      <w:r>
        <w:rPr>
          <w:rFonts w:ascii="Arial" w:cs="Arial" w:eastAsia="Arial" w:hAnsi="Arial"/>
          <w:sz w:val="15"/>
          <w:szCs w:val="15"/>
          <w:i w:val="1"/>
          <w:iCs w:val="1"/>
          <w:color w:val="auto"/>
        </w:rPr>
        <w:t>Qualified Performance Awards</w:t>
      </w:r>
      <w:r>
        <w:rPr>
          <w:rFonts w:ascii="Arial" w:cs="Arial" w:eastAsia="Arial" w:hAnsi="Arial"/>
          <w:sz w:val="15"/>
          <w:szCs w:val="15"/>
          <w:color w:val="auto"/>
        </w:rPr>
        <w:t>. Performance Awards granted to participants under the Plan that are intended to qualify as qualified performance 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under Section 162(m) of the Code shall be paid, vested, or otherwise deliverable solely on account of the attainment of one or more pre-established, objective performance goals established by the Committee prior to the earlier to occur of (i) 90 days after the commencement of the period of service to which the performance goal relates and (ii)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participant, one or more business units, divisions or sectors of the Company, or the Company as a whole, and if so desired by the Committee, by comparison with a peer group of companies. A performance goal may include one or more of the following: revenue measures; Net income measures (including but not limited to income after capital costs and income before or after taxes); Stock price measures (including but not limited to growth measures and total shareholder return); Market share; Earnings per share (actual or targeted growth); Earnings</w:t>
      </w:r>
    </w:p>
    <w:p>
      <w:pPr>
        <w:spacing w:after="0" w:line="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before interest, taxes, depreciation, amortization, and charges and credits; Economic value added (“EVA</w:t>
      </w:r>
      <w:r>
        <w:rPr>
          <w:rFonts w:ascii="Arial" w:cs="Arial" w:eastAsia="Arial" w:hAnsi="Arial"/>
          <w:sz w:val="36"/>
          <w:szCs w:val="36"/>
          <w:color w:val="auto"/>
          <w:vertAlign w:val="superscript"/>
        </w:rPr>
        <w:t>®</w:t>
      </w:r>
      <w:r>
        <w:rPr>
          <w:rFonts w:ascii="Arial" w:cs="Arial" w:eastAsia="Arial" w:hAnsi="Arial"/>
          <w:sz w:val="18"/>
          <w:szCs w:val="18"/>
          <w:color w:val="auto"/>
        </w:rPr>
        <w:t>”); Cash flow measures (including but not limited to net cash flow and net cash flow before financing activities); Return measures (including but not limited to return on equity, return on average assets, return on capital, risk-adjusted return on capital, return on investors’ capital and return on average equity); Operating measures (including operating income, funds from operations, cash from operations, after-tax operating income and sales volumes); Expense measures (including but not limited to overhead cost and general and administrative expense); Margins; Proceeds from divestitures; Total market value; and Corporate values measures (including ethics compliance, environmental, and safety).</w:t>
      </w:r>
    </w:p>
    <w:p>
      <w:pPr>
        <w:spacing w:after="0" w:line="1" w:lineRule="exact"/>
        <w:rPr>
          <w:sz w:val="20"/>
          <w:szCs w:val="20"/>
          <w:color w:val="auto"/>
        </w:rPr>
      </w:pPr>
    </w:p>
    <w:p>
      <w:pPr>
        <w:ind w:right="80" w:firstLine="228"/>
        <w:spacing w:after="0" w:line="287"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the Plan to conform with the standards of Section 162(m) of the Code and Treasury Regulation §1.162-27(e)(2)(i), as to grants to those participants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1" w:name="page42"/>
    <w:bookmarkEnd w:id="41"/>
    <w:p>
      <w:pPr>
        <w:spacing w:after="0"/>
        <w:tabs>
          <w:tab w:leader="none" w:pos="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w:t>
      </w:r>
      <w:r>
        <w:rPr>
          <w:sz w:val="20"/>
          <w:szCs w:val="20"/>
          <w:color w:val="auto"/>
        </w:rPr>
        <w:tab/>
      </w:r>
      <w:r>
        <w:rPr>
          <w:rFonts w:ascii="Arial" w:cs="Arial" w:eastAsia="Arial" w:hAnsi="Arial"/>
          <w:sz w:val="15"/>
          <w:szCs w:val="15"/>
          <w:b w:val="1"/>
          <w:bCs w:val="1"/>
          <w:color w:val="auto"/>
        </w:rPr>
        <w:t>Assignability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Awards granted under the Plan shall not be assignable or otherwise transferable by the recipient except by will or the laws of descent and distribution. Otherwise, Awards granted under this Plan shall be exercisable during the lifetime of the recipient, to the extent applicable, (except as otherwise provided in the Plan or in the documentation of the grant for Awards other than “incentive stock options”) only by the recipient for his or her individual account, and no purported assignment or transfer of such Awards thereunder, whether voluntary or involuntary, by operation of law or otherwise, shall vest in the purported assignee or transferee any interest or right therein whatsoever but immediately upon any such purported assignment or transfer, or any attempt to make the same, such Awards thereunder shall terminate and become of no further effect.</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4"/>
          <w:szCs w:val="14"/>
          <w:b w:val="1"/>
          <w:bCs w:val="1"/>
          <w:color w:val="auto"/>
        </w:rPr>
        <w:t>Taxes</w:t>
      </w:r>
    </w:p>
    <w:p>
      <w:pPr>
        <w:spacing w:after="0" w:line="2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Awards granted under the Plan. A participant, subject to such rules as the Committee may prescribe from time to time, may elect to satisfy all or any portion of the tax required to be withheld by the Company by transfer to the Company of shares of Common Stock theretofore and by the holder of the Award with respect to which withholding is required. If shares of Common Stock are used to satisfy tax withholding, such shares of Common Stock shall be valued based on the Fair Market Value when the tax withholding is required to be made. An optionee’s election pursuant to this section must be made on or before the date of exercise or vesting and must be irrevocable.</w:t>
      </w:r>
    </w:p>
    <w:p>
      <w:pPr>
        <w:spacing w:after="0" w:line="129"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21" w:lineRule="exact"/>
        <w:rPr>
          <w:rFonts w:ascii="Arial" w:cs="Arial" w:eastAsia="Arial" w:hAnsi="Arial"/>
          <w:sz w:val="18"/>
          <w:szCs w:val="18"/>
          <w:b w:val="1"/>
          <w:bCs w:val="1"/>
          <w:color w:val="auto"/>
        </w:rPr>
      </w:pPr>
    </w:p>
    <w:p>
      <w:pPr>
        <w:ind w:right="280" w:firstLine="236"/>
        <w:spacing w:after="0" w:line="250" w:lineRule="auto"/>
        <w:tabs>
          <w:tab w:leader="none" w:pos="46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existence of this Plan and Awards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2" w:lineRule="exact"/>
        <w:rPr>
          <w:rFonts w:ascii="Arial" w:cs="Arial" w:eastAsia="Arial" w:hAnsi="Arial"/>
          <w:sz w:val="18"/>
          <w:szCs w:val="18"/>
          <w:color w:val="auto"/>
        </w:rPr>
      </w:pPr>
    </w:p>
    <w:p>
      <w:pPr>
        <w:jc w:val="both"/>
        <w:ind w:right="20" w:firstLine="236"/>
        <w:spacing w:after="0" w:line="250" w:lineRule="auto"/>
        <w:tabs>
          <w:tab w:leader="none" w:pos="477"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 w:lineRule="exact"/>
        <w:rPr>
          <w:rFonts w:ascii="Arial" w:cs="Arial" w:eastAsia="Arial" w:hAnsi="Arial"/>
          <w:sz w:val="18"/>
          <w:szCs w:val="18"/>
          <w:color w:val="auto"/>
        </w:rPr>
      </w:pPr>
    </w:p>
    <w:p>
      <w:pPr>
        <w:ind w:right="200" w:firstLine="236"/>
        <w:spacing w:after="0" w:line="281" w:lineRule="auto"/>
        <w:tabs>
          <w:tab w:leader="none" w:pos="467"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shall be proportionately adjusted and the number of shares of Common Stock with respect to which outstanding Awards or other property subject to an outstanding Award granted hereunder shall:</w:t>
      </w:r>
    </w:p>
    <w:p>
      <w:pPr>
        <w:spacing w:after="0" w:line="4" w:lineRule="exact"/>
        <w:rPr>
          <w:rFonts w:ascii="Arial" w:cs="Arial" w:eastAsia="Arial" w:hAnsi="Arial"/>
          <w:sz w:val="16"/>
          <w:szCs w:val="16"/>
          <w:color w:val="auto"/>
        </w:rPr>
      </w:pPr>
    </w:p>
    <w:p>
      <w:pPr>
        <w:ind w:left="240" w:right="300" w:firstLine="220"/>
        <w:spacing w:after="0" w:line="250" w:lineRule="auto"/>
        <w:tabs>
          <w:tab w:leader="none" w:pos="673" w:val="left"/>
        </w:tabs>
        <w:numPr>
          <w:ilvl w:val="2"/>
          <w:numId w:val="44"/>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240" w:right="360" w:firstLine="220"/>
        <w:spacing w:after="0" w:line="250" w:lineRule="auto"/>
        <w:tabs>
          <w:tab w:leader="none" w:pos="722" w:val="left"/>
        </w:tabs>
        <w:numPr>
          <w:ilvl w:val="2"/>
          <w:numId w:val="44"/>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ind w:right="60" w:firstLine="236"/>
        <w:spacing w:after="0" w:line="254" w:lineRule="auto"/>
        <w:tabs>
          <w:tab w:leader="none" w:pos="477"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Company merges with one or more corporations, or consolidates with one or more corporations and the Company shall be the surviving corporation, thereafter, upon any exercise of Awards granted hereunder, the recipient shall, at no additional cost (other than the option price, if any) be entitled to receive (subject to any required action by stockholders) in lieu of the number of shares of Common Stock as to which such Awards shall then be exercisable or vested the number and class of shares of stock or other securities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2" w:name="page43"/>
    <w:bookmarkEnd w:id="42"/>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of Common Stock as to which such Awards shall be exercisable or vested. Upon any reorganization, merger or consolidation where the Company is not the surviving corporation or upon liquidation or dissolution of the Company, unless provisions are made in connection with such reorganization, merger or consolidation for the assumption of such Awards, all outstanding Awards shall be fully exercisable and vested by the Company and all holders given notice to permit exercise for 30 days prior to cancellation of the Awards as of the effective date of any such reorganization, merger or consolidation, or of any dissolution or liquidation of the Company.</w:t>
      </w:r>
    </w:p>
    <w:p>
      <w:pPr>
        <w:spacing w:after="0" w:line="4" w:lineRule="exact"/>
        <w:rPr>
          <w:sz w:val="20"/>
          <w:szCs w:val="20"/>
          <w:color w:val="auto"/>
        </w:rPr>
      </w:pPr>
    </w:p>
    <w:p>
      <w:pPr>
        <w:ind w:right="220" w:firstLine="236"/>
        <w:spacing w:after="0" w:line="261" w:lineRule="auto"/>
        <w:tabs>
          <w:tab w:leader="none" w:pos="46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9 applies to any transaction or event and to determine any adjustment or other action that it deems appropriate under this Section 9.</w:t>
      </w:r>
    </w:p>
    <w:p>
      <w:pPr>
        <w:spacing w:after="0" w:line="118" w:lineRule="exact"/>
        <w:rPr>
          <w:rFonts w:ascii="Arial" w:cs="Arial" w:eastAsia="Arial" w:hAnsi="Arial"/>
          <w:sz w:val="18"/>
          <w:szCs w:val="18"/>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under Securities Act of 1933 and Exchange Listing</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It is intended that the Awards and shares of Common Stock covered by the Plan will be registered under the Securities Act of 1933, as amended. At the time any shares of Common Stock are issued or transferred pursuant to an Award, such shares of Common Stock will have been listed (or listed subject to notice of issuance) on the New York Stock Exchange.</w:t>
      </w:r>
    </w:p>
    <w:p>
      <w:pPr>
        <w:spacing w:after="0" w:line="125"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p>
    <w:p>
      <w:pPr>
        <w:spacing w:after="0" w:line="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Plan shall be effective January 20, 2005 and amended and restated as of January 19, 2006. No Awards shall be granted pursuant to this Plan after January 20, 2015.</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Amendment or Termination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spacing w:after="0" w:line="1" w:lineRule="exact"/>
        <w:rPr>
          <w:sz w:val="20"/>
          <w:szCs w:val="20"/>
          <w:color w:val="auto"/>
        </w:rPr>
      </w:pPr>
    </w:p>
    <w:p>
      <w:pPr>
        <w:ind w:right="40" w:firstLine="236"/>
        <w:spacing w:after="0" w:line="250" w:lineRule="auto"/>
        <w:tabs>
          <w:tab w:leader="none" w:pos="467"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except as contemplated by Section 9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right="220" w:firstLine="236"/>
        <w:spacing w:after="0" w:line="281" w:lineRule="auto"/>
        <w:tabs>
          <w:tab w:leader="none" w:pos="477"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rFonts w:ascii="Arial" w:cs="Arial" w:eastAsia="Arial" w:hAnsi="Arial"/>
          <w:sz w:val="16"/>
          <w:szCs w:val="16"/>
          <w:color w:val="auto"/>
        </w:rPr>
      </w:pPr>
    </w:p>
    <w:p>
      <w:pPr>
        <w:ind w:right="80" w:firstLine="228"/>
        <w:spacing w:after="0" w:line="261" w:lineRule="auto"/>
        <w:rPr>
          <w:rFonts w:ascii="Arial" w:cs="Arial" w:eastAsia="Arial" w:hAnsi="Arial"/>
          <w:sz w:val="16"/>
          <w:szCs w:val="16"/>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118" w:lineRule="exact"/>
        <w:rPr>
          <w:rFonts w:ascii="Arial" w:cs="Arial" w:eastAsia="Arial" w:hAnsi="Arial"/>
          <w:sz w:val="16"/>
          <w:szCs w:val="16"/>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Notwithstanding any of the provisions hereof or of any Award granted hereunder, the obligation of the Company or any subsidiary to sell and deliver shares of Common Stock under such Award to make cash payments in respect thereto shall be subject to all applicable laws, rules and regulations and to such approvals by any governmental agencies or national securities exchanges as may be required, and the recipient shall not exercise or convert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w:t>
      </w:r>
    </w:p>
    <w:p>
      <w:pPr>
        <w:spacing w:after="0" w:line="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Non-United States Participants</w:t>
      </w:r>
    </w:p>
    <w:p>
      <w:pPr>
        <w:spacing w:after="0" w:line="2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Solicitation on Behalf of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Stockholders</w:t>
      </w:r>
    </w:p>
    <w:p>
      <w:pPr>
        <w:spacing w:after="0" w:line="164" w:lineRule="exact"/>
        <w:rPr>
          <w:sz w:val="20"/>
          <w:szCs w:val="20"/>
          <w:color w:val="auto"/>
        </w:rPr>
      </w:pPr>
    </w:p>
    <w:p>
      <w:pPr>
        <w:ind w:left="380" w:right="120" w:hanging="350"/>
        <w:spacing w:after="0" w:line="250" w:lineRule="auto"/>
        <w:tabs>
          <w:tab w:leader="none" w:pos="812" w:val="left"/>
        </w:tabs>
        <w:numPr>
          <w:ilvl w:val="0"/>
          <w:numId w:val="50"/>
        </w:numPr>
        <w:rPr>
          <w:rFonts w:ascii="Arial" w:cs="Arial" w:eastAsia="Arial" w:hAnsi="Arial"/>
          <w:sz w:val="18"/>
          <w:szCs w:val="18"/>
          <w:b w:val="1"/>
          <w:bCs w:val="1"/>
          <w:color w:val="auto"/>
        </w:rPr>
      </w:pPr>
      <w:r>
        <w:rPr>
          <w:rFonts w:ascii="Arial" w:cs="Arial" w:eastAsia="Arial" w:hAnsi="Arial"/>
          <w:sz w:val="15"/>
          <w:szCs w:val="15"/>
          <w:color w:val="auto"/>
        </w:rPr>
        <w:t>The undersigned, having received the Notice and Proxy Statement of the Annual General Meeting of Stockholders and the 2005 Annual Report to Stockholders, hereby appoints Maike Bergervoet, Aede Gerbranda, Gerard C.A. Smeets and Willem van Bokhorst and each of them proxies, with power of</w:t>
      </w:r>
    </w:p>
    <w:p>
      <w:pPr>
        <w:spacing w:after="0" w:line="37" w:lineRule="exact"/>
        <w:rPr>
          <w:sz w:val="20"/>
          <w:szCs w:val="20"/>
          <w:color w:val="auto"/>
        </w:rPr>
      </w:pPr>
    </w:p>
    <w:p>
      <w:pPr>
        <w:ind w:left="380" w:hanging="362"/>
        <w:spacing w:after="0"/>
        <w:tabs>
          <w:tab w:leader="none" w:pos="380" w:val="left"/>
        </w:tabs>
        <w:numPr>
          <w:ilvl w:val="0"/>
          <w:numId w:val="51"/>
        </w:numPr>
        <w:rPr>
          <w:rFonts w:ascii="Arial" w:cs="Arial" w:eastAsia="Arial" w:hAnsi="Arial"/>
          <w:sz w:val="19"/>
          <w:szCs w:val="19"/>
          <w:b w:val="1"/>
          <w:bCs w:val="1"/>
          <w:color w:val="auto"/>
        </w:rPr>
      </w:pPr>
      <w:r>
        <w:rPr>
          <w:rFonts w:ascii="Arial" w:cs="Arial" w:eastAsia="Arial" w:hAnsi="Arial"/>
          <w:sz w:val="16"/>
          <w:szCs w:val="16"/>
          <w:color w:val="auto"/>
        </w:rPr>
        <w:t>substitution, to vote in the manner indicated on the reverse side hereof, and with discretionary authority as to any other matters that may properly come</w:t>
      </w:r>
    </w:p>
    <w:p>
      <w:pPr>
        <w:ind w:left="380"/>
        <w:spacing w:after="0" w:line="191" w:lineRule="auto"/>
        <w:rPr>
          <w:sz w:val="20"/>
          <w:szCs w:val="20"/>
          <w:color w:val="auto"/>
        </w:rPr>
      </w:pPr>
      <w:r>
        <w:rPr>
          <w:rFonts w:ascii="Arial" w:cs="Arial" w:eastAsia="Arial" w:hAnsi="Arial"/>
          <w:sz w:val="15"/>
          <w:szCs w:val="15"/>
          <w:color w:val="auto"/>
        </w:rPr>
        <w:t>before the meeting, all my (our) shares of record of Schlumberger Limited (Schlumberger N.V.) at the Annual General Meeting of Stockholders to be held at</w:t>
      </w:r>
    </w:p>
    <w:p>
      <w:pPr>
        <w:spacing w:after="0" w:line="76" w:lineRule="exact"/>
        <w:rPr>
          <w:sz w:val="20"/>
          <w:szCs w:val="20"/>
          <w:color w:val="auto"/>
        </w:rPr>
      </w:pPr>
    </w:p>
    <w:p>
      <w:pPr>
        <w:ind w:left="20" w:right="180" w:hanging="8"/>
        <w:spacing w:after="0" w:line="243" w:lineRule="auto"/>
        <w:tabs>
          <w:tab w:leader="none" w:pos="388" w:val="left"/>
        </w:tabs>
        <w:numPr>
          <w:ilvl w:val="0"/>
          <w:numId w:val="52"/>
        </w:numPr>
        <w:rPr>
          <w:rFonts w:ascii="Arial" w:cs="Arial" w:eastAsia="Arial" w:hAnsi="Arial"/>
          <w:sz w:val="34"/>
          <w:szCs w:val="34"/>
          <w:b w:val="1"/>
          <w:bCs w:val="1"/>
          <w:color w:val="auto"/>
          <w:vertAlign w:val="superscript"/>
        </w:rPr>
      </w:pPr>
      <w:r>
        <w:rPr>
          <w:rFonts w:ascii="Arial" w:cs="Arial" w:eastAsia="Arial" w:hAnsi="Arial"/>
          <w:sz w:val="15"/>
          <w:szCs w:val="15"/>
          <w:color w:val="auto"/>
        </w:rPr>
        <w:t xml:space="preserve">the Curaçao Marriott Beach Resort, Piscadera Bay, Willemstad, Curaçao, Netherlands Antilles on April 12, 2006, and at any adjournment or adjournments </w:t>
      </w:r>
      <w:r>
        <w:rPr>
          <w:rFonts w:ascii="Arial" w:cs="Arial" w:eastAsia="Arial" w:hAnsi="Arial"/>
          <w:sz w:val="34"/>
          <w:szCs w:val="34"/>
          <w:b w:val="1"/>
          <w:bCs w:val="1"/>
          <w:color w:val="auto"/>
          <w:vertAlign w:val="subscript"/>
        </w:rPr>
        <w:t>X</w:t>
      </w:r>
      <w:r>
        <w:rPr>
          <w:rFonts w:ascii="Arial" w:cs="Arial" w:eastAsia="Arial" w:hAnsi="Arial"/>
          <w:sz w:val="15"/>
          <w:szCs w:val="15"/>
          <w:color w:val="auto"/>
        </w:rPr>
        <w:t xml:space="preserve"> thereof.</w:t>
      </w:r>
    </w:p>
    <w:p>
      <w:pPr>
        <w:ind w:left="380" w:hanging="362"/>
        <w:spacing w:after="0" w:line="186" w:lineRule="auto"/>
        <w:tabs>
          <w:tab w:leader="none" w:pos="380" w:val="left"/>
        </w:tabs>
        <w:numPr>
          <w:ilvl w:val="0"/>
          <w:numId w:val="53"/>
        </w:numPr>
        <w:rPr>
          <w:rFonts w:ascii="Arial" w:cs="Arial" w:eastAsia="Arial" w:hAnsi="Arial"/>
          <w:sz w:val="26"/>
          <w:szCs w:val="26"/>
          <w:b w:val="1"/>
          <w:bCs w:val="1"/>
          <w:color w:val="auto"/>
          <w:vertAlign w:val="subscript"/>
        </w:rPr>
      </w:pPr>
      <w:r>
        <w:rPr>
          <w:rFonts w:ascii="Arial" w:cs="Arial" w:eastAsia="Arial" w:hAnsi="Arial"/>
          <w:sz w:val="13"/>
          <w:szCs w:val="13"/>
          <w:b w:val="1"/>
          <w:bCs w:val="1"/>
          <w:color w:val="auto"/>
        </w:rPr>
        <w:t>If no other indication is made, the proxies will vote FOR the election of the director nominees and FOR Proposals 2, 3, 4 and 5.</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5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SEE REVERSE</w:t>
            </w:r>
          </w:p>
        </w:tc>
        <w:tc>
          <w:tcPr>
            <w:tcW w:w="846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Continued and to be signed on reverse side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SEE REVERSE</w:t>
            </w:r>
          </w:p>
        </w:tc>
      </w:tr>
      <w:tr>
        <w:trPr>
          <w:trHeight w:val="227"/>
        </w:trPr>
        <w:tc>
          <w:tcPr>
            <w:tcW w:w="1500" w:type="dxa"/>
            <w:vAlign w:val="bottom"/>
            <w:tcBorders>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SIDE</w:t>
            </w:r>
          </w:p>
        </w:tc>
        <w:tc>
          <w:tcPr>
            <w:tcW w:w="8460" w:type="dxa"/>
            <w:vAlign w:val="bottom"/>
            <w:tcBorders>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SIDE</w:t>
            </w:r>
          </w:p>
        </w:tc>
      </w:tr>
    </w:tbl>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COMPUTERSHARE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EDISON, NJ 08818-8694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101600</wp:posOffset>
            </wp:positionV>
            <wp:extent cx="239268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92680" cy="20574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Your vote is important. Please vote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05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0581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Vote-by-Internet</w:t>
      </w:r>
    </w:p>
    <w:p>
      <w:pPr>
        <w:spacing w:after="0" w:line="21" w:lineRule="exact"/>
        <w:rPr>
          <w:sz w:val="20"/>
          <w:szCs w:val="20"/>
          <w:color w:val="auto"/>
        </w:rPr>
      </w:pPr>
    </w:p>
    <w:p>
      <w:pPr>
        <w:ind w:left="120" w:right="2400" w:firstLine="10"/>
        <w:spacing w:after="0" w:line="323" w:lineRule="auto"/>
        <w:tabs>
          <w:tab w:leader="none" w:pos="296" w:val="left"/>
        </w:tabs>
        <w:numPr>
          <w:ilvl w:val="0"/>
          <w:numId w:val="54"/>
        </w:numPr>
        <w:rPr>
          <w:rFonts w:ascii="Arial" w:cs="Arial" w:eastAsia="Arial" w:hAnsi="Arial"/>
          <w:sz w:val="16"/>
          <w:szCs w:val="16"/>
          <w:color w:val="auto"/>
        </w:rPr>
      </w:pPr>
      <w:r>
        <w:rPr>
          <w:rFonts w:ascii="Arial" w:cs="Arial" w:eastAsia="Arial" w:hAnsi="Arial"/>
          <w:sz w:val="16"/>
          <w:szCs w:val="16"/>
          <w:color w:val="auto"/>
        </w:rPr>
        <w:t>Log on to the Internet and go to http://www.eproxyvote.com/slb</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Vote-by-Telephone</w:t>
      </w:r>
    </w:p>
    <w:p>
      <w:pPr>
        <w:ind w:left="880"/>
        <w:spacing w:after="0" w:line="215" w:lineRule="auto"/>
        <w:rPr>
          <w:sz w:val="20"/>
          <w:szCs w:val="20"/>
          <w:color w:val="auto"/>
        </w:rPr>
      </w:pPr>
      <w:r>
        <w:rPr>
          <w:rFonts w:ascii="Arial" w:cs="Arial" w:eastAsia="Arial" w:hAnsi="Arial"/>
          <w:sz w:val="18"/>
          <w:szCs w:val="18"/>
          <w:color w:val="auto"/>
        </w:rPr>
        <w:t>1. Call toll-free:</w:t>
      </w:r>
    </w:p>
    <w:p>
      <w:pPr>
        <w:spacing w:after="0" w:line="185" w:lineRule="auto"/>
        <w:tabs>
          <w:tab w:leader="none" w:pos="860" w:val="left"/>
        </w:tabs>
        <w:rPr>
          <w:sz w:val="20"/>
          <w:szCs w:val="20"/>
          <w:color w:val="auto"/>
        </w:rPr>
      </w:pPr>
      <w:r>
        <w:rPr>
          <w:rFonts w:ascii="Arial" w:cs="Arial" w:eastAsia="Arial" w:hAnsi="Arial"/>
          <w:sz w:val="25"/>
          <w:szCs w:val="25"/>
          <w:b w:val="1"/>
          <w:bCs w:val="1"/>
          <w:color w:val="auto"/>
          <w:vertAlign w:val="superscript"/>
        </w:rPr>
        <w:t>OR</w:t>
      </w:r>
      <w:r>
        <w:rPr>
          <w:sz w:val="20"/>
          <w:szCs w:val="20"/>
          <w:color w:val="auto"/>
        </w:rPr>
        <w:tab/>
      </w:r>
      <w:r>
        <w:rPr>
          <w:rFonts w:ascii="Arial" w:cs="Arial" w:eastAsia="Arial" w:hAnsi="Arial"/>
          <w:sz w:val="14"/>
          <w:szCs w:val="14"/>
          <w:color w:val="auto"/>
        </w:rPr>
        <w:t>1-877-PRX-VOTE (1-877-779-8683)</w:t>
      </w:r>
    </w:p>
    <w:p>
      <w:pPr>
        <w:spacing w:after="0" w:line="54" w:lineRule="exact"/>
        <w:rPr>
          <w:sz w:val="20"/>
          <w:szCs w:val="20"/>
          <w:color w:val="auto"/>
        </w:rPr>
      </w:pPr>
    </w:p>
    <w:p>
      <w:pPr>
        <w:ind w:left="880" w:right="1500"/>
        <w:spacing w:after="0" w:line="252" w:lineRule="auto"/>
        <w:rPr>
          <w:sz w:val="20"/>
          <w:szCs w:val="20"/>
          <w:color w:val="auto"/>
        </w:rPr>
      </w:pPr>
      <w:r>
        <w:rPr>
          <w:rFonts w:ascii="Arial" w:cs="Arial" w:eastAsia="Arial" w:hAnsi="Arial"/>
          <w:sz w:val="18"/>
          <w:szCs w:val="18"/>
          <w:color w:val="auto"/>
        </w:rPr>
        <w:t>If outside the Continental U.S., call collect on a touch-tone phone: 201-536-8073</w:t>
      </w:r>
    </w:p>
    <w:p>
      <w:pPr>
        <w:spacing w:after="0" w:line="153" w:lineRule="exact"/>
        <w:rPr>
          <w:sz w:val="20"/>
          <w:szCs w:val="20"/>
          <w:color w:val="auto"/>
        </w:rPr>
      </w:pPr>
    </w:p>
    <w:p>
      <w:pPr>
        <w:sectPr>
          <w:pgSz w:w="11900" w:h="16838" w:orient="portrait"/>
          <w:cols w:equalWidth="0" w:num="2">
            <w:col w:w="4940" w:space="720"/>
            <w:col w:w="5720"/>
          </w:cols>
          <w:pgMar w:left="240" w:top="274"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If you vote over the Internet or by telephone, please do not mail your card.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Proxies voted by Telephone or Internet must be received by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11:59 P.M. EDT – April 11, 2006</w:t>
      </w:r>
    </w:p>
    <w:p>
      <w:pPr>
        <w:spacing w:after="0" w:line="367" w:lineRule="exact"/>
        <w:rPr>
          <w:sz w:val="20"/>
          <w:szCs w:val="20"/>
          <w:color w:val="auto"/>
        </w:rPr>
      </w:pPr>
    </w:p>
    <w:p>
      <w:pPr>
        <w:ind w:left="700" w:right="9800" w:hanging="692"/>
        <w:spacing w:after="0" w:line="201" w:lineRule="auto"/>
        <w:tabs>
          <w:tab w:leader="none" w:pos="700" w:val="left"/>
        </w:tabs>
        <w:numPr>
          <w:ilvl w:val="0"/>
          <w:numId w:val="55"/>
        </w:numPr>
        <w:rPr>
          <w:rFonts w:ascii="MS PGothic" w:cs="MS PGothic" w:eastAsia="MS PGothic" w:hAnsi="MS PGothic"/>
          <w:sz w:val="35"/>
          <w:szCs w:val="35"/>
          <w:color w:val="auto"/>
        </w:rPr>
      </w:pPr>
      <w:r>
        <w:rPr>
          <w:rFonts w:ascii="Arial" w:cs="Arial" w:eastAsia="Arial" w:hAnsi="Arial"/>
          <w:sz w:val="15"/>
          <w:szCs w:val="15"/>
          <w:color w:val="auto"/>
        </w:rPr>
        <w:t>votes as in this example</w:t>
      </w:r>
    </w:p>
    <w:p>
      <w:pPr>
        <w:spacing w:after="0" w:line="224" w:lineRule="exact"/>
        <w:rPr>
          <w:rFonts w:ascii="MS PGothic" w:cs="MS PGothic" w:eastAsia="MS PGothic" w:hAnsi="MS PGothic"/>
          <w:sz w:val="35"/>
          <w:szCs w:val="35"/>
          <w:color w:val="auto"/>
        </w:rPr>
      </w:pPr>
    </w:p>
    <w:p>
      <w:pPr>
        <w:ind w:left="700"/>
        <w:spacing w:after="0" w:line="183" w:lineRule="auto"/>
        <w:rPr>
          <w:rFonts w:ascii="MS PGothic" w:cs="MS PGothic" w:eastAsia="MS PGothic" w:hAnsi="MS PGothic"/>
          <w:sz w:val="35"/>
          <w:szCs w:val="35"/>
          <w:color w:val="auto"/>
        </w:rPr>
      </w:pPr>
      <w:r>
        <w:rPr>
          <w:rFonts w:ascii="Arial" w:cs="Arial" w:eastAsia="Arial" w:hAnsi="Arial"/>
          <w:sz w:val="17"/>
          <w:szCs w:val="17"/>
          <w:color w:val="auto"/>
        </w:rPr>
        <w:t>Unless you indicate otherwise, this proxy will be voted in accordance with the Board of Directors’ recommendations. Directors recommend a vote FOR items 1, 2, 3, 4, and 5.</w:t>
      </w:r>
      <w:r>
        <w:rPr>
          <w:rFonts w:ascii="Arial" w:cs="Arial" w:eastAsia="Arial" w:hAnsi="Arial"/>
          <w:sz w:val="33"/>
          <w:szCs w:val="33"/>
          <w:color w:val="auto"/>
          <w:vertAlign w:val="superscript"/>
        </w:rPr>
        <w:t>Pleasemark</w:t>
      </w:r>
    </w:p>
    <w:p>
      <w:pPr>
        <w:sectPr>
          <w:pgSz w:w="11900" w:h="16838" w:orient="portrait"/>
          <w:cols w:equalWidth="0" w:num="1">
            <w:col w:w="11380"/>
          </w:cols>
          <w:pgMar w:left="240" w:top="274" w:right="279" w:bottom="1440" w:gutter="0" w:footer="0" w:header="0"/>
          <w:type w:val="continuous"/>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1.</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Election of 12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620" w:type="dxa"/>
            <w:vAlign w:val="bottom"/>
          </w:tcPr>
          <w:p>
            <w:pPr>
              <w:ind w:left="40"/>
              <w:spacing w:after="0"/>
              <w:rPr>
                <w:sz w:val="20"/>
                <w:szCs w:val="20"/>
                <w:color w:val="auto"/>
              </w:rPr>
            </w:pPr>
            <w:r>
              <w:rPr>
                <w:rFonts w:ascii="Arial" w:cs="Arial" w:eastAsia="Arial" w:hAnsi="Arial"/>
                <w:sz w:val="18"/>
                <w:szCs w:val="18"/>
                <w:color w:val="auto"/>
                <w:w w:val="89"/>
              </w:rPr>
              <w:t>Adoption and approval of Financials</w:t>
            </w:r>
          </w:p>
        </w:tc>
      </w:tr>
      <w:tr>
        <w:trPr>
          <w:trHeight w:val="228"/>
        </w:trPr>
        <w:tc>
          <w:tcPr>
            <w:tcW w:w="3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Nominees </w:t>
            </w:r>
            <w:r>
              <w:rPr>
                <w:rFonts w:ascii="Arial" w:cs="Arial" w:eastAsia="Arial" w:hAnsi="Arial"/>
                <w:sz w:val="18"/>
                <w:szCs w:val="18"/>
                <w:color w:val="auto"/>
              </w:rPr>
              <w:t>(01) J. Deutch, (02) J.S. Gorelick,</w:t>
            </w:r>
          </w:p>
        </w:tc>
        <w:tc>
          <w:tcPr>
            <w:tcW w:w="1140" w:type="dxa"/>
            <w:vAlign w:val="bottom"/>
          </w:tcPr>
          <w:p>
            <w:pPr>
              <w:spacing w:after="0"/>
              <w:rPr>
                <w:sz w:val="19"/>
                <w:szCs w:val="19"/>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and Dividends</w:t>
            </w:r>
          </w:p>
        </w:tc>
      </w:tr>
      <w:tr>
        <w:trPr>
          <w:trHeight w:val="291"/>
        </w:trPr>
        <w:tc>
          <w:tcPr>
            <w:tcW w:w="34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w w:val="87"/>
              </w:rPr>
              <w:t>(03)</w:t>
            </w:r>
          </w:p>
        </w:tc>
        <w:tc>
          <w:tcPr>
            <w:tcW w:w="4380" w:type="dxa"/>
            <w:vAlign w:val="bottom"/>
          </w:tcPr>
          <w:p>
            <w:pPr>
              <w:ind w:left="40"/>
              <w:spacing w:after="0"/>
              <w:rPr>
                <w:sz w:val="20"/>
                <w:szCs w:val="20"/>
                <w:color w:val="auto"/>
              </w:rPr>
            </w:pPr>
            <w:r>
              <w:rPr>
                <w:rFonts w:ascii="Arial" w:cs="Arial" w:eastAsia="Arial" w:hAnsi="Arial"/>
                <w:sz w:val="18"/>
                <w:szCs w:val="18"/>
                <w:color w:val="auto"/>
              </w:rPr>
              <w:t>A. Gould, (04) T. Isaac, (05) A. Lajous,</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620" w:type="dxa"/>
            <w:vAlign w:val="bottom"/>
          </w:tcPr>
          <w:p>
            <w:pPr>
              <w:ind w:left="40"/>
              <w:spacing w:after="0"/>
              <w:rPr>
                <w:sz w:val="20"/>
                <w:szCs w:val="20"/>
                <w:color w:val="auto"/>
              </w:rPr>
            </w:pPr>
            <w:r>
              <w:rPr>
                <w:rFonts w:ascii="Arial" w:cs="Arial" w:eastAsia="Arial" w:hAnsi="Arial"/>
                <w:sz w:val="18"/>
                <w:szCs w:val="18"/>
                <w:color w:val="auto"/>
              </w:rPr>
              <w:t>Adoption of Amendment to the</w:t>
            </w:r>
          </w:p>
        </w:tc>
      </w:tr>
      <w:tr>
        <w:trPr>
          <w:trHeight w:val="222"/>
        </w:trPr>
        <w:tc>
          <w:tcPr>
            <w:tcW w:w="340" w:type="dxa"/>
            <w:vAlign w:val="bottom"/>
          </w:tcPr>
          <w:p>
            <w:pPr>
              <w:spacing w:after="0"/>
              <w:rPr>
                <w:sz w:val="19"/>
                <w:szCs w:val="19"/>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w w:val="87"/>
              </w:rPr>
              <w:t>(06)</w:t>
            </w:r>
          </w:p>
        </w:tc>
        <w:tc>
          <w:tcPr>
            <w:tcW w:w="4380" w:type="dxa"/>
            <w:vAlign w:val="bottom"/>
          </w:tcPr>
          <w:p>
            <w:pPr>
              <w:ind w:left="40"/>
              <w:spacing w:after="0"/>
              <w:rPr>
                <w:sz w:val="20"/>
                <w:szCs w:val="20"/>
                <w:color w:val="auto"/>
              </w:rPr>
            </w:pPr>
            <w:r>
              <w:rPr>
                <w:rFonts w:ascii="Arial" w:cs="Arial" w:eastAsia="Arial" w:hAnsi="Arial"/>
                <w:sz w:val="18"/>
                <w:szCs w:val="18"/>
                <w:color w:val="auto"/>
              </w:rPr>
              <w:t>A. Lévy-Lang, (07) M.E. Marks, (08) D. Primat,</w:t>
            </w:r>
          </w:p>
        </w:tc>
        <w:tc>
          <w:tcPr>
            <w:tcW w:w="1140" w:type="dxa"/>
            <w:vAlign w:val="bottom"/>
          </w:tcPr>
          <w:p>
            <w:pPr>
              <w:spacing w:after="0"/>
              <w:rPr>
                <w:sz w:val="19"/>
                <w:szCs w:val="19"/>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Articles of Incorporation</w:t>
            </w:r>
          </w:p>
        </w:tc>
      </w:tr>
    </w:tbl>
    <w:p>
      <w:pPr>
        <w:ind w:left="860" w:hanging="325"/>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 Sandvold, (10) N. Seydoux, (11) L.G. Stuntz,</w:t>
      </w:r>
    </w:p>
    <w:p>
      <w:pPr>
        <w:spacing w:after="0" w:line="9" w:lineRule="exact"/>
        <w:rPr>
          <w:rFonts w:ascii="Arial" w:cs="Arial" w:eastAsia="Arial" w:hAnsi="Arial"/>
          <w:sz w:val="18"/>
          <w:szCs w:val="18"/>
          <w:color w:val="auto"/>
        </w:rPr>
      </w:pPr>
    </w:p>
    <w:p>
      <w:pPr>
        <w:ind w:left="880" w:hanging="345"/>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 Talwar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
        <w:spacing w:after="0"/>
        <w:tabs>
          <w:tab w:leader="none" w:pos="480" w:val="left"/>
          <w:tab w:leader="none" w:pos="144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6"/>
          <w:szCs w:val="16"/>
          <w:color w:val="auto"/>
        </w:rPr>
        <w:t>ABSTAIN</w:t>
      </w:r>
    </w:p>
    <w:p>
      <w:pPr>
        <w:spacing w:after="0" w:line="15" w:lineRule="exact"/>
        <w:rPr>
          <w:sz w:val="20"/>
          <w:szCs w:val="20"/>
          <w:color w:val="auto"/>
        </w:rPr>
      </w:pPr>
    </w:p>
    <w:p>
      <w:pPr>
        <w:spacing w:after="0" w:line="431" w:lineRule="exact"/>
        <w:tabs>
          <w:tab w:leader="none" w:pos="1620" w:val="left"/>
        </w:tabs>
        <w:rPr>
          <w:sz w:val="20"/>
          <w:szCs w:val="20"/>
          <w:color w:val="auto"/>
        </w:rPr>
      </w:pPr>
      <w:r>
        <w:rPr>
          <w:rFonts w:ascii="MS PGothic" w:cs="MS PGothic" w:eastAsia="MS PGothic" w:hAnsi="MS PGothic"/>
          <w:sz w:val="43"/>
          <w:szCs w:val="43"/>
          <w:color w:val="auto"/>
        </w:rPr>
        <w:t>☐ ☐</w:t>
      </w:r>
      <w:r>
        <w:rPr>
          <w:sz w:val="20"/>
          <w:szCs w:val="20"/>
          <w:color w:val="auto"/>
        </w:rPr>
        <w:tab/>
      </w:r>
      <w:r>
        <w:rPr>
          <w:rFonts w:ascii="MS PGothic" w:cs="MS PGothic" w:eastAsia="MS PGothic" w:hAnsi="MS PGothic"/>
          <w:sz w:val="38"/>
          <w:szCs w:val="38"/>
          <w:color w:val="auto"/>
        </w:rPr>
        <w:t>☐</w:t>
      </w:r>
    </w:p>
    <w:p>
      <w:pPr>
        <w:spacing w:after="0" w:line="89" w:lineRule="exact"/>
        <w:rPr>
          <w:sz w:val="20"/>
          <w:szCs w:val="20"/>
          <w:color w:val="auto"/>
        </w:rPr>
      </w:pPr>
    </w:p>
    <w:p>
      <w:pPr>
        <w:spacing w:after="0" w:line="431" w:lineRule="exact"/>
        <w:tabs>
          <w:tab w:leader="none" w:pos="1620" w:val="left"/>
        </w:tabs>
        <w:rPr>
          <w:sz w:val="20"/>
          <w:szCs w:val="20"/>
          <w:color w:val="auto"/>
        </w:rPr>
      </w:pPr>
      <w:r>
        <w:rPr>
          <w:rFonts w:ascii="MS PGothic" w:cs="MS PGothic" w:eastAsia="MS PGothic" w:hAnsi="MS PGothic"/>
          <w:sz w:val="43"/>
          <w:szCs w:val="43"/>
          <w:color w:val="auto"/>
        </w:rPr>
        <w:t>☐ ☐</w:t>
      </w:r>
      <w:r>
        <w:rPr>
          <w:sz w:val="20"/>
          <w:szCs w:val="20"/>
          <w:color w:val="auto"/>
        </w:rPr>
        <w:tab/>
      </w:r>
      <w:r>
        <w:rPr>
          <w:rFonts w:ascii="MS PGothic" w:cs="MS PGothic" w:eastAsia="MS PGothic" w:hAnsi="MS PGothic"/>
          <w:sz w:val="38"/>
          <w:szCs w:val="38"/>
          <w:color w:val="auto"/>
        </w:rPr>
        <w:t>☐</w:t>
      </w:r>
    </w:p>
    <w:p>
      <w:pPr>
        <w:spacing w:after="0" w:line="420" w:lineRule="exact"/>
        <w:rPr>
          <w:sz w:val="20"/>
          <w:szCs w:val="20"/>
          <w:color w:val="auto"/>
        </w:rPr>
      </w:pPr>
    </w:p>
    <w:p>
      <w:pPr>
        <w:sectPr>
          <w:pgSz w:w="11900" w:h="16838" w:orient="portrait"/>
          <w:cols w:equalWidth="0" w:num="2">
            <w:col w:w="8980" w:space="160"/>
            <w:col w:w="2240"/>
          </w:cols>
          <w:pgMar w:left="240" w:top="274" w:right="279" w:bottom="1440" w:gutter="0" w:footer="0" w:header="0"/>
          <w:type w:val="continuous"/>
        </w:sectPr>
      </w:pPr>
    </w:p>
    <w:tbl>
      <w:tblPr>
        <w:tblLayout w:type="fixed"/>
        <w:tblInd w:w="6160" w:type="dxa"/>
        <w:tblCellMar>
          <w:top w:w="0" w:type="dxa"/>
          <w:left w:w="0" w:type="dxa"/>
          <w:bottom w:w="0" w:type="dxa"/>
          <w:right w:w="0" w:type="dxa"/>
        </w:tblCellMar>
      </w:tblPr>
      <w:tr>
        <w:trPr>
          <w:trHeight w:val="295"/>
        </w:trPr>
        <w:tc>
          <w:tcPr>
            <w:tcW w:w="2780" w:type="dxa"/>
            <w:vAlign w:val="bottom"/>
            <w:vMerge w:val="restart"/>
          </w:tcPr>
          <w:p>
            <w:pPr>
              <w:spacing w:after="0"/>
              <w:rPr>
                <w:sz w:val="20"/>
                <w:szCs w:val="20"/>
                <w:color w:val="auto"/>
              </w:rPr>
            </w:pPr>
            <w:r>
              <w:rPr>
                <w:rFonts w:ascii="Arial" w:cs="Arial" w:eastAsia="Arial" w:hAnsi="Arial"/>
                <w:sz w:val="18"/>
                <w:szCs w:val="18"/>
                <w:color w:val="auto"/>
              </w:rPr>
              <w:t>4. Approval of Amendment and</w:t>
            </w:r>
          </w:p>
        </w:tc>
        <w:tc>
          <w:tcPr>
            <w:tcW w:w="1560" w:type="dxa"/>
            <w:vAlign w:val="bottom"/>
          </w:tcPr>
          <w:p>
            <w:pPr>
              <w:ind w:left="200"/>
              <w:spacing w:after="0" w:line="295" w:lineRule="exact"/>
              <w:rPr>
                <w:sz w:val="20"/>
                <w:szCs w:val="20"/>
                <w:color w:val="auto"/>
              </w:rPr>
            </w:pPr>
            <w:r>
              <w:rPr>
                <w:rFonts w:ascii="MS PGothic" w:cs="MS PGothic" w:eastAsia="MS PGothic" w:hAnsi="MS PGothic"/>
                <w:sz w:val="39"/>
                <w:szCs w:val="39"/>
                <w:color w:val="auto"/>
              </w:rPr>
              <w:t>☐ ☐</w:t>
            </w:r>
          </w:p>
        </w:tc>
        <w:tc>
          <w:tcPr>
            <w:tcW w:w="660" w:type="dxa"/>
            <w:vAlign w:val="bottom"/>
          </w:tcPr>
          <w:p>
            <w:pPr>
              <w:ind w:left="280"/>
              <w:spacing w:after="0" w:line="295" w:lineRule="exact"/>
              <w:rPr>
                <w:sz w:val="20"/>
                <w:szCs w:val="20"/>
                <w:color w:val="auto"/>
              </w:rPr>
            </w:pPr>
            <w:r>
              <w:rPr>
                <w:rFonts w:ascii="MS PGothic" w:cs="MS PGothic" w:eastAsia="MS PGothic" w:hAnsi="MS PGothic"/>
                <w:sz w:val="39"/>
                <w:szCs w:val="39"/>
                <w:color w:val="auto"/>
                <w:w w:val="92"/>
              </w:rPr>
              <w:t>☐</w:t>
            </w:r>
          </w:p>
        </w:tc>
        <w:tc>
          <w:tcPr>
            <w:tcW w:w="0" w:type="dxa"/>
            <w:vAlign w:val="bottom"/>
          </w:tcPr>
          <w:p>
            <w:pPr>
              <w:spacing w:after="0"/>
              <w:rPr>
                <w:sz w:val="1"/>
                <w:szCs w:val="1"/>
                <w:color w:val="auto"/>
              </w:rPr>
            </w:pPr>
          </w:p>
        </w:tc>
      </w:tr>
      <w:tr>
        <w:trPr>
          <w:trHeight w:val="46"/>
        </w:trPr>
        <w:tc>
          <w:tcPr>
            <w:tcW w:w="278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40"/>
              <w:spacing w:after="0"/>
              <w:rPr>
                <w:sz w:val="20"/>
                <w:szCs w:val="20"/>
                <w:color w:val="auto"/>
              </w:rPr>
            </w:pPr>
            <w:r>
              <w:rPr>
                <w:rFonts w:ascii="Arial" w:cs="Arial" w:eastAsia="Arial" w:hAnsi="Arial"/>
                <w:sz w:val="18"/>
                <w:szCs w:val="18"/>
                <w:color w:val="auto"/>
                <w:w w:val="93"/>
              </w:rPr>
              <w:t>Restatement of the Schlumberger</w:t>
            </w: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ind w:left="240"/>
              <w:spacing w:after="0"/>
              <w:rPr>
                <w:sz w:val="20"/>
                <w:szCs w:val="20"/>
                <w:color w:val="auto"/>
              </w:rPr>
            </w:pPr>
            <w:r>
              <w:rPr>
                <w:rFonts w:ascii="Arial" w:cs="Arial" w:eastAsia="Arial" w:hAnsi="Arial"/>
                <w:sz w:val="18"/>
                <w:szCs w:val="18"/>
                <w:color w:val="auto"/>
              </w:rPr>
              <w:t>2005 Stock Option Plan</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380"/>
          </w:cols>
          <w:pgMar w:left="240" w:top="274" w:right="279" w:bottom="1440" w:gutter="0" w:footer="0" w:header="0"/>
          <w:type w:val="continuous"/>
        </w:sectPr>
      </w:pPr>
    </w:p>
    <w:p>
      <w:pPr>
        <w:ind w:left="1200"/>
        <w:spacing w:after="0"/>
        <w:tabs>
          <w:tab w:leader="none" w:pos="300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WITHHELD</w:t>
      </w:r>
    </w:p>
    <w:p>
      <w:pPr>
        <w:spacing w:after="0" w:line="20" w:lineRule="exact"/>
        <w:rPr>
          <w:sz w:val="20"/>
          <w:szCs w:val="20"/>
          <w:color w:val="auto"/>
        </w:rPr>
      </w:pPr>
      <w:r>
        <w:rPr>
          <w:sz w:val="20"/>
          <w:szCs w:val="20"/>
          <w:color w:val="auto"/>
        </w:rPr>
        <w:br w:type="column"/>
      </w:r>
    </w:p>
    <w:p>
      <w:pPr>
        <w:jc w:val="center"/>
        <w:ind w:right="2480"/>
        <w:spacing w:after="0"/>
        <w:rPr>
          <w:sz w:val="20"/>
          <w:szCs w:val="20"/>
          <w:color w:val="auto"/>
        </w:rPr>
      </w:pPr>
      <w:r>
        <w:rPr>
          <w:rFonts w:ascii="Arial" w:cs="Arial" w:eastAsia="Arial" w:hAnsi="Arial"/>
          <w:sz w:val="16"/>
          <w:szCs w:val="16"/>
          <w:color w:val="auto"/>
        </w:rPr>
        <w:t>5. Approval of independent registered</w:t>
      </w:r>
    </w:p>
    <w:p>
      <w:pPr>
        <w:spacing w:after="0" w:line="1" w:lineRule="exact"/>
        <w:rPr>
          <w:sz w:val="20"/>
          <w:szCs w:val="20"/>
          <w:color w:val="auto"/>
        </w:rPr>
      </w:pPr>
    </w:p>
    <w:p>
      <w:pPr>
        <w:sectPr>
          <w:pgSz w:w="11900" w:h="16838" w:orient="portrait"/>
          <w:cols w:equalWidth="0" w:num="2">
            <w:col w:w="5440" w:space="720"/>
            <w:col w:w="5220"/>
          </w:cols>
          <w:pgMar w:left="240" w:top="274" w:right="279" w:bottom="1440" w:gutter="0" w:footer="0" w:header="0"/>
          <w:type w:val="continuous"/>
        </w:sectPr>
      </w:pPr>
    </w:p>
    <w:p>
      <w:pPr>
        <w:ind w:left="900"/>
        <w:spacing w:after="0" w:line="276" w:lineRule="exact"/>
        <w:rPr>
          <w:sz w:val="20"/>
          <w:szCs w:val="20"/>
          <w:color w:val="auto"/>
        </w:rPr>
      </w:pPr>
      <w:r>
        <w:rPr>
          <w:rFonts w:ascii="Arial" w:cs="Arial" w:eastAsia="Arial" w:hAnsi="Arial"/>
          <w:sz w:val="20"/>
          <w:szCs w:val="20"/>
          <w:color w:val="auto"/>
          <w:vertAlign w:val="subscript"/>
        </w:rPr>
        <w:t>NOMINEES</w:t>
      </w:r>
      <w:r>
        <w:rPr>
          <w:rFonts w:ascii="Arial" w:cs="Arial" w:eastAsia="Arial" w:hAnsi="Arial"/>
          <w:sz w:val="20"/>
          <w:szCs w:val="20"/>
          <w:color w:val="auto"/>
          <w:vertAlign w:val="superscript"/>
        </w:rPr>
        <w:t>ALL</w:t>
      </w:r>
      <w:r>
        <w:rPr>
          <w:rFonts w:ascii="Arial" w:cs="Arial" w:eastAsia="Arial" w:hAnsi="Arial"/>
          <w:sz w:val="20"/>
          <w:szCs w:val="20"/>
          <w:color w:val="auto"/>
        </w:rPr>
        <w:t xml:space="preserve">  </w:t>
      </w:r>
      <w:r>
        <w:rPr>
          <w:rFonts w:ascii="MS PGothic" w:cs="MS PGothic" w:eastAsia="MS PGothic" w:hAnsi="MS PGothic"/>
          <w:sz w:val="24"/>
          <w:szCs w:val="24"/>
          <w:color w:val="auto"/>
        </w:rPr>
        <w:t>☐ ☐</w:t>
      </w:r>
      <w:r>
        <w:rPr>
          <w:rFonts w:ascii="Arial" w:cs="Arial" w:eastAsia="Arial" w:hAnsi="Arial"/>
          <w:sz w:val="20"/>
          <w:szCs w:val="20"/>
          <w:color w:val="auto"/>
        </w:rPr>
        <w:t xml:space="preserve"> </w:t>
      </w:r>
      <w:r>
        <w:rPr>
          <w:rFonts w:ascii="Arial" w:cs="Arial" w:eastAsia="Arial" w:hAnsi="Arial"/>
          <w:sz w:val="20"/>
          <w:szCs w:val="20"/>
          <w:color w:val="auto"/>
          <w:vertAlign w:val="superscript"/>
        </w:rPr>
        <w:t>FROM</w:t>
      </w:r>
      <w:r>
        <w:rPr>
          <w:rFonts w:ascii="Arial" w:cs="Arial" w:eastAsia="Arial" w:hAnsi="Arial"/>
          <w:sz w:val="20"/>
          <w:szCs w:val="20"/>
          <w:color w:val="auto"/>
          <w:vertAlign w:val="subscript"/>
        </w:rPr>
        <w:t>NOMINEES</w:t>
      </w:r>
      <w:r>
        <w:rPr>
          <w:rFonts w:ascii="Arial" w:cs="Arial" w:eastAsia="Arial" w:hAnsi="Arial"/>
          <w:sz w:val="20"/>
          <w:szCs w:val="20"/>
          <w:color w:val="auto"/>
          <w:vertAlign w:val="superscript"/>
        </w:rPr>
        <w:t>ALL</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public accounting firm</w:t>
      </w:r>
    </w:p>
    <w:p>
      <w:pPr>
        <w:spacing w:after="0" w:line="20" w:lineRule="exact"/>
        <w:rPr>
          <w:sz w:val="20"/>
          <w:szCs w:val="20"/>
          <w:color w:val="auto"/>
        </w:rPr>
      </w:pPr>
      <w:r>
        <w:rPr>
          <w:sz w:val="20"/>
          <w:szCs w:val="20"/>
          <w:color w:val="auto"/>
        </w:rPr>
        <w:br w:type="column"/>
      </w:r>
    </w:p>
    <w:p>
      <w:pPr>
        <w:spacing w:after="0" w:line="401" w:lineRule="exact"/>
        <w:tabs>
          <w:tab w:leader="none" w:pos="1620" w:val="left"/>
        </w:tabs>
        <w:rPr>
          <w:sz w:val="20"/>
          <w:szCs w:val="20"/>
          <w:color w:val="auto"/>
        </w:rPr>
      </w:pPr>
      <w:r>
        <w:rPr>
          <w:rFonts w:ascii="MS PGothic" w:cs="MS PGothic" w:eastAsia="MS PGothic" w:hAnsi="MS PGothic"/>
          <w:sz w:val="43"/>
          <w:szCs w:val="43"/>
          <w:color w:val="auto"/>
        </w:rPr>
        <w:t>☐ ☐</w:t>
      </w:r>
      <w:r>
        <w:rPr>
          <w:sz w:val="20"/>
          <w:szCs w:val="20"/>
          <w:color w:val="auto"/>
        </w:rPr>
        <w:tab/>
      </w:r>
      <w:r>
        <w:rPr>
          <w:rFonts w:ascii="MS PGothic" w:cs="MS PGothic" w:eastAsia="MS PGothic" w:hAnsi="MS PGothic"/>
          <w:sz w:val="38"/>
          <w:szCs w:val="38"/>
          <w:color w:val="auto"/>
        </w:rPr>
        <w:t>☐</w:t>
      </w:r>
    </w:p>
    <w:p>
      <w:pPr>
        <w:spacing w:after="0" w:line="27" w:lineRule="exact"/>
        <w:rPr>
          <w:sz w:val="20"/>
          <w:szCs w:val="20"/>
          <w:color w:val="auto"/>
        </w:rPr>
      </w:pPr>
    </w:p>
    <w:p>
      <w:pPr>
        <w:sectPr>
          <w:pgSz w:w="11900" w:h="16838" w:orient="portrait"/>
          <w:cols w:equalWidth="0" w:num="3">
            <w:col w:w="5680" w:space="720"/>
            <w:col w:w="2020" w:space="720"/>
            <w:col w:w="2240"/>
          </w:cols>
          <w:pgMar w:left="240" w:top="274" w:right="27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hanging="532"/>
        <w:spacing w:after="0"/>
        <w:tabs>
          <w:tab w:leader="none" w:pos="540" w:val="left"/>
        </w:tabs>
        <w:numPr>
          <w:ilvl w:val="0"/>
          <w:numId w:val="58"/>
        </w:numPr>
        <w:rPr>
          <w:rFonts w:ascii="MS PGothic" w:cs="MS PGothic" w:eastAsia="MS PGothic" w:hAnsi="MS PGothic"/>
          <w:sz w:val="35"/>
          <w:szCs w:val="35"/>
          <w:color w:val="auto"/>
        </w:rPr>
      </w:pPr>
      <w:r>
        <w:rPr>
          <w:rFonts w:ascii="Arial" w:cs="Arial" w:eastAsia="Arial" w:hAnsi="Arial"/>
          <w:sz w:val="15"/>
          <w:szCs w:val="15"/>
          <w:color w:val="auto"/>
        </w:rPr>
        <w:t>______________________________________</w:t>
      </w:r>
    </w:p>
    <w:p>
      <w:pPr>
        <w:spacing w:after="0" w:line="7" w:lineRule="exact"/>
        <w:rPr>
          <w:rFonts w:ascii="MS PGothic" w:cs="MS PGothic" w:eastAsia="MS PGothic" w:hAnsi="MS PGothic"/>
          <w:sz w:val="35"/>
          <w:szCs w:val="35"/>
          <w:color w:val="auto"/>
        </w:rPr>
      </w:pPr>
    </w:p>
    <w:p>
      <w:pPr>
        <w:ind w:left="540"/>
        <w:spacing w:after="0"/>
        <w:rPr>
          <w:rFonts w:ascii="MS PGothic" w:cs="MS PGothic" w:eastAsia="MS PGothic" w:hAnsi="MS PGothic"/>
          <w:sz w:val="35"/>
          <w:szCs w:val="35"/>
          <w:color w:val="auto"/>
        </w:rPr>
      </w:pPr>
      <w:r>
        <w:rPr>
          <w:rFonts w:ascii="Arial" w:cs="Arial" w:eastAsia="Arial" w:hAnsi="Arial"/>
          <w:sz w:val="18"/>
          <w:szCs w:val="18"/>
          <w:color w:val="auto"/>
        </w:rPr>
        <w:t>For all nominees except as noted above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0"/>
        </w:trPr>
        <w:tc>
          <w:tcPr>
            <w:tcW w:w="4420" w:type="dxa"/>
            <w:vAlign w:val="bottom"/>
            <w:vMerge w:val="restart"/>
          </w:tcPr>
          <w:p>
            <w:pPr>
              <w:spacing w:after="0"/>
              <w:rPr>
                <w:sz w:val="20"/>
                <w:szCs w:val="20"/>
                <w:color w:val="auto"/>
              </w:rPr>
            </w:pPr>
            <w:r>
              <w:rPr>
                <w:rFonts w:ascii="Arial" w:cs="Arial" w:eastAsia="Arial" w:hAnsi="Arial"/>
                <w:sz w:val="18"/>
                <w:szCs w:val="18"/>
                <w:color w:val="auto"/>
                <w:w w:val="97"/>
              </w:rPr>
              <w:t>MARK HERE FOR ADDRESS CHANGE AND NOTE AT</w:t>
            </w:r>
          </w:p>
        </w:tc>
        <w:tc>
          <w:tcPr>
            <w:tcW w:w="580" w:type="dxa"/>
            <w:vAlign w:val="bottom"/>
          </w:tcPr>
          <w:p>
            <w:pPr>
              <w:ind w:left="20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46"/>
        </w:trPr>
        <w:tc>
          <w:tcPr>
            <w:tcW w:w="44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LEFT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Please sign names exactly as printed hereon. If signing as attorney, administrator, executor, guardian or trustee, please give full title as such. Please sign, date and return in the enclosed envelope.</w:t>
      </w:r>
    </w:p>
    <w:p>
      <w:pPr>
        <w:spacing w:after="0" w:line="200" w:lineRule="exact"/>
        <w:rPr>
          <w:sz w:val="20"/>
          <w:szCs w:val="20"/>
          <w:color w:val="auto"/>
        </w:rPr>
      </w:pPr>
    </w:p>
    <w:p>
      <w:pPr>
        <w:sectPr>
          <w:pgSz w:w="11900" w:h="16838" w:orient="portrait"/>
          <w:cols w:equalWidth="0" w:num="2">
            <w:col w:w="5440" w:space="720"/>
            <w:col w:w="5220"/>
          </w:cols>
          <w:pgMar w:left="240" w:top="274" w:right="279" w:bottom="1440" w:gutter="0" w:footer="0" w:header="0"/>
          <w:type w:val="continuous"/>
        </w:sectPr>
      </w:pPr>
    </w:p>
    <w:p>
      <w:pPr>
        <w:spacing w:after="0" w:line="15"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Signature: __________________________ Date: ___________</w:t>
      </w:r>
      <w:r>
        <w:rPr>
          <w:sz w:val="20"/>
          <w:szCs w:val="20"/>
          <w:color w:val="auto"/>
        </w:rPr>
        <w:tab/>
      </w:r>
      <w:r>
        <w:rPr>
          <w:rFonts w:ascii="Arial" w:cs="Arial" w:eastAsia="Arial" w:hAnsi="Arial"/>
          <w:sz w:val="15"/>
          <w:szCs w:val="15"/>
          <w:color w:val="auto"/>
        </w:rPr>
        <w:t>Signature:__________________________ Date:___________</w:t>
      </w:r>
    </w:p>
    <w:sectPr>
      <w:pgSz w:w="11900" w:h="16838" w:orient="portrait"/>
      <w:cols w:equalWidth="0" w:num="1">
        <w:col w:w="11380"/>
      </w:cols>
      <w:pgMar w:left="240" w:top="27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lvl w:ilvl="1">
      <w:lvlJc w:val="left"/>
      <w:lvlText w:val="(%2)"/>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2"/>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lvl w:ilvl="1">
      <w:lvlJc w:val="left"/>
      <w:lvlText w:val="(%2)"/>
      <w:numFmt w:val="lowerLetter"/>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bullet"/>
      <w:start w:val="1"/>
    </w:lvl>
  </w:abstractNum>
  <w:abstractNum w:abstractNumId="14">
    <w:nsid w:val="3804823E"/>
    <w:multiLevelType w:val="hybridMultilevel"/>
    <w:lvl w:ilvl="0">
      <w:lvlJc w:val="left"/>
      <w:lvlText w:val="(%1)"/>
      <w:numFmt w:val="lowerRoman"/>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3"/>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4"/>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8"/>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2"/>
    </w:lvl>
    <w:lvl w:ilvl="1">
      <w:lvlJc w:val="left"/>
      <w:lvlText w:val="(%2)"/>
      <w:numFmt w:val="lowerLetter"/>
      <w:start w:val="1"/>
    </w:lvl>
  </w:abstractNum>
  <w:abstractNum w:abstractNumId="36">
    <w:nsid w:val="38437FD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
    <w:nsid w:val="7644A4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32FFF902"/>
    <w:multiLevelType w:val="hybridMultilevel"/>
    <w:lvl w:ilvl="0">
      <w:lvlJc w:val="left"/>
      <w:lvlText w:val="%1."/>
      <w:numFmt w:val="decimal"/>
      <w:start w:val="5"/>
    </w:lvl>
    <w:lvl w:ilvl="1">
      <w:lvlJc w:val="left"/>
      <w:lvlText w:val="(%2)"/>
      <w:numFmt w:val="lowerLetter"/>
      <w:start w:val="1"/>
    </w:lvl>
  </w:abstractNum>
  <w:abstractNum w:abstractNumId="39">
    <w:nsid w:val="684A481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40">
    <w:nsid w:val="579478FE"/>
    <w:multiLevelType w:val="hybridMultilevel"/>
    <w:lvl w:ilvl="0">
      <w:lvlJc w:val="left"/>
      <w:lvlText w:val="%1"/>
      <w:numFmt w:val="lowerRoman"/>
      <w:start w:val="1"/>
    </w:lvl>
    <w:lvl w:ilvl="1">
      <w:lvlJc w:val="left"/>
      <w:lvlText w:val="(%2)"/>
      <w:numFmt w:val="upperLetter"/>
      <w:start w:val="3"/>
    </w:lvl>
  </w:abstractNum>
  <w:abstractNum w:abstractNumId="41">
    <w:nsid w:val="749ABB43"/>
    <w:multiLevelType w:val="hybridMultilevel"/>
    <w:lvl w:ilvl="0">
      <w:lvlJc w:val="left"/>
      <w:lvlText w:val="(%1)"/>
      <w:numFmt w:val="lowerRoman"/>
      <w:start w:val="5"/>
    </w:lvl>
    <w:lvl w:ilvl="1">
      <w:lvlJc w:val="left"/>
      <w:lvlText w:val="(%2)"/>
      <w:numFmt w:val="upp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4">
    <w:nsid w:val="79A1DEAA"/>
    <w:multiLevelType w:val="hybridMultilevel"/>
    <w:lvl w:ilvl="0">
      <w:lvlJc w:val="left"/>
      <w:lvlText w:val="%1"/>
      <w:numFmt w:val="decimal"/>
      <w:start w:val="1"/>
    </w:lvl>
    <w:lvl w:ilvl="1">
      <w:lvlJc w:val="left"/>
      <w:lvlText w:val="(%2)"/>
      <w:numFmt w:val="lowerLetter"/>
      <w:start w:val="5"/>
    </w:lvl>
  </w:abstractNum>
  <w:abstractNum w:abstractNumId="45">
    <w:nsid w:val="75C6C33A"/>
    <w:multiLevelType w:val="hybridMultilevel"/>
    <w:lvl w:ilvl="0">
      <w:lvlJc w:val="left"/>
      <w:lvlText w:val="%1."/>
      <w:numFmt w:val="decimal"/>
      <w:start w:val="10"/>
    </w:lvl>
    <w:lvl w:ilvl="1">
      <w:lvlJc w:val="left"/>
      <w:lvlText w:val="%2"/>
      <w:numFmt w:val="lowerLetter"/>
      <w:start w:val="1"/>
    </w:lvl>
  </w:abstractNum>
  <w:abstractNum w:abstractNumId="46">
    <w:nsid w:val="12E685FB"/>
    <w:multiLevelType w:val="hybridMultilevel"/>
    <w:lvl w:ilvl="0">
      <w:lvlJc w:val="left"/>
      <w:lvlText w:val="%1."/>
      <w:numFmt w:val="decimal"/>
      <w:start w:val="11"/>
    </w:lvl>
  </w:abstractNum>
  <w:abstractNum w:abstractNumId="47">
    <w:nsid w:val="70C6A529"/>
    <w:multiLevelType w:val="hybridMultilevel"/>
    <w:lvl w:ilvl="0">
      <w:lvlJc w:val="left"/>
      <w:lvlText w:val="%1"/>
      <w:numFmt w:val="decimal"/>
      <w:start w:val="1"/>
    </w:lvl>
    <w:lvl w:ilvl="1">
      <w:lvlJc w:val="left"/>
      <w:lvlText w:val="(%2)"/>
      <w:numFmt w:val="lowerLetter"/>
      <w:start w:val="1"/>
    </w:lvl>
  </w:abstractNum>
  <w:abstractNum w:abstractNumId="48">
    <w:nsid w:val="520EEDD1"/>
    <w:multiLevelType w:val="hybridMultilevel"/>
    <w:lvl w:ilvl="0">
      <w:lvlJc w:val="left"/>
      <w:lvlText w:val="%1."/>
      <w:numFmt w:val="decimal"/>
      <w:start w:val="13"/>
    </w:lvl>
    <w:lvl w:ilvl="1">
      <w:lvlJc w:val="left"/>
      <w:lvlText w:val="%2"/>
      <w:numFmt w:val="lowerLetter"/>
      <w:start w:val="1"/>
    </w:lvl>
  </w:abstractNum>
  <w:abstractNum w:abstractNumId="49">
    <w:nsid w:val="374A3FE6"/>
    <w:multiLevelType w:val="hybridMultilevel"/>
    <w:lvl w:ilvl="0">
      <w:lvlJc w:val="left"/>
      <w:lvlText w:val="P"/>
      <w:numFmt w:val="bullet"/>
      <w:start w:val="1"/>
    </w:lvl>
  </w:abstractNum>
  <w:abstractNum w:abstractNumId="50">
    <w:nsid w:val="4F4EF005"/>
    <w:multiLevelType w:val="hybridMultilevel"/>
    <w:lvl w:ilvl="0">
      <w:lvlJc w:val="left"/>
      <w:lvlText w:val="R"/>
      <w:numFmt w:val="bullet"/>
      <w:start w:val="1"/>
    </w:lvl>
  </w:abstractNum>
  <w:abstractNum w:abstractNumId="51">
    <w:nsid w:val="23F9C13C"/>
    <w:multiLevelType w:val="hybridMultilevel"/>
    <w:lvl w:ilvl="0">
      <w:lvlJc w:val="left"/>
      <w:lvlText w:val="O"/>
      <w:numFmt w:val="bullet"/>
      <w:start w:val="1"/>
    </w:lvl>
  </w:abstractNum>
  <w:abstractNum w:abstractNumId="52">
    <w:nsid w:val="649BB77C"/>
    <w:multiLevelType w:val="hybridMultilevel"/>
    <w:lvl w:ilvl="0">
      <w:lvlJc w:val="left"/>
      <w:lvlText w:val="Y"/>
      <w:numFmt w:val="bullet"/>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9"/>
    </w:lvl>
  </w:abstractNum>
  <w:abstractNum w:abstractNumId="56">
    <w:nsid w:val="180115BE"/>
    <w:multiLevelType w:val="hybridMultilevel"/>
    <w:lvl w:ilvl="0">
      <w:lvlJc w:val="left"/>
      <w:lvlText w:val="(%1)"/>
      <w:numFmt w:val="decimal"/>
      <w:start w:val="12"/>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2019-12-13T06:29:24Z</dcterms:created>
  <dcterms:modified xsi:type="dcterms:W3CDTF">2019-12-13T06:29:24Z</dcterms:modified>
</cp:coreProperties>
</file>