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248285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April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243205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61"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02"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The 2025 Annual General Meeting of Shareholders (the “Annual Meeting”) of Schlumberger Limited (Schlumberger N.V.), a Curaçao corporation (“SLB”), was held on April 2, 2025. All director nominees were elected and all other proposals passed at the Annual Meeting. The results are summarized below, with detailed voting results following.</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Annual Meeting, the shareholders of SLB:</w:t>
      </w:r>
    </w:p>
    <w:p>
      <w:pPr>
        <w:spacing w:after="0" w:line="117"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1—elected all nine director nominees;</w:t>
      </w:r>
    </w:p>
    <w:p>
      <w:pPr>
        <w:spacing w:after="0" w:line="117" w:lineRule="exact"/>
        <w:rPr>
          <w:rFonts w:ascii="Arial" w:cs="Arial" w:eastAsia="Arial" w:hAnsi="Arial"/>
          <w:sz w:val="18"/>
          <w:szCs w:val="18"/>
          <w:color w:val="auto"/>
        </w:rPr>
      </w:pPr>
    </w:p>
    <w:p>
      <w:pPr>
        <w:ind w:left="960" w:hanging="424"/>
        <w:spacing w:after="0" w:line="271"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2—approved, on an advisory basis, SLB’s executive compensation, with approximately 94.5% of the votes cast voting for this proposal;</w:t>
      </w:r>
    </w:p>
    <w:p>
      <w:pPr>
        <w:spacing w:after="0" w:line="59" w:lineRule="exact"/>
        <w:rPr>
          <w:rFonts w:ascii="Arial" w:cs="Arial" w:eastAsia="Arial" w:hAnsi="Arial"/>
          <w:sz w:val="18"/>
          <w:szCs w:val="18"/>
          <w:color w:val="auto"/>
        </w:rPr>
      </w:pPr>
    </w:p>
    <w:p>
      <w:pPr>
        <w:ind w:left="960" w:right="40" w:hanging="424"/>
        <w:spacing w:after="0" w:line="24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3—approved SLB’s consolidated balance sheet at December 31, 2024, its consolidated statement of income for the year ended December 31, 2024, and the declarations of dividends by SLB’s Board of Directors in 2024 as reflected in its Annual Report on Form 10-K for the fiscal year ended December 31, 2024, with approximately 99.7% of the votes cast voting for this proposal; and</w:t>
      </w:r>
    </w:p>
    <w:p>
      <w:pPr>
        <w:spacing w:after="0" w:line="79" w:lineRule="exact"/>
        <w:rPr>
          <w:rFonts w:ascii="Arial" w:cs="Arial" w:eastAsia="Arial" w:hAnsi="Arial"/>
          <w:sz w:val="18"/>
          <w:szCs w:val="18"/>
          <w:color w:val="auto"/>
        </w:rPr>
      </w:pPr>
    </w:p>
    <w:p>
      <w:pPr>
        <w:ind w:left="960" w:right="820" w:hanging="424"/>
        <w:spacing w:after="0" w:line="271"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4—ratified the appointment of PricewaterhouseCoopers LLP as the independent auditors of SLB for 2025, with approximately 92.4% of the votes cast voting for this proposal.</w:t>
      </w:r>
    </w:p>
    <w:p>
      <w:pPr>
        <w:spacing w:after="0" w:line="59" w:lineRule="exact"/>
        <w:rPr>
          <w:rFonts w:ascii="Arial" w:cs="Arial" w:eastAsia="Arial" w:hAnsi="Arial"/>
          <w:sz w:val="18"/>
          <w:szCs w:val="18"/>
          <w:color w:val="auto"/>
        </w:rPr>
      </w:pPr>
    </w:p>
    <w:p>
      <w:pPr>
        <w:ind w:left="960" w:right="20" w:hanging="424"/>
        <w:spacing w:after="0" w:line="271"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5—approved the amendment and restatement of the SLB Discounted Stock Purchase Plan, with approximately 99.5% of the votes cast voting for this proposal.</w:t>
      </w:r>
    </w:p>
    <w:p>
      <w:pPr>
        <w:spacing w:after="0" w:line="154" w:lineRule="exact"/>
        <w:rPr>
          <w:sz w:val="20"/>
          <w:szCs w:val="20"/>
          <w:color w:val="auto"/>
        </w:rPr>
      </w:pPr>
    </w:p>
    <w:p>
      <w:pPr>
        <w:ind w:right="280" w:firstLine="440"/>
        <w:spacing w:after="0" w:line="271" w:lineRule="auto"/>
        <w:rPr>
          <w:sz w:val="20"/>
          <w:szCs w:val="20"/>
          <w:color w:val="auto"/>
        </w:rPr>
      </w:pPr>
      <w:r>
        <w:rPr>
          <w:rFonts w:ascii="Arial" w:cs="Arial" w:eastAsia="Arial" w:hAnsi="Arial"/>
          <w:sz w:val="18"/>
          <w:szCs w:val="18"/>
          <w:color w:val="auto"/>
        </w:rPr>
        <w:t>The proposals are described in detail in SLB’s definitive proxy statement for the Annual Meeting, which was filed with the SEC on February 20, 2025 (the “Definitive Proxy Statement”).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1—Election of Directors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director nominees were elected at the Annual Meeting.</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jc w:val="right"/>
              <w:ind w:right="213"/>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66"/>
        </w:trPr>
        <w:tc>
          <w:tcPr>
            <w:tcW w:w="3700" w:type="dxa"/>
            <w:vAlign w:val="bottom"/>
            <w:vMerge w:val="restart"/>
          </w:tcPr>
          <w:p>
            <w:pPr>
              <w:spacing w:after="0"/>
              <w:rPr>
                <w:sz w:val="20"/>
                <w:szCs w:val="20"/>
                <w:color w:val="auto"/>
              </w:rPr>
            </w:pPr>
            <w:r>
              <w:rPr>
                <w:rFonts w:ascii="Arial" w:cs="Arial" w:eastAsia="Arial" w:hAnsi="Arial"/>
                <w:sz w:val="18"/>
                <w:szCs w:val="18"/>
                <w:color w:val="auto"/>
              </w:rPr>
              <w:t>Peter Coleman</w:t>
            </w:r>
          </w:p>
        </w:tc>
        <w:tc>
          <w:tcPr>
            <w:tcW w:w="2940" w:type="dxa"/>
            <w:vAlign w:val="bottom"/>
          </w:tcPr>
          <w:p>
            <w:pPr>
              <w:jc w:val="right"/>
              <w:ind w:right="552"/>
              <w:spacing w:after="0"/>
              <w:rPr>
                <w:sz w:val="20"/>
                <w:szCs w:val="20"/>
                <w:color w:val="auto"/>
              </w:rPr>
            </w:pPr>
            <w:r>
              <w:rPr>
                <w:rFonts w:ascii="Arial" w:cs="Arial" w:eastAsia="Arial" w:hAnsi="Arial"/>
                <w:sz w:val="14"/>
                <w:szCs w:val="14"/>
                <w:b w:val="1"/>
                <w:bCs w:val="1"/>
                <w:color w:val="auto"/>
              </w:rPr>
              <w:t>For</w:t>
            </w:r>
          </w:p>
        </w:tc>
        <w:tc>
          <w:tcPr>
            <w:tcW w:w="1220" w:type="dxa"/>
            <w:vAlign w:val="bottom"/>
          </w:tcPr>
          <w:p>
            <w:pPr>
              <w:jc w:val="right"/>
              <w:ind w:right="292"/>
              <w:spacing w:after="0"/>
              <w:rPr>
                <w:sz w:val="20"/>
                <w:szCs w:val="20"/>
                <w:color w:val="auto"/>
              </w:rPr>
            </w:pPr>
            <w:r>
              <w:rPr>
                <w:rFonts w:ascii="Arial" w:cs="Arial" w:eastAsia="Arial" w:hAnsi="Arial"/>
                <w:sz w:val="14"/>
                <w:szCs w:val="14"/>
                <w:b w:val="1"/>
                <w:bCs w:val="1"/>
                <w:color w:val="auto"/>
              </w:rPr>
              <w:t>Against</w:t>
            </w:r>
          </w:p>
        </w:tc>
        <w:tc>
          <w:tcPr>
            <w:tcW w:w="1080" w:type="dxa"/>
            <w:vAlign w:val="bottom"/>
          </w:tcPr>
          <w:p>
            <w:pPr>
              <w:jc w:val="right"/>
              <w:ind w:right="212"/>
              <w:spacing w:after="0"/>
              <w:rPr>
                <w:sz w:val="20"/>
                <w:szCs w:val="20"/>
                <w:color w:val="auto"/>
              </w:rPr>
            </w:pPr>
            <w:r>
              <w:rPr>
                <w:rFonts w:ascii="Arial" w:cs="Arial" w:eastAsia="Arial" w:hAnsi="Arial"/>
                <w:sz w:val="14"/>
                <w:szCs w:val="14"/>
                <w:b w:val="1"/>
                <w:bCs w:val="1"/>
                <w:color w:val="auto"/>
              </w:rPr>
              <w:t>Abstain</w:t>
            </w:r>
          </w:p>
        </w:tc>
        <w:tc>
          <w:tcPr>
            <w:tcW w:w="1120" w:type="dxa"/>
            <w:vAlign w:val="bottom"/>
          </w:tcPr>
          <w:p>
            <w:pPr>
              <w:jc w:val="right"/>
              <w:ind w:right="93"/>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3700" w:type="dxa"/>
            <w:vAlign w:val="bottom"/>
            <w:vMerge w:val="continue"/>
          </w:tcPr>
          <w:p>
            <w:pPr>
              <w:spacing w:after="0"/>
              <w:rPr>
                <w:sz w:val="17"/>
                <w:szCs w:val="17"/>
                <w:color w:val="auto"/>
              </w:rPr>
            </w:pPr>
          </w:p>
        </w:tc>
        <w:tc>
          <w:tcPr>
            <w:tcW w:w="2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942,431,107</w:t>
            </w: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68,379,407</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2,091,878</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132,197,593</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Patrick de La Chevardière</w:t>
            </w:r>
          </w:p>
        </w:tc>
        <w:tc>
          <w:tcPr>
            <w:tcW w:w="2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1,004,811,733</w:t>
            </w: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6,750,923</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1,339,736</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132,197,593</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Miguel Galuccio</w:t>
            </w:r>
          </w:p>
        </w:tc>
        <w:tc>
          <w:tcPr>
            <w:tcW w:w="2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966,160,771</w:t>
            </w: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43,541,420</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3,200,201</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132,197,593</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Jim Hackett</w:t>
            </w:r>
          </w:p>
        </w:tc>
        <w:tc>
          <w:tcPr>
            <w:tcW w:w="2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962,862,105</w:t>
            </w: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49,053,717</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986,570</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132,197,593</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Olivier Le Peuch</w:t>
            </w:r>
          </w:p>
        </w:tc>
        <w:tc>
          <w:tcPr>
            <w:tcW w:w="2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1,007,471,751</w:t>
            </w: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4,531,286</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899,355</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132,197,593</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Samuel Leupold</w:t>
            </w:r>
          </w:p>
        </w:tc>
        <w:tc>
          <w:tcPr>
            <w:tcW w:w="2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1,009,697,889</w:t>
            </w: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2,206,282</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998,221</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132,197,593</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Maria Moræus Hanssen</w:t>
            </w:r>
          </w:p>
        </w:tc>
        <w:tc>
          <w:tcPr>
            <w:tcW w:w="2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969,187,362</w:t>
            </w: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41,787,687</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1,927,343</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132,197,593</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Vanitha Narayanan</w:t>
            </w:r>
          </w:p>
        </w:tc>
        <w:tc>
          <w:tcPr>
            <w:tcW w:w="2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929,517,843</w:t>
            </w: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79,611,578</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3,772,971</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132,197,593</w:t>
            </w:r>
          </w:p>
        </w:tc>
        <w:tc>
          <w:tcPr>
            <w:tcW w:w="0" w:type="dxa"/>
            <w:vAlign w:val="bottom"/>
          </w:tcPr>
          <w:p>
            <w:pPr>
              <w:spacing w:after="0"/>
              <w:rPr>
                <w:sz w:val="1"/>
                <w:szCs w:val="1"/>
                <w:color w:val="auto"/>
              </w:rPr>
            </w:pPr>
          </w:p>
        </w:tc>
      </w:tr>
      <w:tr>
        <w:trPr>
          <w:trHeight w:val="239"/>
        </w:trPr>
        <w:tc>
          <w:tcPr>
            <w:tcW w:w="3700" w:type="dxa"/>
            <w:vAlign w:val="bottom"/>
          </w:tcPr>
          <w:p>
            <w:pPr>
              <w:spacing w:after="0"/>
              <w:rPr>
                <w:sz w:val="20"/>
                <w:szCs w:val="20"/>
                <w:color w:val="auto"/>
              </w:rPr>
            </w:pPr>
            <w:r>
              <w:rPr>
                <w:rFonts w:ascii="Arial" w:cs="Arial" w:eastAsia="Arial" w:hAnsi="Arial"/>
                <w:sz w:val="18"/>
                <w:szCs w:val="18"/>
                <w:color w:val="auto"/>
              </w:rPr>
              <w:t>Jeff Sheets</w:t>
            </w:r>
          </w:p>
        </w:tc>
        <w:tc>
          <w:tcPr>
            <w:tcW w:w="2940" w:type="dxa"/>
            <w:vAlign w:val="bottom"/>
          </w:tcPr>
          <w:p>
            <w:pPr>
              <w:jc w:val="right"/>
              <w:ind w:right="72"/>
              <w:spacing w:after="0"/>
              <w:rPr>
                <w:sz w:val="20"/>
                <w:szCs w:val="20"/>
                <w:color w:val="auto"/>
              </w:rPr>
            </w:pPr>
            <w:r>
              <w:rPr>
                <w:rFonts w:ascii="Arial" w:cs="Arial" w:eastAsia="Arial" w:hAnsi="Arial"/>
                <w:sz w:val="18"/>
                <w:szCs w:val="18"/>
                <w:color w:val="auto"/>
              </w:rPr>
              <w:t>1,001,637,149</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10,303,313</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961,929</w:t>
            </w:r>
          </w:p>
        </w:tc>
        <w:tc>
          <w:tcPr>
            <w:tcW w:w="1120" w:type="dxa"/>
            <w:vAlign w:val="bottom"/>
          </w:tcPr>
          <w:p>
            <w:pPr>
              <w:jc w:val="right"/>
              <w:spacing w:after="0"/>
              <w:rPr>
                <w:sz w:val="20"/>
                <w:szCs w:val="20"/>
                <w:color w:val="auto"/>
              </w:rPr>
            </w:pPr>
            <w:r>
              <w:rPr>
                <w:rFonts w:ascii="Arial" w:cs="Arial" w:eastAsia="Arial" w:hAnsi="Arial"/>
                <w:sz w:val="18"/>
                <w:szCs w:val="18"/>
                <w:color w:val="auto"/>
              </w:rPr>
              <w:t>132,197,593</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2—Advisory Approval of Executive Compensation</w:t>
      </w:r>
    </w:p>
    <w:p>
      <w:pPr>
        <w:spacing w:after="0" w:line="102" w:lineRule="exact"/>
        <w:rPr>
          <w:sz w:val="20"/>
          <w:szCs w:val="20"/>
          <w:color w:val="auto"/>
        </w:rPr>
      </w:pPr>
    </w:p>
    <w:p>
      <w:pPr>
        <w:ind w:right="280" w:firstLine="440"/>
        <w:spacing w:after="0" w:line="271" w:lineRule="auto"/>
        <w:rPr>
          <w:sz w:val="20"/>
          <w:szCs w:val="20"/>
          <w:color w:val="auto"/>
        </w:rPr>
      </w:pPr>
      <w:r>
        <w:rPr>
          <w:rFonts w:ascii="Arial" w:cs="Arial" w:eastAsia="Arial" w:hAnsi="Arial"/>
          <w:sz w:val="18"/>
          <w:szCs w:val="18"/>
          <w:color w:val="auto"/>
        </w:rPr>
        <w:t>The advisory resolution to approve SLB’s executive compensation, as described in the Definitive Proxy Statement, was approved with approximately 94.5% of the votes cast at the Annual Meeting voting for the proposal.</w:t>
      </w:r>
    </w:p>
    <w:p>
      <w:pPr>
        <w:spacing w:after="0" w:line="190" w:lineRule="exact"/>
        <w:rPr>
          <w:sz w:val="20"/>
          <w:szCs w:val="20"/>
          <w:color w:val="auto"/>
        </w:rPr>
      </w:pPr>
    </w:p>
    <w:tbl>
      <w:tblPr>
        <w:tblLayout w:type="fixed"/>
        <w:tblInd w:w="1100" w:type="dxa"/>
        <w:tblCellMar>
          <w:top w:w="0" w:type="dxa"/>
          <w:left w:w="0" w:type="dxa"/>
          <w:bottom w:w="0" w:type="dxa"/>
          <w:right w:w="0" w:type="dxa"/>
        </w:tblCellMar>
      </w:tblPr>
      <w:tr>
        <w:trPr>
          <w:trHeight w:val="185"/>
        </w:trPr>
        <w:tc>
          <w:tcPr>
            <w:tcW w:w="2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Against</w:t>
            </w: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Abstain</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232"/>
        </w:trPr>
        <w:tc>
          <w:tcPr>
            <w:tcW w:w="2100" w:type="dxa"/>
            <w:vAlign w:val="bottom"/>
            <w:tcBorders>
              <w:top w:val="single" w:sz="8" w:color="auto"/>
            </w:tcBorders>
          </w:tcPr>
          <w:p>
            <w:pPr>
              <w:jc w:val="right"/>
              <w:ind w:right="459"/>
              <w:spacing w:after="0"/>
              <w:rPr>
                <w:sz w:val="20"/>
                <w:szCs w:val="20"/>
                <w:color w:val="auto"/>
              </w:rPr>
            </w:pPr>
            <w:r>
              <w:rPr>
                <w:rFonts w:ascii="Arial" w:cs="Arial" w:eastAsia="Arial" w:hAnsi="Arial"/>
                <w:sz w:val="18"/>
                <w:szCs w:val="18"/>
                <w:color w:val="auto"/>
              </w:rPr>
              <w:t>953,974,929</w:t>
            </w:r>
          </w:p>
        </w:tc>
        <w:tc>
          <w:tcPr>
            <w:tcW w:w="140" w:type="dxa"/>
            <w:vAlign w:val="bottom"/>
          </w:tcPr>
          <w:p>
            <w:pPr>
              <w:spacing w:after="0"/>
              <w:rPr>
                <w:sz w:val="20"/>
                <w:szCs w:val="20"/>
                <w:color w:val="auto"/>
              </w:rPr>
            </w:pPr>
          </w:p>
        </w:tc>
        <w:tc>
          <w:tcPr>
            <w:tcW w:w="2100" w:type="dxa"/>
            <w:vAlign w:val="bottom"/>
            <w:tcBorders>
              <w:top w:val="single" w:sz="8" w:color="auto"/>
            </w:tcBorders>
          </w:tcPr>
          <w:p>
            <w:pPr>
              <w:jc w:val="right"/>
              <w:ind w:right="519"/>
              <w:spacing w:after="0"/>
              <w:rPr>
                <w:sz w:val="20"/>
                <w:szCs w:val="20"/>
                <w:color w:val="auto"/>
              </w:rPr>
            </w:pPr>
            <w:r>
              <w:rPr>
                <w:rFonts w:ascii="Arial" w:cs="Arial" w:eastAsia="Arial" w:hAnsi="Arial"/>
                <w:sz w:val="18"/>
                <w:szCs w:val="18"/>
                <w:color w:val="auto"/>
              </w:rPr>
              <w:t>55,803,168</w:t>
            </w:r>
          </w:p>
        </w:tc>
        <w:tc>
          <w:tcPr>
            <w:tcW w:w="80" w:type="dxa"/>
            <w:vAlign w:val="bottom"/>
          </w:tcPr>
          <w:p>
            <w:pPr>
              <w:spacing w:after="0"/>
              <w:rPr>
                <w:sz w:val="20"/>
                <w:szCs w:val="20"/>
                <w:color w:val="auto"/>
              </w:rPr>
            </w:pPr>
          </w:p>
        </w:tc>
        <w:tc>
          <w:tcPr>
            <w:tcW w:w="220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rPr>
              <w:t>3,124,295</w:t>
            </w:r>
          </w:p>
        </w:tc>
        <w:tc>
          <w:tcPr>
            <w:tcW w:w="80" w:type="dxa"/>
            <w:vAlign w:val="bottom"/>
          </w:tcPr>
          <w:p>
            <w:pPr>
              <w:spacing w:after="0"/>
              <w:rPr>
                <w:sz w:val="20"/>
                <w:szCs w:val="20"/>
                <w:color w:val="auto"/>
              </w:rPr>
            </w:pPr>
          </w:p>
        </w:tc>
        <w:tc>
          <w:tcPr>
            <w:tcW w:w="2100" w:type="dxa"/>
            <w:vAlign w:val="bottom"/>
            <w:tcBorders>
              <w:top w:val="single" w:sz="8" w:color="auto"/>
            </w:tcBorders>
          </w:tcPr>
          <w:p>
            <w:pPr>
              <w:jc w:val="right"/>
              <w:ind w:right="459"/>
              <w:spacing w:after="0"/>
              <w:rPr>
                <w:sz w:val="20"/>
                <w:szCs w:val="20"/>
                <w:color w:val="auto"/>
              </w:rPr>
            </w:pPr>
            <w:r>
              <w:rPr>
                <w:rFonts w:ascii="Arial" w:cs="Arial" w:eastAsia="Arial" w:hAnsi="Arial"/>
                <w:sz w:val="18"/>
                <w:szCs w:val="18"/>
                <w:color w:val="auto"/>
              </w:rPr>
              <w:t>132,197,593</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3—Financial Statements and Dividends</w:t>
      </w:r>
    </w:p>
    <w:p>
      <w:pPr>
        <w:spacing w:after="0" w:line="102"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color w:val="auto"/>
        </w:rPr>
        <w:t>The proposal to approve SLB’s consolidated balance sheet at December 31, 2024, its consolidated statement of income for the year ended December 31, 2024, and the declarations of dividends by SLB’s Board of Directors in 2024 as reflected in its Annual Report on Form 10-K for the fiscal year ended December 31, 2024, as described in the Definitive Proxy Statement, was approved with approximately 99.7% of the votes cast at the Annual Meeting voting for the proposal.</w:t>
      </w:r>
    </w:p>
    <w:p>
      <w:pPr>
        <w:sectPr>
          <w:pgSz w:w="11900" w:h="16838" w:orient="portrait"/>
          <w:cols w:equalWidth="0" w:num="1">
            <w:col w:w="10980"/>
          </w:cols>
          <w:pgMar w:left="440" w:top="298" w:right="479" w:bottom="1440" w:gutter="0" w:footer="0" w:header="0"/>
        </w:sectPr>
      </w:pPr>
    </w:p>
    <w:bookmarkStart w:id="2" w:name="page3"/>
    <w:bookmarkEnd w:id="2"/>
    <w:tbl>
      <w:tblPr>
        <w:tblLayout w:type="fixed"/>
        <w:tblInd w:w="1100" w:type="dxa"/>
        <w:tblCellMar>
          <w:top w:w="0" w:type="dxa"/>
          <w:left w:w="0" w:type="dxa"/>
          <w:bottom w:w="0" w:type="dxa"/>
          <w:right w:w="0" w:type="dxa"/>
        </w:tblCellMar>
      </w:tblPr>
      <w:tr>
        <w:trPr>
          <w:trHeight w:val="185"/>
        </w:trPr>
        <w:tc>
          <w:tcPr>
            <w:tcW w:w="2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Against</w:t>
            </w: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Abstain</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232"/>
        </w:trPr>
        <w:tc>
          <w:tcPr>
            <w:tcW w:w="2100" w:type="dxa"/>
            <w:vAlign w:val="bottom"/>
            <w:tcBorders>
              <w:top w:val="single" w:sz="8" w:color="auto"/>
            </w:tcBorders>
          </w:tcPr>
          <w:p>
            <w:pPr>
              <w:jc w:val="right"/>
              <w:ind w:right="379"/>
              <w:spacing w:after="0"/>
              <w:rPr>
                <w:sz w:val="20"/>
                <w:szCs w:val="20"/>
                <w:color w:val="auto"/>
              </w:rPr>
            </w:pPr>
            <w:r>
              <w:rPr>
                <w:rFonts w:ascii="Arial" w:cs="Arial" w:eastAsia="Arial" w:hAnsi="Arial"/>
                <w:sz w:val="18"/>
                <w:szCs w:val="18"/>
                <w:color w:val="auto"/>
              </w:rPr>
              <w:t>1,139,540,629</w:t>
            </w:r>
          </w:p>
        </w:tc>
        <w:tc>
          <w:tcPr>
            <w:tcW w:w="140" w:type="dxa"/>
            <w:vAlign w:val="bottom"/>
          </w:tcPr>
          <w:p>
            <w:pPr>
              <w:spacing w:after="0"/>
              <w:rPr>
                <w:sz w:val="20"/>
                <w:szCs w:val="20"/>
                <w:color w:val="auto"/>
              </w:rPr>
            </w:pPr>
          </w:p>
        </w:tc>
        <w:tc>
          <w:tcPr>
            <w:tcW w:w="2100" w:type="dxa"/>
            <w:vAlign w:val="bottom"/>
            <w:tcBorders>
              <w:top w:val="single" w:sz="8" w:color="auto"/>
            </w:tcBorders>
          </w:tcPr>
          <w:p>
            <w:pPr>
              <w:jc w:val="right"/>
              <w:ind w:right="579"/>
              <w:spacing w:after="0"/>
              <w:rPr>
                <w:sz w:val="20"/>
                <w:szCs w:val="20"/>
                <w:color w:val="auto"/>
              </w:rPr>
            </w:pPr>
            <w:r>
              <w:rPr>
                <w:rFonts w:ascii="Arial" w:cs="Arial" w:eastAsia="Arial" w:hAnsi="Arial"/>
                <w:sz w:val="18"/>
                <w:szCs w:val="18"/>
                <w:color w:val="auto"/>
              </w:rPr>
              <w:t>3,183,393</w:t>
            </w:r>
          </w:p>
        </w:tc>
        <w:tc>
          <w:tcPr>
            <w:tcW w:w="80" w:type="dxa"/>
            <w:vAlign w:val="bottom"/>
          </w:tcPr>
          <w:p>
            <w:pPr>
              <w:spacing w:after="0"/>
              <w:rPr>
                <w:sz w:val="20"/>
                <w:szCs w:val="20"/>
                <w:color w:val="auto"/>
              </w:rPr>
            </w:pPr>
          </w:p>
        </w:tc>
        <w:tc>
          <w:tcPr>
            <w:tcW w:w="220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rPr>
              <w:t>2,375,962</w:t>
            </w:r>
          </w:p>
        </w:tc>
        <w:tc>
          <w:tcPr>
            <w:tcW w:w="80" w:type="dxa"/>
            <w:vAlign w:val="bottom"/>
          </w:tcPr>
          <w:p>
            <w:pPr>
              <w:spacing w:after="0"/>
              <w:rPr>
                <w:sz w:val="20"/>
                <w:szCs w:val="20"/>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Item 4—Independent Registered Public Accounting Firm</w:t>
      </w:r>
    </w:p>
    <w:p>
      <w:pPr>
        <w:spacing w:after="0" w:line="102" w:lineRule="exact"/>
        <w:rPr>
          <w:sz w:val="20"/>
          <w:szCs w:val="20"/>
          <w:color w:val="auto"/>
        </w:rPr>
      </w:pPr>
    </w:p>
    <w:p>
      <w:pPr>
        <w:ind w:right="20" w:firstLine="440"/>
        <w:spacing w:after="0" w:line="271" w:lineRule="auto"/>
        <w:rPr>
          <w:sz w:val="20"/>
          <w:szCs w:val="20"/>
          <w:color w:val="auto"/>
        </w:rPr>
      </w:pPr>
      <w:r>
        <w:rPr>
          <w:rFonts w:ascii="Arial" w:cs="Arial" w:eastAsia="Arial" w:hAnsi="Arial"/>
          <w:sz w:val="18"/>
          <w:szCs w:val="18"/>
          <w:color w:val="auto"/>
        </w:rPr>
        <w:t>The proposal to ratify the appointment of PricewaterhouseCoopers LLP as the independent auditors of SLB for 2025, as described in the Definitive Proxy Statement, was approved with approximately 92.4% of the votes cast at the Annual Meeting voting for the proposal.</w:t>
      </w:r>
    </w:p>
    <w:p>
      <w:pPr>
        <w:spacing w:after="0" w:line="190" w:lineRule="exact"/>
        <w:rPr>
          <w:sz w:val="20"/>
          <w:szCs w:val="20"/>
          <w:color w:val="auto"/>
        </w:rPr>
      </w:pPr>
    </w:p>
    <w:tbl>
      <w:tblPr>
        <w:tblLayout w:type="fixed"/>
        <w:tblInd w:w="1100" w:type="dxa"/>
        <w:tblCellMar>
          <w:top w:w="0" w:type="dxa"/>
          <w:left w:w="0" w:type="dxa"/>
          <w:bottom w:w="0" w:type="dxa"/>
          <w:right w:w="0" w:type="dxa"/>
        </w:tblCellMar>
      </w:tblPr>
      <w:tr>
        <w:trPr>
          <w:trHeight w:val="185"/>
        </w:trPr>
        <w:tc>
          <w:tcPr>
            <w:tcW w:w="2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Against</w:t>
            </w: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Abstain</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232"/>
        </w:trPr>
        <w:tc>
          <w:tcPr>
            <w:tcW w:w="2100" w:type="dxa"/>
            <w:vAlign w:val="bottom"/>
            <w:tcBorders>
              <w:top w:val="single" w:sz="8" w:color="auto"/>
            </w:tcBorders>
          </w:tcPr>
          <w:p>
            <w:pPr>
              <w:jc w:val="right"/>
              <w:ind w:right="379"/>
              <w:spacing w:after="0"/>
              <w:rPr>
                <w:sz w:val="20"/>
                <w:szCs w:val="20"/>
                <w:color w:val="auto"/>
              </w:rPr>
            </w:pPr>
            <w:r>
              <w:rPr>
                <w:rFonts w:ascii="Arial" w:cs="Arial" w:eastAsia="Arial" w:hAnsi="Arial"/>
                <w:sz w:val="18"/>
                <w:szCs w:val="18"/>
                <w:color w:val="auto"/>
              </w:rPr>
              <w:t>1,057,094,979</w:t>
            </w:r>
          </w:p>
        </w:tc>
        <w:tc>
          <w:tcPr>
            <w:tcW w:w="140" w:type="dxa"/>
            <w:vAlign w:val="bottom"/>
          </w:tcPr>
          <w:p>
            <w:pPr>
              <w:spacing w:after="0"/>
              <w:rPr>
                <w:sz w:val="20"/>
                <w:szCs w:val="20"/>
                <w:color w:val="auto"/>
              </w:rPr>
            </w:pPr>
          </w:p>
        </w:tc>
        <w:tc>
          <w:tcPr>
            <w:tcW w:w="2100" w:type="dxa"/>
            <w:vAlign w:val="bottom"/>
            <w:tcBorders>
              <w:top w:val="single" w:sz="8" w:color="auto"/>
            </w:tcBorders>
          </w:tcPr>
          <w:p>
            <w:pPr>
              <w:jc w:val="right"/>
              <w:ind w:right="519"/>
              <w:spacing w:after="0"/>
              <w:rPr>
                <w:sz w:val="20"/>
                <w:szCs w:val="20"/>
                <w:color w:val="auto"/>
              </w:rPr>
            </w:pPr>
            <w:r>
              <w:rPr>
                <w:rFonts w:ascii="Arial" w:cs="Arial" w:eastAsia="Arial" w:hAnsi="Arial"/>
                <w:sz w:val="18"/>
                <w:szCs w:val="18"/>
                <w:color w:val="auto"/>
              </w:rPr>
              <w:t>86,547,166</w:t>
            </w:r>
          </w:p>
        </w:tc>
        <w:tc>
          <w:tcPr>
            <w:tcW w:w="80" w:type="dxa"/>
            <w:vAlign w:val="bottom"/>
          </w:tcPr>
          <w:p>
            <w:pPr>
              <w:spacing w:after="0"/>
              <w:rPr>
                <w:sz w:val="20"/>
                <w:szCs w:val="20"/>
                <w:color w:val="auto"/>
              </w:rPr>
            </w:pPr>
          </w:p>
        </w:tc>
        <w:tc>
          <w:tcPr>
            <w:tcW w:w="220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rPr>
              <w:t>1,457,840</w:t>
            </w:r>
          </w:p>
        </w:tc>
        <w:tc>
          <w:tcPr>
            <w:tcW w:w="80" w:type="dxa"/>
            <w:vAlign w:val="bottom"/>
          </w:tcPr>
          <w:p>
            <w:pPr>
              <w:spacing w:after="0"/>
              <w:rPr>
                <w:sz w:val="20"/>
                <w:szCs w:val="20"/>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5—Discounted Stock Purchase Plan</w:t>
      </w:r>
    </w:p>
    <w:p>
      <w:pPr>
        <w:spacing w:after="0" w:line="10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The proposal to approve the amendment and restatement of the SLB Discounted Stock Purchase Plan, as described in the Definitive Proxy Statement, was approved with approximately 99.5% of the votes cast at the Annual Meeting voting for the proposal.</w:t>
      </w:r>
    </w:p>
    <w:p>
      <w:pPr>
        <w:spacing w:after="0" w:line="190" w:lineRule="exact"/>
        <w:rPr>
          <w:sz w:val="20"/>
          <w:szCs w:val="20"/>
          <w:color w:val="auto"/>
        </w:rPr>
      </w:pPr>
    </w:p>
    <w:tbl>
      <w:tblPr>
        <w:tblLayout w:type="fixed"/>
        <w:tblInd w:w="1100" w:type="dxa"/>
        <w:tblCellMar>
          <w:top w:w="0" w:type="dxa"/>
          <w:left w:w="0" w:type="dxa"/>
          <w:bottom w:w="0" w:type="dxa"/>
          <w:right w:w="0" w:type="dxa"/>
        </w:tblCellMar>
      </w:tblPr>
      <w:tr>
        <w:trPr>
          <w:trHeight w:val="185"/>
        </w:trPr>
        <w:tc>
          <w:tcPr>
            <w:tcW w:w="2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Against</w:t>
            </w: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Abstain</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232"/>
        </w:trPr>
        <w:tc>
          <w:tcPr>
            <w:tcW w:w="2100" w:type="dxa"/>
            <w:vAlign w:val="bottom"/>
            <w:tcBorders>
              <w:top w:val="single" w:sz="8" w:color="auto"/>
            </w:tcBorders>
          </w:tcPr>
          <w:p>
            <w:pPr>
              <w:jc w:val="right"/>
              <w:ind w:right="379"/>
              <w:spacing w:after="0"/>
              <w:rPr>
                <w:sz w:val="20"/>
                <w:szCs w:val="20"/>
                <w:color w:val="auto"/>
              </w:rPr>
            </w:pPr>
            <w:r>
              <w:rPr>
                <w:rFonts w:ascii="Arial" w:cs="Arial" w:eastAsia="Arial" w:hAnsi="Arial"/>
                <w:sz w:val="18"/>
                <w:szCs w:val="18"/>
                <w:color w:val="auto"/>
              </w:rPr>
              <w:t>1,005,888,202</w:t>
            </w:r>
          </w:p>
        </w:tc>
        <w:tc>
          <w:tcPr>
            <w:tcW w:w="140" w:type="dxa"/>
            <w:vAlign w:val="bottom"/>
          </w:tcPr>
          <w:p>
            <w:pPr>
              <w:spacing w:after="0"/>
              <w:rPr>
                <w:sz w:val="20"/>
                <w:szCs w:val="20"/>
                <w:color w:val="auto"/>
              </w:rPr>
            </w:pPr>
          </w:p>
        </w:tc>
        <w:tc>
          <w:tcPr>
            <w:tcW w:w="2100" w:type="dxa"/>
            <w:vAlign w:val="bottom"/>
            <w:tcBorders>
              <w:top w:val="single" w:sz="8" w:color="auto"/>
            </w:tcBorders>
          </w:tcPr>
          <w:p>
            <w:pPr>
              <w:jc w:val="right"/>
              <w:ind w:right="579"/>
              <w:spacing w:after="0"/>
              <w:rPr>
                <w:sz w:val="20"/>
                <w:szCs w:val="20"/>
                <w:color w:val="auto"/>
              </w:rPr>
            </w:pPr>
            <w:r>
              <w:rPr>
                <w:rFonts w:ascii="Arial" w:cs="Arial" w:eastAsia="Arial" w:hAnsi="Arial"/>
                <w:sz w:val="18"/>
                <w:szCs w:val="18"/>
                <w:color w:val="auto"/>
              </w:rPr>
              <w:t>5,290,462</w:t>
            </w:r>
          </w:p>
        </w:tc>
        <w:tc>
          <w:tcPr>
            <w:tcW w:w="80" w:type="dxa"/>
            <w:vAlign w:val="bottom"/>
          </w:tcPr>
          <w:p>
            <w:pPr>
              <w:spacing w:after="0"/>
              <w:rPr>
                <w:sz w:val="20"/>
                <w:szCs w:val="20"/>
                <w:color w:val="auto"/>
              </w:rPr>
            </w:pPr>
          </w:p>
        </w:tc>
        <w:tc>
          <w:tcPr>
            <w:tcW w:w="220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rPr>
              <w:t>1,723,728</w:t>
            </w:r>
          </w:p>
        </w:tc>
        <w:tc>
          <w:tcPr>
            <w:tcW w:w="80" w:type="dxa"/>
            <w:vAlign w:val="bottom"/>
          </w:tcPr>
          <w:p>
            <w:pPr>
              <w:spacing w:after="0"/>
              <w:rPr>
                <w:sz w:val="20"/>
                <w:szCs w:val="20"/>
                <w:color w:val="auto"/>
              </w:rPr>
            </w:pPr>
          </w:p>
        </w:tc>
        <w:tc>
          <w:tcPr>
            <w:tcW w:w="2100" w:type="dxa"/>
            <w:vAlign w:val="bottom"/>
            <w:tcBorders>
              <w:top w:val="single" w:sz="8" w:color="auto"/>
            </w:tcBorders>
          </w:tcPr>
          <w:p>
            <w:pPr>
              <w:jc w:val="right"/>
              <w:ind w:right="459"/>
              <w:spacing w:after="0"/>
              <w:rPr>
                <w:sz w:val="20"/>
                <w:szCs w:val="20"/>
                <w:color w:val="auto"/>
              </w:rPr>
            </w:pPr>
            <w:r>
              <w:rPr>
                <w:rFonts w:ascii="Arial" w:cs="Arial" w:eastAsia="Arial" w:hAnsi="Arial"/>
                <w:sz w:val="18"/>
                <w:szCs w:val="18"/>
                <w:color w:val="auto"/>
              </w:rPr>
              <w:t>132,197,593</w:t>
            </w:r>
          </w:p>
        </w:tc>
      </w:tr>
    </w:tbl>
    <w:p>
      <w:pPr>
        <w:sectPr>
          <w:pgSz w:w="11900" w:h="16838" w:orient="portrait"/>
          <w:cols w:equalWidth="0" w:num="1">
            <w:col w:w="11000"/>
          </w:cols>
          <w:pgMar w:left="440" w:top="306" w:right="45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2025</w:t>
      </w:r>
    </w:p>
    <w:sectPr>
      <w:pgSz w:w="11900" w:h="16838" w:orient="portrait"/>
      <w:cols w:equalWidth="0" w:num="1">
        <w:col w:w="10840"/>
      </w:cols>
      <w:pgMar w:left="440" w:top="29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2025-04-02T15:10:13Z</dcterms:created>
  <dcterms:modified xsi:type="dcterms:W3CDTF">2025-04-02T15:10:13Z</dcterms:modified>
</cp:coreProperties>
</file>