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Schlumberger N.V.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ChampionX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Filers SEC File No.: 001-38441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5809615</wp:posOffset>
            </wp:positionH>
            <wp:positionV relativeFrom="paragraph">
              <wp:posOffset>160020</wp:posOffset>
            </wp:positionV>
            <wp:extent cx="1183005"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 Provides Update on Planned Acquisition of ChampionX</w:t>
      </w:r>
    </w:p>
    <w:p>
      <w:pPr>
        <w:spacing w:after="0" w:line="225" w:lineRule="exact"/>
        <w:rPr>
          <w:sz w:val="24"/>
          <w:szCs w:val="24"/>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HOUSTON, February 25, 2025—</w:t>
      </w:r>
      <w:r>
        <w:rPr>
          <w:rFonts w:ascii="Times New Roman" w:cs="Times New Roman" w:eastAsia="Times New Roman" w:hAnsi="Times New Roman"/>
          <w:sz w:val="18"/>
          <w:szCs w:val="18"/>
          <w:color w:val="auto"/>
        </w:rPr>
        <w:t>SLB (NYSE: SLB) today announced that, in connection with SLB’s planned acquisition of ChampionX,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waiting periods under the U.S. Hart-Scott-Rodino (HSR) Antitrust Improvements Act of 1976 have expired, and SLB is legally permitted to close the ChampionX transaction in the United States.</w:t>
      </w:r>
    </w:p>
    <w:p>
      <w:pPr>
        <w:spacing w:after="0" w:line="175" w:lineRule="exact"/>
        <w:rPr>
          <w:sz w:val="24"/>
          <w:szCs w:val="24"/>
          <w:color w:val="auto"/>
        </w:rPr>
      </w:pPr>
    </w:p>
    <w:p>
      <w:pPr>
        <w:jc w:val="both"/>
        <w:ind w:right="360"/>
        <w:spacing w:after="0" w:line="289" w:lineRule="auto"/>
        <w:rPr>
          <w:sz w:val="20"/>
          <w:szCs w:val="20"/>
          <w:color w:val="auto"/>
        </w:rPr>
      </w:pPr>
      <w:r>
        <w:rPr>
          <w:rFonts w:ascii="Times New Roman" w:cs="Times New Roman" w:eastAsia="Times New Roman" w:hAnsi="Times New Roman"/>
          <w:sz w:val="17"/>
          <w:szCs w:val="17"/>
          <w:color w:val="auto"/>
        </w:rPr>
        <w:t>In conjunction with the HSR review, SLB and ChampionX have reached a definitive agreement, conditioned on the closing of SLB’s acquisition of ChampionX as well as other customary closing conditions, to sell all of ChampionX’s equity interests in US Synthetic Corporation (USS) to a third-party buyer. SLB will retain its MegaDiamond business to provide polycrystalline diamond compact cutters for drill bits and other industrial uses.</w:t>
      </w:r>
    </w:p>
    <w:p>
      <w:pPr>
        <w:spacing w:after="0" w:line="158"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ChampionX transaction remains subject to antitrust review in other jurisdictions. In Norway, the Norwegian Competition Authority has notified the parties that it intends to continue its assessment of the ChampionX transaction via a Phase II review. As a result, SLB now expects the transaction to close by the end of the first quarter or early in the second quarter of 2025.</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SLB</w:t>
      </w:r>
    </w:p>
    <w:p>
      <w:pPr>
        <w:spacing w:after="0" w:line="121" w:lineRule="exact"/>
        <w:rPr>
          <w:sz w:val="24"/>
          <w:szCs w:val="24"/>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ChampionX</w:t>
      </w:r>
    </w:p>
    <w:p>
      <w:pPr>
        <w:spacing w:after="0" w:line="121"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ChampionX Corporation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provide enhanced oil and gas production, transportation, and real-time emissions monitoring throughout the lifecycle of a well. To learn more about ChampionX, visit our website at www.championX.com.</w:t>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Media</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Investors</w:t>
      </w:r>
    </w:p>
    <w:p>
      <w:pPr>
        <w:spacing w:after="0" w:line="21" w:lineRule="exact"/>
        <w:rPr>
          <w:sz w:val="24"/>
          <w:szCs w:val="24"/>
          <w:color w:val="auto"/>
        </w:rPr>
      </w:pPr>
    </w:p>
    <w:p>
      <w:pPr>
        <w:sectPr>
          <w:pgSz w:w="11900" w:h="16838" w:orient="portrait"/>
          <w:cols w:equalWidth="0" w:num="2">
            <w:col w:w="5020" w:space="720"/>
            <w:col w:w="528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Josh Byerly – SVP of Communications, SLB</w:t>
      </w:r>
    </w:p>
    <w:p>
      <w:pPr>
        <w:spacing w:after="0"/>
        <w:rPr>
          <w:sz w:val="20"/>
          <w:szCs w:val="20"/>
          <w:color w:val="auto"/>
        </w:rPr>
      </w:pPr>
      <w:r>
        <w:rPr>
          <w:rFonts w:ascii="Times New Roman" w:cs="Times New Roman" w:eastAsia="Times New Roman" w:hAnsi="Times New Roman"/>
          <w:sz w:val="17"/>
          <w:szCs w:val="17"/>
          <w:color w:val="auto"/>
        </w:rPr>
        <w:t>Moira Duff – Director of External Communications, SLB</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Tel: +1 (713) 375-3407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Email: media@slb.com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James R. McDonald – SVP, Investor Relations &amp; Industry Affairs, SLB</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Joy V. Domingo – Director of Investor Relations, SLB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Tel: +1 (713) 375-3535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investor-relations@slb.com</w:t>
      </w:r>
    </w:p>
    <w:p>
      <w:pPr>
        <w:spacing w:after="0" w:line="200" w:lineRule="exact"/>
        <w:rPr>
          <w:sz w:val="24"/>
          <w:szCs w:val="24"/>
          <w:color w:val="auto"/>
        </w:rPr>
      </w:pPr>
    </w:p>
    <w:p>
      <w:pPr>
        <w:sectPr>
          <w:pgSz w:w="11900" w:h="16838" w:orient="portrait"/>
          <w:cols w:equalWidth="0" w:num="2">
            <w:col w:w="5020" w:space="720"/>
            <w:col w:w="5280"/>
          </w:cols>
          <w:pgMar w:left="440" w:top="225" w:right="4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Slb.com/newsroom</w:t>
      </w:r>
    </w:p>
    <w:p>
      <w:pPr>
        <w:sectPr>
          <w:pgSz w:w="11900" w:h="16838" w:orient="portrait"/>
          <w:cols w:equalWidth="0" w:num="1">
            <w:col w:w="11020"/>
          </w:cols>
          <w:pgMar w:left="440" w:top="225" w:right="439" w:bottom="1440" w:gutter="0" w:footer="0" w:header="0"/>
          <w:type w:val="continuous"/>
        </w:sectPr>
      </w:pPr>
    </w:p>
    <w:bookmarkStart w:id="1" w:name="page2"/>
    <w:bookmarkEnd w:id="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2024, as filed with the SEC on January 22, 2025, and Part 1, “Item 1A. Risk Factors” in ChampionX’s Annual Report on Form 10-K for the year ended December 31, 2024 filed with the SEC on February 5, 2025, and each of their respective, subsequent Quarterly Reports on Form 10-Q and Current Reports on Form 8-K.</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are included in the Form S-4 and proxy statement/prospectus that have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with ChampionX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w:t>
      </w:r>
    </w:p>
    <w:p>
      <w:pPr>
        <w:spacing w:after="0" w:line="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and 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Slb.com/newsroom</w:t>
      </w:r>
    </w:p>
    <w:p>
      <w:pPr>
        <w:sectPr>
          <w:pgSz w:w="11900" w:h="16838" w:orient="portrait"/>
          <w:cols w:equalWidth="0" w:num="1">
            <w:col w:w="11000"/>
          </w:cols>
          <w:pgMar w:left="440" w:top="270"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Slb.com/newsroom</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2025-02-25T15:54:04Z</dcterms:created>
  <dcterms:modified xsi:type="dcterms:W3CDTF">2025-02-25T15:54:04Z</dcterms:modified>
</cp:coreProperties>
</file>