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208280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3784"/>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ind w:left="3724"/>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18" w:lineRule="exact"/>
        <w:rPr>
          <w:sz w:val="24"/>
          <w:szCs w:val="24"/>
          <w:color w:val="auto"/>
        </w:rPr>
      </w:pPr>
    </w:p>
    <w:p>
      <w:pPr>
        <w:ind w:left="3224"/>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50" w:lineRule="exact"/>
        <w:rPr>
          <w:sz w:val="24"/>
          <w:szCs w:val="24"/>
          <w:color w:val="auto"/>
        </w:rPr>
      </w:pPr>
    </w:p>
    <w:p>
      <w:pPr>
        <w:ind w:left="3484"/>
        <w:spacing w:after="0"/>
        <w:rPr>
          <w:sz w:val="20"/>
          <w:szCs w:val="20"/>
          <w:color w:val="auto"/>
        </w:rPr>
      </w:pPr>
      <w:r>
        <w:rPr>
          <w:rFonts w:ascii="Arial" w:cs="Arial" w:eastAsia="Arial" w:hAnsi="Arial"/>
          <w:sz w:val="17"/>
          <w:szCs w:val="17"/>
          <w:b w:val="1"/>
          <w:bCs w:val="1"/>
          <w:color w:val="auto"/>
        </w:rPr>
        <w:t>Parkstraat 83, The Hague, The Netherlands 2514 JG</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9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The Fourth-Quarter and Full-Year 2021 Earnings Release furnished as Exhibit 99 hereto, which is incorporated by reference into this Item 2.02, was posted on the Schlumberger internet website (</w:t>
      </w:r>
      <w:r>
        <w:rPr>
          <w:rFonts w:ascii="Arial" w:cs="Arial" w:eastAsia="Arial" w:hAnsi="Arial"/>
          <w:sz w:val="16"/>
          <w:szCs w:val="16"/>
          <w:u w:val="single" w:color="auto"/>
          <w:color w:val="auto"/>
        </w:rPr>
        <w:t>https://www.slb.com/newsroom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https://investorcenter.slb.com/financial-information/quarterly-results</w:t>
      </w:r>
      <w:r>
        <w:rPr>
          <w:rFonts w:ascii="Arial" w:cs="Arial" w:eastAsia="Arial" w:hAnsi="Arial"/>
          <w:sz w:val="16"/>
          <w:szCs w:val="16"/>
          <w:color w:val="auto"/>
        </w:rPr>
        <w:t>) on January 21, 2022.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265" w:lineRule="exact"/>
        <w:rPr>
          <w:sz w:val="20"/>
          <w:szCs w:val="20"/>
          <w:color w:val="auto"/>
        </w:rPr>
      </w:pPr>
    </w:p>
    <w:p>
      <w:pPr>
        <w:ind w:left="4"/>
        <w:spacing w:after="0"/>
        <w:tabs>
          <w:tab w:leader="none" w:pos="92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On January 21, 2022,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ind w:left="4"/>
        <w:spacing w:after="0"/>
        <w:tabs>
          <w:tab w:leader="none" w:pos="92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684" w:hanging="684"/>
        <w:spacing w:after="0"/>
        <w:tabs>
          <w:tab w:leader="none" w:pos="684"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Fourth-Quarter and Full-Year 2021 Earnings Release.</w:t>
        </w:r>
      </w:hyperlink>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44"/>
          </w:cols>
          <w:pgMar w:left="436" w:top="297" w:right="6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21, 2022</w:t>
      </w:r>
    </w:p>
    <w:p>
      <w:pPr>
        <w:sectPr>
          <w:pgSz w:w="11900" w:h="16838" w:orient="portrait"/>
          <w:cols w:equalWidth="0" w:num="1">
            <w:col w:w="10840"/>
          </w:cols>
          <w:pgMar w:left="440" w:top="297"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171450</wp:posOffset>
            </wp:positionV>
            <wp:extent cx="133731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3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Schlumberger Announces Fourth-Quarter and Full-Year 2021 Results</w:t>
      </w:r>
    </w:p>
    <w:p>
      <w:pPr>
        <w:spacing w:after="0" w:line="135"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revenue of $6.22 billion increased 6% sequentially and 13% year-on-year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GAAP EPS of $0.42 increased 8% sequentially and 56% year-on-year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EPS, excluding charges and credits, of $0.41 increased 14% sequentially and 86% year-on-year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cash flow from operations was $1.93 billion and free cash flow was $1.30 billion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$0.125 per share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revenue was $22.9 billion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GAAP EPS was $1.32</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EPS, excluding charges and credits, was $1.28</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cash flow from operations was $4.65 billion and free cash flow was $3.00 billion</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January 21, 2022—</w:t>
      </w:r>
      <w:r>
        <w:rPr>
          <w:rFonts w:ascii="Arial" w:cs="Arial" w:eastAsia="Arial" w:hAnsi="Arial"/>
          <w:sz w:val="18"/>
          <w:szCs w:val="18"/>
          <w:color w:val="auto"/>
        </w:rPr>
        <w:t>Schlumberger Limited (NYSE: SLB) today reported results for the fourth-quarter and full-year 2021.</w:t>
      </w:r>
    </w:p>
    <w:p>
      <w:pPr>
        <w:spacing w:after="0" w:line="24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040" w:type="dxa"/>
            <w:vAlign w:val="bottom"/>
          </w:tcPr>
          <w:p>
            <w:pPr>
              <w:spacing w:after="0"/>
              <w:rPr>
                <w:sz w:val="20"/>
                <w:szCs w:val="20"/>
                <w:color w:val="auto"/>
              </w:rPr>
            </w:pPr>
            <w:r>
              <w:rPr>
                <w:rFonts w:ascii="Arial" w:cs="Arial" w:eastAsia="Arial" w:hAnsi="Arial"/>
                <w:sz w:val="14"/>
                <w:szCs w:val="14"/>
                <w:b w:val="1"/>
                <w:bCs w:val="1"/>
                <w:color w:val="auto"/>
              </w:rPr>
              <w:t>Fourth-Quarter Results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2021</w:t>
            </w: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color w:val="auto"/>
                <w:w w:val="87"/>
              </w:rPr>
              <w:t>Sept. 30, 2021</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9"/>
              </w:rPr>
              <w:t>Dec. 31, 2020</w:t>
            </w:r>
          </w:p>
        </w:tc>
        <w:tc>
          <w:tcPr>
            <w:tcW w:w="50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6,225</w:t>
            </w:r>
          </w:p>
        </w:tc>
        <w:tc>
          <w:tcPr>
            <w:tcW w:w="2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3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50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Income before taxes - GAAP basis</w:t>
            </w:r>
          </w:p>
        </w:tc>
        <w:tc>
          <w:tcPr>
            <w:tcW w:w="110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755</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691</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471</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 GAAP basis</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601</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374</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Diluted EPS - GAAP basis</w:t>
            </w:r>
          </w:p>
        </w:tc>
        <w:tc>
          <w:tcPr>
            <w:tcW w:w="110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0.42</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0.39</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0.27</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Adjusted EBIT DA**</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1,381</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1,296</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1,112</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Arial" w:cs="Arial" w:eastAsia="Arial" w:hAnsi="Arial"/>
                <w:sz w:val="18"/>
                <w:szCs w:val="18"/>
                <w:color w:val="auto"/>
              </w:rPr>
              <w:t>Adjusted EBIT DA margin**</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20.1%</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2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208 bps</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986</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908</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654</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Pretax segment operating margin**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11.8%</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31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401 bps</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587</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309</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color w:val="auto"/>
              </w:rPr>
              <w:t>Diluted EPS, excluding charges &amp; credits**</w:t>
            </w:r>
          </w:p>
        </w:tc>
        <w:tc>
          <w:tcPr>
            <w:tcW w:w="110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0.41</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0.36</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0.22</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90"/>
        </w:trPr>
        <w:tc>
          <w:tcPr>
            <w:tcW w:w="40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by Geography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International</w:t>
            </w:r>
          </w:p>
        </w:tc>
        <w:tc>
          <w:tcPr>
            <w:tcW w:w="110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4,898</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4,675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4,343</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1,281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1,167</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6,225</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5,847</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5,532</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Schlumberger divested certain businesses in North America during the fourth quarter of 2020. These businesses generated revenue of $284 million</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6"/>
          <w:szCs w:val="16"/>
          <w:color w:val="auto"/>
        </w:rPr>
        <w:t>during the fourth quarter of 2020. Excluding the impact of these divestitures, global fourth-quarter 2021 revenue increased 19% year-on-year.</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North America fourth-quarter 2021 revenue, excluding the impact of these divestitures, increased 45% year-on-year.</w:t>
      </w:r>
    </w:p>
    <w:p>
      <w:pPr>
        <w:spacing w:after="0" w:line="9"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These are non-GAAP financial measures. See sections titled “Charges &amp; Credits”, “Divisions”, and “Supplemental Information” for details.</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2021</w:t>
            </w: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color w:val="auto"/>
                <w:w w:val="87"/>
              </w:rPr>
              <w:t>Sept. 30, 2021</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9"/>
              </w:rPr>
              <w:t>Dec. 31, 2020</w:t>
            </w:r>
          </w:p>
        </w:tc>
        <w:tc>
          <w:tcPr>
            <w:tcW w:w="50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by Division</w:t>
            </w: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1260" w:type="dxa"/>
            <w:vAlign w:val="bottom"/>
            <w:gridSpan w:val="2"/>
          </w:tcPr>
          <w:p>
            <w:pPr>
              <w:ind w:left="10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889</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812</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832</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1,287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1,247</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Well Construction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2,388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1,868</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1,765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1,649</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6,225</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5,847</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5,532</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335</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269</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Reservoir Performance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200</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95</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368</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Production Systems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159</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155</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11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986</w:t>
            </w:r>
          </w:p>
        </w:tc>
        <w:tc>
          <w:tcPr>
            <w:tcW w:w="2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908</w:t>
            </w:r>
          </w:p>
        </w:tc>
        <w:tc>
          <w:tcPr>
            <w:tcW w:w="3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654</w:t>
            </w:r>
          </w:p>
        </w:tc>
        <w:tc>
          <w:tcPr>
            <w:tcW w:w="500" w:type="dxa"/>
            <w:vAlign w:val="bottom"/>
            <w:vMerge w:val="continue"/>
          </w:tcPr>
          <w:p>
            <w:pPr>
              <w:spacing w:after="0"/>
              <w:rPr>
                <w:sz w:val="19"/>
                <w:szCs w:val="19"/>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 by Division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w w:val="92"/>
              </w:rPr>
              <w:t>268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537 bps</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11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w w:val="98"/>
              </w:rPr>
              <w:t>-43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 bps</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Well Construction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20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559 bps</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11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w w:val="98"/>
              </w:rPr>
              <w:t>-85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 bps</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n/m</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11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31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 bps</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300" w:hanging="424"/>
        <w:spacing w:after="0" w:line="25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Schlumberger divested its OneStim</w:t>
      </w:r>
      <w:r>
        <w:rPr>
          <w:rFonts w:ascii="Arial" w:cs="Arial" w:eastAsia="Arial" w:hAnsi="Arial"/>
          <w:sz w:val="15"/>
          <w:szCs w:val="15"/>
          <w:color w:val="auto"/>
        </w:rPr>
        <w:t>®</w:t>
      </w:r>
      <w:r>
        <w:rPr>
          <w:rFonts w:ascii="Arial" w:cs="Arial" w:eastAsia="Arial" w:hAnsi="Arial"/>
          <w:sz w:val="18"/>
          <w:szCs w:val="18"/>
          <w:color w:val="auto"/>
        </w:rPr>
        <w:t xml:space="preserve"> pressure pumping business in North America during the fourth quarter of 2020. This business generated revenue of $274 million during the fourth quarter of 2020. Excluding the impact of this divestiture, Reservoir Performance fourth-quarter 2021 revenue increased 32% year-on-year.</w:t>
      </w:r>
    </w:p>
    <w:p>
      <w:pPr>
        <w:spacing w:after="0" w:line="3" w:lineRule="exact"/>
        <w:rPr>
          <w:sz w:val="20"/>
          <w:szCs w:val="20"/>
          <w:color w:val="auto"/>
        </w:rPr>
      </w:pPr>
    </w:p>
    <w:p>
      <w:pPr>
        <w:jc w:val="both"/>
        <w:ind w:left="424" w:right="100" w:hanging="424"/>
        <w:spacing w:after="0" w:line="255"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Schlumberger divested its low-flow artificial lift business in North America during the fourth quarter of 2020. This business generated revenue of $11 million during the fourth quarter of 2020. Excluding the impact of this divestiture, Production Systems fourth-quarter 2021 revenue increased 8% year-on-year.</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Schlumberger CEO Olivier Le Peuch commented, “Strengthening activity, accelerating digital sales, and outstanding free cash flow performance combined to deliver another quarter of remarkable financial results to close the year with great momentum.</w:t>
      </w:r>
    </w:p>
    <w:p>
      <w:pPr>
        <w:spacing w:after="0" w:line="170"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“In retrospect, we started 2021 with a constructive outlook and an ambition to visibly expand margins and deliver robust free cash flow, while remaining focused on capital discipline.</w:t>
      </w:r>
    </w:p>
    <w:p>
      <w:pPr>
        <w:spacing w:after="0" w:line="170" w:lineRule="exact"/>
        <w:rPr>
          <w:sz w:val="20"/>
          <w:szCs w:val="20"/>
          <w:color w:val="auto"/>
        </w:rPr>
      </w:pPr>
    </w:p>
    <w:p>
      <w:pPr>
        <w:ind w:left="4" w:right="180"/>
        <w:spacing w:after="0" w:line="311" w:lineRule="auto"/>
        <w:rPr>
          <w:sz w:val="20"/>
          <w:szCs w:val="20"/>
          <w:color w:val="auto"/>
        </w:rPr>
      </w:pPr>
      <w:r>
        <w:rPr>
          <w:rFonts w:ascii="Arial" w:cs="Arial" w:eastAsia="Arial" w:hAnsi="Arial"/>
          <w:sz w:val="16"/>
          <w:szCs w:val="16"/>
          <w:color w:val="auto"/>
        </w:rPr>
        <w:t>“In fact, we concluded the year with 88% growth in EPS, excluding charges and credits; adjusted EBITDA margin of 21.5%; and $3.0 billion in free cash flow. The adjusted EBITDA margin—which represents a year-on-year expansion of 320 basis points (bps)—is the highest level since 2018. We restored our North America pretax operating margin to double-digits and expanded our international margin, both exceeding prepandemic 2019 levels.</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53" w:right="439" w:bottom="1440" w:gutter="0" w:footer="0" w:header="0"/>
        </w:sectPr>
      </w:pPr>
    </w:p>
    <w:bookmarkStart w:id="5" w:name="page6"/>
    <w:bookmarkEnd w:id="5"/>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was also a momentous year for us in terms of our commitment to sustainability. We announced our comprehensive 2050 net-zero commitment, inclusive of Scope 3 emissions, and launched our Transition Technology portfolio.</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 am extremely proud of the full-year results, as we operationalized our returns-focused strategy and surpassed our financial ambitions with resounding success.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“Turning to the fourth-quarter results, sequential revenue growth was broad based across all geographies and Divisions, led by Digital &amp; Integration.</w:t>
      </w:r>
    </w:p>
    <w:p>
      <w:pPr>
        <w:spacing w:after="0" w:line="248"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“International revenue of $4.90 billion grew 5% sequentially, driven primarily by strengthening activity, increased digital sales, and early benefits of pricing improvements. The sequential revenue increase was led by growth in Europe/CIS/Africa due to strong offshore activity in Africa and new projects in Europe. This growth was complemented by project startups and activity gains in the Middle East &amp; Asia and sustained activity growth in Latin America. The fourth-quarter international revenue performance represents a 13% year-on-year increase, enabling us to accomplish our double-digit revenue growth ambition for the second half of 2021 when compared to the same period in 2020.</w:t>
      </w:r>
    </w:p>
    <w:p>
      <w:pPr>
        <w:spacing w:after="0" w:line="1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North America, revenue of $1.28 billion grew 13% sequentially, outperforming the rig count growth. The sequential growth was driven by strong offshore and land drilling activity and increased exploration data licensing in the US Gulf of Mexico and the Permian.</w:t>
      </w:r>
    </w:p>
    <w:p>
      <w:pPr>
        <w:spacing w:after="0" w:line="17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“Among the Divisions, Digital &amp; Integration revenue increased 10% sequentially, driven by very strong digital sales, as the adoption of our digital offering continues to accelerate, and from increased exploration data licensing sales. Reservoir Performance revenue increased 8% sequentially from higher intervention activity in Latin America, new stimulation projects and activity gains in the Middle East &amp; Asia, and increased offshore evaluation activity in North America. Well Construction revenue increased 5% due to higher land and offshore drilling activity both in North America and internationally. Similarly, Production Systems revenue grew 5% sequentially from new offshore projects and year-end sales.</w:t>
      </w:r>
    </w:p>
    <w:p>
      <w:pPr>
        <w:spacing w:after="0" w:line="16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“Overall, our fourth-quarter pretax segment operating income increased 9% sequentially, attaining the highest quarterly operating margin level since 2015. Contributing to this remarkable performance are the accretive effect of accelerating digital sales and early signs of pricing improvements, particularly when driven by new technology adoption and performance differentiation.</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“Looking ahead into 2022, the industry macro fundamentals are very favorable, due to the combination of projected steady demand recovery, an increasingly tight supply market, and supportive oil prices. We believe this will result in a material step up in industry capital spending with simultaneous double-digit growth in international and North American markets. Absent any further COVID-related disruption, oil demand is expected to exceed prepandemic levels before the end of the year and to further strengthen in 2023. These favorable market conditions are strikingly similar to those experienced during the last industry supercycle, suggesting that resurgent global demand-led capital spending will result in an exceptional multiyear growth cycle.</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is well prepared to fully seize this growth ahead of us. We have entered this cycle in a position of strength, having reset our operating leverage, expanded peer-leading margins across multiple quarters, and aligned our technology and business portfolio with the new industry imperatives. Throughout 2021, we continued to strengthen our core portfolio, enhanced our sustainability leadership, successfully advanced our digital journey, and expanded our new energy portfolio.</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combination of our performance and returns-focused strategy is resulting in enduring customer success and higher earnings. As such, we have increased confidence in reaching our midcycle adjusted EBITDA margin ambition earlier than anticipated and sustaining our financial outperformance. I am truly excited about this year and the outlook for Schlumberger—rooted in capital discipline and superior returns while also continuing to lead technology, digital, and clean energy innovation—to enable performance and sustainability for the global energy industry.”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Events</w:t>
      </w:r>
    </w:p>
    <w:p>
      <w:pPr>
        <w:spacing w:after="0" w:line="121"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On November 30, 2021, Schlumberger deposited sufficient funds with the trustee for its $1.0 billion of 2.40% Senior Notes due May 2022 to satisfy and discharge all of its legal obligations relating to such notes.</w:t>
      </w:r>
    </w:p>
    <w:p>
      <w:pPr>
        <w:spacing w:after="0" w:line="17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On January 20, 2022, Schlumberger’s Board of Directors approved a quarterly cash dividend of $0.125 per share of outstanding common stock, payable on April 7, 2022 to stockholders of record on February 9, 2022.</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Fourth-Quarter Revenue by Geographical Area</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Dec. 31, 2021</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color w:val="auto"/>
                <w:w w:val="87"/>
              </w:rPr>
              <w:t>Sept. 30, 2021</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Dec . 31, 2020</w:t>
            </w:r>
          </w:p>
        </w:tc>
        <w:tc>
          <w:tcPr>
            <w:tcW w:w="4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w w:val="87"/>
              </w:rPr>
              <w:t>Sequential</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1,281</w:t>
            </w:r>
          </w:p>
        </w:tc>
        <w:tc>
          <w:tcPr>
            <w:tcW w:w="1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1,129</w:t>
            </w:r>
          </w:p>
        </w:tc>
        <w:tc>
          <w:tcPr>
            <w:tcW w:w="3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4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0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969</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1,587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Middle East &amp; Asia</w:t>
            </w: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2,008</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n/m</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6,225</w:t>
            </w:r>
          </w:p>
        </w:tc>
        <w:tc>
          <w:tcPr>
            <w:tcW w:w="1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5,847</w:t>
            </w:r>
          </w:p>
        </w:tc>
        <w:tc>
          <w:tcPr>
            <w:tcW w:w="3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5,532</w:t>
            </w:r>
          </w:p>
        </w:tc>
        <w:tc>
          <w:tcPr>
            <w:tcW w:w="46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40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4,898</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4,675</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1,281</w:t>
            </w:r>
          </w:p>
        </w:tc>
        <w:tc>
          <w:tcPr>
            <w:tcW w:w="5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1,129</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1,167</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24" w:right="140" w:hanging="224"/>
        <w:spacing w:after="0" w:line="286" w:lineRule="auto"/>
        <w:tabs>
          <w:tab w:leader="none" w:pos="224" w:val="left"/>
        </w:tabs>
        <w:numPr>
          <w:ilvl w:val="0"/>
          <w:numId w:val="9"/>
        </w:numPr>
        <w:rPr>
          <w:rFonts w:ascii="Arial" w:cs="Arial" w:eastAsia="Arial" w:hAnsi="Arial"/>
          <w:sz w:val="17"/>
          <w:szCs w:val="17"/>
          <w:color w:val="auto"/>
        </w:rPr>
      </w:pPr>
      <w:r>
        <w:rPr>
          <w:rFonts w:ascii="Arial" w:cs="Arial" w:eastAsia="Arial" w:hAnsi="Arial"/>
          <w:sz w:val="17"/>
          <w:szCs w:val="17"/>
          <w:color w:val="auto"/>
        </w:rPr>
        <w:t>Schlumberger divested certain businesses in North America during the fourth quarter of 2020. These businesses generated revenue of $284 million during the fourth quarter of 2020. Excluding the impact of these divestitures, global fourth-quarter 2021 revenue increased 19% year-on-year. North America fourth-quarter 2021 revenue, excluding the impact of these divestitures, increased 45% year-on-year.</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$1.28 billion increased 13% sequentially, driven by strong offshore and land drilling activity and increased exploration data</w:t>
      </w:r>
      <w:r>
        <w:rPr>
          <w:rFonts w:ascii="Arial" w:cs="Arial" w:eastAsia="Arial" w:hAnsi="Arial"/>
          <w:sz w:val="18"/>
          <w:szCs w:val="18"/>
          <w:b w:val="1"/>
          <w:bCs w:val="1"/>
          <w:color w:val="auto"/>
        </w:rPr>
        <w:t xml:space="preserve"> </w:t>
      </w:r>
      <w:r>
        <w:rPr>
          <w:rFonts w:ascii="Arial" w:cs="Arial" w:eastAsia="Arial" w:hAnsi="Arial"/>
          <w:sz w:val="18"/>
          <w:szCs w:val="18"/>
          <w:color w:val="auto"/>
        </w:rPr>
        <w:t>licensing in the US Gulf of Mexico and the Permian.</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left="4" w:right="220"/>
        <w:spacing w:after="0" w:line="289" w:lineRule="auto"/>
        <w:rPr>
          <w:sz w:val="20"/>
          <w:szCs w:val="20"/>
          <w:color w:val="auto"/>
        </w:rPr>
      </w:pPr>
      <w:r>
        <w:rPr>
          <w:rFonts w:ascii="Arial" w:cs="Arial" w:eastAsia="Arial" w:hAnsi="Arial"/>
          <w:sz w:val="17"/>
          <w:szCs w:val="17"/>
          <w:color w:val="auto"/>
        </w:rPr>
        <w:t xml:space="preserve">Revenue in </w:t>
      </w:r>
      <w:r>
        <w:rPr>
          <w:rFonts w:ascii="Arial" w:cs="Arial" w:eastAsia="Arial" w:hAnsi="Arial"/>
          <w:sz w:val="17"/>
          <w:szCs w:val="17"/>
          <w:b w:val="1"/>
          <w:bCs w:val="1"/>
          <w:color w:val="auto"/>
        </w:rPr>
        <w:t>Latin America</w:t>
      </w:r>
      <w:r>
        <w:rPr>
          <w:rFonts w:ascii="Arial" w:cs="Arial" w:eastAsia="Arial" w:hAnsi="Arial"/>
          <w:sz w:val="17"/>
          <w:szCs w:val="17"/>
          <w:color w:val="auto"/>
        </w:rPr>
        <w:t xml:space="preserve"> of $1.20 billion increased 4% sequentially due to double-digit revenue growth in Argentina, Brazil, and Mexico, mainly from robust Well Construction activity. Reservoir Performance and Production Systems revenue also increased but was partially offset by a temporary production interruption in our Asset Performance Solutions (APS) projects in Ecuador due to pipeline disruption.</w:t>
      </w:r>
    </w:p>
    <w:p>
      <w:pPr>
        <w:spacing w:after="0" w:line="158" w:lineRule="exact"/>
        <w:rPr>
          <w:sz w:val="20"/>
          <w:szCs w:val="20"/>
          <w:color w:val="auto"/>
        </w:rPr>
      </w:pPr>
    </w:p>
    <w:p>
      <w:pPr>
        <w:ind w:left="4" w:right="180"/>
        <w:spacing w:after="0" w:line="289" w:lineRule="auto"/>
        <w:rPr>
          <w:sz w:val="20"/>
          <w:szCs w:val="20"/>
          <w:color w:val="auto"/>
        </w:rPr>
      </w:pPr>
      <w:r>
        <w:rPr>
          <w:rFonts w:ascii="Arial" w:cs="Arial" w:eastAsia="Arial" w:hAnsi="Arial"/>
          <w:sz w:val="17"/>
          <w:szCs w:val="17"/>
          <w:b w:val="1"/>
          <w:bCs w:val="1"/>
          <w:color w:val="auto"/>
        </w:rPr>
        <w:t xml:space="preserve">Europe/CIS/Africa </w:t>
      </w:r>
      <w:r>
        <w:rPr>
          <w:rFonts w:ascii="Arial" w:cs="Arial" w:eastAsia="Arial" w:hAnsi="Arial"/>
          <w:sz w:val="17"/>
          <w:szCs w:val="17"/>
          <w:color w:val="auto"/>
        </w:rPr>
        <w:t>revenue of $1.59 billion increased 7% sequentially, due to higher revenue in Europe and Africa driven by strong offshore activity,</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digital sales, and new projects—mainly in Turkey—that benefited Production Systems. These increases, however, were partially offset by reduced Reservoir Performance and Well Construction activity in Russia and Scandinavia due to the onset of seasonal effects.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0" w:right="439" w:bottom="1440" w:gutter="0" w:footer="0" w:header="0"/>
        </w:sectPr>
      </w:pPr>
    </w:p>
    <w:bookmarkStart w:id="7" w:name="page8"/>
    <w:bookmarkEnd w:id="7"/>
    <w:p>
      <w:pPr>
        <w:ind w:left="4" w:right="8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Revenue in the </w:t>
      </w:r>
      <w:r>
        <w:rPr>
          <w:rFonts w:ascii="Arial" w:cs="Arial" w:eastAsia="Arial" w:hAnsi="Arial"/>
          <w:sz w:val="16"/>
          <w:szCs w:val="16"/>
          <w:b w:val="1"/>
          <w:bCs w:val="1"/>
          <w:color w:val="auto"/>
        </w:rPr>
        <w:t>Middle East &amp; Asia</w:t>
      </w:r>
      <w:r>
        <w:rPr>
          <w:rFonts w:ascii="Arial" w:cs="Arial" w:eastAsia="Arial" w:hAnsi="Arial"/>
          <w:sz w:val="16"/>
          <w:szCs w:val="16"/>
          <w:color w:val="auto"/>
        </w:rPr>
        <w:t xml:space="preserve"> of $2.11 billion increased 4% sequentially due to new projects and activity gains that benefited Reservoir Performance in Saudi Arabia, Oman, Australia, Qatar, Indonesia, and Iraq. Similarly, Well Construction revenue grew from new projects in Iraq and the United Arab Emirates, and from increased drilling activity in Qatar, Kuwait, and Indonesia. Growth was also driven by higher digital sales in China and Malaysia. These increases, however, were partially offset by lower sales of production systems due to delivery delays as a result of logistics constraints.</w:t>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Fourth-Quarter Results by Division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Digital &amp; Integration</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2021</w:t>
            </w:r>
          </w:p>
        </w:tc>
        <w:tc>
          <w:tcPr>
            <w:tcW w:w="3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Sept. 30, 2021</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2020</w:t>
            </w:r>
          </w:p>
        </w:tc>
        <w:tc>
          <w:tcPr>
            <w:tcW w:w="60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7"/>
              </w:rPr>
              <w:t>Sequential</w:t>
            </w: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624</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688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n/m</w:t>
            </w: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889</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284</w:t>
            </w:r>
          </w:p>
        </w:tc>
        <w:tc>
          <w:tcPr>
            <w:tcW w:w="6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269</w:t>
            </w:r>
          </w:p>
        </w:tc>
        <w:tc>
          <w:tcPr>
            <w:tcW w:w="6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w:t>
            </w: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2"/>
              </w:rPr>
              <w:t>268 bps</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Digital &amp; Integration revenue of $889 million increased 10% sequentially, propelled by accelerated digital sales internationally, particularly in Europe/CIS/Africa and Middle East &amp; Asia, and increased exploration data licensing sales in North America offshore and the Permian. These increases, however, were partially offset by the effects of a temporary production interruption in our APS projects in Ecuador due to pipeline disruption.</w:t>
      </w:r>
    </w:p>
    <w:p>
      <w:pPr>
        <w:spacing w:after="0" w:line="149"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Digital &amp; Integration pretax operating margin of 38% expanded 268 bps sequentially, due to improved profitability in digital and exploration data licensing.</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Reservoir Performance</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2021</w:t>
            </w:r>
          </w:p>
        </w:tc>
        <w:tc>
          <w:tcPr>
            <w:tcW w:w="3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Sept. 30, 2021</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2020</w:t>
            </w:r>
          </w:p>
        </w:tc>
        <w:tc>
          <w:tcPr>
            <w:tcW w:w="5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1,194</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906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1,247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w:t>
            </w: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-43 bps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120" w:hanging="224"/>
        <w:spacing w:after="0" w:line="311" w:lineRule="auto"/>
        <w:tabs>
          <w:tab w:leader="none" w:pos="2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Schlumberger divested its OneStim pressure pumping business in North America during the fourth quarter of 2020. This business generated revenue of $274 million during the fourth quarter of 2020. Excluding the impact of this divestiture, global fourth-quarter 2021 revenue increased 32% year-on-year. North America fourth-quarter 2021 revenue, excluding the impact of this divestiture, increased 42% year-on-year.</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0" w:right="439" w:bottom="1440" w:gutter="0" w:footer="0" w:header="0"/>
        </w:sectPr>
      </w:pPr>
    </w:p>
    <w:bookmarkStart w:id="8" w:name="page9"/>
    <w:bookmarkEnd w:id="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 revenue of $1.29 billion increased 8% sequentially due to higher intervention activity across the international offshore markets, mainly in the UK and Latin America, and from new stimulation projects and activity gains in the Middle East &amp; Asia, particularly in Saudi Arabia. These increases, however, were partially offset by the onset of seasonal effects in Russia and Scandinavia. North America revenue grew from higher offshore evaluation activity.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Reservoir Performance pretax operating margin of 16% was essentially flat sequentially. Profitability improved from higher offshore and exploration activity but was offset by technology mix and seasonality effects in the Northern Hemisphere.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Dec. 31, 2021</w:t>
            </w:r>
          </w:p>
        </w:tc>
        <w:tc>
          <w:tcPr>
            <w:tcW w:w="3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Sept. 30, 2021</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Dec. 31, 2020</w:t>
            </w:r>
          </w:p>
        </w:tc>
        <w:tc>
          <w:tcPr>
            <w:tcW w:w="54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1,901</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1,839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1,569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2,273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1,868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345</w:t>
            </w:r>
          </w:p>
        </w:tc>
        <w:tc>
          <w:tcPr>
            <w:tcW w:w="5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183</w:t>
            </w:r>
          </w:p>
        </w:tc>
        <w:tc>
          <w:tcPr>
            <w:tcW w:w="5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 bps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Well Construction revenue of $2.39 billion increased 5% sequentially, driven by higher measurements and drilling fluids activity and increased drilling equipment sales. North America revenue increased due to higher rig count on land and increased well construction activity in the US Gulf of Mexico. International revenue growth was driven by the double-digit growth in Latin America, mainly in Mexico and Argentina, in Sub-Sahara Africa, and in the Middle East in Kuwait, Qatar, Iraq, and UAE. These increases were partially offset by seasonal effects in Russia and Scandinavia.</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Well Construction pretax operating margin of 15% was essentially flat sequentially as the favorable mix of increased activity and new technology was offset by seasonal effects in the Northern Hemisphere.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Production Systems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2021</w:t>
            </w: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color w:val="auto"/>
                <w:w w:val="87"/>
              </w:rPr>
              <w:t>Sept. 30, 2021</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9"/>
              </w:rPr>
              <w:t>Dec. 31, 2020</w:t>
            </w:r>
          </w:p>
        </w:tc>
        <w:tc>
          <w:tcPr>
            <w:tcW w:w="50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820" w:type="dxa"/>
            <w:vAlign w:val="bottom"/>
            <w:gridSpan w:val="2"/>
          </w:tcPr>
          <w:p>
            <w:pPr>
              <w:ind w:left="15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1,278</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1,205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1,215</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433</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5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1,765</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1,674</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1,649</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11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w w:val="98"/>
              </w:rPr>
              <w:t>-85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hanging="224"/>
        <w:spacing w:after="0"/>
        <w:tabs>
          <w:tab w:leader="none" w:pos="2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Schlumberger divested its low-flow artificial lift business in North America during the fourth quarter of 2020. This business generated revenue of</w:t>
      </w:r>
    </w:p>
    <w:p>
      <w:pPr>
        <w:spacing w:after="0" w:line="34" w:lineRule="exact"/>
        <w:rPr>
          <w:rFonts w:ascii="Arial" w:cs="Arial" w:eastAsia="Arial" w:hAnsi="Arial"/>
          <w:sz w:val="17"/>
          <w:szCs w:val="17"/>
          <w:color w:val="auto"/>
        </w:rPr>
      </w:pPr>
    </w:p>
    <w:p>
      <w:pPr>
        <w:ind w:left="224" w:right="20"/>
        <w:spacing w:after="0" w:line="260" w:lineRule="auto"/>
        <w:rPr>
          <w:rFonts w:ascii="Arial" w:cs="Arial" w:eastAsia="Arial" w:hAnsi="Arial"/>
          <w:sz w:val="17"/>
          <w:szCs w:val="17"/>
          <w:color w:val="auto"/>
        </w:rPr>
      </w:pPr>
      <w:r>
        <w:rPr>
          <w:rFonts w:ascii="Arial" w:cs="Arial" w:eastAsia="Arial" w:hAnsi="Arial"/>
          <w:sz w:val="18"/>
          <w:szCs w:val="18"/>
          <w:color w:val="auto"/>
        </w:rPr>
        <w:t>$11 million during the fourth quarter of 2020. Excluding the impact of this divestiture, global fourth-quarter 2021 revenue increased 8% year-on-year. North America fourth-quarter revenue, excluding the impact of this divestiture, increased 15% year-on-year.</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Production Systems revenue of $1.76 billion increased 5% sequentially. Revenue increases in subsea, well production, and midstream production systems were offset by a revenue decline in surface production systems. International activity was driven by double-digit growth in Europe/CIS/Africa —mainly from strong project progress in Angola, Gabon, and Mozambique, new projects in Turkey, and increased activity in Scandinavia and Russia &amp; Central Asia—and by growth in Latin America, mainly in Brazil and Ecuador. This revenue growth was partially offset by delivery delays in the Middle East &amp; Asia as a result of global supply and logistics constraints.</w:t>
      </w:r>
    </w:p>
    <w:p>
      <w:pPr>
        <w:spacing w:after="0" w:line="188"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Production Systems pretax operating margin of 9% declined 85 bps sequentially due to an unfavorable mix and the impact of delayed deliveries due to global supply and logistics constraints.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Quarterly Highlights</w:t>
      </w:r>
    </w:p>
    <w:p>
      <w:pPr>
        <w:spacing w:after="0" w:line="121"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As activity growth accelerates, Schlumberger’s performance differentiation, technology, and integration capabilities continue to earn customer recognition and contract awards for all types of oil and gas projects, from short- and long-cycle development to exploration—including offshore and deepwater. Awards from the quarter include:</w:t>
      </w:r>
    </w:p>
    <w:p>
      <w:pPr>
        <w:spacing w:after="0" w:line="89" w:lineRule="exact"/>
        <w:rPr>
          <w:sz w:val="20"/>
          <w:szCs w:val="20"/>
          <w:color w:val="auto"/>
        </w:rPr>
      </w:pPr>
    </w:p>
    <w:p>
      <w:pPr>
        <w:ind w:left="964" w:right="60" w:hanging="532"/>
        <w:spacing w:after="0" w:line="255"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Chevron U.S.A. Inc. awarded Schlumberger contracts for integrated well construction and wireline services for deepwater projects in the Gulf of Mexico. Schlumberger was awarded the contracts for integrated services and technology for deepwater wells, in addition to subsea services previously awarded for another high-pressure, high-temperature (HPHT) deepwater Gulf of Mexico project. The integrated contract includes well construction, for which Schlumberger will bring specific technologies suited for HPHT environments as well as digital capabilities that will enhance overall project execution, efficiency, and safety, including the Performance Live* remote operation service.</w:t>
      </w:r>
    </w:p>
    <w:p>
      <w:pPr>
        <w:spacing w:after="0" w:line="97" w:lineRule="exact"/>
        <w:rPr>
          <w:rFonts w:ascii="Arial" w:cs="Arial" w:eastAsia="Arial" w:hAnsi="Arial"/>
          <w:sz w:val="18"/>
          <w:szCs w:val="18"/>
          <w:color w:val="auto"/>
        </w:rPr>
      </w:pPr>
    </w:p>
    <w:p>
      <w:pPr>
        <w:ind w:left="964" w:right="80" w:hanging="532"/>
        <w:spacing w:after="0" w:line="279" w:lineRule="auto"/>
        <w:tabs>
          <w:tab w:leader="none" w:pos="9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TotalEnergies has awarded Schlumberger a three-year contract for the provision of a significant well intervention scope to improve well production and downhole testing services on new wells located offshore the United Kingdom and Denmark. Under the contract, which has options for two single-year extensions, the project team will apply a comprehensive portfolio of downhole testing services, coiled tubing, slickline, and wireline—including the latest technologies. Work is expected to commence in Q1 2022.</w:t>
      </w:r>
    </w:p>
    <w:p>
      <w:pPr>
        <w:spacing w:after="0" w:line="76" w:lineRule="exact"/>
        <w:rPr>
          <w:rFonts w:ascii="Arial" w:cs="Arial" w:eastAsia="Arial" w:hAnsi="Arial"/>
          <w:sz w:val="17"/>
          <w:szCs w:val="17"/>
          <w:color w:val="auto"/>
        </w:rPr>
      </w:pPr>
    </w:p>
    <w:p>
      <w:pPr>
        <w:jc w:val="both"/>
        <w:ind w:left="964" w:right="460" w:hanging="532"/>
        <w:spacing w:after="0" w:line="263"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Saudi Arabia, Schlumberger was awarded a five-year contract for coiled tubing drilling services to be deployed in major gas fields across the Kingdom. The contract, which has a two-year option to extend, includes a full suite of unique underbalanced coiled tubing drilling technologies and other fit-for-basin technology.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0" w:right="439" w:bottom="1440" w:gutter="0" w:footer="0" w:header="0"/>
        </w:sectPr>
      </w:pPr>
    </w:p>
    <w:bookmarkStart w:id="10" w:name="page11"/>
    <w:bookmarkEnd w:id="10"/>
    <w:p>
      <w:pPr>
        <w:ind w:left="960" w:right="340" w:hanging="532"/>
        <w:spacing w:after="0" w:line="275"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Equinor has made a direct award to Schlumberger for four RapidXtreme* TAML 3 large-bore multilateral junctions to retrofit existing wells to multilaterals in the Statfjord Field. This award is the result of an integrated contract and the unique architecture of the Rapid* multilateral systems—part of the Transition Technologies* portfolio. Conversion of existing wellbores to multilaterals will unlock additional reserves and extend the productive life in the Statfjord Field while reducing the carbon impact of production. Installation of these multilateral completion systems is expected to commence in Q2 2022.</w:t>
      </w:r>
    </w:p>
    <w:p>
      <w:pPr>
        <w:spacing w:after="0" w:line="81" w:lineRule="exact"/>
        <w:rPr>
          <w:rFonts w:ascii="Arial" w:cs="Arial" w:eastAsia="Arial" w:hAnsi="Arial"/>
          <w:sz w:val="17"/>
          <w:szCs w:val="17"/>
          <w:color w:val="auto"/>
        </w:rPr>
      </w:pPr>
    </w:p>
    <w:p>
      <w:pPr>
        <w:ind w:left="960" w:hanging="532"/>
        <w:spacing w:after="0" w:line="25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Woodside, as operator for and on behalf of the Scarborough Joint Venture, for the Scarborough project offshore Western Australia, awarded a contract to OneSubsea</w:t>
      </w:r>
      <w:r>
        <w:rPr>
          <w:rFonts w:ascii="Arial" w:cs="Arial" w:eastAsia="Arial" w:hAnsi="Arial"/>
          <w:sz w:val="15"/>
          <w:szCs w:val="15"/>
          <w:color w:val="auto"/>
        </w:rPr>
        <w:t>®</w:t>
      </w:r>
      <w:r>
        <w:rPr>
          <w:rFonts w:ascii="Arial" w:cs="Arial" w:eastAsia="Arial" w:hAnsi="Arial"/>
          <w:sz w:val="18"/>
          <w:szCs w:val="18"/>
          <w:color w:val="auto"/>
        </w:rPr>
        <w:t>—the subsea technologies, production, and processing systems division of Schlumberger—as part of the Subsea Integration Alliance. The contract includes a subsea production systems scope, which OneSubsea will deliver, including wellheads, single-phase flowmeters, subsea distribution units, flying leads, a connection system, subsea production control system for topsides and subsea, and postdelivery services. This project will help the Scarborough Joint Venture maximize the potential of this significant gas resource, which will be developed through new offshore facilities connected to a second liquified natural gas (LNG) train at the existing Pluto LNG onshore facility.</w:t>
      </w:r>
    </w:p>
    <w:p>
      <w:pPr>
        <w:spacing w:after="0" w:line="100" w:lineRule="exact"/>
        <w:rPr>
          <w:rFonts w:ascii="Arial" w:cs="Arial" w:eastAsia="Arial" w:hAnsi="Arial"/>
          <w:sz w:val="18"/>
          <w:szCs w:val="18"/>
          <w:color w:val="auto"/>
        </w:rPr>
      </w:pPr>
    </w:p>
    <w:p>
      <w:pPr>
        <w:jc w:val="both"/>
        <w:ind w:left="960" w:right="40" w:hanging="532"/>
        <w:spacing w:after="0" w:line="25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Indonesia, Premier Oil—a subsidiary of Harbour Energy—has awarded Schlumberger a three-year contract for services and technology for its deepwater offshore exploration project in the Andaman Sea. The contract scope covers a broad range of services, including drilling, drilling fluids, wireline logging, and well testing. A Schlumberger team drawn from three Divisions will deliver a broad set of services and technologies, including Muzic* wireless telemetry, Quanta Geo* photorealistic reservoir geology service, and the Sonic Scanner* acoustic scanning platform—driving performance and efficiency of exploration operations. Work is expected to commence in the second quarter of 2022.</w:t>
      </w:r>
    </w:p>
    <w:p>
      <w:pPr>
        <w:spacing w:after="0" w:line="19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Schlumberger technologies—which won an array of innovation awards in 2021, including an Offshore Technology Conference Spotlight on New Technology, six World Oil Awards, and two Hart Energy E&amp;P Meritorious Awards for Engineering Innovation—and peer-leading execution capabilities, are making significant performance impacts for customers, who are increasingly adopting technologies that help them create differentiated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Examples of performance impact during the quarter in North America include:</w:t>
      </w:r>
    </w:p>
    <w:p>
      <w:pPr>
        <w:spacing w:after="0" w:line="131" w:lineRule="exact"/>
        <w:rPr>
          <w:sz w:val="20"/>
          <w:szCs w:val="20"/>
          <w:color w:val="auto"/>
        </w:rPr>
      </w:pPr>
    </w:p>
    <w:p>
      <w:pPr>
        <w:ind w:left="960" w:hanging="532"/>
        <w:spacing w:after="0" w:line="272"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Appalachian Basin, CNX implemented NeoSteer* at-bit steerable system paired with Smith Bits, a Schlumberger company, cutting structures and dual-telemetry MWD xBolt G2* accelerated drilling service to drill curves and laterals consistently in single runs in their Marcellus Shale assets. Over the last three months, Schlumberger has drilled the top three longest single curve and laterals in CNX’s history, with footages ranging between 21,836 ft and 22,565 ft, and with exceptional safety and service quality performance. These are also the top three longest single curve and lateral operations in Schlumberger’s US Land history to date. NeoSteer system provided enhanced steerability, overall superior performance, and reduced footprint when compared with conventional technologies, resulting in a reduction in drilling time, and savings in drilling operational costs for these three record wells.</w:t>
      </w:r>
    </w:p>
    <w:p>
      <w:pPr>
        <w:spacing w:after="0" w:line="82" w:lineRule="exact"/>
        <w:rPr>
          <w:rFonts w:ascii="Arial" w:cs="Arial" w:eastAsia="Arial" w:hAnsi="Arial"/>
          <w:sz w:val="17"/>
          <w:szCs w:val="17"/>
          <w:color w:val="auto"/>
        </w:rPr>
      </w:pPr>
    </w:p>
    <w:p>
      <w:pPr>
        <w:ind w:left="960" w:right="40" w:hanging="532"/>
        <w:spacing w:after="0" w:line="25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Permian Basin, an ExxonMobil and Schlumberger partnership enabled the reduction of drilling rig days 34% across five wells, performance that will enable ExxonMobil to drill more wells per year with the same number of rigs. An integrated fit-for-basin technology package, including the PowerDrive Orbit G2* rotary steerable system and XBolt G2 accelerated drilling service—controlled from the ExxonMobil Remote Operations Center in Houston—enabled ExxonMobil to drill its first Delaware Basin well under nine days and achieve similar performance with five total record-setting wells. Compared to prior target performance benchmarks, a total reduction of more than 26 drilling days was realized for these five wells.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Examples of performance impact during the quarter internationally include:</w:t>
      </w:r>
    </w:p>
    <w:p>
      <w:pPr>
        <w:spacing w:after="0" w:line="131" w:lineRule="exact"/>
        <w:rPr>
          <w:sz w:val="20"/>
          <w:szCs w:val="20"/>
          <w:color w:val="auto"/>
        </w:rPr>
      </w:pPr>
    </w:p>
    <w:p>
      <w:pPr>
        <w:ind w:left="960" w:right="100" w:hanging="532"/>
        <w:spacing w:after="0" w:line="275"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fourth quarter of 2021, Schlumberger commenced integrated stimulation operations at Jafurah, the largest unconventional nonassociated gas field in the Kingdom of Saudi Arabia. The combination of cutting-edge technology, fully integrated supply chain, and close project management collaboration between Aramco and Schlumberger resulted in more than 35% improvement in stages per month. This new performance benchmark matches that of top-quartile stimulation fleets in United States unconventional assets during 2021—a key ambition set between Schlumberger and Aramco on the path to deliver the full potential of the Jafurah project.</w:t>
      </w:r>
    </w:p>
    <w:p>
      <w:pPr>
        <w:spacing w:after="0" w:line="81" w:lineRule="exact"/>
        <w:rPr>
          <w:rFonts w:ascii="Arial" w:cs="Arial" w:eastAsia="Arial" w:hAnsi="Arial"/>
          <w:sz w:val="17"/>
          <w:szCs w:val="17"/>
          <w:color w:val="auto"/>
        </w:rPr>
      </w:pPr>
    </w:p>
    <w:p>
      <w:pPr>
        <w:ind w:left="960" w:right="80" w:hanging="532"/>
        <w:spacing w:after="0" w:line="260"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Kuwait, Schlumberger has begun to deploy technology with Kuwait Oil Company (KOC) to increase productivity of its Jurassic gas fields with rigless perforation, made possible by the newest generation of StreamLINE iX* extreme-performance polymer-locked wireline cable. A combination of technologies enabled by SteamLINE iX cable has reduced per-run operating time by half. The increased strength of this generation cable made it possible to run a 70-ft perforation gun in a single run—a first in the history of KOC rigless operations on wireline. The capabilities of the new StreamLINE iX cable have enabled use of technology that has reduced operating time per run and CO</w:t>
      </w:r>
      <w:r>
        <w:rPr>
          <w:rFonts w:ascii="Arial" w:cs="Arial" w:eastAsia="Arial" w:hAnsi="Arial"/>
          <w:sz w:val="15"/>
          <w:szCs w:val="15"/>
          <w:color w:val="auto"/>
        </w:rPr>
        <w:t>2</w:t>
      </w:r>
      <w:r>
        <w:rPr>
          <w:rFonts w:ascii="Arial" w:cs="Arial" w:eastAsia="Arial" w:hAnsi="Arial"/>
          <w:sz w:val="18"/>
          <w:szCs w:val="18"/>
          <w:color w:val="auto"/>
        </w:rPr>
        <w:t xml:space="preserve"> impact while saving deferred production.</w:t>
      </w:r>
    </w:p>
    <w:p>
      <w:pPr>
        <w:spacing w:after="0" w:line="72" w:lineRule="exact"/>
        <w:rPr>
          <w:rFonts w:ascii="Arial" w:cs="Arial" w:eastAsia="Arial" w:hAnsi="Arial"/>
          <w:sz w:val="18"/>
          <w:szCs w:val="18"/>
          <w:color w:val="auto"/>
        </w:rPr>
      </w:pPr>
    </w:p>
    <w:p>
      <w:pPr>
        <w:ind w:left="960" w:right="20" w:hanging="532"/>
        <w:spacing w:after="0" w:line="275"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Offshore Australia in the North West Shelf, Santos Ltd. recently achieved a record production rate from the first Van Gogh Phase 2 infill well, which exceeded expectations and produced at a peak rate of 23,200 bbl/d. The extended-reach, dual-lateral well was drilled with a total horizontal section of 5,430 m—490 m more than originally planned. The PowerDrive Archer* high build rate rotary steerable system and GeoSphere HD* high-definition reservoir mapping-while-drilling service enabled Santos to overcome numerous geological challenges and unlock the full production potential of this asset by executing an optimized well completion design.</w:t>
      </w:r>
    </w:p>
    <w:p>
      <w:pPr>
        <w:spacing w:after="0" w:line="81" w:lineRule="exact"/>
        <w:rPr>
          <w:rFonts w:ascii="Arial" w:cs="Arial" w:eastAsia="Arial" w:hAnsi="Arial"/>
          <w:sz w:val="17"/>
          <w:szCs w:val="17"/>
          <w:color w:val="auto"/>
        </w:rPr>
      </w:pPr>
    </w:p>
    <w:p>
      <w:pPr>
        <w:ind w:left="960" w:hanging="532"/>
        <w:spacing w:after="0" w:line="25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Argentina, Schlumberger deployed technology that reduced drilling time by 10 days and avoided 120 metric tons of CO</w:t>
      </w:r>
      <w:r>
        <w:rPr>
          <w:rFonts w:ascii="Arial" w:cs="Arial" w:eastAsia="Arial" w:hAnsi="Arial"/>
          <w:sz w:val="15"/>
          <w:szCs w:val="15"/>
          <w:color w:val="auto"/>
        </w:rPr>
        <w:t>2</w:t>
      </w:r>
      <w:r>
        <w:rPr>
          <w:rFonts w:ascii="Arial" w:cs="Arial" w:eastAsia="Arial" w:hAnsi="Arial"/>
          <w:sz w:val="18"/>
          <w:szCs w:val="18"/>
          <w:color w:val="auto"/>
        </w:rPr>
        <w:t xml:space="preserve"> emissions for a joint venture between YPF S.A. and Chevron in the unconventional Vaca Muerta Formation. Drilling the pilot extended-reach well on the project, Schlumberger used the NeoSteer* at-bit steerable system and new features of the autonomous downhole control system to minimize tortuosity and unplanned deviation, constructing a wellbore optimized to increase production. A PowerDrive vorteX* powered rotary steerable system equipped with DynaPower XP* extreme-power motor elastomer managed the high-temperature conditions, improved the rate of penetration (ROP), and enabled delivering 4,155 m of lateral section breaking the 1,000 m drilled per day barrier and it became the longest well lateral drilled in the field.</w:t>
      </w:r>
    </w:p>
    <w:p>
      <w:pPr>
        <w:spacing w:after="0" w:line="19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adoption of Schlumberger’s comprehensive digital platform continues to accelerate as customers advance their digital transformation and apply digital solutions to improve productivity and efficiency. Furthermore, the use cases for Schlumberger digital solutions also continue to expand into adjacent sectors, increasing the total addressable market and enabling decarbonization in and beyond the oil and gas industry.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Digital awards and implementations from the quarter include:</w:t>
      </w:r>
    </w:p>
    <w:p>
      <w:pPr>
        <w:spacing w:after="0" w:line="131" w:lineRule="exact"/>
        <w:rPr>
          <w:sz w:val="20"/>
          <w:szCs w:val="20"/>
          <w:color w:val="auto"/>
        </w:rPr>
      </w:pPr>
    </w:p>
    <w:p>
      <w:pPr>
        <w:ind w:left="960" w:right="20" w:hanging="532"/>
        <w:spacing w:after="0" w:line="260"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Schlumberger will deploy the DELFI cognitive E&amp;P environment on the Norwegian CO</w:t>
      </w:r>
      <w:r>
        <w:rPr>
          <w:rFonts w:ascii="Arial" w:cs="Arial" w:eastAsia="Arial" w:hAnsi="Arial"/>
          <w:sz w:val="15"/>
          <w:szCs w:val="15"/>
          <w:color w:val="auto"/>
        </w:rPr>
        <w:t>2</w:t>
      </w:r>
      <w:r>
        <w:rPr>
          <w:rFonts w:ascii="Arial" w:cs="Arial" w:eastAsia="Arial" w:hAnsi="Arial"/>
          <w:sz w:val="18"/>
          <w:szCs w:val="18"/>
          <w:color w:val="auto"/>
        </w:rPr>
        <w:t xml:space="preserve"> project by the Northern Lights Joint Venture (NL), to streamline subsurface workflows and longer-term modeling and surveillance of CO</w:t>
      </w:r>
      <w:r>
        <w:rPr>
          <w:rFonts w:ascii="Arial" w:cs="Arial" w:eastAsia="Arial" w:hAnsi="Arial"/>
          <w:sz w:val="15"/>
          <w:szCs w:val="15"/>
          <w:color w:val="auto"/>
        </w:rPr>
        <w:t>2</w:t>
      </w:r>
      <w:r>
        <w:rPr>
          <w:rFonts w:ascii="Arial" w:cs="Arial" w:eastAsia="Arial" w:hAnsi="Arial"/>
          <w:sz w:val="18"/>
          <w:szCs w:val="18"/>
          <w:color w:val="auto"/>
        </w:rPr>
        <w:t xml:space="preserve"> sequestration. NL was established to develop the world’s first open-source CO</w:t>
      </w:r>
      <w:r>
        <w:rPr>
          <w:rFonts w:ascii="Arial" w:cs="Arial" w:eastAsia="Arial" w:hAnsi="Arial"/>
          <w:sz w:val="15"/>
          <w:szCs w:val="15"/>
          <w:color w:val="auto"/>
        </w:rPr>
        <w:t>2</w:t>
      </w:r>
      <w:r>
        <w:rPr>
          <w:rFonts w:ascii="Arial" w:cs="Arial" w:eastAsia="Arial" w:hAnsi="Arial"/>
          <w:sz w:val="18"/>
          <w:szCs w:val="18"/>
          <w:color w:val="auto"/>
        </w:rPr>
        <w:t xml:space="preserve"> transport and storage infrastructure, providing accelerated decarbonization opportunities for European industries, with an ambition to store up to 5 million metric tons of CO</w:t>
      </w:r>
      <w:r>
        <w:rPr>
          <w:rFonts w:ascii="Arial" w:cs="Arial" w:eastAsia="Arial" w:hAnsi="Arial"/>
          <w:sz w:val="15"/>
          <w:szCs w:val="15"/>
          <w:color w:val="auto"/>
        </w:rPr>
        <w:t>2</w:t>
      </w:r>
      <w:r>
        <w:rPr>
          <w:rFonts w:ascii="Arial" w:cs="Arial" w:eastAsia="Arial" w:hAnsi="Arial"/>
          <w:sz w:val="18"/>
          <w:szCs w:val="18"/>
          <w:color w:val="auto"/>
        </w:rPr>
        <w:t xml:space="preserve"> per year based on market demand. Northern Lights is part of Longship—Norway’s largest climate initiative—which comprises a full-scale carbon capture and storage (CCS) project, covering capture, transport, and storage of CO</w:t>
      </w:r>
      <w:r>
        <w:rPr>
          <w:rFonts w:ascii="Arial" w:cs="Arial" w:eastAsia="Arial" w:hAnsi="Arial"/>
          <w:sz w:val="15"/>
          <w:szCs w:val="15"/>
          <w:color w:val="auto"/>
        </w:rPr>
        <w:t>2</w:t>
      </w:r>
      <w:r>
        <w:rPr>
          <w:rFonts w:ascii="Arial" w:cs="Arial" w:eastAsia="Arial" w:hAnsi="Arial"/>
          <w:sz w:val="18"/>
          <w:szCs w:val="18"/>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 w:name="page13"/>
    <w:bookmarkEnd w:id="12"/>
    <w:p>
      <w:pPr>
        <w:ind w:left="960" w:right="20" w:hanging="532"/>
        <w:spacing w:after="0" w:line="25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Angola’s oil and gas regulator—Agência Nacional do Petróleo, Gás e Biocombustíveis (ANPG)—has signed an agreement with Schlumberger to fast-track its digital transformation, with the rollout of DELFI cognitive E&amp;P environment. The project follows a detailed consultation and review by a Schlumberger-led consulting team in collaboration with an ANPG team. The team evaluated ANPG’s technology landscape and digital readiness, resulting in a compressed digitalization roadmap. The accelerated deployment of the DELFI environment will enable efficient remote teamwork across ANPG, expanded data analytics capabilities, and increased exploration and field development efficiency—driving sizeable production gains.</w:t>
      </w:r>
    </w:p>
    <w:p>
      <w:pPr>
        <w:spacing w:after="0" w:line="97"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Ecuador, DrillOps Automate, part of the DrillOps* on-target well delivery solution, and DrillPilot* equipment sequencing software have been deployed on two Schlumberger rigs operating on its APS assets. These digital solutions are orchestrating multiple workflows and driving a step change in operational performance. Since deployment, more than 77,000 ft have been drilled with multiple levels of automation made possible using these advanced digital solutions. Automated rig control has increased on-bottom ROP and reduced connections time, resulting in a 10.6% average efficiency improvement at the end of 2021. Schlumberger continues to expand the use of digital solutions to improve integrated performance, increase safety, and reduce CO</w:t>
      </w:r>
      <w:r>
        <w:rPr>
          <w:rFonts w:ascii="Arial" w:cs="Arial" w:eastAsia="Arial" w:hAnsi="Arial"/>
          <w:sz w:val="15"/>
          <w:szCs w:val="15"/>
          <w:color w:val="auto"/>
        </w:rPr>
        <w:t>2</w:t>
      </w:r>
      <w:r>
        <w:rPr>
          <w:rFonts w:ascii="Arial" w:cs="Arial" w:eastAsia="Arial" w:hAnsi="Arial"/>
          <w:sz w:val="18"/>
          <w:szCs w:val="18"/>
          <w:color w:val="auto"/>
        </w:rPr>
        <w:t xml:space="preserve"> footprint—resulting in the creation and capture of higher value across these assets.</w:t>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Decarbonization is a priority, and in 2021, Schlumberger made a bold commitment to achieve net-zero greenhouse gas emissions by 2050, with our net-zero target inclusive of Scope 3 emissions.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Schlumberger is uniquely positioned to help customers decarbonize oil and gas operations through our Transition Technologies portfolio and the novel application of our technologies in low-carbon energy:</w:t>
      </w:r>
    </w:p>
    <w:p>
      <w:pPr>
        <w:spacing w:after="0" w:line="76" w:lineRule="exact"/>
        <w:rPr>
          <w:sz w:val="20"/>
          <w:szCs w:val="20"/>
          <w:color w:val="auto"/>
        </w:rPr>
      </w:pPr>
    </w:p>
    <w:p>
      <w:pPr>
        <w:ind w:left="960" w:right="220" w:hanging="532"/>
        <w:spacing w:after="0" w:line="255"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Equinor recently completed the installation of a OneSubsea subsea multiphase boosting system, a solution that will reduce the cost and carbon impact of producing an additional 16 million barrels of oil from Vigdis Field in the North Sea. In production for more than 20 years, the Vigdis Field is producing into the existing Snorre A facility, a cost advantage over building new infrastructure. Leveraging an all-electric control system, the multiphase boosting system requires less than 50% of the energy to produce the same volume of oil as compared to gas lift, avoiding 200,000 tons of CO</w:t>
      </w:r>
      <w:r>
        <w:rPr>
          <w:rFonts w:ascii="Arial" w:cs="Arial" w:eastAsia="Arial" w:hAnsi="Arial"/>
          <w:sz w:val="15"/>
          <w:szCs w:val="15"/>
          <w:color w:val="auto"/>
        </w:rPr>
        <w:t>2</w:t>
      </w:r>
      <w:r>
        <w:rPr>
          <w:rFonts w:ascii="Arial" w:cs="Arial" w:eastAsia="Arial" w:hAnsi="Arial"/>
          <w:sz w:val="18"/>
          <w:szCs w:val="18"/>
          <w:color w:val="auto"/>
        </w:rPr>
        <w:t xml:space="preserve"> equivalent over 10 years of operation at Vigdis and paving the way for future subsea electrification around the world.</w:t>
      </w:r>
    </w:p>
    <w:p>
      <w:pPr>
        <w:spacing w:after="0" w:line="97" w:lineRule="exact"/>
        <w:rPr>
          <w:rFonts w:ascii="Arial" w:cs="Arial" w:eastAsia="Arial" w:hAnsi="Arial"/>
          <w:sz w:val="18"/>
          <w:szCs w:val="18"/>
          <w:color w:val="auto"/>
        </w:rPr>
      </w:pPr>
    </w:p>
    <w:p>
      <w:pPr>
        <w:ind w:left="960" w:right="100" w:hanging="532"/>
        <w:spacing w:after="0" w:line="296"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France, Schlumberger was awarded the downhole completions scope for a proof-of-concept green hydrogen storage pilot project called HyPSTER for Storengy, a company of ENGIE—the first project of its kind. HyPSTER aims to support the development of a green hydrogen ecosystem across France—and later Europe. Schlumberger is a key technical partner in this flagship development of renewable hydrogen underground storage using repurposed natural gas storage salt caverns. Schlumberger will provide equipment, engineering, project management, and develop fit-for-purpose economical solutions to enable future development at scale.</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Schlumberger New Energy, we are forging partnerships to apply a portfolio of low-carbon and carbon-neutral energy technologies across industries, contributing to a more sustainable future energy mix.</w:t>
      </w:r>
    </w:p>
    <w:p>
      <w:pPr>
        <w:spacing w:after="0" w:line="76" w:lineRule="exact"/>
        <w:rPr>
          <w:sz w:val="20"/>
          <w:szCs w:val="20"/>
          <w:color w:val="auto"/>
        </w:rPr>
      </w:pPr>
    </w:p>
    <w:p>
      <w:pPr>
        <w:ind w:left="960" w:hanging="532"/>
        <w:spacing w:after="0" w:line="254"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Schlumberger New Energy, the French Alternative Energies and Atomic Energy Commission (CEA), and partners have announced the signature of pilot project agreements with leading steel and cement companies on the pathway to net zero in those industries. In the steel industry, Genvia has agreed pilot projects with ArcelorMittal Méditerranée, a subsidiary of ArcelorMittal, a world leader in the steel industry; and Ugitech—part of Swiss Steel Group, a world leader in long stainless-steel products. In the cement industry, Genvia has agreed pilot projects with Vicat, a cement production group; and Hynamics—a low-carbon and renewable-hydrogen solutions subsidiary of EDF Group. Genvia aims to deliver the highest green-hydrogen creation efficiency, resulting in significantly less electricity use per kilogram of hydrogen produced.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 w:name="page14"/>
    <w:bookmarkEnd w:id="13"/>
    <w:p>
      <w:pPr>
        <w:ind w:left="964" w:right="20" w:hanging="532"/>
        <w:spacing w:after="0" w:line="291" w:lineRule="auto"/>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Celsius Energy, a Schlumberger New Energy venture that provides geoenergy technology for zero-carbon heating and cooling of buildings, has expanded its commercial operations in Europe and North America. In France, a leading healthcare company has selected the Celsius Energy solution in two new developments, and feasibility studies for implementation at additional facilities is ongoing. In the US, Celsius Energy completed its first operation during the fourth quarter of 2021 at a prestigious East Coast university campus, opening new market opportunities for the expansion of Celsius Energy solutions. During COP26, more than 1,000 cities committed to the UN-backed “Cities Race to Zero” campaign, while companies and municipalities globally have advanced net-zero targets and commitments to address global greenhouse gas emissions. Celsius Energy is uniquely positioned to support these commitments, contributing to global decarbonization.</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TABLES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820" w:type="dxa"/>
            <w:vAlign w:val="bottom"/>
          </w:tcPr>
          <w:p>
            <w:pPr>
              <w:spacing w:after="0"/>
              <w:rPr>
                <w:sz w:val="20"/>
                <w:szCs w:val="20"/>
                <w:color w:val="auto"/>
              </w:rPr>
            </w:pPr>
            <w:r>
              <w:rPr>
                <w:rFonts w:ascii="Arial" w:cs="Arial" w:eastAsia="Arial" w:hAnsi="Arial"/>
                <w:sz w:val="14"/>
                <w:szCs w:val="14"/>
                <w:b w:val="1"/>
                <w:bCs w:val="1"/>
                <w:color w:val="auto"/>
              </w:rPr>
              <w:t>Full-Year Results</w:t>
            </w:r>
          </w:p>
        </w:tc>
        <w:tc>
          <w:tcPr>
            <w:tcW w:w="200" w:type="dxa"/>
            <w:vAlign w:val="bottom"/>
          </w:tcPr>
          <w:p>
            <w:pPr>
              <w:spacing w:after="0"/>
              <w:rPr>
                <w:sz w:val="14"/>
                <w:szCs w:val="14"/>
                <w:color w:val="auto"/>
              </w:rPr>
            </w:pPr>
          </w:p>
        </w:tc>
        <w:tc>
          <w:tcPr>
            <w:tcW w:w="3000" w:type="dxa"/>
            <w:vAlign w:val="bottom"/>
            <w:gridSpan w:val="8"/>
          </w:tcPr>
          <w:p>
            <w:pPr>
              <w:jc w:val="right"/>
              <w:ind w:right="240"/>
              <w:spacing w:after="0"/>
              <w:rPr>
                <w:sz w:val="20"/>
                <w:szCs w:val="20"/>
                <w:color w:val="auto"/>
              </w:rPr>
            </w:pPr>
            <w:r>
              <w:rPr>
                <w:rFonts w:ascii="Arial" w:cs="Arial" w:eastAsia="Arial" w:hAnsi="Arial"/>
                <w:sz w:val="14"/>
                <w:szCs w:val="14"/>
                <w:color w:val="auto"/>
                <w:w w:val="96"/>
              </w:rPr>
              <w:t>(Stated in millions, except per share amounts)</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Twelve Months Ended</w:t>
            </w: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2021</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Dec . 31, 2020</w:t>
            </w:r>
          </w:p>
        </w:tc>
        <w:tc>
          <w:tcPr>
            <w:tcW w:w="3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Income (loss) before taxes - GAAP basis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2,374</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11,298)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GAAP basis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1,881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(10,518)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Diluted EPS (loss per share) - GAAP basis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1.32</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(7.57)</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 DA**</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4,925</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Adjusted EBIT DA margin**</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320 bps</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3,365</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Pretax segment operating margin**</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450 bps</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1,831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r>
              <w:rPr>
                <w:rFonts w:ascii="Arial" w:cs="Arial" w:eastAsia="Arial" w:hAnsi="Arial"/>
                <w:sz w:val="18"/>
                <w:szCs w:val="18"/>
                <w:color w:val="auto"/>
              </w:rPr>
              <w:t>Diluted EPS, excluding charges &amp; credits**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1.28</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0.68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90"/>
        </w:trPr>
        <w:tc>
          <w:tcPr>
            <w:tcW w:w="7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by Geography</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18,295</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18,002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5,478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22,929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23,601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7"/>
          <w:szCs w:val="17"/>
          <w:color w:val="auto"/>
        </w:rPr>
      </w:pPr>
      <w:r>
        <w:rPr>
          <w:rFonts w:ascii="Arial" w:cs="Arial" w:eastAsia="Arial" w:hAnsi="Arial"/>
          <w:sz w:val="17"/>
          <w:szCs w:val="17"/>
          <w:color w:val="auto"/>
        </w:rPr>
        <w:t>Schlumberger divested certain businesses in North America during the fourth quarter of 2020. These businesses generated revenue of</w:t>
      </w:r>
    </w:p>
    <w:p>
      <w:pPr>
        <w:spacing w:after="0" w:line="34" w:lineRule="exact"/>
        <w:rPr>
          <w:rFonts w:ascii="Arial" w:cs="Arial" w:eastAsia="Arial" w:hAnsi="Arial"/>
          <w:sz w:val="17"/>
          <w:szCs w:val="17"/>
          <w:color w:val="auto"/>
        </w:rPr>
      </w:pPr>
    </w:p>
    <w:p>
      <w:pPr>
        <w:ind w:left="424"/>
        <w:spacing w:after="0"/>
        <w:rPr>
          <w:rFonts w:ascii="Arial" w:cs="Arial" w:eastAsia="Arial" w:hAnsi="Arial"/>
          <w:sz w:val="17"/>
          <w:szCs w:val="17"/>
          <w:color w:val="auto"/>
        </w:rPr>
      </w:pPr>
      <w:r>
        <w:rPr>
          <w:rFonts w:ascii="Arial" w:cs="Arial" w:eastAsia="Arial" w:hAnsi="Arial"/>
          <w:sz w:val="17"/>
          <w:szCs w:val="17"/>
          <w:color w:val="auto"/>
        </w:rPr>
        <w:t>$1.347 billion during 2020. Excluding the impact of these divestitures, global 2021 revenue increased 3% year-on-year. North America 2021</w:t>
      </w:r>
    </w:p>
    <w:p>
      <w:pPr>
        <w:spacing w:after="0" w:line="21" w:lineRule="exact"/>
        <w:rPr>
          <w:sz w:val="20"/>
          <w:szCs w:val="20"/>
          <w:color w:val="auto"/>
        </w:rPr>
      </w:pPr>
    </w:p>
    <w:p>
      <w:pPr>
        <w:ind w:left="424"/>
        <w:spacing w:after="0"/>
        <w:rPr>
          <w:sz w:val="20"/>
          <w:szCs w:val="20"/>
          <w:color w:val="auto"/>
        </w:rPr>
      </w:pPr>
      <w:r>
        <w:rPr>
          <w:rFonts w:ascii="Arial" w:cs="Arial" w:eastAsia="Arial" w:hAnsi="Arial"/>
          <w:sz w:val="18"/>
          <w:szCs w:val="18"/>
          <w:color w:val="auto"/>
        </w:rPr>
        <w:t>revenue, excluding the impact of these divestitures, increased 8% year-on-year.</w:t>
      </w:r>
    </w:p>
    <w:p>
      <w:pPr>
        <w:spacing w:after="0" w:line="9"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These are non-GAAP financial measures. See sections titled “Charges &amp; Credits”, “Divisions”, and “Supplemental Information” for details.</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Statement of Income (Loss)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13"/>
          </w:tcPr>
          <w:p>
            <w:pPr>
              <w:jc w:val="right"/>
              <w:ind w:right="41"/>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67"/>
        </w:trPr>
        <w:tc>
          <w:tcPr>
            <w:tcW w:w="1680" w:type="dxa"/>
            <w:vAlign w:val="bottom"/>
            <w:vMerge w:val="restart"/>
          </w:tcPr>
          <w:p>
            <w:pPr>
              <w:spacing w:after="0"/>
              <w:rPr>
                <w:sz w:val="20"/>
                <w:szCs w:val="20"/>
                <w:color w:val="auto"/>
              </w:rPr>
            </w:pPr>
            <w:r>
              <w:rPr>
                <w:rFonts w:ascii="Arial" w:cs="Arial" w:eastAsia="Arial" w:hAnsi="Arial"/>
                <w:sz w:val="14"/>
                <w:szCs w:val="14"/>
                <w:color w:val="auto"/>
                <w:w w:val="90"/>
              </w:rPr>
              <w:t>Periods Ended December 31,</w:t>
            </w:r>
          </w:p>
        </w:tc>
        <w:tc>
          <w:tcPr>
            <w:tcW w:w="61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jc w:val="right"/>
              <w:ind w:right="340"/>
              <w:spacing w:after="0"/>
              <w:rPr>
                <w:sz w:val="20"/>
                <w:szCs w:val="20"/>
                <w:color w:val="auto"/>
              </w:rPr>
            </w:pPr>
            <w:r>
              <w:rPr>
                <w:rFonts w:ascii="Arial" w:cs="Arial" w:eastAsia="Arial" w:hAnsi="Arial"/>
                <w:sz w:val="14"/>
                <w:szCs w:val="14"/>
                <w:color w:val="auto"/>
              </w:rPr>
              <w:t>Fourth 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ind w:left="22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48"/>
        </w:trPr>
        <w:tc>
          <w:tcPr>
            <w:tcW w:w="1680" w:type="dxa"/>
            <w:vAlign w:val="bottom"/>
            <w:tcBorders>
              <w:bottom w:val="single" w:sz="8" w:color="auto"/>
            </w:tcBorders>
            <w:vMerge w:val="continue"/>
          </w:tcPr>
          <w:p>
            <w:pPr>
              <w:spacing w:after="0"/>
              <w:rPr>
                <w:sz w:val="12"/>
                <w:szCs w:val="12"/>
                <w:color w:val="auto"/>
              </w:rPr>
            </w:pPr>
          </w:p>
        </w:tc>
        <w:tc>
          <w:tcPr>
            <w:tcW w:w="61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color w:val="auto"/>
                <w:w w:val="89"/>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6,225</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5,532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22,929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$ 23,601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 xml:space="preserve">Interest and other income </w:t>
            </w:r>
            <w:r>
              <w:rPr>
                <w:rFonts w:ascii="Arial" w:cs="Arial" w:eastAsia="Arial" w:hAnsi="Arial"/>
                <w:sz w:val="18"/>
                <w:szCs w:val="18"/>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148</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Gain on sales of businesses </w:t>
            </w:r>
            <w:r>
              <w:rPr>
                <w:rFonts w:ascii="Arial" w:cs="Arial" w:eastAsia="Arial" w:hAnsi="Arial"/>
                <w:sz w:val="18"/>
                <w:szCs w:val="18"/>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5,136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4,828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19,271</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Research &amp; engineering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554</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&amp;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339</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8"/>
                <w:szCs w:val="18"/>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12,658</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18"/>
                <w:szCs w:val="18"/>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539</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color w:val="auto"/>
              </w:rPr>
              <w:t xml:space="preserve">Income (loss) before taxes </w:t>
            </w:r>
            <w:r>
              <w:rPr>
                <w:rFonts w:ascii="Arial" w:cs="Arial" w:eastAsia="Arial" w:hAnsi="Arial"/>
                <w:sz w:val="18"/>
                <w:szCs w:val="18"/>
                <w:color w:val="auto"/>
                <w:vertAlign w:val="superscript"/>
              </w:rPr>
              <w:t>(1)</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($ 11,298)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Tax expense (benefit) </w:t>
            </w:r>
            <w:r>
              <w:rPr>
                <w:rFonts w:ascii="Arial" w:cs="Arial" w:eastAsia="Arial" w:hAnsi="Arial"/>
                <w:sz w:val="18"/>
                <w:szCs w:val="18"/>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8"/>
                <w:szCs w:val="18"/>
                <w:color w:val="auto"/>
                <w:vertAlign w:val="superscript"/>
              </w:rPr>
              <w:t>(1)</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($10,486)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8"/>
                <w:szCs w:val="18"/>
                <w:color w:val="auto"/>
                <w:vertAlign w:val="superscript"/>
              </w:rPr>
              <w:t>(1)</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8"/>
                <w:szCs w:val="18"/>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7.57)</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1,411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1,427</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8"/>
                <w:szCs w:val="18"/>
                <w:color w:val="auto"/>
                <w:vertAlign w:val="superscript"/>
              </w:rPr>
              <w:t>(2)</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2,566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color w:val="auto"/>
          <w:vertAlign w:val="superscript"/>
        </w:rPr>
      </w:pPr>
      <w:r>
        <w:rPr>
          <w:rFonts w:ascii="Arial" w:cs="Arial" w:eastAsia="Arial" w:hAnsi="Arial"/>
          <w:sz w:val="18"/>
          <w:szCs w:val="18"/>
          <w:color w:val="auto"/>
        </w:rPr>
        <w:t>See section entitled “Charges &amp; Credits” for details.</w:t>
      </w:r>
    </w:p>
    <w:p>
      <w:pPr>
        <w:spacing w:after="0" w:line="25" w:lineRule="exact"/>
        <w:rPr>
          <w:rFonts w:ascii="Arial" w:cs="Arial" w:eastAsia="Arial" w:hAnsi="Arial"/>
          <w:sz w:val="18"/>
          <w:szCs w:val="18"/>
          <w:color w:val="auto"/>
          <w:vertAlign w:val="superscript"/>
        </w:rPr>
      </w:pPr>
    </w:p>
    <w:p>
      <w:pPr>
        <w:ind w:left="424" w:hanging="424"/>
        <w:spacing w:after="0"/>
        <w:tabs>
          <w:tab w:leader="none" w:pos="424" w:val="left"/>
        </w:tabs>
        <w:numPr>
          <w:ilvl w:val="0"/>
          <w:numId w:val="23"/>
        </w:numPr>
        <w:rPr>
          <w:rFonts w:ascii="Arial" w:cs="Arial" w:eastAsia="Arial" w:hAnsi="Arial"/>
          <w:sz w:val="16"/>
          <w:szCs w:val="1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0" w:right="4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left="92"/>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color w:val="auto"/>
                <w:w w:val="85"/>
              </w:rPr>
              <w:t>Assets</w:t>
            </w:r>
          </w:p>
        </w:tc>
        <w:tc>
          <w:tcPr>
            <w:tcW w:w="4700" w:type="dxa"/>
            <w:vAlign w:val="bottom"/>
            <w:gridSpan w:val="2"/>
            <w:vMerge w:val="restart"/>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Dec. 31,</w:t>
            </w: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2"/>
              <w:spacing w:after="0" w:line="158"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Cash and short-term investments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3,139</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5,315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Inventories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3,272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12,654</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affiliated companies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2,044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6,429</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12,990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12,980</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3,211</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4,183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41,511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4"/>
                <w:szCs w:val="14"/>
                <w:color w:val="auto"/>
                <w:w w:val="97"/>
              </w:rPr>
              <w:t>Liabilities and Equity</w:t>
            </w:r>
          </w:p>
        </w:tc>
        <w:tc>
          <w:tcPr>
            <w:tcW w:w="38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260" w:type="dxa"/>
            <w:vAlign w:val="bottom"/>
            <w:tcBorders>
              <w:bottom w:val="single" w:sz="8" w:color="auto"/>
            </w:tcBorders>
            <w:gridSpan w:val="2"/>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8,382</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8,442</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879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909</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Dividends payable</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10,359</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13,286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16,036</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2,349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26,225</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29,945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15,286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12,489</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41,511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20" w:type="dxa"/>
            <w:vAlign w:val="bottom"/>
            <w:vMerge w:val="restart"/>
          </w:tcPr>
          <w:p>
            <w:pPr>
              <w:jc w:val="right"/>
              <w:ind w:right="38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8"/>
        </w:trPr>
        <w:tc>
          <w:tcPr>
            <w:tcW w:w="1460" w:type="dxa"/>
            <w:vAlign w:val="bottom"/>
            <w:vMerge w:val="restart"/>
          </w:tcPr>
          <w:p>
            <w:pPr>
              <w:spacing w:after="0"/>
              <w:rPr>
                <w:sz w:val="20"/>
                <w:szCs w:val="20"/>
                <w:color w:val="auto"/>
              </w:rPr>
            </w:pPr>
            <w:r>
              <w:rPr>
                <w:rFonts w:ascii="Arial" w:cs="Arial" w:eastAsia="Arial" w:hAnsi="Arial"/>
                <w:sz w:val="14"/>
                <w:szCs w:val="14"/>
                <w:color w:val="auto"/>
                <w:w w:val="95"/>
              </w:rPr>
              <w:t>Components of Liquidity</w:t>
            </w:r>
          </w:p>
        </w:tc>
        <w:tc>
          <w:tcPr>
            <w:tcW w:w="70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88"/>
              </w:rPr>
              <w:t>Dec. 31,</w:t>
            </w:r>
          </w:p>
        </w:tc>
        <w:tc>
          <w:tcPr>
            <w:tcW w:w="800" w:type="dxa"/>
            <w:vAlign w:val="bottom"/>
            <w:gridSpan w:val="3"/>
          </w:tcPr>
          <w:p>
            <w:pPr>
              <w:jc w:val="center"/>
              <w:ind w:right="61"/>
              <w:spacing w:after="0" w:line="149" w:lineRule="exact"/>
              <w:rPr>
                <w:sz w:val="20"/>
                <w:szCs w:val="20"/>
                <w:color w:val="auto"/>
              </w:rPr>
            </w:pPr>
            <w:r>
              <w:rPr>
                <w:rFonts w:ascii="Arial" w:cs="Arial" w:eastAsia="Arial" w:hAnsi="Arial"/>
                <w:sz w:val="14"/>
                <w:szCs w:val="14"/>
                <w:color w:val="auto"/>
                <w:w w:val="89"/>
              </w:rPr>
              <w:t>Sept.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1"/>
              <w:spacing w:after="0" w:line="149"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vMerge w:val="continue"/>
          </w:tcPr>
          <w:p>
            <w:pPr>
              <w:spacing w:after="0"/>
              <w:rPr>
                <w:sz w:val="15"/>
                <w:szCs w:val="15"/>
                <w:color w:val="auto"/>
              </w:rPr>
            </w:pPr>
          </w:p>
        </w:tc>
        <w:tc>
          <w:tcPr>
            <w:tcW w:w="7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3"/>
              <w:spacing w:after="0" w:line="154" w:lineRule="exact"/>
              <w:rPr>
                <w:sz w:val="20"/>
                <w:szCs w:val="20"/>
                <w:color w:val="auto"/>
              </w:rPr>
            </w:pPr>
            <w:r>
              <w:rPr>
                <w:rFonts w:ascii="Arial" w:cs="Arial" w:eastAsia="Arial" w:hAnsi="Arial"/>
                <w:sz w:val="14"/>
                <w:szCs w:val="14"/>
                <w:color w:val="auto"/>
              </w:rPr>
              <w:t>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89"/>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3,139</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2,942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(13,286)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(14,370)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(16,036)</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0"/>
                <w:szCs w:val="10"/>
                <w:color w:val="auto"/>
              </w:rPr>
              <w:t>(1)</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(11,056</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(12,453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(13,880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Twelve</w:t>
            </w:r>
          </w:p>
        </w:tc>
        <w:tc>
          <w:tcPr>
            <w:tcW w:w="100" w:type="dxa"/>
            <w:vAlign w:val="bottom"/>
          </w:tcPr>
          <w:p>
            <w:pPr>
              <w:spacing w:after="0"/>
              <w:rPr>
                <w:sz w:val="24"/>
                <w:szCs w:val="24"/>
                <w:color w:val="auto"/>
              </w:rPr>
            </w:pPr>
          </w:p>
        </w:tc>
        <w:tc>
          <w:tcPr>
            <w:tcW w:w="7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9"/>
              </w:rPr>
              <w:t>Fourth</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141"/>
              <w:spacing w:after="0"/>
              <w:rPr>
                <w:sz w:val="20"/>
                <w:szCs w:val="20"/>
                <w:color w:val="auto"/>
              </w:rPr>
            </w:pPr>
            <w:r>
              <w:rPr>
                <w:rFonts w:ascii="Arial" w:cs="Arial" w:eastAsia="Arial" w:hAnsi="Arial"/>
                <w:sz w:val="14"/>
                <w:szCs w:val="14"/>
                <w:color w:val="auto"/>
                <w:w w:val="94"/>
              </w:rPr>
              <w:t>Twelve</w:t>
            </w:r>
          </w:p>
        </w:tc>
        <w:tc>
          <w:tcPr>
            <w:tcW w:w="0" w:type="dxa"/>
            <w:vAlign w:val="bottom"/>
          </w:tcPr>
          <w:p>
            <w:pPr>
              <w:spacing w:after="0"/>
              <w:rPr>
                <w:sz w:val="1"/>
                <w:szCs w:val="1"/>
                <w:color w:val="auto"/>
              </w:rPr>
            </w:pPr>
          </w:p>
        </w:tc>
      </w:tr>
      <w:tr>
        <w:trPr>
          <w:trHeight w:val="148"/>
        </w:trPr>
        <w:tc>
          <w:tcPr>
            <w:tcW w:w="1680" w:type="dxa"/>
            <w:vAlign w:val="bottom"/>
            <w:gridSpan w:val="2"/>
            <w:vMerge w:val="restart"/>
          </w:tcPr>
          <w:p>
            <w:pPr>
              <w:spacing w:after="0"/>
              <w:rPr>
                <w:sz w:val="20"/>
                <w:szCs w:val="20"/>
                <w:color w:val="auto"/>
              </w:rPr>
            </w:pPr>
            <w:r>
              <w:rPr>
                <w:rFonts w:ascii="Arial" w:cs="Arial" w:eastAsia="Arial" w:hAnsi="Arial"/>
                <w:sz w:val="14"/>
                <w:szCs w:val="14"/>
                <w:color w:val="auto"/>
                <w:w w:val="90"/>
              </w:rPr>
              <w:t>Periods Ended December 31,</w:t>
            </w:r>
          </w:p>
        </w:tc>
        <w:tc>
          <w:tcPr>
            <w:tcW w:w="68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Months</w:t>
            </w:r>
          </w:p>
        </w:tc>
        <w:tc>
          <w:tcPr>
            <w:tcW w:w="800" w:type="dxa"/>
            <w:vAlign w:val="bottom"/>
            <w:gridSpan w:val="3"/>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1"/>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78"/>
        </w:trPr>
        <w:tc>
          <w:tcPr>
            <w:tcW w:w="1680" w:type="dxa"/>
            <w:vAlign w:val="bottom"/>
            <w:tcBorders>
              <w:bottom w:val="single" w:sz="8" w:color="auto"/>
            </w:tcBorders>
            <w:gridSpan w:val="2"/>
            <w:vMerge w:val="continue"/>
          </w:tcPr>
          <w:p>
            <w:pPr>
              <w:spacing w:after="0"/>
              <w:rPr>
                <w:sz w:val="15"/>
                <w:szCs w:val="15"/>
                <w:color w:val="auto"/>
              </w:rPr>
            </w:pPr>
          </w:p>
        </w:tc>
        <w:tc>
          <w:tcPr>
            <w:tcW w:w="6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1,928</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611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(10,486)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 xml:space="preserve">Charges and credits, net of tax </w:t>
            </w:r>
            <w:r>
              <w:rPr>
                <w:rFonts w:ascii="Arial" w:cs="Arial" w:eastAsia="Arial" w:hAnsi="Arial"/>
                <w:sz w:val="10"/>
                <w:szCs w:val="10"/>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11,474</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0"/>
                <w:szCs w:val="10"/>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753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federal tax refund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0"/>
                <w:szCs w:val="10"/>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1,932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(1,141)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APS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Multiclient seismic data capitalized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0"/>
                <w:szCs w:val="10"/>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Proceeds from sale of Liberty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divestitures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Repayment of finance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Change in net debt before impact of changes in foreign exchange rates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Decrease (increase) in Net Debt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(13,880)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89"/>
              </w:rPr>
              <w:t>(12,453)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(13,127)</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Net Debt, end of period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(11,056</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(11,056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(13,880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80" w:hanging="424"/>
        <w:spacing w:after="0" w:line="271" w:lineRule="auto"/>
        <w:tabs>
          <w:tab w:leader="none" w:pos="424" w:val="left"/>
        </w:tabs>
        <w:numPr>
          <w:ilvl w:val="0"/>
          <w:numId w:val="24"/>
        </w:numPr>
        <w:rPr>
          <w:rFonts w:ascii="Arial" w:cs="Arial" w:eastAsia="Arial" w:hAnsi="Arial"/>
          <w:sz w:val="17"/>
          <w:szCs w:val="17"/>
          <w:color w:val="auto"/>
          <w:vertAlign w:val="superscript"/>
        </w:rPr>
      </w:pPr>
      <w:r>
        <w:rPr>
          <w:rFonts w:ascii="Arial" w:cs="Arial" w:eastAsia="Arial" w:hAnsi="Arial"/>
          <w:sz w:val="17"/>
          <w:szCs w:val="17"/>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24" w:hanging="424"/>
        <w:spacing w:after="0"/>
        <w:tabs>
          <w:tab w:leader="none" w:pos="424" w:val="left"/>
        </w:tabs>
        <w:numPr>
          <w:ilvl w:val="0"/>
          <w:numId w:val="24"/>
        </w:numPr>
        <w:rPr>
          <w:rFonts w:ascii="Arial" w:cs="Arial" w:eastAsia="Arial" w:hAnsi="Arial"/>
          <w:sz w:val="18"/>
          <w:szCs w:val="18"/>
          <w:color w:val="auto"/>
          <w:vertAlign w:val="superscript"/>
        </w:rPr>
      </w:pPr>
      <w:r>
        <w:rPr>
          <w:rFonts w:ascii="Arial" w:cs="Arial" w:eastAsia="Arial" w:hAnsi="Arial"/>
          <w:sz w:val="18"/>
          <w:szCs w:val="18"/>
          <w:color w:val="auto"/>
        </w:rPr>
        <w:t>See section entitled “Charges &amp; Credits” for details.</w:t>
      </w:r>
    </w:p>
    <w:p>
      <w:pPr>
        <w:spacing w:after="0" w:line="10" w:lineRule="exact"/>
        <w:rPr>
          <w:rFonts w:ascii="Arial" w:cs="Arial" w:eastAsia="Arial" w:hAnsi="Arial"/>
          <w:sz w:val="18"/>
          <w:szCs w:val="18"/>
          <w:color w:val="auto"/>
          <w:vertAlign w:val="superscript"/>
        </w:rPr>
      </w:pPr>
    </w:p>
    <w:p>
      <w:pPr>
        <w:ind w:left="424" w:hanging="424"/>
        <w:spacing w:after="0"/>
        <w:tabs>
          <w:tab w:leader="none" w:pos="424" w:val="left"/>
        </w:tabs>
        <w:numPr>
          <w:ilvl w:val="0"/>
          <w:numId w:val="24"/>
        </w:numPr>
        <w:rPr>
          <w:rFonts w:ascii="Arial" w:cs="Arial" w:eastAsia="Arial" w:hAnsi="Arial"/>
          <w:sz w:val="16"/>
          <w:szCs w:val="1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32" w:lineRule="exact"/>
        <w:rPr>
          <w:rFonts w:ascii="Arial" w:cs="Arial" w:eastAsia="Arial" w:hAnsi="Arial"/>
          <w:sz w:val="16"/>
          <w:szCs w:val="16"/>
          <w:color w:val="auto"/>
          <w:vertAlign w:val="superscript"/>
        </w:rPr>
      </w:pPr>
    </w:p>
    <w:p>
      <w:pPr>
        <w:jc w:val="both"/>
        <w:ind w:left="424" w:right="940" w:hanging="424"/>
        <w:spacing w:after="0" w:line="280" w:lineRule="auto"/>
        <w:tabs>
          <w:tab w:leader="none" w:pos="424" w:val="left"/>
        </w:tabs>
        <w:numPr>
          <w:ilvl w:val="0"/>
          <w:numId w:val="24"/>
        </w:numPr>
        <w:rPr>
          <w:rFonts w:ascii="Arial" w:cs="Arial" w:eastAsia="Arial" w:hAnsi="Arial"/>
          <w:sz w:val="16"/>
          <w:szCs w:val="16"/>
          <w:color w:val="auto"/>
          <w:vertAlign w:val="superscript"/>
        </w:rPr>
      </w:pPr>
      <w:r>
        <w:rPr>
          <w:rFonts w:ascii="Arial" w:cs="Arial" w:eastAsia="Arial" w:hAnsi="Arial"/>
          <w:sz w:val="16"/>
          <w:szCs w:val="16"/>
          <w:color w:val="auto"/>
        </w:rPr>
        <w:t>Includes severance payments of $248 million and $22 million during the twelve months and fourth quarter ended December 31, 2021, respectively; and $843 million and $144 million during the twelve months and fourth quarter ended December 31, 2020, respectively.</w:t>
      </w:r>
    </w:p>
    <w:p>
      <w:pPr>
        <w:spacing w:after="0" w:line="1" w:lineRule="exact"/>
        <w:rPr>
          <w:rFonts w:ascii="Arial" w:cs="Arial" w:eastAsia="Arial" w:hAnsi="Arial"/>
          <w:sz w:val="16"/>
          <w:szCs w:val="16"/>
          <w:color w:val="auto"/>
          <w:vertAlign w:val="superscript"/>
        </w:rPr>
      </w:pPr>
    </w:p>
    <w:p>
      <w:pPr>
        <w:ind w:left="424" w:right="60" w:hanging="424"/>
        <w:spacing w:after="0" w:line="270" w:lineRule="auto"/>
        <w:tabs>
          <w:tab w:leader="none" w:pos="424" w:val="left"/>
        </w:tabs>
        <w:numPr>
          <w:ilvl w:val="0"/>
          <w:numId w:val="24"/>
        </w:numPr>
        <w:rPr>
          <w:rFonts w:ascii="Arial" w:cs="Arial" w:eastAsia="Arial" w:hAnsi="Arial"/>
          <w:sz w:val="17"/>
          <w:szCs w:val="17"/>
          <w:color w:val="auto"/>
          <w:vertAlign w:val="superscript"/>
        </w:rPr>
      </w:pPr>
      <w:r>
        <w:rPr>
          <w:rFonts w:ascii="Arial" w:cs="Arial" w:eastAsia="Arial" w:hAnsi="Arial"/>
          <w:sz w:val="17"/>
          <w:szCs w:val="17"/>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0" w:right="4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&amp; Credits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fourth-quarter and full-year 2021 earnings release also includes non-GAAP financial measures (as defined under the SEC’s Regulation G). In addition to the non-GAAP financial measures discussed under “Liquidity”, net income (loss), excluding charges &amp; credits, as well as measures derived from it (including diluted EPS, excluding charges &amp; credits; Schlumberger net income (loss), excluding charges &amp; credits; effective tax rate, excluding charges &amp; credits; and adjusted EBITDA)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“Supplemental Information” (Question 9).</w:t>
      </w:r>
    </w:p>
    <w:p>
      <w:pPr>
        <w:spacing w:after="0" w:line="191" w:lineRule="exact"/>
        <w:rPr>
          <w:sz w:val="20"/>
          <w:szCs w:val="20"/>
          <w:color w:val="auto"/>
        </w:rPr>
      </w:pPr>
    </w:p>
    <w:p>
      <w:pPr>
        <w:ind w:left="826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4"/>
                <w:szCs w:val="14"/>
                <w:b w:val="1"/>
                <w:bCs w:val="1"/>
                <w:color w:val="auto"/>
                <w:w w:val="95"/>
              </w:rPr>
              <w:t>Fourth Quarter 2021</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60"/>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Pretax</w:t>
            </w: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Tax</w:t>
            </w:r>
          </w:p>
        </w:tc>
        <w:tc>
          <w:tcPr>
            <w:tcW w:w="26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4"/>
                <w:szCs w:val="14"/>
                <w:color w:val="auto"/>
                <w:w w:val="82"/>
              </w:rPr>
              <w:t>Net</w:t>
            </w:r>
          </w:p>
        </w:tc>
        <w:tc>
          <w:tcPr>
            <w:tcW w:w="14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$ 755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601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 xml:space="preserve">Gain on sale of Liberty shares </w:t>
            </w:r>
            <w:r>
              <w:rPr>
                <w:rFonts w:ascii="Arial" w:cs="Arial" w:eastAsia="Arial" w:hAnsi="Arial"/>
                <w:sz w:val="10"/>
                <w:szCs w:val="10"/>
                <w:color w:val="auto"/>
              </w:rPr>
              <w:t>(1)</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 (28)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Early repayment of bonds </w:t>
            </w:r>
            <w:r>
              <w:rPr>
                <w:rFonts w:ascii="Arial" w:cs="Arial" w:eastAsia="Arial" w:hAnsi="Arial"/>
                <w:sz w:val="10"/>
                <w:szCs w:val="10"/>
                <w:color w:val="auto"/>
              </w:rPr>
              <w:t>(2)</w:t>
            </w:r>
          </w:p>
        </w:tc>
        <w:tc>
          <w:tcPr>
            <w:tcW w:w="3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$ 737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587</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9"/>
              </w:rPr>
              <w:t>Third Quarter 2021</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60"/>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Pretax</w:t>
            </w: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Tax</w:t>
            </w:r>
          </w:p>
        </w:tc>
        <w:tc>
          <w:tcPr>
            <w:tcW w:w="26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4"/>
                <w:szCs w:val="14"/>
                <w:color w:val="auto"/>
                <w:w w:val="82"/>
              </w:rPr>
              <w:t>Net</w:t>
            </w:r>
          </w:p>
        </w:tc>
        <w:tc>
          <w:tcPr>
            <w:tcW w:w="14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$ 691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 xml:space="preserve">Unrealized gain on marketable securities </w:t>
            </w:r>
            <w:r>
              <w:rPr>
                <w:rFonts w:ascii="Arial" w:cs="Arial" w:eastAsia="Arial" w:hAnsi="Arial"/>
                <w:sz w:val="10"/>
                <w:szCs w:val="10"/>
                <w:color w:val="auto"/>
              </w:rPr>
              <w:t>(1)</w:t>
            </w:r>
          </w:p>
        </w:tc>
        <w:tc>
          <w:tcPr>
            <w:tcW w:w="2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3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118</w:t>
            </w:r>
          </w:p>
        </w:tc>
        <w:tc>
          <w:tcPr>
            <w:tcW w:w="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4"/>
                <w:szCs w:val="14"/>
                <w:b w:val="1"/>
                <w:bCs w:val="1"/>
                <w:color w:val="auto"/>
                <w:w w:val="95"/>
              </w:rPr>
              <w:t>Fourth Quarter 2020</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60"/>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Pretax</w:t>
            </w: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Tax</w:t>
            </w:r>
          </w:p>
        </w:tc>
        <w:tc>
          <w:tcPr>
            <w:tcW w:w="26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4"/>
                <w:szCs w:val="14"/>
                <w:color w:val="auto"/>
                <w:w w:val="82"/>
              </w:rPr>
              <w:t>Net</w:t>
            </w:r>
          </w:p>
        </w:tc>
        <w:tc>
          <w:tcPr>
            <w:tcW w:w="14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$ 471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374</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 xml:space="preserve">Gain on sale of OneStim </w:t>
            </w:r>
            <w:r>
              <w:rPr>
                <w:rFonts w:ascii="Arial" w:cs="Arial" w:eastAsia="Arial" w:hAnsi="Arial"/>
                <w:sz w:val="10"/>
                <w:szCs w:val="10"/>
                <w:color w:val="auto"/>
              </w:rPr>
              <w:t>(3)</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Unrealized gain on marketable securities </w:t>
            </w:r>
            <w:r>
              <w:rPr>
                <w:rFonts w:ascii="Arial" w:cs="Arial" w:eastAsia="Arial" w:hAnsi="Arial"/>
                <w:sz w:val="10"/>
                <w:szCs w:val="10"/>
                <w:color w:val="auto"/>
              </w:rPr>
              <w:t>(1)</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Other</w:t>
            </w:r>
          </w:p>
        </w:tc>
        <w:tc>
          <w:tcPr>
            <w:tcW w:w="25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3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500" w:type="dxa"/>
            <w:vAlign w:val="bottom"/>
            <w:vMerge w:val="restart"/>
          </w:tcPr>
          <w:p>
            <w:pPr>
              <w:jc w:val="right"/>
              <w:ind w:right="1490"/>
              <w:spacing w:after="0"/>
              <w:rPr>
                <w:sz w:val="20"/>
                <w:szCs w:val="20"/>
                <w:color w:val="auto"/>
              </w:rPr>
            </w:pPr>
            <w:r>
              <w:rPr>
                <w:rFonts w:ascii="Arial" w:cs="Arial" w:eastAsia="Arial" w:hAnsi="Arial"/>
                <w:sz w:val="18"/>
                <w:szCs w:val="18"/>
                <w:color w:val="auto"/>
              </w:rPr>
              <w:t>15</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gridSpan w:val="13"/>
          </w:tcPr>
          <w:p>
            <w:pPr>
              <w:ind w:left="400"/>
              <w:spacing w:after="0"/>
              <w:rPr>
                <w:sz w:val="20"/>
                <w:szCs w:val="20"/>
                <w:color w:val="auto"/>
              </w:rPr>
            </w:pPr>
            <w:r>
              <w:rPr>
                <w:rFonts w:ascii="Arial" w:cs="Arial" w:eastAsia="Arial" w:hAnsi="Arial"/>
                <w:sz w:val="14"/>
                <w:szCs w:val="14"/>
                <w:color w:val="auto"/>
                <w:w w:val="96"/>
              </w:rPr>
              <w:t>(Stated in millions, except per share amounts)</w:t>
            </w:r>
          </w:p>
        </w:tc>
      </w:tr>
      <w:tr>
        <w:trPr>
          <w:trHeight w:val="171"/>
        </w:trPr>
        <w:tc>
          <w:tcPr>
            <w:tcW w:w="5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0"/>
          </w:tcPr>
          <w:p>
            <w:pPr>
              <w:ind w:left="400"/>
              <w:spacing w:after="0"/>
              <w:rPr>
                <w:sz w:val="20"/>
                <w:szCs w:val="20"/>
                <w:color w:val="auto"/>
              </w:rPr>
            </w:pPr>
            <w:r>
              <w:rPr>
                <w:rFonts w:ascii="Arial" w:cs="Arial" w:eastAsia="Arial" w:hAnsi="Arial"/>
                <w:sz w:val="14"/>
                <w:szCs w:val="14"/>
                <w:b w:val="1"/>
                <w:bCs w:val="1"/>
                <w:color w:val="auto"/>
              </w:rPr>
              <w:t>Twelve Months 2021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5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r>
      <w:tr>
        <w:trPr>
          <w:trHeight w:val="167"/>
        </w:trPr>
        <w:tc>
          <w:tcPr>
            <w:tcW w:w="5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w w:val="98"/>
              </w:rPr>
              <w:t>Pretax</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EPS</w:t>
            </w: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47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i w:val="1"/>
                <w:iCs w:val="1"/>
                <w:color w:val="auto"/>
              </w:rPr>
              <w:t>Fourth quarter</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Gain on sale of Liberty Shares </w:t>
            </w:r>
            <w:r>
              <w:rPr>
                <w:rFonts w:ascii="Arial" w:cs="Arial" w:eastAsia="Arial" w:hAnsi="Arial"/>
                <w:sz w:val="10"/>
                <w:szCs w:val="10"/>
                <w:color w:val="auto"/>
              </w:rPr>
              <w:t>(1)</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(0.02)</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 xml:space="preserve">Early repayment of bonds </w:t>
            </w:r>
            <w:r>
              <w:rPr>
                <w:rFonts w:ascii="Arial" w:cs="Arial" w:eastAsia="Arial" w:hAnsi="Arial"/>
                <w:sz w:val="10"/>
                <w:szCs w:val="10"/>
                <w:color w:val="auto"/>
              </w:rPr>
              <w:t>(2)</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Third quarter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 xml:space="preserve">Unrealized gain on marketable securities </w:t>
            </w:r>
            <w:r>
              <w:rPr>
                <w:rFonts w:ascii="Arial" w:cs="Arial" w:eastAsia="Arial" w:hAnsi="Arial"/>
                <w:sz w:val="10"/>
                <w:szCs w:val="10"/>
                <w:color w:val="auto"/>
              </w:rPr>
              <w:t>(1)</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(0.03)</w:t>
            </w:r>
          </w:p>
        </w:tc>
      </w:tr>
      <w:tr>
        <w:trPr>
          <w:trHeight w:val="27"/>
        </w:trPr>
        <w:tc>
          <w:tcPr>
            <w:tcW w:w="5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$ 431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r>
      <w:tr>
        <w:trPr>
          <w:trHeight w:val="20"/>
        </w:trPr>
        <w:tc>
          <w:tcPr>
            <w:tcW w:w="5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0"/>
          </w:tcPr>
          <w:p>
            <w:pPr>
              <w:ind w:left="400"/>
              <w:spacing w:after="0"/>
              <w:rPr>
                <w:sz w:val="20"/>
                <w:szCs w:val="20"/>
                <w:color w:val="auto"/>
              </w:rPr>
            </w:pPr>
            <w:r>
              <w:rPr>
                <w:rFonts w:ascii="Arial" w:cs="Arial" w:eastAsia="Arial" w:hAnsi="Arial"/>
                <w:sz w:val="14"/>
                <w:szCs w:val="14"/>
                <w:b w:val="1"/>
                <w:bCs w:val="1"/>
                <w:color w:val="auto"/>
              </w:rPr>
              <w:t>Twelve Months 2020</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3"/>
        </w:trPr>
        <w:tc>
          <w:tcPr>
            <w:tcW w:w="5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r>
      <w:tr>
        <w:trPr>
          <w:trHeight w:val="167"/>
        </w:trPr>
        <w:tc>
          <w:tcPr>
            <w:tcW w:w="5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w w:val="98"/>
              </w:rPr>
              <w:t>Pretax</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EPS</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(11,298)</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$(812)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(10,518)</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7"/>
              </w:rPr>
              <w:t>$ (7.57)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i w:val="1"/>
                <w:iCs w:val="1"/>
                <w:color w:val="auto"/>
              </w:rPr>
              <w:t>Fourth quarter</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Gain on sale of OneStim </w:t>
            </w:r>
            <w:r>
              <w:rPr>
                <w:rFonts w:ascii="Arial" w:cs="Arial" w:eastAsia="Arial" w:hAnsi="Arial"/>
                <w:sz w:val="10"/>
                <w:szCs w:val="10"/>
                <w:color w:val="auto"/>
              </w:rPr>
              <w:t>(3)</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(0.07)</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 xml:space="preserve">Unrealized gain on marketable securities </w:t>
            </w:r>
            <w:r>
              <w:rPr>
                <w:rFonts w:ascii="Arial" w:cs="Arial" w:eastAsia="Arial" w:hAnsi="Arial"/>
                <w:sz w:val="10"/>
                <w:szCs w:val="10"/>
                <w:color w:val="auto"/>
              </w:rPr>
              <w:t>(1)</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(0.02)</w:t>
            </w: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i w:val="1"/>
                <w:iCs w:val="1"/>
                <w:color w:val="auto"/>
              </w:rPr>
              <w:t>Third quarter</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Facility exit charges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Workforce reductions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i w:val="1"/>
                <w:iCs w:val="1"/>
                <w:color w:val="auto"/>
              </w:rPr>
              <w:t>Second quarter</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Workforce reductions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Asset Performance Solutions investments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730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0.51</w:t>
            </w: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Fixed asset impairments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Inventory write-downs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603</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Right-of-use asset impairments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Costs associated with exiting certain activities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Multiclient seismic data impairment</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Repurchase of bonds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Postretirement benefits curtailment gain</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(0.04)</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First quarter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3,070</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Intangible assets impairmens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Asset Performance Solutions investments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1,264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0.91</w:t>
            </w: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North America pressure pumping impairment</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Workforce reductions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r>
      <w:tr>
        <w:trPr>
          <w:trHeight w:val="216"/>
        </w:trPr>
        <w:tc>
          <w:tcPr>
            <w:tcW w:w="5460" w:type="dxa"/>
            <w:vAlign w:val="bottom"/>
          </w:tcPr>
          <w:p>
            <w:pPr>
              <w:ind w:left="720"/>
              <w:spacing w:after="0"/>
              <w:rPr>
                <w:sz w:val="20"/>
                <w:szCs w:val="20"/>
                <w:color w:val="auto"/>
              </w:rPr>
            </w:pPr>
            <w:r>
              <w:rPr>
                <w:rFonts w:ascii="Arial" w:cs="Arial" w:eastAsia="Arial" w:hAnsi="Arial"/>
                <w:sz w:val="18"/>
                <w:szCs w:val="18"/>
                <w:color w:val="auto"/>
              </w:rPr>
              <w:t>Valuation allowance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r>
      <w:tr>
        <w:trPr>
          <w:trHeight w:val="27"/>
        </w:trPr>
        <w:tc>
          <w:tcPr>
            <w:tcW w:w="5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$ 229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r>
      <w:tr>
        <w:trPr>
          <w:trHeight w:val="20"/>
        </w:trPr>
        <w:tc>
          <w:tcPr>
            <w:tcW w:w="5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53" w:right="4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Gain on sales of businesses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 (Loss)</w:t>
      </w:r>
    </w:p>
    <w:p>
      <w:pPr>
        <w:spacing w:after="0" w:line="200" w:lineRule="exact"/>
        <w:rPr>
          <w:sz w:val="20"/>
          <w:szCs w:val="20"/>
          <w:color w:val="auto"/>
        </w:rPr>
      </w:pPr>
    </w:p>
    <w:p>
      <w:pPr>
        <w:sectPr>
          <w:pgSz w:w="11900" w:h="16838" w:orient="portrait"/>
          <w:cols w:equalWidth="0" w:num="2">
            <w:col w:w="100" w:space="320"/>
            <w:col w:w="10600"/>
          </w:cols>
          <w:pgMar w:left="440" w:top="253"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Unless otherwise noted, all Charges &amp; Credits are classified in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 (Loss)</w:t>
      </w:r>
      <w:r>
        <w:rPr>
          <w:rFonts w:ascii="Arial" w:cs="Arial" w:eastAsia="Arial" w:hAnsi="Arial"/>
          <w:sz w:val="16"/>
          <w:szCs w:val="16"/>
          <w:color w:val="auto"/>
        </w:rPr>
        <w:t>.</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53" w:right="439" w:bottom="1440" w:gutter="0" w:footer="0" w:header="0"/>
          <w:type w:val="continuous"/>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7"/>
            <w:vMerge w:val="restart"/>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34"/>
        </w:trPr>
        <w:tc>
          <w:tcPr>
            <w:tcW w:w="4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7"/>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rPr>
              <w:t>Dec. 31, 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Sept. 30, 2021</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6"/>
          </w:tcPr>
          <w:p>
            <w:pPr>
              <w:jc w:val="right"/>
              <w:ind w:right="434"/>
              <w:spacing w:after="0" w:line="142" w:lineRule="exact"/>
              <w:rPr>
                <w:sz w:val="20"/>
                <w:szCs w:val="20"/>
                <w:color w:val="auto"/>
              </w:rPr>
            </w:pPr>
            <w:r>
              <w:rPr>
                <w:rFonts w:ascii="Arial" w:cs="Arial" w:eastAsia="Arial" w:hAnsi="Arial"/>
                <w:sz w:val="14"/>
                <w:szCs w:val="14"/>
                <w:color w:val="auto"/>
              </w:rPr>
              <w:t>Dec. 31, 2020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53"/>
              <w:spacing w:after="0" w:line="119" w:lineRule="exact"/>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color w:val="auto"/>
                <w:w w:val="98"/>
              </w:rPr>
              <w:t>Income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color w:val="auto"/>
              </w:rPr>
              <w:t>Income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2"/>
              </w:rPr>
              <w:t>Revenue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Before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Revenue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w w:val="90"/>
              </w:rPr>
              <w:t>T axes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4"/>
                <w:szCs w:val="14"/>
                <w:color w:val="auto"/>
                <w:w w:val="99"/>
              </w:rPr>
              <w:t>Revenue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color w:val="auto"/>
              </w:rPr>
              <w:t>T axes</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Reservoir Performance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1,287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1,247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2,388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1,868</w:t>
            </w: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Production Systems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1,649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0"/>
                <w:szCs w:val="10"/>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0"/>
                <w:szCs w:val="10"/>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0"/>
                <w:szCs w:val="10"/>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6,225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755</w:t>
            </w:r>
          </w:p>
        </w:tc>
        <w:tc>
          <w:tcPr>
            <w:tcW w:w="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w:t>
            </w: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Full Year 2021</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5"/>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4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5"/>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5"/>
              </w:rPr>
              <w:t>Revenue</w:t>
            </w:r>
          </w:p>
        </w:tc>
        <w:tc>
          <w:tcPr>
            <w:tcW w:w="11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Income Before</w:t>
            </w:r>
          </w:p>
        </w:tc>
        <w:tc>
          <w:tcPr>
            <w:tcW w:w="140" w:type="dxa"/>
            <w:vAlign w:val="bottom"/>
          </w:tcPr>
          <w:p>
            <w:pPr>
              <w:spacing w:after="0"/>
              <w:rPr>
                <w:sz w:val="10"/>
                <w:szCs w:val="10"/>
                <w:color w:val="auto"/>
              </w:rPr>
            </w:pPr>
          </w:p>
        </w:tc>
        <w:tc>
          <w:tcPr>
            <w:tcW w:w="124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rPr>
              <w:t>Depreciation and</w:t>
            </w:r>
          </w:p>
        </w:tc>
        <w:tc>
          <w:tcPr>
            <w:tcW w:w="120" w:type="dxa"/>
            <w:vAlign w:val="bottom"/>
          </w:tcPr>
          <w:p>
            <w:pPr>
              <w:spacing w:after="0"/>
              <w:rPr>
                <w:sz w:val="10"/>
                <w:szCs w:val="10"/>
                <w:color w:val="auto"/>
              </w:rPr>
            </w:pPr>
          </w:p>
        </w:tc>
        <w:tc>
          <w:tcPr>
            <w:tcW w:w="960" w:type="dxa"/>
            <w:vAlign w:val="bottom"/>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rPr>
              <w:t>Net Interest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rPr>
              <w:t>Adjusted</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 xml:space="preserve">Expense </w:t>
            </w:r>
            <w:r>
              <w:rPr>
                <w:rFonts w:ascii="Arial" w:cs="Arial" w:eastAsia="Arial" w:hAnsi="Arial"/>
                <w:sz w:val="9"/>
                <w:szCs w:val="9"/>
                <w:b w:val="1"/>
                <w:bCs w:val="1"/>
                <w:color w:val="auto"/>
                <w:w w:val="88"/>
              </w:rPr>
              <w:t>(4)</w:t>
            </w:r>
          </w:p>
        </w:tc>
        <w:tc>
          <w:tcPr>
            <w:tcW w:w="12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9"/>
                <w:szCs w:val="9"/>
                <w:b w:val="1"/>
                <w:bCs w:val="1"/>
                <w:color w:val="auto"/>
              </w:rPr>
              <w:t>(5)</w:t>
            </w:r>
          </w:p>
        </w:tc>
        <w:tc>
          <w:tcPr>
            <w:tcW w:w="2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97"/>
              </w:rPr>
              <w:t xml:space="preserve">Investments </w:t>
            </w:r>
            <w:r>
              <w:rPr>
                <w:rFonts w:ascii="Arial" w:cs="Arial" w:eastAsia="Arial" w:hAnsi="Arial"/>
                <w:sz w:val="9"/>
                <w:szCs w:val="9"/>
                <w:b w:val="1"/>
                <w:bCs w:val="1"/>
                <w:color w:val="auto"/>
                <w:w w:val="97"/>
              </w:rPr>
              <w:t>(6)</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3,290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Reservoir Performance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4,599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348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8,706</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1,733</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Production Systems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6,710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936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5,347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0"/>
                <w:szCs w:val="10"/>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0"/>
                <w:szCs w:val="10"/>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0"/>
                <w:szCs w:val="10"/>
                <w:color w:val="auto"/>
              </w:rPr>
              <w:t>(2)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22,929</w:t>
            </w:r>
          </w:p>
        </w:tc>
        <w:tc>
          <w:tcPr>
            <w:tcW w:w="3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2,374</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2,120</w:t>
            </w:r>
          </w:p>
        </w:tc>
        <w:tc>
          <w:tcPr>
            <w:tcW w:w="30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4,925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1,654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3"/>
          </w:tcPr>
          <w:p>
            <w:pPr>
              <w:jc w:val="right"/>
              <w:ind w:right="553"/>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Full Year 2020</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2"/>
              </w:rPr>
              <w:t>Revenue</w:t>
            </w: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Income (Loss)</w:t>
            </w: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Depreciation and</w:t>
            </w:r>
          </w:p>
        </w:tc>
        <w:tc>
          <w:tcPr>
            <w:tcW w:w="18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Interest</w:t>
            </w:r>
          </w:p>
        </w:tc>
        <w:tc>
          <w:tcPr>
            <w:tcW w:w="200" w:type="dxa"/>
            <w:vAlign w:val="bottom"/>
          </w:tcPr>
          <w:p>
            <w:pPr>
              <w:spacing w:after="0"/>
              <w:rPr>
                <w:sz w:val="10"/>
                <w:szCs w:val="10"/>
                <w:color w:val="auto"/>
              </w:rPr>
            </w:pPr>
          </w:p>
        </w:tc>
        <w:tc>
          <w:tcPr>
            <w:tcW w:w="92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Adjusted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3"/>
              </w:rPr>
              <w:t>Before Taxes</w:t>
            </w: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 xml:space="preserve">Amortization </w:t>
            </w:r>
            <w:r>
              <w:rPr>
                <w:rFonts w:ascii="Arial" w:cs="Arial" w:eastAsia="Arial" w:hAnsi="Arial"/>
                <w:sz w:val="9"/>
                <w:szCs w:val="9"/>
                <w:b w:val="1"/>
                <w:bCs w:val="1"/>
                <w:color w:val="auto"/>
                <w:w w:val="99"/>
              </w:rPr>
              <w:t>(3)</w:t>
            </w:r>
          </w:p>
        </w:tc>
        <w:tc>
          <w:tcPr>
            <w:tcW w:w="1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Expense </w:t>
            </w:r>
            <w:r>
              <w:rPr>
                <w:rFonts w:ascii="Arial" w:cs="Arial" w:eastAsia="Arial" w:hAnsi="Arial"/>
                <w:sz w:val="9"/>
                <w:szCs w:val="9"/>
                <w:b w:val="1"/>
                <w:bCs w:val="1"/>
                <w:color w:val="auto"/>
              </w:rPr>
              <w:t>(4)</w:t>
            </w:r>
          </w:p>
        </w:tc>
        <w:tc>
          <w:tcPr>
            <w:tcW w:w="20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 xml:space="preserve">EBITDA </w:t>
            </w:r>
            <w:r>
              <w:rPr>
                <w:rFonts w:ascii="Arial" w:cs="Arial" w:eastAsia="Arial" w:hAnsi="Arial"/>
                <w:sz w:val="9"/>
                <w:szCs w:val="9"/>
                <w:b w:val="1"/>
                <w:bCs w:val="1"/>
                <w:color w:val="auto"/>
                <w:w w:val="98"/>
              </w:rPr>
              <w:t>(5)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 xml:space="preserve">Investments </w:t>
            </w:r>
            <w:r>
              <w:rPr>
                <w:rFonts w:ascii="Arial" w:cs="Arial" w:eastAsia="Arial" w:hAnsi="Arial"/>
                <w:sz w:val="9"/>
                <w:szCs w:val="9"/>
                <w:b w:val="1"/>
                <w:bCs w:val="1"/>
                <w:color w:val="auto"/>
                <w:w w:val="91"/>
              </w:rPr>
              <w:t>(6)</w:t>
            </w:r>
          </w:p>
        </w:tc>
        <w:tc>
          <w:tcPr>
            <w:tcW w:w="0" w:type="dxa"/>
            <w:vAlign w:val="bottom"/>
          </w:tcPr>
          <w:p>
            <w:pPr>
              <w:spacing w:after="0"/>
              <w:rPr>
                <w:sz w:val="1"/>
                <w:szCs w:val="1"/>
                <w:color w:val="auto"/>
              </w:rPr>
            </w:pPr>
          </w:p>
        </w:tc>
      </w:tr>
      <w:tr>
        <w:trPr>
          <w:trHeight w:val="209"/>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3,067</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Reservoir Performance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5,602</w:t>
            </w: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353</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8,614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870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Production Systems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6,650</w:t>
            </w: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623</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240</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(332)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(172)</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2,401</w:t>
            </w:r>
          </w:p>
        </w:tc>
        <w:tc>
          <w:tcPr>
            <w:tcW w:w="4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(681)</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0"/>
                <w:szCs w:val="10"/>
                <w:color w:val="auto"/>
              </w:rPr>
              <w:t>(1)</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31</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0"/>
                <w:szCs w:val="10"/>
                <w:color w:val="auto"/>
              </w:rPr>
              <w:t>(1)</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(534)</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0"/>
                <w:szCs w:val="10"/>
                <w:color w:val="auto"/>
              </w:rPr>
              <w:t>(2)</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(12,515)</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7"/>
              </w:rPr>
              <w:t>23,601</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(11,298)</w:t>
            </w: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2,566</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w:t>
            </w:r>
          </w:p>
        </w:tc>
        <w:tc>
          <w:tcPr>
            <w:tcW w:w="3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1,520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69" w:right="4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(4)</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(5)</w:t>
      </w:r>
    </w:p>
    <w:p>
      <w:pPr>
        <w:spacing w:after="0" w:line="340" w:lineRule="exact"/>
        <w:rPr>
          <w:sz w:val="20"/>
          <w:szCs w:val="20"/>
          <w:color w:val="auto"/>
        </w:rPr>
      </w:pPr>
    </w:p>
    <w:p>
      <w:pPr>
        <w:spacing w:after="0"/>
        <w:rPr>
          <w:sz w:val="20"/>
          <w:szCs w:val="20"/>
          <w:color w:val="auto"/>
        </w:rPr>
      </w:pPr>
      <w:r>
        <w:rPr>
          <w:rFonts w:ascii="Arial" w:cs="Arial" w:eastAsia="Arial" w:hAnsi="Arial"/>
          <w:sz w:val="8"/>
          <w:szCs w:val="8"/>
          <w:color w:val="auto"/>
        </w:rPr>
        <w:t>(6)</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Excludes amounts which are included in the segments’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section entitled “Charges &amp; Credits” for details.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Includes depreciation of property, plant and equipment and amortization of intangible assets, APS investments, and multiclient data seismic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Excludes interest income and expense recorded at the corporate level.</w:t>
      </w:r>
    </w:p>
    <w:p>
      <w:pPr>
        <w:spacing w:after="0" w:line="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Adjusted EBITDA represents income (loss) before taxes excluding depreciation and amortization, interest income, interest expense and charges &amp; credits.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Capital investments includes capital expenditures, APS investments, and multiclient seismic data costs capitalized.</w:t>
      </w:r>
    </w:p>
    <w:p>
      <w:pPr>
        <w:spacing w:after="0" w:line="14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100" w:space="320"/>
            <w:col w:w="10600"/>
          </w:cols>
          <w:pgMar w:left="440" w:top="269" w:right="439" w:bottom="1440" w:gutter="0" w:footer="0" w:header="0"/>
          <w:type w:val="continuous"/>
        </w:sectPr>
      </w:pPr>
    </w:p>
    <w:bookmarkStart w:id="21" w:name="page22"/>
    <w:bookmarkEnd w:id="21"/>
    <w:tbl>
      <w:tblPr>
        <w:tblLayout w:type="fixed"/>
        <w:tblInd w:w="884" w:type="dxa"/>
        <w:tblCellMar>
          <w:top w:w="0" w:type="dxa"/>
          <w:left w:w="0" w:type="dxa"/>
          <w:bottom w:w="0" w:type="dxa"/>
          <w:right w:w="0" w:type="dxa"/>
        </w:tblCellMar>
      </w:tblPr>
      <w:tr>
        <w:trPr>
          <w:trHeight w:val="182"/>
        </w:trPr>
        <w:tc>
          <w:tcPr>
            <w:tcW w:w="4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Twelve Months Ended</w:t>
            </w:r>
          </w:p>
        </w:tc>
        <w:tc>
          <w:tcPr>
            <w:tcW w:w="1400" w:type="dxa"/>
            <w:vAlign w:val="bottom"/>
            <w:gridSpan w:val="3"/>
          </w:tcPr>
          <w:p>
            <w:pPr>
              <w:jc w:val="right"/>
              <w:ind w:right="24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gridSpan w:val="6"/>
            <w:vMerge w:val="continue"/>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88"/>
              </w:rPr>
              <w:t>Dec. 31, 2021</w:t>
            </w: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Dec. 31, 2020</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110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3,290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3,067</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Well Construction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8,706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8,614</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(332)</w:t>
            </w: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22,929</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23,601</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1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Reservoir Performance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648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Production Systems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634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3,365</w:t>
            </w:r>
          </w:p>
        </w:tc>
        <w:tc>
          <w:tcPr>
            <w:tcW w:w="4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2,401</w:t>
            </w:r>
          </w:p>
        </w:tc>
        <w:tc>
          <w:tcPr>
            <w:tcW w:w="2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Segment Operating Margin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1,096 bps</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779 bps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Well Construction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363 bps</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 bps</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450 bps</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Adjusted Segment Operating EBITDA</w:t>
            </w: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1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Reservoir Performance</w:t>
            </w:r>
          </w:p>
        </w:tc>
        <w:tc>
          <w:tcPr>
            <w:tcW w:w="110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1,063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1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Production Systems</w:t>
            </w:r>
          </w:p>
        </w:tc>
        <w:tc>
          <w:tcPr>
            <w:tcW w:w="110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936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5,347</w:t>
            </w:r>
          </w:p>
        </w:tc>
        <w:tc>
          <w:tcPr>
            <w:tcW w:w="4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4,786</w:t>
            </w:r>
          </w:p>
        </w:tc>
        <w:tc>
          <w:tcPr>
            <w:tcW w:w="2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Segment Operating EBITDA Margin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440 bps</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683 bps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Well Construction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307 bps</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-60 bps</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304 bps</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0" w:hanging="424"/>
        <w:spacing w:after="0" w:line="291" w:lineRule="auto"/>
        <w:tabs>
          <w:tab w:leader="none" w:pos="4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Schlumberger divested its OneStim pressure pumping business in North America during the fourth quarter of 2020. This business generated revenue of $1.233 billion during 2020. Excluding the impact of this divestiture, Reservoir Performance 2021 revenue increased 5% year-on-year.</w:t>
      </w:r>
    </w:p>
    <w:p>
      <w:pPr>
        <w:ind w:left="424" w:hanging="424"/>
        <w:spacing w:after="0" w:line="323" w:lineRule="auto"/>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Schlumberger divested its low-flow artificial lift business in North America during the fourth quarter of 2020. This business generated revenue of $114 million during 2020. Excluding the impact of this divestiture, Production Systems 2021 revenue increased 3% year-on-year.</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4"/>
          </w:cols>
          <w:pgMar w:left="436" w:top="269" w:right="55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Geographical</w:t>
      </w:r>
    </w:p>
    <w:p>
      <w:pPr>
        <w:spacing w:after="0" w:line="251" w:lineRule="exact"/>
        <w:rPr>
          <w:sz w:val="20"/>
          <w:szCs w:val="20"/>
          <w:color w:val="auto"/>
        </w:rPr>
      </w:pPr>
    </w:p>
    <w:p>
      <w:pPr>
        <w:ind w:left="942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34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Full Year 2021</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Revenue</w:t>
            </w:r>
          </w:p>
        </w:tc>
        <w:tc>
          <w:tcPr>
            <w:tcW w:w="114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Income Before</w:t>
            </w:r>
          </w:p>
        </w:tc>
        <w:tc>
          <w:tcPr>
            <w:tcW w:w="20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Depreciation and</w:t>
            </w:r>
          </w:p>
        </w:tc>
        <w:tc>
          <w:tcPr>
            <w:tcW w:w="2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Interest</w:t>
            </w:r>
          </w:p>
        </w:tc>
        <w:tc>
          <w:tcPr>
            <w:tcW w:w="20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9"/>
                <w:szCs w:val="9"/>
                <w:b w:val="1"/>
                <w:bCs w:val="1"/>
                <w:color w:val="auto"/>
              </w:rPr>
              <w:t>(3)</w:t>
            </w:r>
          </w:p>
        </w:tc>
        <w:tc>
          <w:tcPr>
            <w:tcW w:w="22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 xml:space="preserve">Expense </w:t>
            </w:r>
            <w:r>
              <w:rPr>
                <w:rFonts w:ascii="Arial" w:cs="Arial" w:eastAsia="Arial" w:hAnsi="Arial"/>
                <w:sz w:val="9"/>
                <w:szCs w:val="9"/>
                <w:b w:val="1"/>
                <w:bCs w:val="1"/>
                <w:color w:val="auto"/>
                <w:w w:val="88"/>
              </w:rPr>
              <w:t>(4)</w:t>
            </w:r>
          </w:p>
        </w:tc>
        <w:tc>
          <w:tcPr>
            <w:tcW w:w="2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90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$18,295</w:t>
            </w:r>
          </w:p>
        </w:tc>
        <w:tc>
          <w:tcPr>
            <w:tcW w:w="4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1,353</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North America</w:t>
            </w: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4,466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561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916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(286)</w:t>
            </w: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9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(573)</w:t>
            </w: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(422)</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8"/>
                <w:szCs w:val="18"/>
                <w:color w:val="auto"/>
                <w:vertAlign w:val="superscript"/>
              </w:rPr>
              <w:t>(1)</w:t>
            </w: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color w:val="auto"/>
                <w:vertAlign w:val="superscript"/>
              </w:rPr>
              <w:t>(1)</w:t>
            </w:r>
          </w:p>
        </w:tc>
        <w:tc>
          <w:tcPr>
            <w:tcW w:w="19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(514)</w:t>
            </w: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8"/>
                <w:szCs w:val="18"/>
                <w:color w:val="auto"/>
                <w:vertAlign w:val="superscript"/>
              </w:rPr>
              <w:t>(2)</w:t>
            </w: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22,929</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2,374</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2,120</w:t>
            </w:r>
          </w:p>
        </w:tc>
        <w:tc>
          <w:tcPr>
            <w:tcW w:w="20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4,925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Full Year 2020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6"/>
          </w:tcPr>
          <w:p>
            <w:pPr>
              <w:jc w:val="right"/>
              <w:ind w:right="4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Revenue</w:t>
            </w:r>
          </w:p>
        </w:tc>
        <w:tc>
          <w:tcPr>
            <w:tcW w:w="114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Income (Loss)</w:t>
            </w:r>
          </w:p>
        </w:tc>
        <w:tc>
          <w:tcPr>
            <w:tcW w:w="20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Depreciation and</w:t>
            </w:r>
          </w:p>
        </w:tc>
        <w:tc>
          <w:tcPr>
            <w:tcW w:w="2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Interest</w:t>
            </w:r>
          </w:p>
        </w:tc>
        <w:tc>
          <w:tcPr>
            <w:tcW w:w="20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Before Taxes</w:t>
            </w:r>
          </w:p>
        </w:tc>
        <w:tc>
          <w:tcPr>
            <w:tcW w:w="20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9"/>
                <w:szCs w:val="9"/>
                <w:b w:val="1"/>
                <w:bCs w:val="1"/>
                <w:color w:val="auto"/>
              </w:rPr>
              <w:t>(3)</w:t>
            </w:r>
          </w:p>
        </w:tc>
        <w:tc>
          <w:tcPr>
            <w:tcW w:w="22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 xml:space="preserve">Expense </w:t>
            </w:r>
            <w:r>
              <w:rPr>
                <w:rFonts w:ascii="Arial" w:cs="Arial" w:eastAsia="Arial" w:hAnsi="Arial"/>
                <w:sz w:val="9"/>
                <w:szCs w:val="9"/>
                <w:b w:val="1"/>
                <w:bCs w:val="1"/>
                <w:color w:val="auto"/>
                <w:w w:val="93"/>
              </w:rPr>
              <w:t>(4)</w:t>
            </w:r>
          </w:p>
        </w:tc>
        <w:tc>
          <w:tcPr>
            <w:tcW w:w="2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90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$18,002</w:t>
            </w:r>
          </w:p>
        </w:tc>
        <w:tc>
          <w:tcPr>
            <w:tcW w:w="4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1,613</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North America</w:t>
            </w:r>
          </w:p>
        </w:tc>
        <w:tc>
          <w:tcPr>
            <w:tcW w:w="28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5,478</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88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(360)</w:t>
            </w: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246</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2,358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9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(681)</w:t>
            </w: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208</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8"/>
                <w:szCs w:val="18"/>
                <w:color w:val="auto"/>
                <w:vertAlign w:val="superscript"/>
              </w:rPr>
              <w:t>(1)</w:t>
            </w: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color w:val="auto"/>
                <w:vertAlign w:val="superscript"/>
              </w:rPr>
              <w:t>(1)</w:t>
            </w:r>
          </w:p>
        </w:tc>
        <w:tc>
          <w:tcPr>
            <w:tcW w:w="19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(534)</w:t>
            </w: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8"/>
                <w:szCs w:val="18"/>
                <w:color w:val="auto"/>
                <w:vertAlign w:val="superscript"/>
              </w:rPr>
              <w:t>(2)</w:t>
            </w: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(12,515)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288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23,601</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(11,298)</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2,566</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4,313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70" w:right="4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(4)</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(5)</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Excludes amounts which are included in the segments’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section entitled “Charges &amp; Credits” for details.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Includes depreciation of property, plant and equipment and amortization of intangible assets, APS investments, and multiclient data seismic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Excludes interest income and expense recorded at the corporate level.</w:t>
      </w:r>
    </w:p>
    <w:p>
      <w:pPr>
        <w:spacing w:after="0" w:line="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Adjusted EBITDA represents income (loss) before taxes excluding depreciation and amortization, interest income, interest expense, and charges &amp; credits.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2">
            <w:col w:w="100" w:space="320"/>
            <w:col w:w="10600"/>
          </w:cols>
          <w:pgMar w:left="440" w:top="270" w:right="439" w:bottom="1440" w:gutter="0" w:footer="0" w:header="0"/>
          <w:type w:val="continuous"/>
        </w:sectPr>
      </w:pPr>
    </w:p>
    <w:bookmarkStart w:id="23" w:name="page24"/>
    <w:bookmarkEnd w:id="23"/>
    <w:tbl>
      <w:tblPr>
        <w:tblLayout w:type="fixed"/>
        <w:tblInd w:w="884"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Twelve Months Ended</w:t>
            </w:r>
          </w:p>
        </w:tc>
        <w:tc>
          <w:tcPr>
            <w:tcW w:w="1400" w:type="dxa"/>
            <w:vAlign w:val="bottom"/>
            <w:gridSpan w:val="3"/>
          </w:tcPr>
          <w:p>
            <w:pPr>
              <w:jc w:val="right"/>
              <w:ind w:right="24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gridSpan w:val="6"/>
            <w:vMerge w:val="continue"/>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2021</w:t>
            </w:r>
          </w:p>
        </w:tc>
        <w:tc>
          <w:tcPr>
            <w:tcW w:w="106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w w:val="91"/>
              </w:rPr>
              <w:t>Dec . 31, 2020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North America*</w:t>
            </w:r>
          </w:p>
        </w:tc>
        <w:tc>
          <w:tcPr>
            <w:tcW w:w="112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4,466</w:t>
            </w:r>
          </w:p>
        </w:tc>
        <w:tc>
          <w:tcPr>
            <w:tcW w:w="38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5,478</w:t>
            </w:r>
          </w:p>
        </w:tc>
        <w:tc>
          <w:tcPr>
            <w:tcW w:w="1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Europe/CIS/Africa</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5,778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5,963</w:t>
            </w:r>
          </w:p>
        </w:tc>
        <w:tc>
          <w:tcPr>
            <w:tcW w:w="1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Middle East &amp; Asia</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22,929</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23,601</w:t>
            </w: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International</w:t>
            </w: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18,295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18,002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22,929</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23,601</w:t>
            </w: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1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3,090</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North America</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561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444%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3,365</w:t>
            </w:r>
          </w:p>
        </w:tc>
        <w:tc>
          <w:tcPr>
            <w:tcW w:w="3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2,401</w:t>
            </w:r>
          </w:p>
        </w:tc>
        <w:tc>
          <w:tcPr>
            <w:tcW w:w="1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Segment Operating Income Margin</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International</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212 bps</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1,067 bps</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450 bps</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Adjusted Segment Operating EBITDA</w:t>
            </w: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1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4,445</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North America</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916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5,347</w:t>
            </w:r>
          </w:p>
        </w:tc>
        <w:tc>
          <w:tcPr>
            <w:tcW w:w="3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4,786</w:t>
            </w:r>
          </w:p>
        </w:tc>
        <w:tc>
          <w:tcPr>
            <w:tcW w:w="1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Segment Operating EBITDA Margin</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International</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54 bps</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914 bps</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304 bps</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24" w:hanging="224"/>
        <w:spacing w:after="0" w:line="263" w:lineRule="auto"/>
        <w:tabs>
          <w:tab w:leader="none" w:pos="2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Schlumberger divested certain businesses in North America during the fourth quarter of 2020. These businesses generated revenue of $1.347 billion during 2020. Excluding the impact of these divestitures, global 2021 revenue increased 3% year-on-year. North America 2021 revenue, excluding the impact of these divestitures, increased 8% year-on-year.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69" w:right="479" w:bottom="1440" w:gutter="0" w:footer="0" w:header="0"/>
        </w:sectPr>
      </w:pPr>
    </w:p>
    <w:bookmarkStart w:id="24" w:name="page25"/>
    <w:bookmarkEnd w:id="24"/>
    <w:p>
      <w:pPr>
        <w:ind w:left="44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Information</w:t>
      </w:r>
    </w:p>
    <w:p>
      <w:pPr>
        <w:spacing w:after="0" w:line="27" w:lineRule="exact"/>
        <w:rPr>
          <w:sz w:val="20"/>
          <w:szCs w:val="20"/>
          <w:color w:val="auto"/>
        </w:rPr>
      </w:pPr>
    </w:p>
    <w:p>
      <w:pPr>
        <w:ind w:left="4424"/>
        <w:spacing w:after="0"/>
        <w:rPr>
          <w:sz w:val="20"/>
          <w:szCs w:val="20"/>
          <w:color w:val="auto"/>
        </w:rPr>
      </w:pPr>
      <w:r>
        <w:rPr>
          <w:rFonts w:ascii="Arial" w:cs="Arial" w:eastAsia="Arial" w:hAnsi="Arial"/>
          <w:sz w:val="18"/>
          <w:szCs w:val="18"/>
          <w:b w:val="1"/>
          <w:bCs w:val="1"/>
          <w:color w:val="auto"/>
        </w:rPr>
        <w:t>Frequently Asked Questions</w:t>
      </w:r>
    </w:p>
    <w:p>
      <w:pPr>
        <w:spacing w:after="0" w:line="234"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2022?</w:t>
      </w:r>
    </w:p>
    <w:p>
      <w:pPr>
        <w:spacing w:after="0" w:line="121" w:lineRule="exact"/>
        <w:rPr>
          <w:rFonts w:ascii="Arial" w:cs="Arial" w:eastAsia="Arial" w:hAnsi="Arial"/>
          <w:sz w:val="18"/>
          <w:szCs w:val="18"/>
          <w:b w:val="1"/>
          <w:bCs w:val="1"/>
          <w:color w:val="auto"/>
        </w:rPr>
      </w:pPr>
    </w:p>
    <w:p>
      <w:pPr>
        <w:ind w:left="44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Capital investment (comprised of capex, multiclient, and APS investments) for the full-year 2022 is expected to be between $1.9 and $2.0 billion. Capital investment for the full-year 2021 was $1.7 billion.</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fourth quarter of 2021?</w:t>
      </w:r>
    </w:p>
    <w:p>
      <w:pPr>
        <w:spacing w:after="0" w:line="121" w:lineRule="exact"/>
        <w:rPr>
          <w:rFonts w:ascii="Arial" w:cs="Arial" w:eastAsia="Arial" w:hAnsi="Arial"/>
          <w:sz w:val="18"/>
          <w:szCs w:val="18"/>
          <w:b w:val="1"/>
          <w:bCs w:val="1"/>
          <w:color w:val="auto"/>
        </w:rPr>
      </w:pPr>
    </w:p>
    <w:p>
      <w:pPr>
        <w:ind w:left="44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fourth quarter of 2021 was $1.93 billion and free cash flow was $1.30 billion, despite making $22 million of severance payments during the quarter.</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full year of 2021?</w:t>
      </w:r>
    </w:p>
    <w:p>
      <w:pPr>
        <w:spacing w:after="0" w:line="121" w:lineRule="exact"/>
        <w:rPr>
          <w:rFonts w:ascii="Arial" w:cs="Arial" w:eastAsia="Arial" w:hAnsi="Arial"/>
          <w:sz w:val="18"/>
          <w:szCs w:val="18"/>
          <w:b w:val="1"/>
          <w:bCs w:val="1"/>
          <w:color w:val="auto"/>
        </w:rPr>
      </w:pPr>
    </w:p>
    <w:p>
      <w:pPr>
        <w:ind w:left="444"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full year of 2021 was $4.65 billion and free cash flow was $3.00 billion, despite making $248 million of severance payments during the year.</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fourth quarter of 2021?</w:t>
      </w:r>
    </w:p>
    <w:p>
      <w:pPr>
        <w:spacing w:after="0" w:line="121" w:lineRule="exact"/>
        <w:rPr>
          <w:rFonts w:ascii="Arial" w:cs="Arial" w:eastAsia="Arial" w:hAnsi="Arial"/>
          <w:sz w:val="18"/>
          <w:szCs w:val="18"/>
          <w:b w:val="1"/>
          <w:bCs w:val="1"/>
          <w:color w:val="auto"/>
        </w:rPr>
      </w:pPr>
    </w:p>
    <w:p>
      <w:pPr>
        <w:jc w:val="both"/>
        <w:ind w:left="444"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fourth quarter of 2021 was $57 million. This consisted of a gain on the sale of 9.5 million shares of Liberty Oilfield Services (Liberty) of $28 million (refer to Question 12), interest income of $15 million, and earnings of equity method investments of $14 million.</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2021?</w:t>
      </w:r>
    </w:p>
    <w:p>
      <w:pPr>
        <w:spacing w:after="0" w:line="121" w:lineRule="exact"/>
        <w:rPr>
          <w:rFonts w:ascii="Arial" w:cs="Arial" w:eastAsia="Arial" w:hAnsi="Arial"/>
          <w:sz w:val="18"/>
          <w:szCs w:val="18"/>
          <w:b w:val="1"/>
          <w:bCs w:val="1"/>
          <w:color w:val="auto"/>
        </w:rPr>
      </w:pPr>
    </w:p>
    <w:p>
      <w:pPr>
        <w:ind w:left="444"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$15 million for the fourth quarter of 2021 increased $7 million sequentially. Interest expense of $137 million increased $7 million sequentially (refer to Question 12).</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Schlumberger’s consolidated income (loss) before taxes and pretax segment operating income?</w:t>
      </w:r>
    </w:p>
    <w:p>
      <w:pPr>
        <w:spacing w:after="0" w:line="132" w:lineRule="exact"/>
        <w:rPr>
          <w:rFonts w:ascii="Arial" w:cs="Arial" w:eastAsia="Arial" w:hAnsi="Arial"/>
          <w:sz w:val="17"/>
          <w:szCs w:val="17"/>
          <w:b w:val="1"/>
          <w:bCs w:val="1"/>
          <w:color w:val="auto"/>
        </w:rPr>
      </w:pPr>
    </w:p>
    <w:p>
      <w:pPr>
        <w:ind w:left="444"/>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8" w:lineRule="exact"/>
        <w:rPr>
          <w:rFonts w:ascii="Arial" w:cs="Arial" w:eastAsia="Arial" w:hAnsi="Arial"/>
          <w:sz w:val="17"/>
          <w:szCs w:val="17"/>
          <w:b w:val="1"/>
          <w:bCs w:val="1"/>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2021?</w:t>
      </w:r>
    </w:p>
    <w:p>
      <w:pPr>
        <w:spacing w:after="0" w:line="121" w:lineRule="exact"/>
        <w:rPr>
          <w:rFonts w:ascii="Arial" w:cs="Arial" w:eastAsia="Arial" w:hAnsi="Arial"/>
          <w:sz w:val="18"/>
          <w:szCs w:val="18"/>
          <w:b w:val="1"/>
          <w:bCs w:val="1"/>
          <w:color w:val="auto"/>
        </w:rPr>
      </w:pPr>
    </w:p>
    <w:p>
      <w:pPr>
        <w:ind w:left="444"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ETR for the fourth quarter of 2021, calculated in accordance with GAAP, was 19.1% as compared to 18.6% for the third quarter of 2021. Excluding charges and credits, the ETR for the fourth quarter of 2021 was 19.0% as compared to 18.3% for the third quarter of 2021.</w:t>
      </w:r>
    </w:p>
    <w:p>
      <w:pPr>
        <w:spacing w:after="0" w:line="268" w:lineRule="exact"/>
        <w:rPr>
          <w:rFonts w:ascii="Arial" w:cs="Arial" w:eastAsia="Arial" w:hAnsi="Arial"/>
          <w:sz w:val="18"/>
          <w:szCs w:val="18"/>
          <w:b w:val="1"/>
          <w:bCs w:val="1"/>
          <w:color w:val="auto"/>
        </w:rPr>
      </w:pPr>
    </w:p>
    <w:p>
      <w:pPr>
        <w:ind w:left="424" w:right="440" w:hanging="424"/>
        <w:spacing w:after="0" w:line="282" w:lineRule="auto"/>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December 31, 2021 and how did this change from the end of the previous quarter?</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There were 1.403 billion shares of common stock outstanding as of both December 31, 2021 and September 30, 2021.</w:t>
      </w:r>
    </w:p>
    <w:p>
      <w:pPr>
        <w:spacing w:after="0" w:line="369" w:lineRule="exact"/>
        <w:rPr>
          <w:rFonts w:ascii="Arial" w:cs="Arial" w:eastAsia="Arial" w:hAnsi="Arial"/>
          <w:sz w:val="18"/>
          <w:szCs w:val="18"/>
          <w:b w:val="1"/>
          <w:bCs w:val="1"/>
          <w:color w:val="auto"/>
        </w:rPr>
      </w:pPr>
    </w:p>
    <w:p>
      <w:pPr>
        <w:ind w:left="424" w:right="260" w:hanging="424"/>
        <w:spacing w:after="0" w:line="347" w:lineRule="auto"/>
        <w:tabs>
          <w:tab w:leader="none" w:pos="424"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What was the weighted average number of shares outstanding during the fourth quarter of 2021 and third quarter of 2021? How does this reconcile to the average number of shares outstanding, assuming dilution, used in the calculation of diluted earnings per share?</w:t>
      </w:r>
    </w:p>
    <w:p>
      <w:pPr>
        <w:spacing w:after="0" w:line="11" w:lineRule="exact"/>
        <w:rPr>
          <w:rFonts w:ascii="Arial" w:cs="Arial" w:eastAsia="Arial" w:hAnsi="Arial"/>
          <w:sz w:val="16"/>
          <w:szCs w:val="16"/>
          <w:b w:val="1"/>
          <w:bCs w:val="1"/>
          <w:color w:val="auto"/>
        </w:rPr>
      </w:pPr>
    </w:p>
    <w:p>
      <w:pPr>
        <w:ind w:left="444" w:right="8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The weighted average number of shares outstanding was 1.403 billion during the fourth quarter of 2021 and 1.402 billion during the third quarter of 2021. The following is a reconciliation of the weighted average shares outstanding to the average number of shares outstanding, assuming dilution, used in the calculation of diluted earnings per share.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4"/>
          </w:cols>
          <w:pgMar w:left="436" w:top="270" w:right="499" w:bottom="1440" w:gutter="0" w:footer="0" w:header="0"/>
        </w:sectPr>
      </w:pPr>
    </w:p>
    <w:bookmarkStart w:id="25" w:name="page26"/>
    <w:bookmarkEnd w:id="25"/>
    <w:tbl>
      <w:tblPr>
        <w:tblLayout w:type="fixed"/>
        <w:tblInd w:w="1324"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Fourth Quarter</w:t>
            </w:r>
          </w:p>
        </w:tc>
        <w:tc>
          <w:tcPr>
            <w:tcW w:w="116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60" w:type="dxa"/>
            <w:vAlign w:val="bottom"/>
            <w:gridSpan w:val="2"/>
          </w:tcPr>
          <w:p>
            <w:pPr>
              <w:jc w:val="center"/>
              <w:ind w:right="40"/>
              <w:spacing w:after="0" w:line="145" w:lineRule="exact"/>
              <w:rPr>
                <w:sz w:val="20"/>
                <w:szCs w:val="20"/>
                <w:color w:val="auto"/>
              </w:rPr>
            </w:pPr>
            <w:r>
              <w:rPr>
                <w:rFonts w:ascii="Arial" w:cs="Arial" w:eastAsia="Arial" w:hAnsi="Arial"/>
                <w:sz w:val="14"/>
                <w:szCs w:val="14"/>
                <w:color w:val="auto"/>
                <w:w w:val="96"/>
              </w:rPr>
              <w:t>Third Quarter</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w:t>
            </w: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8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1,430</w:t>
            </w:r>
          </w:p>
        </w:tc>
        <w:tc>
          <w:tcPr>
            <w:tcW w:w="8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82" w:lineRule="auto"/>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Schlumberger’s adjusted EBITDA in the fourth quarter of 2021, the third quarter of 2021, and the fourth quarter of 2020, full-year 2021, and full-year 2020?</w:t>
      </w:r>
    </w:p>
    <w:p>
      <w:pPr>
        <w:spacing w:after="0" w:line="57"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Schlumberger’s adjusted EBITDA was $1.381 billion in the fourth quarter of 2021, $1.296 billion in the third quarter of 2021, and $1.112 billion in the fourth quarter of 2020, and was calculated as follows:</w:t>
      </w:r>
    </w:p>
    <w:p>
      <w:pPr>
        <w:spacing w:after="0" w:line="18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Fourth Quarter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4"/>
          </w:tcPr>
          <w:p>
            <w:pPr>
              <w:ind w:left="3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1460" w:type="dxa"/>
            <w:vAlign w:val="bottom"/>
            <w:gridSpan w:val="4"/>
          </w:tcPr>
          <w:p>
            <w:pPr>
              <w:ind w:left="300"/>
              <w:spacing w:after="0" w:line="145" w:lineRule="exact"/>
              <w:rPr>
                <w:sz w:val="20"/>
                <w:szCs w:val="20"/>
                <w:color w:val="auto"/>
              </w:rPr>
            </w:pPr>
            <w:r>
              <w:rPr>
                <w:rFonts w:ascii="Arial" w:cs="Arial" w:eastAsia="Arial" w:hAnsi="Arial"/>
                <w:sz w:val="14"/>
                <w:szCs w:val="14"/>
                <w:color w:val="auto"/>
              </w:rPr>
              <w:t>Third Quarter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w w:val="93"/>
              </w:rPr>
              <w:t>Fourth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 ax expense</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6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Adjusted EBIT DA</w:t>
            </w:r>
          </w:p>
        </w:tc>
        <w:tc>
          <w:tcPr>
            <w:tcW w:w="8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1,381</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Schlumberger’s adjusted EBITDA was $4.925 billion in full-year 2021 and $4.313 billion in full-year 2020, and was calculated as follows:</w:t>
      </w:r>
    </w:p>
    <w:p>
      <w:pPr>
        <w:spacing w:after="0" w:line="247"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720" w:type="dxa"/>
            <w:vAlign w:val="bottom"/>
            <w:gridSpan w:val="2"/>
            <w:vMerge w:val="restart"/>
          </w:tcPr>
          <w:p>
            <w:pPr>
              <w:jc w:val="center"/>
              <w:ind w:left="1153"/>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Schlumberger</w:t>
            </w:r>
          </w:p>
        </w:tc>
        <w:tc>
          <w:tcPr>
            <w:tcW w:w="1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$1,881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 ax expense (benefit)</w:t>
            </w:r>
          </w:p>
        </w:tc>
        <w:tc>
          <w:tcPr>
            <w:tcW w:w="2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446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122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$2,374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2,120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Interest income</w:t>
            </w:r>
          </w:p>
        </w:tc>
        <w:tc>
          <w:tcPr>
            <w:tcW w:w="1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 DA</w:t>
            </w:r>
          </w:p>
        </w:tc>
        <w:tc>
          <w:tcPr>
            <w:tcW w:w="1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4,925</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240"/>
        <w:spacing w:after="0" w:line="255"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57" w:right="479" w:bottom="1440" w:gutter="0" w:footer="0" w:header="0"/>
        </w:sectPr>
      </w:pPr>
    </w:p>
    <w:bookmarkStart w:id="26" w:name="page27"/>
    <w:bookmarkEnd w:id="26"/>
    <w:p>
      <w:pPr>
        <w:ind w:left="424" w:right="260" w:hanging="424"/>
        <w:spacing w:after="0" w:line="282" w:lineRule="auto"/>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fourth quarter of 2021, the third quarter of 2021, and the fourth quarter of 2020?</w:t>
      </w:r>
    </w:p>
    <w:p>
      <w:pPr>
        <w:spacing w:after="0" w:line="57"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fourth quarter of 2021, the third quarter of 2021, and the fourth quarter of 2020 were as follows:</w:t>
      </w:r>
    </w:p>
    <w:p>
      <w:pPr>
        <w:spacing w:after="0" w:line="18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7"/>
              </w:rPr>
              <w:t>Fourth Quarter</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40" w:type="dxa"/>
            <w:vAlign w:val="bottom"/>
            <w:gridSpan w:val="3"/>
          </w:tcPr>
          <w:p>
            <w:pPr>
              <w:ind w:left="640"/>
              <w:spacing w:after="0" w:line="145" w:lineRule="exact"/>
              <w:rPr>
                <w:sz w:val="20"/>
                <w:szCs w:val="20"/>
                <w:color w:val="auto"/>
              </w:rPr>
            </w:pPr>
            <w:r>
              <w:rPr>
                <w:rFonts w:ascii="Arial" w:cs="Arial" w:eastAsia="Arial" w:hAnsi="Arial"/>
                <w:sz w:val="14"/>
                <w:szCs w:val="14"/>
                <w:color w:val="auto"/>
                <w:w w:val="93"/>
              </w:rPr>
              <w:t>Third Quarter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45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fixed assets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APS investments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Amortization of multiclient seismic data costs capitalized</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the net pretax credit of $18 million recorded during the fourth quarter of 2021 related to?</w:t>
      </w:r>
    </w:p>
    <w:p>
      <w:pPr>
        <w:spacing w:after="0" w:line="121" w:lineRule="exact"/>
        <w:rPr>
          <w:rFonts w:ascii="Arial" w:cs="Arial" w:eastAsia="Arial" w:hAnsi="Arial"/>
          <w:sz w:val="18"/>
          <w:szCs w:val="18"/>
          <w:b w:val="1"/>
          <w:bCs w:val="1"/>
          <w:color w:val="auto"/>
        </w:rPr>
      </w:pPr>
    </w:p>
    <w:p>
      <w:pPr>
        <w:ind w:left="444"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During the fourth quarter of 2021, Schlumberger sold 9.5 million of its shares in Liberty and received proceeds of $109 million. As a result of the transaction, Schlumberger recognized a gain of $28 million. This gain is reflected in </w:t>
      </w:r>
      <w:r>
        <w:rPr>
          <w:rFonts w:ascii="Arial" w:cs="Arial" w:eastAsia="Arial" w:hAnsi="Arial"/>
          <w:sz w:val="17"/>
          <w:szCs w:val="17"/>
          <w:i w:val="1"/>
          <w:iCs w:val="1"/>
          <w:color w:val="auto"/>
        </w:rPr>
        <w:t>Interest and other income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of Income (Loss)</w:t>
      </w:r>
      <w:r>
        <w:rPr>
          <w:rFonts w:ascii="Arial" w:cs="Arial" w:eastAsia="Arial" w:hAnsi="Arial"/>
          <w:sz w:val="17"/>
          <w:szCs w:val="17"/>
          <w:color w:val="auto"/>
        </w:rPr>
        <w:t>. As of December 31, 2021, Schlumberger had a 31% equity interest in Liberty.</w:t>
      </w:r>
    </w:p>
    <w:p>
      <w:pPr>
        <w:spacing w:after="0" w:line="57" w:lineRule="exact"/>
        <w:rPr>
          <w:rFonts w:ascii="Arial" w:cs="Arial" w:eastAsia="Arial" w:hAnsi="Arial"/>
          <w:sz w:val="18"/>
          <w:szCs w:val="18"/>
          <w:b w:val="1"/>
          <w:bCs w:val="1"/>
          <w:color w:val="auto"/>
        </w:rPr>
      </w:pPr>
    </w:p>
    <w:p>
      <w:pPr>
        <w:ind w:left="444"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On November 30, 2021, Schlumberger deposited sufficient funds with the trustee for its $1.0 billion of 2.40% Senior Notes due 2022 (including payment of the February 1, 2022 interest payment) to satisfy and discharge all of its obligations relating to such notes. As a result of this transaction, Schlumberger recorded a charge of $10 million. This charge is reflected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 (Loss)</w:t>
      </w:r>
      <w:r>
        <w:rPr>
          <w:rFonts w:ascii="Arial" w:cs="Arial" w:eastAsia="Arial" w:hAnsi="Arial"/>
          <w:sz w:val="18"/>
          <w:szCs w:val="18"/>
          <w:color w:val="auto"/>
        </w:rPr>
        <w: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Schlumberger (SLB: NYSE) is a technology company that partners with customers to access energy. Our people, representing over 160 nationalities, are providing leading digital solutions and deploying innovative technologies to enable performance and sustainability for the global energy industry. With expertise in more than 120 countries, we collaborate to create technology that unlocks access to energy for the benefit of all.</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Find out more at www.slb.com</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7"/>
          <w:szCs w:val="17"/>
          <w:color w:val="auto"/>
        </w:rPr>
        <w:t>*  Mark of Schlumberger or a Schlumberger company. Other company, product, and service names are the properties of their respective owners.</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January 21, 2022.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February 21, 2022 by dialing +1 (866) 207-1041 within North America, or +1 (402) 970-0847 outside North America, and providing the access code 3953842. The conference call will be webcast simultaneously at www.slb.com/irwebcast on a listen-only basis. A replay of the webcast will also be available at the same website until February 21, 2022.</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0"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more information, contact</w:t>
      </w:r>
    </w:p>
    <w:p>
      <w:pPr>
        <w:spacing w:after="0" w:line="229" w:lineRule="exact"/>
        <w:rPr>
          <w:sz w:val="20"/>
          <w:szCs w:val="20"/>
          <w:color w:val="auto"/>
        </w:rPr>
      </w:pPr>
    </w:p>
    <w:p>
      <w:pPr>
        <w:ind w:right="4900"/>
        <w:spacing w:after="0" w:line="255" w:lineRule="auto"/>
        <w:rPr>
          <w:sz w:val="20"/>
          <w:szCs w:val="20"/>
          <w:color w:val="auto"/>
        </w:rPr>
      </w:pPr>
      <w:r>
        <w:rPr>
          <w:rFonts w:ascii="Arial" w:cs="Arial" w:eastAsia="Arial" w:hAnsi="Arial"/>
          <w:sz w:val="18"/>
          <w:szCs w:val="18"/>
          <w:color w:val="auto"/>
        </w:rPr>
        <w:t>Ndubuisi Maduemezia – Vice President of Investor Relations, Schlumberger Limited Joy V. Domingo – Director of Investor Relations, Schlumberger Limited Office +1 (713) 375-3535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fourth-quarter and full-year 2021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Schlumberger and the oil and gas industry; our business strategies, including digital and “fit for basin,” as well as the strategies of our customers; our effective tax rate; our APS projects, joint ventures, and other alliances; our response to the COVID-19 pandemic and our preparedness for other widespread health emergencies; access to raw materials;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our customers, and changes in the level of oil and natural gas exploration and development; the results of operations and financial condition of our customers and suppliers; the inability to achieve its financial and performance targets and other forecasts and expectations; the inability to achieve Schlumberger’s net-zero carbon emissions goals or interim emissions reduction goals; general economic, geopolitical, and business conditions in key regions of the world; foreign currency risk; pricing pressure; inflation; weather and seasonal factors; unfavorable effects of health pandemics; availability and cost of raw materials; operational modifications, delays, or cancellations; challenges in our supply chain; production declines; the inability to recognize efficiencies and other intended benefits from our business strategies and initiatives, such as digital or Schlumberger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4"/>
    </w:lvl>
  </w:abstractNum>
  <w:abstractNum w:abstractNumId="2">
    <w:nsid w:val="25E45D32"/>
    <w:multiLevelType w:val="hybridMultilevel"/>
    <w:lvl w:ilvl="0">
      <w:lvlJc w:val="left"/>
      <w:lvlText w:val="%1"/>
      <w:numFmt w:val="decimal"/>
      <w:start w:val="99"/>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0"/>
    </w:lvl>
  </w:abstractNum>
  <w:abstractNum w:abstractNumId="29">
    <w:nsid w:val="1E7FF521"/>
    <w:multiLevelType w:val="hybridMultilevel"/>
    <w:lvl w:ilvl="0">
      <w:lvlJc w:val="left"/>
      <w:lvlText w:val="%1)"/>
      <w:numFmt w:val="decimal"/>
      <w:start w:val="11"/>
    </w:lvl>
  </w:abstractNum>
  <w:abstractNum w:abstractNumId="30">
    <w:nsid w:val="7C3DBD3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2022-01-21T06:11:53Z</dcterms:created>
  <dcterms:modified xsi:type="dcterms:W3CDTF">2022-01-21T06:11:53Z</dcterms:modified>
</cp:coreProperties>
</file>