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Jaramillo Claudia</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720" w:type="dxa"/>
            <w:vAlign w:val="bottom"/>
            <w:tcBorders>
              <w:top w:val="single" w:sz="8" w:color="0000EE"/>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VP, Treasurer</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13,750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500" w:type="dxa"/>
            <w:vAlign w:val="bottom"/>
            <w:tcBorders>
              <w:bottom w:val="single" w:sz="8" w:color="2C2C2C"/>
            </w:tcBorders>
            <w:gridSpan w:val="3"/>
          </w:tcPr>
          <w:p>
            <w:pPr>
              <w:jc w:val="center"/>
              <w:ind w:right="257"/>
              <w:spacing w:after="0"/>
              <w:rPr>
                <w:sz w:val="20"/>
                <w:szCs w:val="20"/>
                <w:color w:val="auto"/>
              </w:rPr>
            </w:pPr>
            <w:r>
              <w:rPr>
                <w:rFonts w:ascii="Arial" w:cs="Arial" w:eastAsia="Arial" w:hAnsi="Arial"/>
                <w:sz w:val="18"/>
                <w:szCs w:val="18"/>
                <w:color w:val="0000FF"/>
              </w:rPr>
              <w:t>21,093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right"/>
              <w:ind w:right="159"/>
              <w:spacing w:after="0"/>
              <w:rPr>
                <w:sz w:val="20"/>
                <w:szCs w:val="20"/>
                <w:color w:val="auto"/>
              </w:rPr>
            </w:pPr>
            <w:r>
              <w:rPr>
                <w:rFonts w:ascii="Arial" w:cs="Arial" w:eastAsia="Arial" w:hAnsi="Arial"/>
                <w:sz w:val="18"/>
                <w:szCs w:val="18"/>
                <w:color w:val="0000FF"/>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right"/>
              <w:ind w:right="52"/>
              <w:spacing w:after="0"/>
              <w:rPr>
                <w:sz w:val="20"/>
                <w:szCs w:val="20"/>
                <w:color w:val="auto"/>
              </w:rPr>
            </w:pPr>
            <w:r>
              <w:rPr>
                <w:rFonts w:ascii="Arial" w:cs="Arial" w:eastAsia="Arial" w:hAnsi="Arial"/>
                <w:sz w:val="18"/>
                <w:szCs w:val="18"/>
                <w:color w:val="0000FF"/>
              </w:rPr>
              <w:t>3,480</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39.075</w:t>
            </w:r>
          </w:p>
        </w:tc>
        <w:tc>
          <w:tcPr>
            <w:tcW w:w="340" w:type="dxa"/>
            <w:vAlign w:val="bottom"/>
          </w:tcPr>
          <w:p>
            <w:pPr>
              <w:spacing w:after="0"/>
              <w:rPr>
                <w:sz w:val="23"/>
                <w:szCs w:val="23"/>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17,613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64" w:lineRule="exact"/>
        <w:rPr>
          <w:rFonts w:ascii="Arial" w:cs="Arial" w:eastAsia="Arial" w:hAnsi="Arial"/>
          <w:sz w:val="12"/>
          <w:szCs w:val="12"/>
          <w:color w:val="008000"/>
        </w:rPr>
      </w:pPr>
    </w:p>
    <w:p>
      <w:pPr>
        <w:ind w:left="40" w:right="4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187 shares for the period ended December 31, 2017, and 312 shares for the period ended December 31, 2019, that were acquired under the Schlumberger discounted stock purchase plan. The reporting person's holdings have been reduced by 30 shares to correct an administrative error and reflect the correct number of shares beneficially owned by the reporting person.</w:t>
      </w:r>
    </w:p>
    <w:p>
      <w:pPr>
        <w:sectPr>
          <w:pgSz w:w="11900" w:h="16838" w:orient="portrait"/>
          <w:cols w:equalWidth="0" w:num="1">
            <w:col w:w="11420"/>
          </w:cols>
          <w:pgMar w:left="240" w:top="226" w:right="239" w:bottom="1440" w:gutter="0" w:footer="0" w:header="0"/>
          <w:type w:val="continuous"/>
        </w:sectPr>
      </w:pP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Saul R. Laureles,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0000FF"/>
        </w:rPr>
        <w:t>01/21/2020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460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2020-01-21T19:21:03Z</dcterms:created>
  <dcterms:modified xsi:type="dcterms:W3CDTF">2020-01-21T19:21:03Z</dcterms:modified>
</cp:coreProperties>
</file>