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677638d8k.htm"/>
      <w:bookmarkStart w:id="1" w:name="ksd677638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160" w:after="0"/>
        <w:jc w:val="center"/>
        <w:rPr>
          <w:rFonts w:ascii="ARIAL" w:hAnsi="ARIAL"/>
          <w:b/>
          <w:sz w:val="36"/>
        </w:rPr>
      </w:pPr>
      <w:r>
        <w:rPr>
          <w:rFonts w:ascii="ARIAL" w:hAnsi="ARIAL"/>
          <w:b/>
          <w:sz w:val="36"/>
        </w:rPr>
        <w:t>UNITED STATES</w:t>
      </w:r>
    </w:p>
    <w:p>
      <w:pPr>
        <w:pStyle w:val="TextBody"/>
        <w:spacing w:before="0" w:after="0"/>
        <w:jc w:val="center"/>
        <w:rPr>
          <w:rFonts w:ascii="ARIAL" w:hAnsi="ARIAL"/>
          <w:b/>
          <w:sz w:val="36"/>
        </w:rPr>
      </w:pPr>
      <w:r>
        <w:rPr>
          <w:rFonts w:ascii="ARIAL" w:hAnsi="ARIAL"/>
          <w:b/>
          <w:sz w:val="36"/>
        </w:rPr>
        <w:t>SECURITIES AND EXCHANGE COMMISSION</w:t>
      </w:r>
    </w:p>
    <w:p>
      <w:pPr>
        <w:pStyle w:val="TextBody"/>
        <w:spacing w:before="0" w:after="0"/>
        <w:jc w:val="center"/>
        <w:rPr>
          <w:rFonts w:ascii="ARIAL" w:hAnsi="ARIAL"/>
          <w:b/>
          <w:sz w:val="24"/>
        </w:rPr>
      </w:pPr>
      <w:r>
        <w:rPr>
          <w:rFonts w:ascii="ARIAL" w:hAnsi="ARIAL"/>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ARIAL" w:hAnsi="ARIAL"/>
          <w:b/>
          <w:sz w:val="36"/>
        </w:rPr>
      </w:pPr>
      <w:r>
        <w:rPr>
          <w:rFonts w:ascii="ARIAL" w:hAnsi="ARIAL"/>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ARIAL" w:hAnsi="ARIAL"/>
          <w:b/>
          <w:sz w:val="24"/>
        </w:rPr>
      </w:pPr>
      <w:r>
        <w:rPr>
          <w:rFonts w:ascii="ARIAL" w:hAnsi="ARIAL"/>
          <w:b/>
          <w:sz w:val="24"/>
        </w:rPr>
        <w:t>CURRENT REPORT</w:t>
      </w:r>
    </w:p>
    <w:p>
      <w:pPr>
        <w:pStyle w:val="TextBody"/>
        <w:spacing w:before="0" w:after="0"/>
        <w:jc w:val="center"/>
        <w:rPr>
          <w:rFonts w:ascii="ARIAL" w:hAnsi="ARIAL"/>
          <w:b/>
          <w:sz w:val="24"/>
        </w:rPr>
      </w:pPr>
      <w:r>
        <w:rPr>
          <w:rFonts w:ascii="ARIAL" w:hAnsi="ARIAL"/>
          <w:b/>
          <w:sz w:val="24"/>
        </w:rPr>
        <w:t>Pursuant to Section 13 or 15(d)</w:t>
      </w:r>
    </w:p>
    <w:p>
      <w:pPr>
        <w:pStyle w:val="TextBody"/>
        <w:spacing w:before="0" w:after="0"/>
        <w:jc w:val="center"/>
        <w:rPr>
          <w:rFonts w:ascii="ARIAL" w:hAnsi="ARIAL"/>
          <w:b/>
          <w:sz w:val="24"/>
        </w:rPr>
      </w:pPr>
      <w:r>
        <w:rPr>
          <w:rFonts w:ascii="ARIAL" w:hAnsi="ARIAL"/>
          <w:b/>
          <w:sz w:val="24"/>
        </w:rPr>
        <w:t>of the Securities Exchange Act of 1934</w:t>
      </w:r>
    </w:p>
    <w:p>
      <w:pPr>
        <w:pStyle w:val="TextBody"/>
        <w:spacing w:before="240" w:after="0"/>
        <w:jc w:val="center"/>
        <w:rPr>
          <w:rFonts w:ascii="ARIAL" w:hAnsi="ARIAL"/>
          <w:b/>
          <w:sz w:val="24"/>
        </w:rPr>
      </w:pPr>
      <w:r>
        <w:rPr>
          <w:rFonts w:ascii="ARIAL" w:hAnsi="ARIAL"/>
          <w:b/>
          <w:sz w:val="24"/>
        </w:rPr>
        <w:t>Date of Report (Date of earliest event reported): April 21, 2023</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ARIAL" w:hAnsi="ARIAL"/>
          <w:b/>
          <w:sz w:val="48"/>
        </w:rPr>
      </w:pPr>
      <w:r>
        <w:rPr>
          <w:rFonts w:ascii="ARIAL" w:hAnsi="ARIAL"/>
          <w:b/>
          <w:sz w:val="48"/>
        </w:rPr>
        <w:t xml:space="preserve">SCHLUMBERGER N.V. (SCHLUMBERGER LIMITED) </w:t>
      </w:r>
    </w:p>
    <w:p>
      <w:pPr>
        <w:pStyle w:val="TextBody"/>
        <w:spacing w:before="0" w:after="0"/>
        <w:jc w:val="center"/>
        <w:rPr>
          <w:rFonts w:ascii="ARIAL" w:hAnsi="ARIAL"/>
          <w:b/>
          <w:sz w:val="20"/>
        </w:rPr>
      </w:pPr>
      <w:r>
        <w:rPr>
          <w:rFonts w:ascii="ARIAL" w:hAnsi="ARIAL"/>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785" w:type="dxa"/>
        <w:jc w:val="left"/>
        <w:tblInd w:w="0" w:type="dxa"/>
        <w:tblCellMar>
          <w:top w:w="0" w:type="dxa"/>
          <w:left w:w="0" w:type="dxa"/>
          <w:bottom w:w="0" w:type="dxa"/>
          <w:right w:w="0" w:type="dxa"/>
        </w:tblCellMar>
      </w:tblPr>
      <w:tblGrid>
        <w:gridCol w:w="2120"/>
        <w:gridCol w:w="60"/>
        <w:gridCol w:w="1085"/>
        <w:gridCol w:w="60"/>
        <w:gridCol w:w="1460"/>
      </w:tblGrid>
      <w:tr>
        <w:trPr/>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r>
      <w:tr>
        <w:trPr/>
        <w:tc>
          <w:tcPr>
            <w:tcW w:w="2120" w:type="dxa"/>
            <w:tcBorders/>
            <w:shd w:fill="auto" w:val="clear"/>
            <w:vAlign w:val="center"/>
          </w:tcPr>
          <w:p>
            <w:pPr>
              <w:pStyle w:val="TableContents"/>
              <w:spacing w:before="0" w:after="283"/>
              <w:jc w:val="center"/>
              <w:rPr>
                <w:b/>
              </w:rPr>
            </w:pPr>
            <w:r>
              <w:rPr>
                <w:b/>
              </w:rPr>
              <w:t xml:space="preserve">Curaçao </w:t>
            </w:r>
          </w:p>
        </w:tc>
        <w:tc>
          <w:tcPr>
            <w:tcW w:w="60" w:type="dxa"/>
            <w:tcBorders/>
            <w:shd w:fill="auto" w:val="clear"/>
            <w:vAlign w:val="center"/>
          </w:tcPr>
          <w:p>
            <w:pPr>
              <w:pStyle w:val="TableContents"/>
              <w:spacing w:before="0" w:after="283"/>
              <w:rPr/>
            </w:pPr>
            <w:r>
              <w:rPr/>
              <w:t> </w:t>
            </w:r>
          </w:p>
        </w:tc>
        <w:tc>
          <w:tcPr>
            <w:tcW w:w="1085" w:type="dxa"/>
            <w:tcBorders/>
            <w:shd w:fill="auto" w:val="clear"/>
            <w:vAlign w:val="center"/>
          </w:tcPr>
          <w:p>
            <w:pPr>
              <w:pStyle w:val="TableContents"/>
              <w:spacing w:before="0" w:after="283"/>
              <w:jc w:val="center"/>
              <w:rPr>
                <w:b/>
              </w:rPr>
            </w:pPr>
            <w:r>
              <w:rPr>
                <w:b/>
              </w:rPr>
              <w:t>1-4601</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b/>
              </w:rPr>
            </w:pPr>
            <w:r>
              <w:rPr>
                <w:b/>
              </w:rPr>
              <w:t>52-0684746</w:t>
            </w:r>
          </w:p>
        </w:tc>
      </w:tr>
      <w:tr>
        <w:trPr/>
        <w:tc>
          <w:tcPr>
            <w:tcW w:w="2120" w:type="dxa"/>
            <w:tcBorders/>
            <w:shd w:fill="auto" w:val="clear"/>
            <w:vAlign w:val="center"/>
          </w:tcPr>
          <w:p>
            <w:pPr>
              <w:pStyle w:val="TableContents"/>
              <w:spacing w:before="0" w:after="0"/>
              <w:jc w:val="center"/>
              <w:rPr>
                <w:rFonts w:ascii="ARIAL" w:hAnsi="ARIAL"/>
                <w:b/>
                <w:sz w:val="16"/>
              </w:rPr>
            </w:pPr>
            <w:r>
              <w:rPr>
                <w:rFonts w:ascii="ARIAL" w:hAnsi="ARIAL"/>
                <w:b/>
                <w:sz w:val="16"/>
              </w:rPr>
              <w:t>(State or other jurisdiction</w:t>
            </w:r>
          </w:p>
          <w:p>
            <w:pPr>
              <w:pStyle w:val="TableContents"/>
              <w:spacing w:before="0" w:after="20"/>
              <w:jc w:val="center"/>
              <w:rPr>
                <w:rFonts w:ascii="ARIAL" w:hAnsi="ARIAL"/>
                <w:b/>
                <w:sz w:val="16"/>
              </w:rPr>
            </w:pPr>
            <w:r>
              <w:rPr>
                <w:rFonts w:ascii="ARIAL" w:hAnsi="ARIAL"/>
                <w:b/>
                <w:sz w:val="16"/>
              </w:rPr>
              <w:t>of incorporation)</w:t>
            </w:r>
          </w:p>
        </w:tc>
        <w:tc>
          <w:tcPr>
            <w:tcW w:w="60" w:type="dxa"/>
            <w:tcBorders/>
            <w:shd w:fill="auto" w:val="clear"/>
            <w:vAlign w:val="center"/>
          </w:tcPr>
          <w:p>
            <w:pPr>
              <w:pStyle w:val="TableContents"/>
              <w:spacing w:before="0" w:after="283"/>
              <w:rPr/>
            </w:pPr>
            <w:r>
              <w:rPr/>
              <w:t> </w:t>
            </w:r>
          </w:p>
        </w:tc>
        <w:tc>
          <w:tcPr>
            <w:tcW w:w="1085" w:type="dxa"/>
            <w:tcBorders/>
            <w:shd w:fill="auto" w:val="clear"/>
            <w:vAlign w:val="center"/>
          </w:tcPr>
          <w:p>
            <w:pPr>
              <w:pStyle w:val="TableContents"/>
              <w:spacing w:before="0" w:after="0"/>
              <w:jc w:val="center"/>
              <w:rPr>
                <w:rFonts w:ascii="ARIAL" w:hAnsi="ARIAL"/>
                <w:b/>
                <w:sz w:val="16"/>
              </w:rPr>
            </w:pPr>
            <w:r>
              <w:rPr>
                <w:rFonts w:ascii="ARIAL" w:hAnsi="ARIAL"/>
                <w:b/>
                <w:sz w:val="16"/>
              </w:rPr>
              <w:t>(Commission</w:t>
            </w:r>
          </w:p>
          <w:p>
            <w:pPr>
              <w:pStyle w:val="TableContents"/>
              <w:spacing w:before="0" w:after="20"/>
              <w:jc w:val="center"/>
              <w:rPr>
                <w:rFonts w:ascii="ARIAL" w:hAnsi="ARIAL"/>
                <w:b/>
                <w:sz w:val="16"/>
              </w:rPr>
            </w:pPr>
            <w:r>
              <w:rPr>
                <w:rFonts w:ascii="ARIAL" w:hAnsi="ARIAL"/>
                <w:b/>
                <w:sz w:val="16"/>
              </w:rPr>
              <w:t>File Number)</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0"/>
              <w:jc w:val="center"/>
              <w:rPr>
                <w:rFonts w:ascii="ARIAL" w:hAnsi="ARIAL"/>
                <w:b/>
                <w:sz w:val="16"/>
              </w:rPr>
            </w:pPr>
            <w:r>
              <w:rPr>
                <w:rFonts w:ascii="ARIAL" w:hAnsi="ARIAL"/>
                <w:b/>
                <w:sz w:val="16"/>
              </w:rPr>
              <w:t>(IRS Employer</w:t>
            </w:r>
          </w:p>
          <w:p>
            <w:pPr>
              <w:pStyle w:val="TableContents"/>
              <w:spacing w:before="0" w:after="20"/>
              <w:jc w:val="center"/>
              <w:rPr>
                <w:rFonts w:ascii="ARIAL" w:hAnsi="ARIAL"/>
                <w:b/>
                <w:sz w:val="16"/>
              </w:rPr>
            </w:pPr>
            <w:r>
              <w:rPr>
                <w:rFonts w:ascii="ARIAL" w:hAnsi="ARIAL"/>
                <w:b/>
                <w:sz w:val="16"/>
              </w:rPr>
              <w:t>Identification No.)</w:t>
            </w:r>
          </w:p>
        </w:tc>
      </w:tr>
    </w:tbl>
    <w:p>
      <w:pPr>
        <w:pStyle w:val="TextBody"/>
        <w:spacing w:before="240" w:after="0"/>
        <w:jc w:val="center"/>
        <w:rPr>
          <w:rFonts w:ascii="ARIAL" w:hAnsi="ARIAL"/>
          <w:b/>
          <w:sz w:val="20"/>
        </w:rPr>
      </w:pPr>
      <w:r>
        <w:rPr>
          <w:rFonts w:ascii="ARIAL" w:hAnsi="ARIAL"/>
          <w:b/>
          <w:sz w:val="20"/>
        </w:rPr>
        <w:t>42 rue Saint-Dominique, Paris, France 75007</w:t>
      </w:r>
    </w:p>
    <w:tbl>
      <w:tblPr>
        <w:tblW w:w="4490" w:type="dxa"/>
        <w:jc w:val="left"/>
        <w:tblInd w:w="0" w:type="dxa"/>
        <w:tblCellMar>
          <w:top w:w="0" w:type="dxa"/>
          <w:left w:w="0" w:type="dxa"/>
          <w:bottom w:w="0" w:type="dxa"/>
          <w:right w:w="0" w:type="dxa"/>
        </w:tblCellMar>
      </w:tblPr>
      <w:tblGrid>
        <w:gridCol w:w="4490"/>
      </w:tblGrid>
      <w:tr>
        <w:trPr/>
        <w:tc>
          <w:tcPr>
            <w:tcW w:w="4490" w:type="dxa"/>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vAlign w:val="center"/>
          </w:tcPr>
          <w:p>
            <w:pPr>
              <w:pStyle w:val="TableContents"/>
              <w:spacing w:before="0" w:after="0"/>
              <w:jc w:val="center"/>
              <w:rPr>
                <w:rFonts w:ascii="ARIAL" w:hAnsi="ARIAL"/>
                <w:b/>
                <w:sz w:val="20"/>
              </w:rPr>
            </w:pPr>
            <w:r>
              <w:rPr>
                <w:rFonts w:ascii="ARIAL" w:hAnsi="ARIAL"/>
                <w:b/>
                <w:sz w:val="20"/>
              </w:rPr>
              <w:t>5599 San Felipe, Houston, Texas , U.S.A . 77056</w:t>
            </w:r>
          </w:p>
          <w:p>
            <w:pPr>
              <w:pStyle w:val="TableContents"/>
              <w:spacing w:before="0" w:after="20"/>
              <w:jc w:val="center"/>
              <w:rPr>
                <w:rFonts w:ascii="ARIAL" w:hAnsi="ARIAL"/>
                <w:b/>
                <w:color w:val="FFFFFF"/>
                <w:sz w:val="2"/>
              </w:rPr>
            </w:pPr>
            <w:r>
              <w:rPr>
                <w:rFonts w:ascii="ARIAL" w:hAnsi="ARIAL"/>
                <w:b/>
                <w:color w:val="FFFFFF"/>
                <w:sz w:val="2"/>
              </w:rPr>
              <w:t>(address)</w:t>
            </w:r>
          </w:p>
        </w:tc>
      </w:tr>
    </w:tbl>
    <w:p>
      <w:pPr>
        <w:pStyle w:val="TextBody"/>
        <w:spacing w:before="0" w:after="0"/>
        <w:jc w:val="center"/>
        <w:rPr>
          <w:rFonts w:ascii="ARIAL" w:hAnsi="ARIAL"/>
          <w:b/>
          <w:sz w:val="20"/>
        </w:rPr>
      </w:pPr>
      <w:r>
        <w:rPr>
          <w:rFonts w:ascii="ARIAL" w:hAnsi="ARIAL"/>
          <w:b/>
          <w:sz w:val="20"/>
        </w:rPr>
        <w:t>62 Buckingham Gate, London, United Kingdom SW1E 6AJ</w:t>
      </w:r>
    </w:p>
    <w:p>
      <w:pPr>
        <w:pStyle w:val="TextBody"/>
        <w:spacing w:before="0" w:after="0"/>
        <w:jc w:val="center"/>
        <w:rPr>
          <w:rFonts w:ascii="ARIAL" w:hAnsi="ARIAL"/>
          <w:b/>
          <w:sz w:val="20"/>
        </w:rPr>
      </w:pPr>
      <w:r>
        <w:rPr>
          <w:rFonts w:ascii="ARIAL" w:hAnsi="ARIAL"/>
          <w:b/>
          <w:sz w:val="20"/>
        </w:rPr>
        <w:t>Parkstraat 83, The Hague, The Netherlands 2514 JG</w:t>
      </w:r>
    </w:p>
    <w:p>
      <w:pPr>
        <w:pStyle w:val="TextBody"/>
        <w:spacing w:before="0" w:after="0"/>
        <w:jc w:val="center"/>
        <w:rPr>
          <w:rFonts w:ascii="ARIAL" w:hAnsi="ARIAL"/>
          <w:b/>
          <w:sz w:val="16"/>
        </w:rPr>
      </w:pPr>
      <w:r>
        <w:rPr>
          <w:rFonts w:ascii="ARIAL" w:hAnsi="ARIAL"/>
          <w:b/>
          <w:sz w:val="16"/>
        </w:rPr>
        <w:t>(Addresses of principal executive offices and zip or postal codes)</w:t>
      </w:r>
    </w:p>
    <w:p>
      <w:pPr>
        <w:pStyle w:val="TextBody"/>
        <w:spacing w:before="240" w:after="0"/>
        <w:jc w:val="center"/>
        <w:rPr>
          <w:rFonts w:ascii="ARIAL" w:hAnsi="ARIAL"/>
          <w:b/>
          <w:sz w:val="20"/>
        </w:rPr>
      </w:pPr>
      <w:r>
        <w:rPr>
          <w:rFonts w:ascii="ARIAL" w:hAnsi="ARIAL"/>
          <w:b/>
          <w:sz w:val="20"/>
        </w:rPr>
        <w:t>Registrant’s telephone number in the United States, including area code: (713) 513-2000</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 (</w:t>
      </w:r>
      <w:r>
        <w:rPr>
          <w:rFonts w:ascii="ARIAL" w:hAnsi="ARIAL"/>
          <w:i/>
          <w:sz w:val="20"/>
        </w:rPr>
        <w:t xml:space="preserve">see </w:t>
      </w:r>
      <w:r>
        <w:rPr>
          <w:rFonts w:ascii="ARIAL" w:hAnsi="ARIAL"/>
          <w:sz w:val="20"/>
        </w:rPr>
        <w:t>General Instruction A.2. below):</w:t>
      </w:r>
    </w:p>
    <w:p>
      <w:pPr>
        <w:pStyle w:val="TextBody"/>
        <w:spacing w:before="0" w:after="0"/>
        <w:jc w:val="left"/>
        <w:rPr/>
      </w:pPr>
      <w:r>
        <w:rPr/>
        <w:t> </w:t>
      </w:r>
    </w:p>
    <w:tbl>
      <w:tblPr>
        <w:tblW w:w="7990" w:type="dxa"/>
        <w:jc w:val="left"/>
        <w:tblInd w:w="0" w:type="dxa"/>
        <w:tblCellMar>
          <w:top w:w="0" w:type="dxa"/>
          <w:left w:w="0" w:type="dxa"/>
          <w:bottom w:w="0" w:type="dxa"/>
          <w:right w:w="0" w:type="dxa"/>
        </w:tblCellMar>
      </w:tblPr>
      <w:tblGrid>
        <w:gridCol w:w="245"/>
        <w:gridCol w:w="7745"/>
      </w:tblGrid>
      <w:tr>
        <w:trPr/>
        <w:tc>
          <w:tcPr>
            <w:tcW w:w="245" w:type="dxa"/>
            <w:tcBorders/>
            <w:shd w:fill="auto" w:val="clear"/>
            <w:vAlign w:val="center"/>
          </w:tcPr>
          <w:p>
            <w:pPr>
              <w:pStyle w:val="TableContents"/>
              <w:spacing w:before="0" w:after="283"/>
              <w:rPr/>
            </w:pPr>
            <w:r>
              <w:rPr/>
              <w:t>☐</w:t>
            </w:r>
          </w:p>
        </w:tc>
        <w:tc>
          <w:tcPr>
            <w:tcW w:w="7745" w:type="dxa"/>
            <w:tcBorders/>
            <w:shd w:fill="auto" w:val="clear"/>
            <w:vAlign w:val="center"/>
          </w:tcPr>
          <w:p>
            <w:pPr>
              <w:pStyle w:val="TableContents"/>
              <w:spacing w:before="0" w:after="0"/>
              <w:jc w:val="left"/>
              <w:rPr>
                <w:rFonts w:ascii="ARIAL" w:hAnsi="ARIAL"/>
                <w:sz w:val="20"/>
              </w:rPr>
            </w:pPr>
            <w:r>
              <w:rPr>
                <w:rFonts w:ascii="ARIAL" w:hAnsi="ARIAL"/>
                <w:sz w:val="20"/>
              </w:rPr>
              <w:t>Written communications pursuant to Rule 425 under the Securities Act (17 CFR 230.425)</w:t>
            </w:r>
          </w:p>
        </w:tc>
      </w:tr>
    </w:tbl>
    <w:p>
      <w:pPr>
        <w:pStyle w:val="TextBody"/>
        <w:spacing w:before="0" w:after="0"/>
        <w:jc w:val="left"/>
        <w:rPr/>
      </w:pPr>
      <w:r>
        <w:rPr/>
        <w:t> </w:t>
      </w:r>
    </w:p>
    <w:tbl>
      <w:tblPr>
        <w:tblW w:w="7975" w:type="dxa"/>
        <w:jc w:val="left"/>
        <w:tblInd w:w="0" w:type="dxa"/>
        <w:tblCellMar>
          <w:top w:w="0" w:type="dxa"/>
          <w:left w:w="0" w:type="dxa"/>
          <w:bottom w:w="0" w:type="dxa"/>
          <w:right w:w="0" w:type="dxa"/>
        </w:tblCellMar>
      </w:tblPr>
      <w:tblGrid>
        <w:gridCol w:w="245"/>
        <w:gridCol w:w="7730"/>
      </w:tblGrid>
      <w:tr>
        <w:trPr/>
        <w:tc>
          <w:tcPr>
            <w:tcW w:w="245" w:type="dxa"/>
            <w:tcBorders/>
            <w:shd w:fill="auto" w:val="clear"/>
            <w:vAlign w:val="center"/>
          </w:tcPr>
          <w:p>
            <w:pPr>
              <w:pStyle w:val="TableContents"/>
              <w:spacing w:before="0" w:after="283"/>
              <w:rPr/>
            </w:pPr>
            <w:r>
              <w:rPr/>
              <w:t>☐</w:t>
            </w:r>
          </w:p>
        </w:tc>
        <w:tc>
          <w:tcPr>
            <w:tcW w:w="7730" w:type="dxa"/>
            <w:tcBorders/>
            <w:shd w:fill="auto" w:val="clear"/>
            <w:vAlign w:val="center"/>
          </w:tcPr>
          <w:p>
            <w:pPr>
              <w:pStyle w:val="TableContents"/>
              <w:spacing w:before="0" w:after="0"/>
              <w:jc w:val="left"/>
              <w:rPr>
                <w:rFonts w:ascii="ARIAL" w:hAnsi="ARIAL"/>
                <w:sz w:val="20"/>
              </w:rPr>
            </w:pPr>
            <w:r>
              <w:rPr>
                <w:rFonts w:ascii="ARIAL" w:hAnsi="ARIAL"/>
                <w:sz w:val="20"/>
              </w:rPr>
              <w:t>Soliciting material pursuant to Rule 14a-12 under the Exchange Act (17 CFR 240.14a-12)</w:t>
            </w:r>
          </w:p>
        </w:tc>
      </w:tr>
    </w:tbl>
    <w:p>
      <w:pPr>
        <w:pStyle w:val="TextBody"/>
        <w:spacing w:before="0" w:after="0"/>
        <w:jc w:val="left"/>
        <w:rPr/>
      </w:pPr>
      <w:r>
        <w:rPr/>
        <w:t> </w:t>
      </w:r>
    </w:p>
    <w:tbl>
      <w:tblPr>
        <w:tblW w:w="9910" w:type="dxa"/>
        <w:jc w:val="left"/>
        <w:tblInd w:w="0" w:type="dxa"/>
        <w:tblCellMar>
          <w:top w:w="0" w:type="dxa"/>
          <w:left w:w="0" w:type="dxa"/>
          <w:bottom w:w="0" w:type="dxa"/>
          <w:right w:w="0" w:type="dxa"/>
        </w:tblCellMar>
      </w:tblPr>
      <w:tblGrid>
        <w:gridCol w:w="245"/>
        <w:gridCol w:w="9665"/>
      </w:tblGrid>
      <w:tr>
        <w:trPr/>
        <w:tc>
          <w:tcPr>
            <w:tcW w:w="245" w:type="dxa"/>
            <w:tcBorders/>
            <w:shd w:fill="auto" w:val="clear"/>
            <w:vAlign w:val="center"/>
          </w:tcPr>
          <w:p>
            <w:pPr>
              <w:pStyle w:val="TableContents"/>
              <w:spacing w:before="0" w:after="283"/>
              <w:rPr/>
            </w:pPr>
            <w:r>
              <w:rPr/>
              <w:t>☐</w:t>
            </w:r>
          </w:p>
        </w:tc>
        <w:tc>
          <w:tcPr>
            <w:tcW w:w="9665" w:type="dxa"/>
            <w:tcBorders/>
            <w:shd w:fill="auto" w:val="clear"/>
            <w:vAlign w:val="center"/>
          </w:tcPr>
          <w:p>
            <w:pPr>
              <w:pStyle w:val="TableContents"/>
              <w:spacing w:before="0" w:after="0"/>
              <w:jc w:val="left"/>
              <w:rPr>
                <w:rFonts w:ascii="ARIAL" w:hAnsi="ARIAL"/>
                <w:sz w:val="20"/>
              </w:rPr>
            </w:pPr>
            <w:r>
              <w:rPr>
                <w:rFonts w:ascii="ARIAL" w:hAnsi="ARIAL"/>
                <w:sz w:val="20"/>
              </w:rPr>
              <w:t>Pre-commencement communications pursuant to Rule 14d-2(b) under the Exchange Act (17 CFR 240.14d-2(b))</w:t>
            </w:r>
          </w:p>
        </w:tc>
      </w:tr>
    </w:tbl>
    <w:p>
      <w:pPr>
        <w:pStyle w:val="TextBody"/>
        <w:spacing w:before="0" w:after="0"/>
        <w:jc w:val="left"/>
        <w:rPr/>
      </w:pPr>
      <w:r>
        <w:rPr/>
        <w:t> </w:t>
      </w:r>
    </w:p>
    <w:tbl>
      <w:tblPr>
        <w:tblW w:w="9910" w:type="dxa"/>
        <w:jc w:val="left"/>
        <w:tblInd w:w="0" w:type="dxa"/>
        <w:tblCellMar>
          <w:top w:w="0" w:type="dxa"/>
          <w:left w:w="0" w:type="dxa"/>
          <w:bottom w:w="0" w:type="dxa"/>
          <w:right w:w="0" w:type="dxa"/>
        </w:tblCellMar>
      </w:tblPr>
      <w:tblGrid>
        <w:gridCol w:w="245"/>
        <w:gridCol w:w="9665"/>
      </w:tblGrid>
      <w:tr>
        <w:trPr/>
        <w:tc>
          <w:tcPr>
            <w:tcW w:w="245" w:type="dxa"/>
            <w:tcBorders/>
            <w:shd w:fill="auto" w:val="clear"/>
            <w:vAlign w:val="center"/>
          </w:tcPr>
          <w:p>
            <w:pPr>
              <w:pStyle w:val="TableContents"/>
              <w:spacing w:before="0" w:after="283"/>
              <w:rPr/>
            </w:pPr>
            <w:r>
              <w:rPr/>
              <w:t>☐</w:t>
            </w:r>
          </w:p>
        </w:tc>
        <w:tc>
          <w:tcPr>
            <w:tcW w:w="9665" w:type="dxa"/>
            <w:tcBorders/>
            <w:shd w:fill="auto" w:val="clear"/>
            <w:vAlign w:val="center"/>
          </w:tcPr>
          <w:p>
            <w:pPr>
              <w:pStyle w:val="TableContents"/>
              <w:spacing w:before="0" w:after="0"/>
              <w:jc w:val="left"/>
              <w:rPr>
                <w:rFonts w:ascii="ARIAL" w:hAnsi="ARIAL"/>
                <w:sz w:val="20"/>
              </w:rPr>
            </w:pPr>
            <w:r>
              <w:rPr>
                <w:rFonts w:ascii="ARIAL" w:hAnsi="ARIAL"/>
                <w:sz w:val="20"/>
              </w:rPr>
              <w:t>Pre-commencement communications pursuant to Rule 13e-4(c) under the Exchange Act (17 CFR 240.13e-4(c))</w:t>
            </w:r>
          </w:p>
        </w:tc>
      </w:tr>
    </w:tbl>
    <w:p>
      <w:pPr>
        <w:pStyle w:val="TextBody"/>
        <w:spacing w:before="240" w:after="0"/>
        <w:jc w:val="left"/>
        <w:rPr>
          <w:rFonts w:ascii="ARIAL" w:hAnsi="ARIAL"/>
          <w:sz w:val="20"/>
        </w:rPr>
      </w:pPr>
      <w:r>
        <w:rPr>
          <w:rFonts w:ascii="ARIAL" w:hAnsi="ARIAL"/>
          <w:sz w:val="20"/>
        </w:rPr>
        <w:t>Securities registered pursuant to Section 12(b) of the Act:</w:t>
      </w:r>
    </w:p>
    <w:p>
      <w:pPr>
        <w:pStyle w:val="TextBody"/>
        <w:spacing w:before="0" w:after="0"/>
        <w:jc w:val="left"/>
        <w:rPr/>
      </w:pPr>
      <w:r>
        <w:rPr/>
        <w:t> </w:t>
      </w:r>
    </w:p>
    <w:tbl>
      <w:tblPr>
        <w:tblW w:w="7530" w:type="dxa"/>
        <w:jc w:val="left"/>
        <w:tblInd w:w="0" w:type="dxa"/>
        <w:tblCellMar>
          <w:top w:w="0" w:type="dxa"/>
          <w:left w:w="0" w:type="dxa"/>
          <w:bottom w:w="0" w:type="dxa"/>
          <w:right w:w="0" w:type="dxa"/>
        </w:tblCellMar>
      </w:tblPr>
      <w:tblGrid>
        <w:gridCol w:w="3920"/>
        <w:gridCol w:w="60"/>
        <w:gridCol w:w="830"/>
        <w:gridCol w:w="60"/>
        <w:gridCol w:w="2660"/>
      </w:tblGrid>
      <w:tr>
        <w:trPr/>
        <w:tc>
          <w:tcPr>
            <w:tcW w:w="3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60" w:type="dxa"/>
            <w:tcBorders/>
            <w:shd w:fill="auto" w:val="clear"/>
            <w:vAlign w:val="center"/>
          </w:tcPr>
          <w:p>
            <w:pPr>
              <w:pStyle w:val="TableContents"/>
              <w:spacing w:before="0" w:after="283"/>
              <w:rPr>
                <w:sz w:val="4"/>
                <w:szCs w:val="4"/>
              </w:rPr>
            </w:pPr>
            <w:r>
              <w:rPr>
                <w:sz w:val="4"/>
                <w:szCs w:val="4"/>
              </w:rPr>
            </w:r>
          </w:p>
        </w:tc>
      </w:tr>
      <w:tr>
        <w:trPr/>
        <w:tc>
          <w:tcPr>
            <w:tcW w:w="3920" w:type="dxa"/>
            <w:tcBorders>
              <w:bottom w:val="single" w:sz="8" w:space="0" w:color="000000"/>
            </w:tcBorders>
            <w:shd w:fill="auto" w:val="clear"/>
            <w:tcMar>
              <w:bottom w:w="28" w:type="dxa"/>
            </w:tcMar>
            <w:vAlign w:val="center"/>
          </w:tcPr>
          <w:p>
            <w:pPr>
              <w:pStyle w:val="TableContents"/>
              <w:spacing w:before="0" w:after="20"/>
              <w:jc w:val="center"/>
              <w:rPr>
                <w:rFonts w:ascii="ARIAL" w:hAnsi="ARIAL"/>
                <w:b/>
                <w:sz w:val="16"/>
              </w:rPr>
            </w:pPr>
            <w:r>
              <w:rPr>
                <w:rFonts w:ascii="ARIAL" w:hAnsi="ARIAL"/>
                <w:b/>
                <w:sz w:val="16"/>
              </w:rPr>
              <w:t>Title of each class</w:t>
            </w:r>
          </w:p>
        </w:tc>
        <w:tc>
          <w:tcPr>
            <w:tcW w:w="60" w:type="dxa"/>
            <w:tcBorders/>
            <w:shd w:fill="auto" w:val="clear"/>
            <w:vAlign w:val="center"/>
          </w:tcPr>
          <w:p>
            <w:pPr>
              <w:pStyle w:val="TableContents"/>
              <w:spacing w:before="0" w:after="283"/>
              <w:rPr/>
            </w:pPr>
            <w:r>
              <w:rPr/>
              <w:t> </w:t>
            </w:r>
          </w:p>
        </w:tc>
        <w:tc>
          <w:tcPr>
            <w:tcW w:w="830" w:type="dxa"/>
            <w:tcBorders>
              <w:bottom w:val="single" w:sz="8" w:space="0" w:color="000000"/>
            </w:tcBorders>
            <w:shd w:fill="auto" w:val="clear"/>
            <w:tcMar>
              <w:bottom w:w="28" w:type="dxa"/>
            </w:tcMar>
            <w:vAlign w:val="center"/>
          </w:tcPr>
          <w:p>
            <w:pPr>
              <w:pStyle w:val="TableContents"/>
              <w:spacing w:before="0" w:after="20"/>
              <w:jc w:val="center"/>
              <w:rPr>
                <w:rFonts w:ascii="ARIAL" w:hAnsi="ARIAL"/>
                <w:b/>
                <w:sz w:val="16"/>
              </w:rPr>
            </w:pPr>
            <w:r>
              <w:rPr>
                <w:rFonts w:ascii="ARIAL" w:hAnsi="ARIAL"/>
                <w:b/>
                <w:sz w:val="16"/>
              </w:rPr>
              <w:t>Trading</w:t>
              <w:br/>
              <w:t>Symbol(s)</w:t>
            </w:r>
          </w:p>
        </w:tc>
        <w:tc>
          <w:tcPr>
            <w:tcW w:w="60" w:type="dxa"/>
            <w:tcBorders/>
            <w:shd w:fill="auto" w:val="clear"/>
            <w:vAlign w:val="center"/>
          </w:tcPr>
          <w:p>
            <w:pPr>
              <w:pStyle w:val="TableContents"/>
              <w:spacing w:before="0" w:after="283"/>
              <w:rPr/>
            </w:pPr>
            <w:r>
              <w:rPr/>
              <w:t> </w:t>
            </w:r>
          </w:p>
        </w:tc>
        <w:tc>
          <w:tcPr>
            <w:tcW w:w="2660" w:type="dxa"/>
            <w:tcBorders>
              <w:bottom w:val="single" w:sz="8" w:space="0" w:color="000000"/>
            </w:tcBorders>
            <w:shd w:fill="auto" w:val="clear"/>
            <w:tcMar>
              <w:bottom w:w="28" w:type="dxa"/>
            </w:tcMar>
            <w:vAlign w:val="center"/>
          </w:tcPr>
          <w:p>
            <w:pPr>
              <w:pStyle w:val="TableContents"/>
              <w:spacing w:before="0" w:after="20"/>
              <w:jc w:val="center"/>
              <w:rPr>
                <w:rFonts w:ascii="ARIAL" w:hAnsi="ARIAL"/>
                <w:b/>
                <w:sz w:val="16"/>
              </w:rPr>
            </w:pPr>
            <w:r>
              <w:rPr>
                <w:rFonts w:ascii="ARIAL" w:hAnsi="ARIAL"/>
                <w:b/>
                <w:sz w:val="16"/>
              </w:rPr>
              <w:t>Name of each exchange</w:t>
              <w:br/>
              <w:t>on which registered</w:t>
            </w:r>
          </w:p>
        </w:tc>
      </w:tr>
      <w:tr>
        <w:trPr/>
        <w:tc>
          <w:tcPr>
            <w:tcW w:w="3920" w:type="dxa"/>
            <w:tcBorders/>
            <w:shd w:fill="auto" w:val="clear"/>
            <w:vAlign w:val="center"/>
          </w:tcPr>
          <w:p>
            <w:pPr>
              <w:pStyle w:val="TableContents"/>
              <w:spacing w:before="0" w:after="283"/>
              <w:jc w:val="center"/>
              <w:rPr/>
            </w:pPr>
            <w:r>
              <w:rPr/>
              <w:t>common stock, par value $0.01 per share</w:t>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jc w:val="center"/>
              <w:rPr/>
            </w:pPr>
            <w:r>
              <w:rPr/>
              <w:t>SLB</w:t>
            </w:r>
          </w:p>
        </w:tc>
        <w:tc>
          <w:tcPr>
            <w:tcW w:w="60" w:type="dxa"/>
            <w:tcBorders/>
            <w:shd w:fill="auto" w:val="clear"/>
            <w:vAlign w:val="center"/>
          </w:tcPr>
          <w:p>
            <w:pPr>
              <w:pStyle w:val="TableContents"/>
              <w:spacing w:before="0" w:after="283"/>
              <w:rPr/>
            </w:pPr>
            <w:r>
              <w:rPr/>
              <w:t> </w:t>
            </w:r>
          </w:p>
        </w:tc>
        <w:tc>
          <w:tcPr>
            <w:tcW w:w="2660" w:type="dxa"/>
            <w:tcBorders/>
            <w:shd w:fill="auto" w:val="clear"/>
            <w:vAlign w:val="center"/>
          </w:tcPr>
          <w:p>
            <w:pPr>
              <w:pStyle w:val="TableContents"/>
              <w:spacing w:before="0" w:after="283"/>
              <w:jc w:val="center"/>
              <w:rPr/>
            </w:pPr>
            <w:r>
              <w:rPr/>
              <w:t>New York Stock Exchange</w:t>
            </w:r>
          </w:p>
        </w:tc>
      </w:tr>
    </w:tbl>
    <w:p>
      <w:pPr>
        <w:pStyle w:val="TextBody"/>
        <w:spacing w:before="240" w:after="0"/>
        <w:jc w:val="left"/>
        <w:rPr>
          <w:rFonts w:ascii="ARIAL" w:hAnsi="ARIAL"/>
          <w:sz w:val="20"/>
        </w:rPr>
      </w:pPr>
      <w:r>
        <w:rPr>
          <w:rFonts w:ascii="ARIAL" w:hAnsi="ARIAL"/>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240" w:after="0"/>
        <w:jc w:val="left"/>
        <w:rPr>
          <w:rFonts w:ascii="ARIAL" w:hAnsi="ARIAL"/>
          <w:sz w:val="20"/>
        </w:rPr>
      </w:pPr>
      <w:r>
        <w:rPr>
          <w:rFonts w:ascii="ARIAL" w:hAnsi="ARIAL"/>
          <w:sz w:val="20"/>
        </w:rPr>
        <w:t>Emerging growth company ☐</w:t>
      </w:r>
    </w:p>
    <w:p>
      <w:pPr>
        <w:pStyle w:val="TextBody"/>
        <w:spacing w:before="240" w:after="0"/>
        <w:jc w:val="left"/>
        <w:rPr>
          <w:rFonts w:ascii="ARIAL" w:hAnsi="ARIAL"/>
          <w:sz w:val="20"/>
        </w:rPr>
      </w:pPr>
      <w:r>
        <w:rPr>
          <w:rFonts w:ascii="ARIAL" w:hAnsi="ARIAL"/>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5440" w:type="dxa"/>
        <w:jc w:val="left"/>
        <w:tblInd w:w="0" w:type="dxa"/>
        <w:tblCellMar>
          <w:top w:w="0" w:type="dxa"/>
          <w:left w:w="0" w:type="dxa"/>
          <w:bottom w:w="0" w:type="dxa"/>
          <w:right w:w="0" w:type="dxa"/>
        </w:tblCellMar>
      </w:tblPr>
      <w:tblGrid>
        <w:gridCol w:w="980"/>
        <w:gridCol w:w="4460"/>
      </w:tblGrid>
      <w:tr>
        <w:trPr/>
        <w:tc>
          <w:tcPr>
            <w:tcW w:w="980" w:type="dxa"/>
            <w:tcBorders/>
            <w:shd w:fill="auto" w:val="clear"/>
            <w:vAlign w:val="center"/>
          </w:tcPr>
          <w:p>
            <w:pPr>
              <w:pStyle w:val="TableContents"/>
              <w:spacing w:before="0" w:after="283"/>
              <w:jc w:val="left"/>
              <w:rPr>
                <w:b/>
              </w:rPr>
            </w:pPr>
            <w:r>
              <w:rPr>
                <w:b/>
              </w:rPr>
              <w:t>Item 2.02</w:t>
            </w:r>
          </w:p>
        </w:tc>
        <w:tc>
          <w:tcPr>
            <w:tcW w:w="4460" w:type="dxa"/>
            <w:tcBorders/>
            <w:shd w:fill="auto" w:val="clear"/>
            <w:vAlign w:val="center"/>
          </w:tcPr>
          <w:p>
            <w:pPr>
              <w:pStyle w:val="TableContents"/>
              <w:spacing w:before="0" w:after="0"/>
              <w:jc w:val="left"/>
              <w:rPr>
                <w:rFonts w:ascii="ARIAL" w:hAnsi="ARIAL"/>
                <w:b/>
                <w:sz w:val="20"/>
              </w:rPr>
            </w:pPr>
            <w:r>
              <w:rPr>
                <w:rFonts w:ascii="ARIAL" w:hAnsi="ARIAL"/>
                <w:b/>
                <w:sz w:val="20"/>
              </w:rPr>
              <w:t xml:space="preserve">Results of Operations and Financial Condition. </w:t>
            </w:r>
          </w:p>
        </w:tc>
      </w:tr>
    </w:tbl>
    <w:p>
      <w:pPr>
        <w:pStyle w:val="TextBody"/>
        <w:spacing w:before="120" w:after="0"/>
        <w:jc w:val="left"/>
        <w:rPr>
          <w:rFonts w:ascii="ARIAL" w:hAnsi="ARIAL"/>
          <w:sz w:val="20"/>
        </w:rPr>
      </w:pPr>
      <w:r>
        <w:rPr>
          <w:rFonts w:ascii="ARIAL" w:hAnsi="ARIAL"/>
          <w:sz w:val="20"/>
        </w:rPr>
        <w:t>The First-Quarter 2023 Earnings Release furnished as Exhibit 99 hereto, which is incorporated by reference into this Item 2.02, was posted on the SLB internet website (</w:t>
      </w:r>
      <w:r>
        <w:rPr>
          <w:rFonts w:ascii="ARIAL" w:hAnsi="ARIAL"/>
          <w:sz w:val="20"/>
          <w:u w:val="single"/>
        </w:rPr>
        <w:t>https://investorcenter.slb.com/financials/quarterly-results</w:t>
      </w:r>
      <w:r>
        <w:rPr>
          <w:rFonts w:ascii="ARIAL" w:hAnsi="ARIAL"/>
          <w:sz w:val="20"/>
        </w:rPr>
        <w:t xml:space="preserve">) on April 21, 2023.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 </w:t>
      </w:r>
    </w:p>
    <w:p>
      <w:pPr>
        <w:pStyle w:val="TextBody"/>
        <w:spacing w:before="0" w:after="0"/>
        <w:jc w:val="left"/>
        <w:rPr/>
      </w:pPr>
      <w:r>
        <w:rPr/>
        <w:t> </w:t>
      </w:r>
    </w:p>
    <w:tbl>
      <w:tblPr>
        <w:tblW w:w="3505" w:type="dxa"/>
        <w:jc w:val="left"/>
        <w:tblInd w:w="0" w:type="dxa"/>
        <w:tblCellMar>
          <w:top w:w="0" w:type="dxa"/>
          <w:left w:w="0" w:type="dxa"/>
          <w:bottom w:w="0" w:type="dxa"/>
          <w:right w:w="0" w:type="dxa"/>
        </w:tblCellMar>
      </w:tblPr>
      <w:tblGrid>
        <w:gridCol w:w="980"/>
        <w:gridCol w:w="2525"/>
      </w:tblGrid>
      <w:tr>
        <w:trPr/>
        <w:tc>
          <w:tcPr>
            <w:tcW w:w="980" w:type="dxa"/>
            <w:tcBorders/>
            <w:shd w:fill="auto" w:val="clear"/>
            <w:vAlign w:val="center"/>
          </w:tcPr>
          <w:p>
            <w:pPr>
              <w:pStyle w:val="TableContents"/>
              <w:spacing w:before="0" w:after="283"/>
              <w:jc w:val="left"/>
              <w:rPr>
                <w:b/>
              </w:rPr>
            </w:pPr>
            <w:r>
              <w:rPr>
                <w:b/>
              </w:rPr>
              <w:t>Item 7.01</w:t>
            </w:r>
          </w:p>
        </w:tc>
        <w:tc>
          <w:tcPr>
            <w:tcW w:w="2525" w:type="dxa"/>
            <w:tcBorders/>
            <w:shd w:fill="auto" w:val="clear"/>
            <w:vAlign w:val="center"/>
          </w:tcPr>
          <w:p>
            <w:pPr>
              <w:pStyle w:val="TableContents"/>
              <w:spacing w:before="0" w:after="0"/>
              <w:jc w:val="left"/>
              <w:rPr>
                <w:rFonts w:ascii="ARIAL" w:hAnsi="ARIAL"/>
                <w:b/>
                <w:sz w:val="20"/>
              </w:rPr>
            </w:pPr>
            <w:r>
              <w:rPr>
                <w:rFonts w:ascii="ARIAL" w:hAnsi="ARIAL"/>
                <w:b/>
                <w:sz w:val="20"/>
              </w:rPr>
              <w:t xml:space="preserve">Regulation FD Disclosure. </w:t>
            </w:r>
          </w:p>
        </w:tc>
      </w:tr>
    </w:tbl>
    <w:p>
      <w:pPr>
        <w:pStyle w:val="TextBody"/>
        <w:spacing w:before="120" w:after="0"/>
        <w:jc w:val="left"/>
        <w:rPr>
          <w:rFonts w:ascii="ARIAL" w:hAnsi="ARIAL"/>
          <w:sz w:val="20"/>
        </w:rPr>
      </w:pPr>
      <w:r>
        <w:rPr>
          <w:rFonts w:ascii="ARIAL" w:hAnsi="ARIAL"/>
          <w:sz w:val="20"/>
        </w:rPr>
        <w:t xml:space="preserve">On April 21, 2023, SLB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 </w:t>
      </w:r>
    </w:p>
    <w:p>
      <w:pPr>
        <w:pStyle w:val="TextBody"/>
        <w:spacing w:before="240" w:after="0"/>
        <w:jc w:val="left"/>
        <w:rPr>
          <w:rFonts w:ascii="ARIAL" w:hAnsi="ARIAL"/>
          <w:sz w:val="20"/>
        </w:rPr>
      </w:pPr>
      <w:r>
        <w:rPr>
          <w:rFonts w:ascii="ARIAL" w:hAnsi="ARIAL"/>
          <w:sz w:val="20"/>
        </w:rPr>
        <w:t xml:space="preserve">Also, see Item 2.02, “Results of Operations and Financial Condition.” </w:t>
      </w:r>
    </w:p>
    <w:p>
      <w:pPr>
        <w:pStyle w:val="TextBody"/>
        <w:spacing w:before="0" w:after="0"/>
        <w:jc w:val="left"/>
        <w:rPr/>
      </w:pPr>
      <w:r>
        <w:rPr/>
        <w:t> </w:t>
      </w:r>
    </w:p>
    <w:tbl>
      <w:tblPr>
        <w:tblW w:w="4315" w:type="dxa"/>
        <w:jc w:val="left"/>
        <w:tblInd w:w="0" w:type="dxa"/>
        <w:tblCellMar>
          <w:top w:w="0" w:type="dxa"/>
          <w:left w:w="0" w:type="dxa"/>
          <w:bottom w:w="0" w:type="dxa"/>
          <w:right w:w="0" w:type="dxa"/>
        </w:tblCellMar>
      </w:tblPr>
      <w:tblGrid>
        <w:gridCol w:w="980"/>
        <w:gridCol w:w="3335"/>
      </w:tblGrid>
      <w:tr>
        <w:trPr/>
        <w:tc>
          <w:tcPr>
            <w:tcW w:w="980" w:type="dxa"/>
            <w:tcBorders/>
            <w:shd w:fill="auto" w:val="clear"/>
            <w:vAlign w:val="center"/>
          </w:tcPr>
          <w:p>
            <w:pPr>
              <w:pStyle w:val="TableContents"/>
              <w:spacing w:before="0" w:after="283"/>
              <w:jc w:val="left"/>
              <w:rPr>
                <w:b/>
              </w:rPr>
            </w:pPr>
            <w:r>
              <w:rPr>
                <w:b/>
              </w:rPr>
              <w:t>Item 9.01</w:t>
            </w:r>
          </w:p>
        </w:tc>
        <w:tc>
          <w:tcPr>
            <w:tcW w:w="3335" w:type="dxa"/>
            <w:tcBorders/>
            <w:shd w:fill="auto" w:val="clear"/>
            <w:vAlign w:val="center"/>
          </w:tcPr>
          <w:p>
            <w:pPr>
              <w:pStyle w:val="TableContents"/>
              <w:spacing w:before="0" w:after="0"/>
              <w:jc w:val="left"/>
              <w:rPr>
                <w:rFonts w:ascii="ARIAL" w:hAnsi="ARIAL"/>
                <w:b/>
                <w:sz w:val="20"/>
              </w:rPr>
            </w:pPr>
            <w:r>
              <w:rPr>
                <w:rFonts w:ascii="ARIAL" w:hAnsi="ARIAL"/>
                <w:b/>
                <w:sz w:val="20"/>
              </w:rPr>
              <w:t xml:space="preserve">Financial Statements and Exhibits. </w:t>
            </w:r>
          </w:p>
        </w:tc>
      </w:tr>
    </w:tbl>
    <w:p>
      <w:pPr>
        <w:pStyle w:val="TextBody"/>
        <w:spacing w:before="0" w:after="0"/>
        <w:jc w:val="left"/>
        <w:rPr/>
      </w:pPr>
      <w:r>
        <w:rPr/>
        <w:t> </w:t>
      </w:r>
    </w:p>
    <w:tbl>
      <w:tblPr>
        <w:tblW w:w="1105" w:type="dxa"/>
        <w:jc w:val="left"/>
        <w:tblInd w:w="0" w:type="dxa"/>
        <w:tblCellMar>
          <w:top w:w="0" w:type="dxa"/>
          <w:left w:w="0" w:type="dxa"/>
          <w:bottom w:w="0" w:type="dxa"/>
          <w:right w:w="0" w:type="dxa"/>
        </w:tblCellMar>
      </w:tblPr>
      <w:tblGrid>
        <w:gridCol w:w="305"/>
        <w:gridCol w:w="800"/>
      </w:tblGrid>
      <w:tr>
        <w:trPr/>
        <w:tc>
          <w:tcPr>
            <w:tcW w:w="305" w:type="dxa"/>
            <w:tcBorders/>
            <w:shd w:fill="auto" w:val="clear"/>
            <w:vAlign w:val="center"/>
          </w:tcPr>
          <w:p>
            <w:pPr>
              <w:pStyle w:val="TableContents"/>
              <w:spacing w:before="0" w:after="283"/>
              <w:jc w:val="left"/>
              <w:rPr/>
            </w:pPr>
            <w:r>
              <w:rPr/>
              <w:t>(d)</w:t>
            </w:r>
          </w:p>
        </w:tc>
        <w:tc>
          <w:tcPr>
            <w:tcW w:w="800" w:type="dxa"/>
            <w:tcBorders/>
            <w:shd w:fill="auto" w:val="clear"/>
            <w:vAlign w:val="center"/>
          </w:tcPr>
          <w:p>
            <w:pPr>
              <w:pStyle w:val="TableContents"/>
              <w:spacing w:before="0" w:after="0"/>
              <w:jc w:val="left"/>
              <w:rPr>
                <w:rFonts w:ascii="ARIAL" w:hAnsi="ARIAL"/>
                <w:sz w:val="20"/>
              </w:rPr>
            </w:pPr>
            <w:r>
              <w:rPr>
                <w:rFonts w:ascii="ARIAL" w:hAnsi="ARIAL"/>
                <w:sz w:val="20"/>
              </w:rPr>
              <w:t xml:space="preserve">Exhibits </w:t>
            </w:r>
          </w:p>
        </w:tc>
      </w:tr>
    </w:tbl>
    <w:p>
      <w:pPr>
        <w:pStyle w:val="TextBody"/>
        <w:spacing w:before="240" w:after="0"/>
        <w:jc w:val="left"/>
        <w:rPr>
          <w:rFonts w:ascii="ARIAL" w:hAnsi="ARIAL"/>
          <w:sz w:val="20"/>
        </w:rPr>
      </w:pPr>
      <w:r>
        <w:rPr>
          <w:rFonts w:ascii="ARIAL" w:hAnsi="ARIAL"/>
          <w:sz w:val="20"/>
        </w:rPr>
        <w:t xml:space="preserve">The exhibit listed below is furnished pursuant to Item 9.01 of this Form 8-K. </w:t>
      </w:r>
    </w:p>
    <w:p>
      <w:pPr>
        <w:pStyle w:val="TextBody"/>
        <w:spacing w:before="0" w:after="0"/>
        <w:jc w:val="left"/>
        <w:rPr/>
      </w:pPr>
      <w:r>
        <w:rPr/>
        <w:t> </w:t>
      </w:r>
    </w:p>
    <w:tbl>
      <w:tblPr>
        <w:tblW w:w="8200" w:type="dxa"/>
        <w:jc w:val="left"/>
        <w:tblInd w:w="0" w:type="dxa"/>
        <w:tblCellMar>
          <w:top w:w="0" w:type="dxa"/>
          <w:left w:w="0" w:type="dxa"/>
          <w:bottom w:w="0" w:type="dxa"/>
          <w:right w:w="0" w:type="dxa"/>
        </w:tblCellMar>
      </w:tblPr>
      <w:tblGrid>
        <w:gridCol w:w="395"/>
        <w:gridCol w:w="120"/>
        <w:gridCol w:w="7685"/>
      </w:tblGrid>
      <w:tr>
        <w:trPr/>
        <w:tc>
          <w:tcPr>
            <w:tcW w:w="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85" w:type="dxa"/>
            <w:tcBorders/>
            <w:shd w:fill="auto" w:val="clear"/>
            <w:vAlign w:val="center"/>
          </w:tcPr>
          <w:p>
            <w:pPr>
              <w:pStyle w:val="TableContents"/>
              <w:spacing w:before="0" w:after="283"/>
              <w:rPr>
                <w:sz w:val="4"/>
                <w:szCs w:val="4"/>
              </w:rPr>
            </w:pPr>
            <w:r>
              <w:rPr>
                <w:sz w:val="4"/>
                <w:szCs w:val="4"/>
              </w:rPr>
            </w:r>
          </w:p>
        </w:tc>
      </w:tr>
      <w:tr>
        <w:trPr/>
        <w:tc>
          <w:tcPr>
            <w:tcW w:w="395" w:type="dxa"/>
            <w:tcBorders/>
            <w:shd w:fill="auto" w:val="clear"/>
            <w:vAlign w:val="center"/>
          </w:tcPr>
          <w:p>
            <w:pPr>
              <w:pStyle w:val="TableContents"/>
              <w:spacing w:before="0" w:after="283"/>
              <w:rPr/>
            </w:pPr>
            <w:r>
              <w:rPr/>
              <w:t>99</w:t>
            </w:r>
          </w:p>
        </w:tc>
        <w:tc>
          <w:tcPr>
            <w:tcW w:w="120" w:type="dxa"/>
            <w:tcBorders/>
            <w:shd w:fill="auto" w:val="clear"/>
            <w:vAlign w:val="center"/>
          </w:tcPr>
          <w:p>
            <w:pPr>
              <w:pStyle w:val="TableContents"/>
              <w:spacing w:before="0" w:after="283"/>
              <w:rPr/>
            </w:pPr>
            <w:r>
              <w:rPr/>
              <w:t>  </w:t>
            </w:r>
          </w:p>
        </w:tc>
        <w:tc>
          <w:tcPr>
            <w:tcW w:w="7685" w:type="dxa"/>
            <w:tcBorders/>
            <w:shd w:fill="auto" w:val="clear"/>
            <w:vAlign w:val="center"/>
          </w:tcPr>
          <w:p>
            <w:pPr>
              <w:pStyle w:val="TableContents"/>
              <w:spacing w:before="0" w:after="283"/>
              <w:rPr/>
            </w:pPr>
            <w:hyperlink w:anchor="d677638dex99.htm">
              <w:r>
                <w:rPr>
                  <w:rStyle w:val="InternetLink"/>
                </w:rPr>
                <w:t>First-Quarter 2023 Earnings Release.</w:t>
              </w:r>
            </w:hyperlink>
          </w:p>
        </w:tc>
      </w:tr>
      <w:tr>
        <w:trPr/>
        <w:tc>
          <w:tcPr>
            <w:tcW w:w="395" w:type="dxa"/>
            <w:tcBorders/>
            <w:shd w:fill="auto" w:val="clear"/>
            <w:vAlign w:val="center"/>
          </w:tcPr>
          <w:p>
            <w:pPr>
              <w:pStyle w:val="TableContents"/>
              <w:spacing w:before="0" w:after="283"/>
              <w:rPr>
                <w:sz w:val="4"/>
                <w:szCs w:val="4"/>
              </w:rPr>
            </w:pPr>
            <w:r>
              <w:rPr>
                <w:sz w:val="4"/>
                <w:szCs w:val="4"/>
              </w:rPr>
            </w:r>
          </w:p>
        </w:tc>
        <w:tc>
          <w:tcPr>
            <w:tcW w:w="7805" w:type="dxa"/>
            <w:gridSpan w:val="2"/>
            <w:tcBorders/>
            <w:shd w:fill="auto" w:val="clear"/>
            <w:vAlign w:val="center"/>
          </w:tcPr>
          <w:p>
            <w:pPr>
              <w:pStyle w:val="TableContents"/>
              <w:spacing w:before="0" w:after="283"/>
              <w:rPr>
                <w:sz w:val="4"/>
                <w:szCs w:val="4"/>
              </w:rPr>
            </w:pPr>
            <w:r>
              <w:rPr>
                <w:sz w:val="4"/>
                <w:szCs w:val="4"/>
              </w:rPr>
            </w:r>
          </w:p>
        </w:tc>
      </w:tr>
      <w:tr>
        <w:trPr/>
        <w:tc>
          <w:tcPr>
            <w:tcW w:w="395"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7685" w:type="dxa"/>
            <w:tcBorders/>
            <w:shd w:fill="auto" w:val="clear"/>
            <w:vAlign w:val="center"/>
          </w:tcPr>
          <w:p>
            <w:pPr>
              <w:pStyle w:val="TableContents"/>
              <w:spacing w:before="0" w:after="283"/>
              <w:rPr/>
            </w:pPr>
            <w:r>
              <w:rPr/>
              <w:t>Cover Page Interactive Data File (embedded within the Inline XBRL document).</w:t>
            </w:r>
          </w:p>
        </w:tc>
      </w:tr>
    </w:tbl>
    <w:p>
      <w:pPr>
        <w:pStyle w:val="HorizontalLine"/>
        <w:rPr/>
      </w:pPr>
      <w:r>
        <w:br w:type="page"/>
      </w:r>
      <w:r>
        <w:rPr/>
      </w:r>
    </w:p>
    <w:p>
      <w:pPr>
        <w:pStyle w:val="TextBody"/>
        <w:spacing w:before="0" w:after="0"/>
        <w:jc w:val="center"/>
        <w:rPr>
          <w:rFonts w:ascii="ARIAL" w:hAnsi="ARIAL"/>
          <w:b/>
          <w:sz w:val="20"/>
        </w:rPr>
      </w:pPr>
      <w:r>
        <w:rPr>
          <w:rFonts w:ascii="ARIAL" w:hAnsi="ARIAL"/>
          <w:b/>
          <w:sz w:val="20"/>
        </w:rPr>
        <w:t xml:space="preserve">SIGNATURES </w:t>
      </w:r>
    </w:p>
    <w:p>
      <w:pPr>
        <w:pStyle w:val="TextBody"/>
        <w:spacing w:before="240" w:after="0"/>
        <w:jc w:val="left"/>
        <w:rPr>
          <w:rFonts w:ascii="ARIAL" w:hAnsi="ARIAL"/>
          <w:sz w:val="20"/>
        </w:rPr>
      </w:pPr>
      <w:r>
        <w:rPr>
          <w:rFonts w:ascii="ARIAL" w:hAnsi="ARIAL"/>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3290" w:type="dxa"/>
        <w:jc w:val="left"/>
        <w:tblInd w:w="0" w:type="dxa"/>
        <w:tblCellMar>
          <w:top w:w="0" w:type="dxa"/>
          <w:left w:w="0" w:type="dxa"/>
          <w:bottom w:w="0" w:type="dxa"/>
          <w:right w:w="0" w:type="dxa"/>
        </w:tblCellMar>
      </w:tblPr>
      <w:tblGrid>
        <w:gridCol w:w="3290"/>
      </w:tblGrid>
      <w:tr>
        <w:trPr/>
        <w:tc>
          <w:tcPr>
            <w:tcW w:w="3290" w:type="dxa"/>
            <w:tcBorders/>
            <w:shd w:fill="auto" w:val="clear"/>
            <w:vAlign w:val="center"/>
          </w:tcPr>
          <w:p>
            <w:pPr>
              <w:pStyle w:val="TableContents"/>
              <w:spacing w:before="0" w:after="283"/>
              <w:rPr>
                <w:sz w:val="4"/>
                <w:szCs w:val="4"/>
              </w:rPr>
            </w:pPr>
            <w:r>
              <w:rPr>
                <w:sz w:val="4"/>
                <w:szCs w:val="4"/>
              </w:rPr>
            </w:r>
          </w:p>
        </w:tc>
      </w:tr>
      <w:tr>
        <w:trPr/>
        <w:tc>
          <w:tcPr>
            <w:tcW w:w="3290" w:type="dxa"/>
            <w:tcBorders/>
            <w:shd w:fill="auto" w:val="clear"/>
            <w:vAlign w:val="center"/>
          </w:tcPr>
          <w:p>
            <w:pPr>
              <w:pStyle w:val="TableContents"/>
              <w:spacing w:before="0" w:after="283"/>
              <w:rPr>
                <w:b/>
              </w:rPr>
            </w:pPr>
            <w:r>
              <w:rPr>
                <w:b/>
              </w:rPr>
              <w:t>SCHLUMBERGER LIMITED</w:t>
            </w:r>
          </w:p>
        </w:tc>
      </w:tr>
      <w:tr>
        <w:trPr/>
        <w:tc>
          <w:tcPr>
            <w:tcW w:w="3290" w:type="dxa"/>
            <w:tcBorders/>
            <w:shd w:fill="auto" w:val="clear"/>
            <w:vAlign w:val="center"/>
          </w:tcPr>
          <w:p>
            <w:pPr>
              <w:pStyle w:val="TableContents"/>
              <w:spacing w:before="0" w:after="283"/>
              <w:rPr>
                <w:sz w:val="4"/>
                <w:szCs w:val="4"/>
              </w:rPr>
            </w:pPr>
            <w:r>
              <w:rPr>
                <w:sz w:val="4"/>
                <w:szCs w:val="4"/>
              </w:rPr>
            </w:r>
          </w:p>
        </w:tc>
      </w:tr>
      <w:tr>
        <w:trPr/>
        <w:tc>
          <w:tcPr>
            <w:tcW w:w="3290" w:type="dxa"/>
            <w:tcBorders/>
            <w:shd w:fill="auto" w:val="clear"/>
            <w:vAlign w:val="center"/>
          </w:tcPr>
          <w:p>
            <w:pPr>
              <w:pStyle w:val="TableContents"/>
              <w:pBdr>
                <w:bottom w:val="single" w:sz="2" w:space="1" w:color="000000"/>
              </w:pBdr>
              <w:spacing w:before="0" w:after="20"/>
              <w:rPr>
                <w:rFonts w:ascii="ARIAL" w:hAnsi="ARIAL"/>
                <w:sz w:val="20"/>
              </w:rPr>
            </w:pPr>
            <w:r>
              <w:rPr>
                <w:rFonts w:ascii="ARIAL" w:hAnsi="ARIAL"/>
                <w:sz w:val="20"/>
              </w:rPr>
              <w:t>/s/ Howard Guild</w:t>
            </w:r>
          </w:p>
        </w:tc>
      </w:tr>
      <w:tr>
        <w:trPr/>
        <w:tc>
          <w:tcPr>
            <w:tcW w:w="3290" w:type="dxa"/>
            <w:tcBorders/>
            <w:shd w:fill="auto" w:val="clear"/>
            <w:vAlign w:val="center"/>
          </w:tcPr>
          <w:p>
            <w:pPr>
              <w:pStyle w:val="TableContents"/>
              <w:spacing w:before="0" w:after="283"/>
              <w:rPr/>
            </w:pPr>
            <w:r>
              <w:rPr/>
              <w:t>Howard Guild</w:t>
            </w:r>
          </w:p>
        </w:tc>
      </w:tr>
      <w:tr>
        <w:trPr/>
        <w:tc>
          <w:tcPr>
            <w:tcW w:w="3290" w:type="dxa"/>
            <w:tcBorders/>
            <w:shd w:fill="auto" w:val="clear"/>
            <w:vAlign w:val="center"/>
          </w:tcPr>
          <w:p>
            <w:pPr>
              <w:pStyle w:val="TableContents"/>
              <w:spacing w:before="0" w:after="283"/>
              <w:rPr/>
            </w:pPr>
            <w:r>
              <w:rPr/>
              <w:t>Chief Accounting Officer</w:t>
            </w:r>
          </w:p>
        </w:tc>
      </w:tr>
      <w:tr>
        <w:trPr/>
        <w:tc>
          <w:tcPr>
            <w:tcW w:w="3290" w:type="dxa"/>
            <w:tcBorders/>
            <w:shd w:fill="auto" w:val="clear"/>
            <w:vAlign w:val="center"/>
          </w:tcPr>
          <w:p>
            <w:pPr>
              <w:pStyle w:val="TableContents"/>
              <w:spacing w:before="0" w:after="283"/>
              <w:rPr>
                <w:sz w:val="4"/>
                <w:szCs w:val="4"/>
              </w:rPr>
            </w:pPr>
            <w:r>
              <w:rPr>
                <w:sz w:val="4"/>
                <w:szCs w:val="4"/>
              </w:rPr>
            </w:r>
          </w:p>
        </w:tc>
      </w:tr>
      <w:tr>
        <w:trPr/>
        <w:tc>
          <w:tcPr>
            <w:tcW w:w="3290" w:type="dxa"/>
            <w:tcBorders/>
            <w:shd w:fill="auto" w:val="clear"/>
            <w:vAlign w:val="center"/>
          </w:tcPr>
          <w:p>
            <w:pPr>
              <w:pStyle w:val="TableContents"/>
              <w:spacing w:before="0" w:after="283"/>
              <w:rPr/>
            </w:pPr>
            <w:r>
              <w:rPr/>
              <w:t>Date: April 21, 2023</w:t>
            </w:r>
          </w:p>
        </w:tc>
      </w:tr>
    </w:tbl>
    <w:p>
      <w:pPr>
        <w:pStyle w:val="TextBody"/>
        <w:spacing w:before="0" w:after="0"/>
        <w:jc w:val="right"/>
        <w:rPr>
          <w:rFonts w:ascii="ARIAL" w:hAnsi="ARIAL"/>
          <w:b/>
          <w:sz w:val="20"/>
        </w:rPr>
      </w:pPr>
      <w:r>
        <w:br w:type="page"/>
      </w:r>
      <w:bookmarkStart w:id="2" w:name="d677638dex99.htm"/>
      <w:bookmarkStart w:id="3" w:name="ksd677638dex99"/>
      <w:bookmarkEnd w:id="2"/>
      <w:bookmarkEnd w:id="3"/>
      <w:r>
        <w:rPr>
          <w:rFonts w:ascii="ARIAL" w:hAnsi="ARIAL"/>
          <w:b/>
          <w:sz w:val="20"/>
        </w:rPr>
        <w:t xml:space="preserve">Exhibit 99 </w:t>
      </w:r>
    </w:p>
    <w:p>
      <w:pPr>
        <w:pStyle w:val="TextBody"/>
        <w:spacing w:before="0" w:after="0"/>
        <w:jc w:val="left"/>
        <w:rPr/>
      </w:pPr>
      <w:r>
        <w:rPr/>
        <w:t> </w:t>
      </w:r>
    </w:p>
    <w:p>
      <w:pPr>
        <w:pStyle w:val="TextBody"/>
        <w:spacing w:before="0" w:after="0"/>
        <w:jc w:val="left"/>
        <w:rPr/>
      </w:pPr>
      <w:r>
        <w:rPr/>
        <w:drawing>
          <wp:inline distT="0" distB="0" distL="0" distR="0">
            <wp:extent cx="1590675"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90675" cy="942975"/>
                    </a:xfrm>
                    <a:prstGeom prst="rect">
                      <a:avLst/>
                    </a:prstGeom>
                  </pic:spPr>
                </pic:pic>
              </a:graphicData>
            </a:graphic>
          </wp:inline>
        </w:drawing>
      </w:r>
      <w:r>
        <w:rPr/>
        <w:t xml:space="preserve"> </w:t>
      </w:r>
    </w:p>
    <w:p>
      <w:pPr>
        <w:pStyle w:val="TextBody"/>
        <w:spacing w:before="240" w:after="0"/>
        <w:jc w:val="left"/>
        <w:rPr>
          <w:rFonts w:ascii="ARIAL" w:hAnsi="ARIAL"/>
          <w:b/>
          <w:sz w:val="20"/>
        </w:rPr>
      </w:pPr>
      <w:r>
        <w:rPr>
          <w:rFonts w:ascii="ARIAL" w:hAnsi="ARIAL"/>
          <w:b/>
          <w:sz w:val="20"/>
        </w:rPr>
        <w:t xml:space="preserve">SLB Announces First-Quarter 2023 Results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0"/>
        <w:gridCol w:w="103"/>
        <w:gridCol w:w="9790"/>
      </w:tblGrid>
      <w:tr>
        <w:trPr/>
        <w:tc>
          <w:tcPr>
            <w:tcW w:w="102"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90" w:type="dxa"/>
            <w:tcBorders/>
            <w:shd w:fill="auto" w:val="clear"/>
          </w:tcPr>
          <w:p>
            <w:pPr>
              <w:pStyle w:val="TableContents"/>
              <w:spacing w:before="0" w:after="0"/>
              <w:jc w:val="left"/>
              <w:rPr>
                <w:rFonts w:ascii="ARIAL" w:hAnsi="ARIAL"/>
                <w:sz w:val="20"/>
              </w:rPr>
            </w:pPr>
            <w:r>
              <w:rPr>
                <w:rFonts w:ascii="ARIAL" w:hAnsi="ARIAL"/>
                <w:sz w:val="20"/>
              </w:rPr>
              <w:t xml:space="preserve">Revenue of $7.7 billion increased 30% year on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
        <w:gridCol w:w="213"/>
        <w:gridCol w:w="104"/>
        <w:gridCol w:w="9785"/>
      </w:tblGrid>
      <w:tr>
        <w:trPr/>
        <w:tc>
          <w:tcPr>
            <w:tcW w:w="103"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785" w:type="dxa"/>
            <w:tcBorders/>
            <w:shd w:fill="auto" w:val="clear"/>
          </w:tcPr>
          <w:p>
            <w:pPr>
              <w:pStyle w:val="TableContents"/>
              <w:spacing w:before="0" w:after="0"/>
              <w:jc w:val="left"/>
              <w:rPr>
                <w:rFonts w:ascii="ARIAL" w:hAnsi="ARIAL"/>
                <w:sz w:val="20"/>
              </w:rPr>
            </w:pPr>
            <w:r>
              <w:rPr>
                <w:rFonts w:ascii="ARIAL" w:hAnsi="ARIAL"/>
                <w:sz w:val="20"/>
              </w:rPr>
              <w:t xml:space="preserve">GAAP EPS of $0.65 increased 81% year on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
        <w:gridCol w:w="213"/>
        <w:gridCol w:w="104"/>
        <w:gridCol w:w="9785"/>
      </w:tblGrid>
      <w:tr>
        <w:trPr/>
        <w:tc>
          <w:tcPr>
            <w:tcW w:w="103"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785" w:type="dxa"/>
            <w:tcBorders/>
            <w:shd w:fill="auto" w:val="clear"/>
          </w:tcPr>
          <w:p>
            <w:pPr>
              <w:pStyle w:val="TableContents"/>
              <w:spacing w:before="0" w:after="0"/>
              <w:jc w:val="left"/>
              <w:rPr>
                <w:rFonts w:ascii="ARIAL" w:hAnsi="ARIAL"/>
                <w:sz w:val="20"/>
              </w:rPr>
            </w:pPr>
            <w:r>
              <w:rPr>
                <w:rFonts w:ascii="ARIAL" w:hAnsi="ARIAL"/>
                <w:sz w:val="20"/>
              </w:rPr>
              <w:t xml:space="preserve">EPS, excluding charges and credits, of $0.63 increased 85% year on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0"/>
        <w:gridCol w:w="103"/>
        <w:gridCol w:w="9790"/>
      </w:tblGrid>
      <w:tr>
        <w:trPr/>
        <w:tc>
          <w:tcPr>
            <w:tcW w:w="102"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90" w:type="dxa"/>
            <w:tcBorders/>
            <w:shd w:fill="auto" w:val="clear"/>
          </w:tcPr>
          <w:p>
            <w:pPr>
              <w:pStyle w:val="TableContents"/>
              <w:spacing w:before="0" w:after="0"/>
              <w:jc w:val="left"/>
              <w:rPr>
                <w:rFonts w:ascii="ARIAL" w:hAnsi="ARIAL"/>
                <w:sz w:val="20"/>
              </w:rPr>
            </w:pPr>
            <w:r>
              <w:rPr>
                <w:rFonts w:ascii="ARIAL" w:hAnsi="ARIAL"/>
                <w:sz w:val="20"/>
              </w:rPr>
              <w:t xml:space="preserve">Net income attributable to SLB of $934 million increased 83% year on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0"/>
        <w:gridCol w:w="103"/>
        <w:gridCol w:w="9790"/>
      </w:tblGrid>
      <w:tr>
        <w:trPr/>
        <w:tc>
          <w:tcPr>
            <w:tcW w:w="102"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90" w:type="dxa"/>
            <w:tcBorders/>
            <w:shd w:fill="auto" w:val="clear"/>
          </w:tcPr>
          <w:p>
            <w:pPr>
              <w:pStyle w:val="TableContents"/>
              <w:spacing w:before="0" w:after="0"/>
              <w:jc w:val="left"/>
              <w:rPr>
                <w:rFonts w:ascii="ARIAL" w:hAnsi="ARIAL"/>
                <w:sz w:val="20"/>
              </w:rPr>
            </w:pPr>
            <w:r>
              <w:rPr>
                <w:rFonts w:ascii="ARIAL" w:hAnsi="ARIAL"/>
                <w:sz w:val="20"/>
              </w:rPr>
              <w:t xml:space="preserve">Adjusted EBITDA of $1.8 billion increased 43% year on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0"/>
        <w:gridCol w:w="103"/>
        <w:gridCol w:w="9790"/>
      </w:tblGrid>
      <w:tr>
        <w:trPr/>
        <w:tc>
          <w:tcPr>
            <w:tcW w:w="102"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90" w:type="dxa"/>
            <w:tcBorders/>
            <w:shd w:fill="auto" w:val="clear"/>
          </w:tcPr>
          <w:p>
            <w:pPr>
              <w:pStyle w:val="TableContents"/>
              <w:spacing w:before="0" w:after="0"/>
              <w:jc w:val="left"/>
              <w:rPr>
                <w:rFonts w:ascii="ARIAL" w:hAnsi="ARIAL"/>
                <w:sz w:val="20"/>
              </w:rPr>
            </w:pPr>
            <w:r>
              <w:rPr>
                <w:rFonts w:ascii="ARIAL" w:hAnsi="ARIAL"/>
                <w:sz w:val="20"/>
              </w:rPr>
              <w:t xml:space="preserve">Cash flow from operations was $330 million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5"/>
        <w:gridCol w:w="102"/>
        <w:gridCol w:w="9797"/>
      </w:tblGrid>
      <w:tr>
        <w:trPr/>
        <w:tc>
          <w:tcPr>
            <w:tcW w:w="101"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0"/>
              <w:jc w:val="left"/>
              <w:rPr>
                <w:rFonts w:ascii="ARIAL" w:hAnsi="ARIAL"/>
                <w:sz w:val="20"/>
              </w:rPr>
            </w:pPr>
            <w:r>
              <w:rPr>
                <w:rFonts w:ascii="ARIAL" w:hAnsi="ARIAL"/>
                <w:sz w:val="20"/>
              </w:rPr>
              <w:t xml:space="preserve">Board approved quarterly cash dividend of $0.25 per share </w:t>
            </w:r>
          </w:p>
        </w:tc>
      </w:tr>
    </w:tbl>
    <w:p>
      <w:pPr>
        <w:pStyle w:val="TextBody"/>
        <w:spacing w:before="240" w:after="0"/>
        <w:jc w:val="left"/>
        <w:rPr>
          <w:rFonts w:ascii="ARIAL" w:hAnsi="ARIAL"/>
          <w:sz w:val="20"/>
        </w:rPr>
      </w:pPr>
      <w:r>
        <w:rPr>
          <w:rFonts w:ascii="ARIAL" w:hAnsi="ARIAL"/>
          <w:b/>
          <w:sz w:val="20"/>
        </w:rPr>
        <w:t>RIO DE JANEIRO, April</w:t>
      </w:r>
      <w:r>
        <w:rPr>
          <w:rFonts w:ascii="ARIAL" w:hAnsi="ARIAL"/>
          <w:sz w:val="20"/>
        </w:rPr>
        <w:t> </w:t>
      </w:r>
      <w:r>
        <w:rPr>
          <w:rFonts w:ascii="ARIAL" w:hAnsi="ARIAL"/>
          <w:b/>
          <w:sz w:val="20"/>
        </w:rPr>
        <w:t>21, 2023</w:t>
      </w:r>
      <w:r>
        <w:rPr>
          <w:rFonts w:ascii="ARIAL" w:hAnsi="ARIAL"/>
          <w:sz w:val="20"/>
        </w:rPr>
        <w:t xml:space="preserve">SLB (NYSE: SLB) today announced results for the first-quarter 2023. </w:t>
      </w:r>
    </w:p>
    <w:p>
      <w:pPr>
        <w:pStyle w:val="TextBody"/>
        <w:spacing w:before="360" w:after="0"/>
        <w:jc w:val="left"/>
        <w:rPr>
          <w:rFonts w:ascii="ARIAL" w:hAnsi="ARIAL"/>
          <w:b/>
          <w:sz w:val="20"/>
        </w:rPr>
      </w:pPr>
      <w:r>
        <w:rPr>
          <w:rFonts w:ascii="ARIAL" w:hAnsi="ARIAL"/>
          <w:b/>
          <w:sz w:val="20"/>
        </w:rPr>
        <w:t xml:space="preserve">First-Quarter Results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985"/>
        <w:gridCol w:w="186"/>
        <w:gridCol w:w="140"/>
        <w:gridCol w:w="612"/>
        <w:gridCol w:w="321"/>
        <w:gridCol w:w="133"/>
        <w:gridCol w:w="140"/>
        <w:gridCol w:w="572"/>
        <w:gridCol w:w="281"/>
        <w:gridCol w:w="133"/>
        <w:gridCol w:w="140"/>
        <w:gridCol w:w="572"/>
        <w:gridCol w:w="281"/>
        <w:gridCol w:w="133"/>
        <w:gridCol w:w="1113"/>
        <w:gridCol w:w="133"/>
        <w:gridCol w:w="1330"/>
      </w:tblGrid>
      <w:tr>
        <w:trPr/>
        <w:tc>
          <w:tcPr>
            <w:tcW w:w="398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r>
      <w:tr>
        <w:trPr/>
        <w:tc>
          <w:tcPr>
            <w:tcW w:w="398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6034" w:type="dxa"/>
            <w:gridSpan w:val="15"/>
            <w:tcBorders/>
            <w:shd w:fill="auto" w:val="clear"/>
            <w:vAlign w:val="bottom"/>
          </w:tcPr>
          <w:p>
            <w:pPr>
              <w:pStyle w:val="TableContents"/>
              <w:spacing w:before="0" w:after="283"/>
              <w:jc w:val="right"/>
              <w:rPr/>
            </w:pPr>
            <w:r>
              <w:rPr/>
              <w:t>(Stated in millions, except per share amounts)</w:t>
            </w:r>
          </w:p>
        </w:tc>
      </w:tr>
      <w:tr>
        <w:trPr/>
        <w:tc>
          <w:tcPr>
            <w:tcW w:w="398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3044"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w:t>
            </w:r>
          </w:p>
        </w:tc>
        <w:tc>
          <w:tcPr>
            <w:tcW w:w="2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576" w:type="dxa"/>
            <w:gridSpan w:val="3"/>
            <w:tcBorders>
              <w:bottom w:val="single" w:sz="8" w:space="0" w:color="000000"/>
            </w:tcBorders>
            <w:shd w:fill="auto" w:val="clear"/>
            <w:tcMar>
              <w:bottom w:w="28" w:type="dxa"/>
            </w:tcMar>
            <w:vAlign w:val="bottom"/>
          </w:tcPr>
          <w:p>
            <w:pPr>
              <w:pStyle w:val="TableContents"/>
              <w:spacing w:before="0" w:after="283"/>
              <w:jc w:val="center"/>
              <w:rPr>
                <w:b/>
              </w:rPr>
            </w:pPr>
            <w:r>
              <w:rPr>
                <w:b/>
              </w:rPr>
              <w:t>Change</w:t>
            </w:r>
          </w:p>
        </w:tc>
      </w:tr>
      <w:tr>
        <w:trPr/>
        <w:tc>
          <w:tcPr>
            <w:tcW w:w="3985"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7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 31,</w:t>
              <w:br/>
              <w:t>2023</w:t>
            </w:r>
          </w:p>
        </w:tc>
        <w:tc>
          <w:tcPr>
            <w:tcW w:w="32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12" w:type="dxa"/>
            <w:gridSpan w:val="2"/>
            <w:tcBorders>
              <w:bottom w:val="single" w:sz="8" w:space="0" w:color="000000"/>
            </w:tcBorders>
            <w:shd w:fill="auto" w:val="clear"/>
            <w:tcMar>
              <w:bottom w:w="28" w:type="dxa"/>
            </w:tcMar>
            <w:vAlign w:val="bottom"/>
          </w:tcPr>
          <w:p>
            <w:pPr>
              <w:pStyle w:val="TableContents"/>
              <w:spacing w:before="0" w:after="283"/>
              <w:jc w:val="center"/>
              <w:rPr/>
            </w:pPr>
            <w:r>
              <w:rPr/>
              <w:t>Dec. 31,</w:t>
              <w:br/>
              <w:t>2022</w:t>
            </w:r>
          </w:p>
        </w:tc>
        <w:tc>
          <w:tcPr>
            <w:tcW w:w="2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12" w:type="dxa"/>
            <w:gridSpan w:val="2"/>
            <w:tcBorders>
              <w:bottom w:val="single" w:sz="8" w:space="0" w:color="000000"/>
            </w:tcBorders>
            <w:shd w:fill="auto" w:val="clear"/>
            <w:tcMar>
              <w:bottom w:w="28" w:type="dxa"/>
            </w:tcMar>
            <w:vAlign w:val="bottom"/>
          </w:tcPr>
          <w:p>
            <w:pPr>
              <w:pStyle w:val="TableContents"/>
              <w:spacing w:before="0" w:after="283"/>
              <w:jc w:val="center"/>
              <w:rPr/>
            </w:pPr>
            <w:r>
              <w:rPr/>
              <w:t>Mar. 31,</w:t>
              <w:br/>
              <w:t>2022</w:t>
            </w:r>
          </w:p>
        </w:tc>
        <w:tc>
          <w:tcPr>
            <w:tcW w:w="2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113" w:type="dxa"/>
            <w:tcBorders>
              <w:bottom w:val="single" w:sz="8" w:space="0" w:color="000000"/>
            </w:tcBorders>
            <w:shd w:fill="auto" w:val="clear"/>
            <w:tcMar>
              <w:bottom w:w="28" w:type="dxa"/>
            </w:tcMar>
            <w:vAlign w:val="bottom"/>
          </w:tcPr>
          <w:p>
            <w:pPr>
              <w:pStyle w:val="TableContents"/>
              <w:spacing w:before="0" w:after="283"/>
              <w:jc w:val="center"/>
              <w:rPr>
                <w:b/>
              </w:rPr>
            </w:pPr>
            <w:r>
              <w:rPr>
                <w:b/>
              </w:rPr>
              <w:t>Sequential</w:t>
            </w:r>
          </w:p>
        </w:tc>
        <w:tc>
          <w:tcPr>
            <w:tcW w:w="133" w:type="dxa"/>
            <w:tcBorders/>
            <w:shd w:fill="auto" w:val="clear"/>
            <w:vAlign w:val="bottom"/>
          </w:tcPr>
          <w:p>
            <w:pPr>
              <w:pStyle w:val="TableContents"/>
              <w:spacing w:before="0" w:after="283"/>
              <w:rPr/>
            </w:pPr>
            <w:r>
              <w:rPr/>
              <w:t> </w:t>
            </w:r>
          </w:p>
        </w:tc>
        <w:tc>
          <w:tcPr>
            <w:tcW w:w="1330" w:type="dxa"/>
            <w:tcBorders>
              <w:bottom w:val="single" w:sz="8" w:space="0" w:color="000000"/>
            </w:tcBorders>
            <w:shd w:fill="auto" w:val="clear"/>
            <w:tcMar>
              <w:bottom w:w="28" w:type="dxa"/>
            </w:tcMar>
            <w:vAlign w:val="bottom"/>
          </w:tcPr>
          <w:p>
            <w:pPr>
              <w:pStyle w:val="TableContents"/>
              <w:spacing w:before="0" w:after="283"/>
              <w:jc w:val="center"/>
              <w:rPr/>
            </w:pPr>
            <w:r>
              <w:rPr/>
              <w:t>Year-on-year</w:t>
            </w:r>
          </w:p>
        </w:tc>
      </w:tr>
      <w:tr>
        <w:trPr/>
        <w:tc>
          <w:tcPr>
            <w:tcW w:w="3985" w:type="dxa"/>
            <w:tcBorders/>
            <w:shd w:fill="CCEEFF" w:val="clear"/>
          </w:tcPr>
          <w:p>
            <w:pPr>
              <w:pStyle w:val="TableContents"/>
              <w:spacing w:before="0" w:after="0"/>
              <w:rPr>
                <w:rFonts w:ascii="ARIAL" w:hAnsi="ARIAL"/>
                <w:sz w:val="20"/>
              </w:rPr>
            </w:pPr>
            <w:r>
              <w:rPr>
                <w:rFonts w:ascii="ARIAL" w:hAnsi="ARIAL"/>
                <w:sz w:val="20"/>
              </w:rPr>
              <w:t>Revenue</w:t>
            </w:r>
          </w:p>
        </w:tc>
        <w:tc>
          <w:tcPr>
            <w:tcW w:w="18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612" w:type="dxa"/>
            <w:tcBorders/>
            <w:shd w:fill="CCEEFF" w:val="clear"/>
            <w:vAlign w:val="bottom"/>
          </w:tcPr>
          <w:p>
            <w:pPr>
              <w:pStyle w:val="TableContents"/>
              <w:spacing w:before="0" w:after="283"/>
              <w:jc w:val="right"/>
              <w:rPr>
                <w:b/>
              </w:rPr>
            </w:pPr>
            <w:r>
              <w:rPr>
                <w:b/>
              </w:rPr>
              <w:t>7,736</w:t>
            </w:r>
          </w:p>
        </w:tc>
        <w:tc>
          <w:tcPr>
            <w:tcW w:w="32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2" w:type="dxa"/>
            <w:tcBorders/>
            <w:shd w:fill="CCEEFF" w:val="clear"/>
            <w:vAlign w:val="bottom"/>
          </w:tcPr>
          <w:p>
            <w:pPr>
              <w:pStyle w:val="TableContents"/>
              <w:spacing w:before="0" w:after="283"/>
              <w:jc w:val="right"/>
              <w:rPr/>
            </w:pPr>
            <w:r>
              <w:rPr/>
              <w:t>7,879</w:t>
            </w:r>
          </w:p>
        </w:tc>
        <w:tc>
          <w:tcPr>
            <w:tcW w:w="28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2" w:type="dxa"/>
            <w:tcBorders/>
            <w:shd w:fill="CCEEFF" w:val="clear"/>
            <w:vAlign w:val="bottom"/>
          </w:tcPr>
          <w:p>
            <w:pPr>
              <w:pStyle w:val="TableContents"/>
              <w:spacing w:before="0" w:after="283"/>
              <w:jc w:val="right"/>
              <w:rPr/>
            </w:pPr>
            <w:r>
              <w:rPr/>
              <w:t>5,962</w:t>
            </w:r>
          </w:p>
        </w:tc>
        <w:tc>
          <w:tcPr>
            <w:tcW w:w="28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center"/>
              <w:rPr/>
            </w:pPr>
            <w:r>
              <w:rPr/>
              <w:t>-2%</w:t>
            </w:r>
          </w:p>
        </w:tc>
        <w:tc>
          <w:tcPr>
            <w:tcW w:w="133" w:type="dxa"/>
            <w:tcBorders/>
            <w:shd w:fill="CCEEFF" w:val="clear"/>
            <w:vAlign w:val="bottom"/>
          </w:tcPr>
          <w:p>
            <w:pPr>
              <w:pStyle w:val="TableContents"/>
              <w:spacing w:before="0" w:after="283"/>
              <w:rPr/>
            </w:pPr>
            <w:r>
              <w:rPr/>
              <w:t> </w:t>
            </w:r>
          </w:p>
        </w:tc>
        <w:tc>
          <w:tcPr>
            <w:tcW w:w="1330" w:type="dxa"/>
            <w:tcBorders/>
            <w:shd w:fill="CCEEFF" w:val="clear"/>
            <w:vAlign w:val="bottom"/>
          </w:tcPr>
          <w:p>
            <w:pPr>
              <w:pStyle w:val="TableContents"/>
              <w:spacing w:before="0" w:after="283"/>
              <w:jc w:val="center"/>
              <w:rPr/>
            </w:pPr>
            <w:r>
              <w:rPr/>
              <w:t>30%</w:t>
            </w:r>
          </w:p>
        </w:tc>
      </w:tr>
      <w:tr>
        <w:trPr/>
        <w:tc>
          <w:tcPr>
            <w:tcW w:w="3985" w:type="dxa"/>
            <w:tcBorders/>
            <w:shd w:fill="auto" w:val="clear"/>
          </w:tcPr>
          <w:p>
            <w:pPr>
              <w:pStyle w:val="TableContents"/>
              <w:spacing w:before="0" w:after="0"/>
              <w:rPr>
                <w:rFonts w:ascii="ARIAL" w:hAnsi="ARIAL"/>
                <w:sz w:val="20"/>
              </w:rPr>
            </w:pPr>
            <w:r>
              <w:rPr>
                <w:rFonts w:ascii="ARIAL" w:hAnsi="ARIAL"/>
                <w:sz w:val="20"/>
              </w:rPr>
              <w:t>Income before taxes - GAAP basis</w:t>
            </w:r>
          </w:p>
        </w:tc>
        <w:tc>
          <w:tcPr>
            <w:tcW w:w="18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612" w:type="dxa"/>
            <w:tcBorders/>
            <w:shd w:fill="auto" w:val="clear"/>
            <w:vAlign w:val="bottom"/>
          </w:tcPr>
          <w:p>
            <w:pPr>
              <w:pStyle w:val="TableContents"/>
              <w:spacing w:before="0" w:after="283"/>
              <w:jc w:val="right"/>
              <w:rPr>
                <w:b/>
              </w:rPr>
            </w:pPr>
            <w:r>
              <w:rPr>
                <w:b/>
              </w:rPr>
              <w:t>1,161</w:t>
            </w:r>
          </w:p>
        </w:tc>
        <w:tc>
          <w:tcPr>
            <w:tcW w:w="32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1,347</w:t>
            </w:r>
          </w:p>
        </w:tc>
        <w:tc>
          <w:tcPr>
            <w:tcW w:w="2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638</w:t>
            </w:r>
          </w:p>
        </w:tc>
        <w:tc>
          <w:tcPr>
            <w:tcW w:w="2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center"/>
              <w:rPr/>
            </w:pPr>
            <w:r>
              <w:rPr/>
              <w:t>-14%</w:t>
            </w:r>
          </w:p>
        </w:tc>
        <w:tc>
          <w:tcPr>
            <w:tcW w:w="133" w:type="dxa"/>
            <w:tcBorders/>
            <w:shd w:fill="auto" w:val="clear"/>
            <w:vAlign w:val="bottom"/>
          </w:tcPr>
          <w:p>
            <w:pPr>
              <w:pStyle w:val="TableContents"/>
              <w:spacing w:before="0" w:after="283"/>
              <w:rPr/>
            </w:pPr>
            <w:r>
              <w:rPr/>
              <w:t> </w:t>
            </w:r>
          </w:p>
        </w:tc>
        <w:tc>
          <w:tcPr>
            <w:tcW w:w="1330" w:type="dxa"/>
            <w:tcBorders/>
            <w:shd w:fill="auto" w:val="clear"/>
            <w:vAlign w:val="bottom"/>
          </w:tcPr>
          <w:p>
            <w:pPr>
              <w:pStyle w:val="TableContents"/>
              <w:spacing w:before="0" w:after="283"/>
              <w:jc w:val="center"/>
              <w:rPr/>
            </w:pPr>
            <w:r>
              <w:rPr/>
              <w:t>82%</w:t>
            </w:r>
          </w:p>
        </w:tc>
      </w:tr>
      <w:tr>
        <w:trPr/>
        <w:tc>
          <w:tcPr>
            <w:tcW w:w="3985" w:type="dxa"/>
            <w:tcBorders/>
            <w:shd w:fill="CCEEFF" w:val="clear"/>
          </w:tcPr>
          <w:p>
            <w:pPr>
              <w:pStyle w:val="TableContents"/>
              <w:spacing w:before="0" w:after="0"/>
              <w:rPr>
                <w:rFonts w:ascii="ARIAL" w:hAnsi="ARIAL"/>
                <w:sz w:val="20"/>
              </w:rPr>
            </w:pPr>
            <w:r>
              <w:rPr>
                <w:rFonts w:ascii="ARIAL" w:hAnsi="ARIAL"/>
                <w:sz w:val="20"/>
              </w:rPr>
              <w:t>Income before taxes margin - GAAP basis</w:t>
            </w:r>
          </w:p>
        </w:tc>
        <w:tc>
          <w:tcPr>
            <w:tcW w:w="18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b/>
              </w:rPr>
            </w:pPr>
            <w:r>
              <w:rPr>
                <w:b/>
              </w:rPr>
              <w:t>15.0</w:t>
            </w:r>
          </w:p>
        </w:tc>
        <w:tc>
          <w:tcPr>
            <w:tcW w:w="321" w:type="dxa"/>
            <w:tcBorders/>
            <w:shd w:fill="CCEEFF" w:val="clear"/>
            <w:vAlign w:val="bottom"/>
          </w:tcPr>
          <w:p>
            <w:pPr>
              <w:pStyle w:val="TableContents"/>
              <w:spacing w:before="0" w:after="283"/>
              <w:rPr>
                <w:b/>
              </w:rPr>
            </w:pPr>
            <w:r>
              <w:rPr>
                <w:b/>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pPr>
            <w:r>
              <w:rPr/>
              <w:t>17.1</w:t>
            </w:r>
          </w:p>
        </w:tc>
        <w:tc>
          <w:tcPr>
            <w:tcW w:w="28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pPr>
            <w:r>
              <w:rPr/>
              <w:t>10.7</w:t>
            </w:r>
          </w:p>
        </w:tc>
        <w:tc>
          <w:tcPr>
            <w:tcW w:w="28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center"/>
              <w:rPr/>
            </w:pPr>
            <w:r>
              <w:rPr/>
              <w:t>-208 bps</w:t>
            </w:r>
          </w:p>
        </w:tc>
        <w:tc>
          <w:tcPr>
            <w:tcW w:w="133" w:type="dxa"/>
            <w:tcBorders/>
            <w:shd w:fill="CCEEFF" w:val="clear"/>
            <w:vAlign w:val="bottom"/>
          </w:tcPr>
          <w:p>
            <w:pPr>
              <w:pStyle w:val="TableContents"/>
              <w:spacing w:before="0" w:after="283"/>
              <w:rPr/>
            </w:pPr>
            <w:r>
              <w:rPr/>
              <w:t> </w:t>
            </w:r>
          </w:p>
        </w:tc>
        <w:tc>
          <w:tcPr>
            <w:tcW w:w="1330" w:type="dxa"/>
            <w:tcBorders/>
            <w:shd w:fill="CCEEFF" w:val="clear"/>
            <w:vAlign w:val="bottom"/>
          </w:tcPr>
          <w:p>
            <w:pPr>
              <w:pStyle w:val="TableContents"/>
              <w:spacing w:before="0" w:after="283"/>
              <w:jc w:val="center"/>
              <w:rPr/>
            </w:pPr>
            <w:r>
              <w:rPr/>
              <w:t>432 bps</w:t>
            </w:r>
          </w:p>
        </w:tc>
      </w:tr>
      <w:tr>
        <w:trPr/>
        <w:tc>
          <w:tcPr>
            <w:tcW w:w="3985" w:type="dxa"/>
            <w:tcBorders/>
            <w:shd w:fill="auto" w:val="clear"/>
          </w:tcPr>
          <w:p>
            <w:pPr>
              <w:pStyle w:val="TableContents"/>
              <w:spacing w:before="0" w:after="0"/>
              <w:rPr>
                <w:rFonts w:ascii="ARIAL" w:hAnsi="ARIAL"/>
                <w:sz w:val="20"/>
              </w:rPr>
            </w:pPr>
            <w:r>
              <w:rPr>
                <w:rFonts w:ascii="ARIAL" w:hAnsi="ARIAL"/>
                <w:sz w:val="20"/>
              </w:rPr>
              <w:t>Net income attributable to SLB - GAAP basis</w:t>
            </w:r>
          </w:p>
        </w:tc>
        <w:tc>
          <w:tcPr>
            <w:tcW w:w="18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612" w:type="dxa"/>
            <w:tcBorders/>
            <w:shd w:fill="auto" w:val="clear"/>
            <w:vAlign w:val="bottom"/>
          </w:tcPr>
          <w:p>
            <w:pPr>
              <w:pStyle w:val="TableContents"/>
              <w:spacing w:before="0" w:after="283"/>
              <w:jc w:val="right"/>
              <w:rPr>
                <w:b/>
              </w:rPr>
            </w:pPr>
            <w:r>
              <w:rPr>
                <w:b/>
              </w:rPr>
              <w:t>934</w:t>
            </w:r>
          </w:p>
        </w:tc>
        <w:tc>
          <w:tcPr>
            <w:tcW w:w="32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1,065</w:t>
            </w:r>
          </w:p>
        </w:tc>
        <w:tc>
          <w:tcPr>
            <w:tcW w:w="2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510</w:t>
            </w:r>
          </w:p>
        </w:tc>
        <w:tc>
          <w:tcPr>
            <w:tcW w:w="2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center"/>
              <w:rPr/>
            </w:pPr>
            <w:r>
              <w:rPr/>
              <w:t>-12%</w:t>
            </w:r>
          </w:p>
        </w:tc>
        <w:tc>
          <w:tcPr>
            <w:tcW w:w="133" w:type="dxa"/>
            <w:tcBorders/>
            <w:shd w:fill="auto" w:val="clear"/>
            <w:vAlign w:val="bottom"/>
          </w:tcPr>
          <w:p>
            <w:pPr>
              <w:pStyle w:val="TableContents"/>
              <w:spacing w:before="0" w:after="283"/>
              <w:rPr/>
            </w:pPr>
            <w:r>
              <w:rPr/>
              <w:t> </w:t>
            </w:r>
          </w:p>
        </w:tc>
        <w:tc>
          <w:tcPr>
            <w:tcW w:w="1330" w:type="dxa"/>
            <w:tcBorders/>
            <w:shd w:fill="auto" w:val="clear"/>
            <w:vAlign w:val="bottom"/>
          </w:tcPr>
          <w:p>
            <w:pPr>
              <w:pStyle w:val="TableContents"/>
              <w:spacing w:before="0" w:after="283"/>
              <w:jc w:val="center"/>
              <w:rPr/>
            </w:pPr>
            <w:r>
              <w:rPr/>
              <w:t>83%</w:t>
            </w:r>
          </w:p>
        </w:tc>
      </w:tr>
      <w:tr>
        <w:trPr/>
        <w:tc>
          <w:tcPr>
            <w:tcW w:w="3985" w:type="dxa"/>
            <w:tcBorders/>
            <w:shd w:fill="CCEEFF" w:val="clear"/>
          </w:tcPr>
          <w:p>
            <w:pPr>
              <w:pStyle w:val="TableContents"/>
              <w:spacing w:before="0" w:after="0"/>
              <w:rPr>
                <w:rFonts w:ascii="ARIAL" w:hAnsi="ARIAL"/>
                <w:sz w:val="20"/>
              </w:rPr>
            </w:pPr>
            <w:r>
              <w:rPr>
                <w:rFonts w:ascii="ARIAL" w:hAnsi="ARIAL"/>
                <w:sz w:val="20"/>
              </w:rPr>
              <w:t>Diluted EPS - GAAP basis</w:t>
            </w:r>
          </w:p>
        </w:tc>
        <w:tc>
          <w:tcPr>
            <w:tcW w:w="18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612" w:type="dxa"/>
            <w:tcBorders/>
            <w:shd w:fill="CCEEFF" w:val="clear"/>
            <w:vAlign w:val="bottom"/>
          </w:tcPr>
          <w:p>
            <w:pPr>
              <w:pStyle w:val="TableContents"/>
              <w:spacing w:before="0" w:after="283"/>
              <w:jc w:val="right"/>
              <w:rPr>
                <w:b/>
              </w:rPr>
            </w:pPr>
            <w:r>
              <w:rPr>
                <w:b/>
              </w:rPr>
              <w:t>0.65</w:t>
            </w:r>
          </w:p>
        </w:tc>
        <w:tc>
          <w:tcPr>
            <w:tcW w:w="32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2" w:type="dxa"/>
            <w:tcBorders/>
            <w:shd w:fill="CCEEFF" w:val="clear"/>
            <w:vAlign w:val="bottom"/>
          </w:tcPr>
          <w:p>
            <w:pPr>
              <w:pStyle w:val="TableContents"/>
              <w:spacing w:before="0" w:after="283"/>
              <w:jc w:val="right"/>
              <w:rPr/>
            </w:pPr>
            <w:r>
              <w:rPr/>
              <w:t>0.74</w:t>
            </w:r>
          </w:p>
        </w:tc>
        <w:tc>
          <w:tcPr>
            <w:tcW w:w="28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2" w:type="dxa"/>
            <w:tcBorders/>
            <w:shd w:fill="CCEEFF" w:val="clear"/>
            <w:vAlign w:val="bottom"/>
          </w:tcPr>
          <w:p>
            <w:pPr>
              <w:pStyle w:val="TableContents"/>
              <w:spacing w:before="0" w:after="283"/>
              <w:jc w:val="right"/>
              <w:rPr/>
            </w:pPr>
            <w:r>
              <w:rPr/>
              <w:t>0.36</w:t>
            </w:r>
          </w:p>
        </w:tc>
        <w:tc>
          <w:tcPr>
            <w:tcW w:w="28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center"/>
              <w:rPr/>
            </w:pPr>
            <w:r>
              <w:rPr/>
              <w:t>-12%</w:t>
            </w:r>
          </w:p>
        </w:tc>
        <w:tc>
          <w:tcPr>
            <w:tcW w:w="133" w:type="dxa"/>
            <w:tcBorders/>
            <w:shd w:fill="CCEEFF" w:val="clear"/>
            <w:vAlign w:val="bottom"/>
          </w:tcPr>
          <w:p>
            <w:pPr>
              <w:pStyle w:val="TableContents"/>
              <w:spacing w:before="0" w:after="283"/>
              <w:rPr/>
            </w:pPr>
            <w:r>
              <w:rPr/>
              <w:t> </w:t>
            </w:r>
          </w:p>
        </w:tc>
        <w:tc>
          <w:tcPr>
            <w:tcW w:w="1330" w:type="dxa"/>
            <w:tcBorders/>
            <w:shd w:fill="CCEEFF" w:val="clear"/>
            <w:vAlign w:val="bottom"/>
          </w:tcPr>
          <w:p>
            <w:pPr>
              <w:pStyle w:val="TableContents"/>
              <w:spacing w:before="0" w:after="283"/>
              <w:jc w:val="center"/>
              <w:rPr/>
            </w:pPr>
            <w:r>
              <w:rPr/>
              <w:t>81%</w:t>
            </w:r>
          </w:p>
        </w:tc>
      </w:tr>
      <w:tr>
        <w:trPr/>
        <w:tc>
          <w:tcPr>
            <w:tcW w:w="3985" w:type="dxa"/>
            <w:tcBorders/>
            <w:shd w:fill="auto" w:val="clear"/>
          </w:tcPr>
          <w:p>
            <w:pPr>
              <w:pStyle w:val="TableContents"/>
              <w:spacing w:before="0" w:after="0"/>
              <w:rPr>
                <w:rFonts w:ascii="ARIAL" w:hAnsi="ARIAL"/>
                <w:sz w:val="20"/>
              </w:rPr>
            </w:pPr>
            <w:r>
              <w:rPr>
                <w:rFonts w:ascii="ARIAL" w:hAnsi="ARIAL"/>
                <w:sz w:val="20"/>
              </w:rPr>
              <w:t>Adjusted EBITDA*</w:t>
            </w:r>
          </w:p>
        </w:tc>
        <w:tc>
          <w:tcPr>
            <w:tcW w:w="18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612" w:type="dxa"/>
            <w:tcBorders/>
            <w:shd w:fill="auto" w:val="clear"/>
            <w:vAlign w:val="bottom"/>
          </w:tcPr>
          <w:p>
            <w:pPr>
              <w:pStyle w:val="TableContents"/>
              <w:spacing w:before="0" w:after="283"/>
              <w:jc w:val="right"/>
              <w:rPr>
                <w:b/>
              </w:rPr>
            </w:pPr>
            <w:r>
              <w:rPr>
                <w:b/>
              </w:rPr>
              <w:t>1,788</w:t>
            </w:r>
          </w:p>
        </w:tc>
        <w:tc>
          <w:tcPr>
            <w:tcW w:w="32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1,921</w:t>
            </w:r>
          </w:p>
        </w:tc>
        <w:tc>
          <w:tcPr>
            <w:tcW w:w="2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1,254</w:t>
            </w:r>
          </w:p>
        </w:tc>
        <w:tc>
          <w:tcPr>
            <w:tcW w:w="2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center"/>
              <w:rPr/>
            </w:pPr>
            <w:r>
              <w:rPr/>
              <w:t>-7%</w:t>
            </w:r>
          </w:p>
        </w:tc>
        <w:tc>
          <w:tcPr>
            <w:tcW w:w="133" w:type="dxa"/>
            <w:tcBorders/>
            <w:shd w:fill="auto" w:val="clear"/>
            <w:vAlign w:val="bottom"/>
          </w:tcPr>
          <w:p>
            <w:pPr>
              <w:pStyle w:val="TableContents"/>
              <w:spacing w:before="0" w:after="283"/>
              <w:rPr/>
            </w:pPr>
            <w:r>
              <w:rPr/>
              <w:t> </w:t>
            </w:r>
          </w:p>
        </w:tc>
        <w:tc>
          <w:tcPr>
            <w:tcW w:w="1330" w:type="dxa"/>
            <w:tcBorders/>
            <w:shd w:fill="auto" w:val="clear"/>
            <w:vAlign w:val="bottom"/>
          </w:tcPr>
          <w:p>
            <w:pPr>
              <w:pStyle w:val="TableContents"/>
              <w:spacing w:before="0" w:after="283"/>
              <w:jc w:val="center"/>
              <w:rPr/>
            </w:pPr>
            <w:r>
              <w:rPr/>
              <w:t>43%</w:t>
            </w:r>
          </w:p>
        </w:tc>
      </w:tr>
      <w:tr>
        <w:trPr/>
        <w:tc>
          <w:tcPr>
            <w:tcW w:w="3985" w:type="dxa"/>
            <w:tcBorders/>
            <w:shd w:fill="CCEEFF" w:val="clear"/>
          </w:tcPr>
          <w:p>
            <w:pPr>
              <w:pStyle w:val="TableContents"/>
              <w:spacing w:before="0" w:after="0"/>
              <w:rPr>
                <w:rFonts w:ascii="ARIAL" w:hAnsi="ARIAL"/>
                <w:sz w:val="20"/>
              </w:rPr>
            </w:pPr>
            <w:r>
              <w:rPr>
                <w:rFonts w:ascii="ARIAL" w:hAnsi="ARIAL"/>
                <w:sz w:val="20"/>
              </w:rPr>
              <w:t>Adjusted EBITDA margin*</w:t>
            </w:r>
          </w:p>
        </w:tc>
        <w:tc>
          <w:tcPr>
            <w:tcW w:w="18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b/>
              </w:rPr>
            </w:pPr>
            <w:r>
              <w:rPr>
                <w:b/>
              </w:rPr>
              <w:t>23.1</w:t>
            </w:r>
          </w:p>
        </w:tc>
        <w:tc>
          <w:tcPr>
            <w:tcW w:w="321" w:type="dxa"/>
            <w:tcBorders/>
            <w:shd w:fill="CCEEFF" w:val="clear"/>
            <w:vAlign w:val="bottom"/>
          </w:tcPr>
          <w:p>
            <w:pPr>
              <w:pStyle w:val="TableContents"/>
              <w:spacing w:before="0" w:after="283"/>
              <w:rPr>
                <w:b/>
              </w:rPr>
            </w:pPr>
            <w:r>
              <w:rPr>
                <w:b/>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pPr>
            <w:r>
              <w:rPr/>
              <w:t>24.4</w:t>
            </w:r>
          </w:p>
        </w:tc>
        <w:tc>
          <w:tcPr>
            <w:tcW w:w="28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pPr>
            <w:r>
              <w:rPr/>
              <w:t>21.0</w:t>
            </w:r>
          </w:p>
        </w:tc>
        <w:tc>
          <w:tcPr>
            <w:tcW w:w="28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center"/>
              <w:rPr/>
            </w:pPr>
            <w:r>
              <w:rPr/>
              <w:t>-127 bps</w:t>
            </w:r>
          </w:p>
        </w:tc>
        <w:tc>
          <w:tcPr>
            <w:tcW w:w="133" w:type="dxa"/>
            <w:tcBorders/>
            <w:shd w:fill="CCEEFF" w:val="clear"/>
            <w:vAlign w:val="bottom"/>
          </w:tcPr>
          <w:p>
            <w:pPr>
              <w:pStyle w:val="TableContents"/>
              <w:spacing w:before="0" w:after="283"/>
              <w:rPr/>
            </w:pPr>
            <w:r>
              <w:rPr/>
              <w:t> </w:t>
            </w:r>
          </w:p>
        </w:tc>
        <w:tc>
          <w:tcPr>
            <w:tcW w:w="1330" w:type="dxa"/>
            <w:tcBorders/>
            <w:shd w:fill="CCEEFF" w:val="clear"/>
            <w:vAlign w:val="bottom"/>
          </w:tcPr>
          <w:p>
            <w:pPr>
              <w:pStyle w:val="TableContents"/>
              <w:spacing w:before="0" w:after="283"/>
              <w:jc w:val="center"/>
              <w:rPr/>
            </w:pPr>
            <w:r>
              <w:rPr/>
              <w:t>208 bps</w:t>
            </w:r>
          </w:p>
        </w:tc>
      </w:tr>
      <w:tr>
        <w:trPr/>
        <w:tc>
          <w:tcPr>
            <w:tcW w:w="3985" w:type="dxa"/>
            <w:tcBorders/>
            <w:shd w:fill="auto" w:val="clear"/>
          </w:tcPr>
          <w:p>
            <w:pPr>
              <w:pStyle w:val="TableContents"/>
              <w:spacing w:before="0" w:after="0"/>
              <w:rPr>
                <w:rFonts w:ascii="ARIAL" w:hAnsi="ARIAL"/>
                <w:sz w:val="20"/>
              </w:rPr>
            </w:pPr>
            <w:r>
              <w:rPr>
                <w:rFonts w:ascii="ARIAL" w:hAnsi="ARIAL"/>
                <w:sz w:val="20"/>
              </w:rPr>
              <w:t>Pretax segment operating income*</w:t>
            </w:r>
          </w:p>
        </w:tc>
        <w:tc>
          <w:tcPr>
            <w:tcW w:w="18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612" w:type="dxa"/>
            <w:tcBorders/>
            <w:shd w:fill="auto" w:val="clear"/>
            <w:vAlign w:val="bottom"/>
          </w:tcPr>
          <w:p>
            <w:pPr>
              <w:pStyle w:val="TableContents"/>
              <w:spacing w:before="0" w:after="283"/>
              <w:jc w:val="right"/>
              <w:rPr>
                <w:b/>
              </w:rPr>
            </w:pPr>
            <w:r>
              <w:rPr>
                <w:b/>
              </w:rPr>
              <w:t>1,391</w:t>
            </w:r>
          </w:p>
        </w:tc>
        <w:tc>
          <w:tcPr>
            <w:tcW w:w="32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1,557</w:t>
            </w:r>
          </w:p>
        </w:tc>
        <w:tc>
          <w:tcPr>
            <w:tcW w:w="2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894</w:t>
            </w:r>
          </w:p>
        </w:tc>
        <w:tc>
          <w:tcPr>
            <w:tcW w:w="2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center"/>
              <w:rPr/>
            </w:pPr>
            <w:r>
              <w:rPr/>
              <w:t>-11%</w:t>
            </w:r>
          </w:p>
        </w:tc>
        <w:tc>
          <w:tcPr>
            <w:tcW w:w="133" w:type="dxa"/>
            <w:tcBorders/>
            <w:shd w:fill="auto" w:val="clear"/>
            <w:vAlign w:val="bottom"/>
          </w:tcPr>
          <w:p>
            <w:pPr>
              <w:pStyle w:val="TableContents"/>
              <w:spacing w:before="0" w:after="283"/>
              <w:rPr/>
            </w:pPr>
            <w:r>
              <w:rPr/>
              <w:t> </w:t>
            </w:r>
          </w:p>
        </w:tc>
        <w:tc>
          <w:tcPr>
            <w:tcW w:w="1330" w:type="dxa"/>
            <w:tcBorders/>
            <w:shd w:fill="auto" w:val="clear"/>
            <w:vAlign w:val="bottom"/>
          </w:tcPr>
          <w:p>
            <w:pPr>
              <w:pStyle w:val="TableContents"/>
              <w:spacing w:before="0" w:after="283"/>
              <w:jc w:val="center"/>
              <w:rPr/>
            </w:pPr>
            <w:r>
              <w:rPr/>
              <w:t>56%</w:t>
            </w:r>
          </w:p>
        </w:tc>
      </w:tr>
      <w:tr>
        <w:trPr/>
        <w:tc>
          <w:tcPr>
            <w:tcW w:w="3985" w:type="dxa"/>
            <w:tcBorders/>
            <w:shd w:fill="CCEEFF" w:val="clear"/>
          </w:tcPr>
          <w:p>
            <w:pPr>
              <w:pStyle w:val="TableContents"/>
              <w:spacing w:before="0" w:after="0"/>
              <w:rPr>
                <w:rFonts w:ascii="ARIAL" w:hAnsi="ARIAL"/>
                <w:sz w:val="20"/>
              </w:rPr>
            </w:pPr>
            <w:r>
              <w:rPr>
                <w:rFonts w:ascii="ARIAL" w:hAnsi="ARIAL"/>
                <w:sz w:val="20"/>
              </w:rPr>
              <w:t>Pretax segment operating margin*</w:t>
            </w:r>
          </w:p>
        </w:tc>
        <w:tc>
          <w:tcPr>
            <w:tcW w:w="18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b/>
              </w:rPr>
            </w:pPr>
            <w:r>
              <w:rPr>
                <w:b/>
              </w:rPr>
              <w:t>18.0</w:t>
            </w:r>
          </w:p>
        </w:tc>
        <w:tc>
          <w:tcPr>
            <w:tcW w:w="321" w:type="dxa"/>
            <w:tcBorders/>
            <w:shd w:fill="CCEEFF" w:val="clear"/>
            <w:vAlign w:val="bottom"/>
          </w:tcPr>
          <w:p>
            <w:pPr>
              <w:pStyle w:val="TableContents"/>
              <w:spacing w:before="0" w:after="283"/>
              <w:rPr>
                <w:b/>
              </w:rPr>
            </w:pPr>
            <w:r>
              <w:rPr>
                <w:b/>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pPr>
            <w:r>
              <w:rPr/>
              <w:t>19.8</w:t>
            </w:r>
          </w:p>
        </w:tc>
        <w:tc>
          <w:tcPr>
            <w:tcW w:w="28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pPr>
            <w:r>
              <w:rPr/>
              <w:t>15.0</w:t>
            </w:r>
          </w:p>
        </w:tc>
        <w:tc>
          <w:tcPr>
            <w:tcW w:w="28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center"/>
              <w:rPr/>
            </w:pPr>
            <w:r>
              <w:rPr/>
              <w:t>-178 bps</w:t>
            </w:r>
          </w:p>
        </w:tc>
        <w:tc>
          <w:tcPr>
            <w:tcW w:w="133" w:type="dxa"/>
            <w:tcBorders/>
            <w:shd w:fill="CCEEFF" w:val="clear"/>
            <w:vAlign w:val="bottom"/>
          </w:tcPr>
          <w:p>
            <w:pPr>
              <w:pStyle w:val="TableContents"/>
              <w:spacing w:before="0" w:after="283"/>
              <w:rPr/>
            </w:pPr>
            <w:r>
              <w:rPr/>
              <w:t> </w:t>
            </w:r>
          </w:p>
        </w:tc>
        <w:tc>
          <w:tcPr>
            <w:tcW w:w="1330" w:type="dxa"/>
            <w:tcBorders/>
            <w:shd w:fill="CCEEFF" w:val="clear"/>
            <w:vAlign w:val="bottom"/>
          </w:tcPr>
          <w:p>
            <w:pPr>
              <w:pStyle w:val="TableContents"/>
              <w:spacing w:before="0" w:after="283"/>
              <w:jc w:val="center"/>
              <w:rPr/>
            </w:pPr>
            <w:r>
              <w:rPr/>
              <w:t>298 bps</w:t>
            </w:r>
          </w:p>
        </w:tc>
      </w:tr>
      <w:tr>
        <w:trPr/>
        <w:tc>
          <w:tcPr>
            <w:tcW w:w="3985" w:type="dxa"/>
            <w:tcBorders/>
            <w:shd w:fill="auto" w:val="clear"/>
          </w:tcPr>
          <w:p>
            <w:pPr>
              <w:pStyle w:val="TableContents"/>
              <w:spacing w:before="0" w:after="0"/>
              <w:rPr>
                <w:rFonts w:ascii="ARIAL" w:hAnsi="ARIAL"/>
                <w:sz w:val="20"/>
              </w:rPr>
            </w:pPr>
            <w:r>
              <w:rPr>
                <w:rFonts w:ascii="ARIAL" w:hAnsi="ARIAL"/>
                <w:sz w:val="20"/>
              </w:rPr>
              <w:t>Net income attributable to SLB, excluding charges &amp; credits*</w:t>
            </w:r>
          </w:p>
        </w:tc>
        <w:tc>
          <w:tcPr>
            <w:tcW w:w="18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612" w:type="dxa"/>
            <w:tcBorders/>
            <w:shd w:fill="auto" w:val="clear"/>
            <w:vAlign w:val="bottom"/>
          </w:tcPr>
          <w:p>
            <w:pPr>
              <w:pStyle w:val="TableContents"/>
              <w:spacing w:before="0" w:after="283"/>
              <w:jc w:val="right"/>
              <w:rPr>
                <w:b/>
              </w:rPr>
            </w:pPr>
            <w:r>
              <w:rPr>
                <w:b/>
              </w:rPr>
              <w:t>906</w:t>
            </w:r>
          </w:p>
        </w:tc>
        <w:tc>
          <w:tcPr>
            <w:tcW w:w="32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1,026</w:t>
            </w:r>
          </w:p>
        </w:tc>
        <w:tc>
          <w:tcPr>
            <w:tcW w:w="2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488</w:t>
            </w:r>
          </w:p>
        </w:tc>
        <w:tc>
          <w:tcPr>
            <w:tcW w:w="2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center"/>
              <w:rPr/>
            </w:pPr>
            <w:r>
              <w:rPr/>
              <w:t>-12%</w:t>
            </w:r>
          </w:p>
        </w:tc>
        <w:tc>
          <w:tcPr>
            <w:tcW w:w="133" w:type="dxa"/>
            <w:tcBorders/>
            <w:shd w:fill="auto" w:val="clear"/>
            <w:vAlign w:val="bottom"/>
          </w:tcPr>
          <w:p>
            <w:pPr>
              <w:pStyle w:val="TableContents"/>
              <w:spacing w:before="0" w:after="283"/>
              <w:rPr/>
            </w:pPr>
            <w:r>
              <w:rPr/>
              <w:t> </w:t>
            </w:r>
          </w:p>
        </w:tc>
        <w:tc>
          <w:tcPr>
            <w:tcW w:w="1330" w:type="dxa"/>
            <w:tcBorders/>
            <w:shd w:fill="auto" w:val="clear"/>
            <w:vAlign w:val="bottom"/>
          </w:tcPr>
          <w:p>
            <w:pPr>
              <w:pStyle w:val="TableContents"/>
              <w:spacing w:before="0" w:after="283"/>
              <w:jc w:val="center"/>
              <w:rPr/>
            </w:pPr>
            <w:r>
              <w:rPr/>
              <w:t>86%</w:t>
            </w:r>
          </w:p>
        </w:tc>
      </w:tr>
      <w:tr>
        <w:trPr/>
        <w:tc>
          <w:tcPr>
            <w:tcW w:w="3985" w:type="dxa"/>
            <w:tcBorders/>
            <w:shd w:fill="CCEEFF" w:val="clear"/>
          </w:tcPr>
          <w:p>
            <w:pPr>
              <w:pStyle w:val="TableContents"/>
              <w:spacing w:before="0" w:after="0"/>
              <w:rPr>
                <w:rFonts w:ascii="ARIAL" w:hAnsi="ARIAL"/>
                <w:sz w:val="20"/>
              </w:rPr>
            </w:pPr>
            <w:r>
              <w:rPr>
                <w:rFonts w:ascii="ARIAL" w:hAnsi="ARIAL"/>
                <w:sz w:val="20"/>
              </w:rPr>
              <w:t>Diluted EPS, excluding charges &amp; credits*</w:t>
            </w:r>
          </w:p>
        </w:tc>
        <w:tc>
          <w:tcPr>
            <w:tcW w:w="18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612" w:type="dxa"/>
            <w:tcBorders/>
            <w:shd w:fill="CCEEFF" w:val="clear"/>
            <w:vAlign w:val="bottom"/>
          </w:tcPr>
          <w:p>
            <w:pPr>
              <w:pStyle w:val="TableContents"/>
              <w:spacing w:before="0" w:after="283"/>
              <w:jc w:val="right"/>
              <w:rPr>
                <w:b/>
              </w:rPr>
            </w:pPr>
            <w:r>
              <w:rPr>
                <w:b/>
              </w:rPr>
              <w:t>0.63</w:t>
            </w:r>
          </w:p>
        </w:tc>
        <w:tc>
          <w:tcPr>
            <w:tcW w:w="32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2" w:type="dxa"/>
            <w:tcBorders/>
            <w:shd w:fill="CCEEFF" w:val="clear"/>
            <w:vAlign w:val="bottom"/>
          </w:tcPr>
          <w:p>
            <w:pPr>
              <w:pStyle w:val="TableContents"/>
              <w:spacing w:before="0" w:after="283"/>
              <w:jc w:val="right"/>
              <w:rPr/>
            </w:pPr>
            <w:r>
              <w:rPr/>
              <w:t>0.71</w:t>
            </w:r>
          </w:p>
        </w:tc>
        <w:tc>
          <w:tcPr>
            <w:tcW w:w="28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2" w:type="dxa"/>
            <w:tcBorders/>
            <w:shd w:fill="CCEEFF" w:val="clear"/>
            <w:vAlign w:val="bottom"/>
          </w:tcPr>
          <w:p>
            <w:pPr>
              <w:pStyle w:val="TableContents"/>
              <w:spacing w:before="0" w:after="283"/>
              <w:jc w:val="right"/>
              <w:rPr/>
            </w:pPr>
            <w:r>
              <w:rPr/>
              <w:t>0.34</w:t>
            </w:r>
          </w:p>
        </w:tc>
        <w:tc>
          <w:tcPr>
            <w:tcW w:w="28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center"/>
              <w:rPr/>
            </w:pPr>
            <w:r>
              <w:rPr/>
              <w:t>-11%</w:t>
            </w:r>
          </w:p>
        </w:tc>
        <w:tc>
          <w:tcPr>
            <w:tcW w:w="133" w:type="dxa"/>
            <w:tcBorders/>
            <w:shd w:fill="CCEEFF" w:val="clear"/>
            <w:vAlign w:val="bottom"/>
          </w:tcPr>
          <w:p>
            <w:pPr>
              <w:pStyle w:val="TableContents"/>
              <w:spacing w:before="0" w:after="283"/>
              <w:rPr/>
            </w:pPr>
            <w:r>
              <w:rPr/>
              <w:t> </w:t>
            </w:r>
          </w:p>
        </w:tc>
        <w:tc>
          <w:tcPr>
            <w:tcW w:w="1330" w:type="dxa"/>
            <w:tcBorders/>
            <w:shd w:fill="CCEEFF" w:val="clear"/>
            <w:vAlign w:val="bottom"/>
          </w:tcPr>
          <w:p>
            <w:pPr>
              <w:pStyle w:val="TableContents"/>
              <w:spacing w:before="0" w:after="283"/>
              <w:jc w:val="center"/>
              <w:rPr/>
            </w:pPr>
            <w:r>
              <w:rPr/>
              <w:t>85%</w:t>
            </w:r>
          </w:p>
        </w:tc>
      </w:tr>
      <w:tr>
        <w:trPr/>
        <w:tc>
          <w:tcPr>
            <w:tcW w:w="3985" w:type="dxa"/>
            <w:tcBorders/>
            <w:shd w:fill="auto" w:val="clear"/>
          </w:tcPr>
          <w:p>
            <w:pPr>
              <w:pStyle w:val="TableContents"/>
              <w:spacing w:before="0" w:after="0"/>
              <w:rPr>
                <w:rFonts w:ascii="ARIAL" w:hAnsi="ARIAL"/>
                <w:b/>
                <w:sz w:val="20"/>
              </w:rPr>
            </w:pPr>
            <w:r>
              <w:rPr>
                <w:rFonts w:ascii="ARIAL" w:hAnsi="ARIAL"/>
                <w:b/>
                <w:sz w:val="20"/>
              </w:rPr>
              <w:t>Revenue by Geography</w:t>
            </w:r>
          </w:p>
        </w:tc>
        <w:tc>
          <w:tcPr>
            <w:tcW w:w="18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612" w:type="dxa"/>
            <w:tcBorders/>
            <w:shd w:fill="auto" w:val="clear"/>
            <w:vAlign w:val="bottom"/>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72"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72"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330" w:type="dxa"/>
            <w:tcBorders/>
            <w:shd w:fill="auto" w:val="clear"/>
            <w:vAlign w:val="bottom"/>
          </w:tcPr>
          <w:p>
            <w:pPr>
              <w:pStyle w:val="TableContents"/>
              <w:spacing w:before="0" w:after="283"/>
              <w:rPr>
                <w:sz w:val="4"/>
                <w:szCs w:val="4"/>
              </w:rPr>
            </w:pPr>
            <w:r>
              <w:rPr>
                <w:sz w:val="4"/>
                <w:szCs w:val="4"/>
              </w:rPr>
            </w:r>
          </w:p>
        </w:tc>
      </w:tr>
      <w:tr>
        <w:trPr/>
        <w:tc>
          <w:tcPr>
            <w:tcW w:w="3985" w:type="dxa"/>
            <w:tcBorders/>
            <w:shd w:fill="CCEEFF" w:val="clear"/>
          </w:tcPr>
          <w:p>
            <w:pPr>
              <w:pStyle w:val="TableContents"/>
              <w:spacing w:before="0" w:after="0"/>
              <w:rPr>
                <w:rFonts w:ascii="ARIAL" w:hAnsi="ARIAL"/>
                <w:sz w:val="20"/>
              </w:rPr>
            </w:pPr>
            <w:r>
              <w:rPr>
                <w:rFonts w:ascii="ARIAL" w:hAnsi="ARIAL"/>
                <w:sz w:val="20"/>
              </w:rPr>
              <w:t>International</w:t>
            </w:r>
          </w:p>
        </w:tc>
        <w:tc>
          <w:tcPr>
            <w:tcW w:w="18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612" w:type="dxa"/>
            <w:tcBorders/>
            <w:shd w:fill="CCEEFF" w:val="clear"/>
            <w:vAlign w:val="bottom"/>
          </w:tcPr>
          <w:p>
            <w:pPr>
              <w:pStyle w:val="TableContents"/>
              <w:spacing w:before="0" w:after="283"/>
              <w:jc w:val="right"/>
              <w:rPr>
                <w:b/>
              </w:rPr>
            </w:pPr>
            <w:r>
              <w:rPr>
                <w:b/>
              </w:rPr>
              <w:t>5,985</w:t>
            </w:r>
          </w:p>
        </w:tc>
        <w:tc>
          <w:tcPr>
            <w:tcW w:w="32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2" w:type="dxa"/>
            <w:tcBorders/>
            <w:shd w:fill="CCEEFF" w:val="clear"/>
            <w:vAlign w:val="bottom"/>
          </w:tcPr>
          <w:p>
            <w:pPr>
              <w:pStyle w:val="TableContents"/>
              <w:spacing w:before="0" w:after="283"/>
              <w:jc w:val="right"/>
              <w:rPr/>
            </w:pPr>
            <w:r>
              <w:rPr/>
              <w:t>6,194</w:t>
            </w:r>
          </w:p>
        </w:tc>
        <w:tc>
          <w:tcPr>
            <w:tcW w:w="28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2" w:type="dxa"/>
            <w:tcBorders/>
            <w:shd w:fill="CCEEFF" w:val="clear"/>
            <w:vAlign w:val="bottom"/>
          </w:tcPr>
          <w:p>
            <w:pPr>
              <w:pStyle w:val="TableContents"/>
              <w:spacing w:before="0" w:after="283"/>
              <w:jc w:val="right"/>
              <w:rPr/>
            </w:pPr>
            <w:r>
              <w:rPr/>
              <w:t>4,632</w:t>
            </w:r>
          </w:p>
        </w:tc>
        <w:tc>
          <w:tcPr>
            <w:tcW w:w="28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center"/>
              <w:rPr/>
            </w:pPr>
            <w:r>
              <w:rPr/>
              <w:t>-3%</w:t>
            </w:r>
          </w:p>
        </w:tc>
        <w:tc>
          <w:tcPr>
            <w:tcW w:w="133" w:type="dxa"/>
            <w:tcBorders/>
            <w:shd w:fill="CCEEFF" w:val="clear"/>
            <w:vAlign w:val="bottom"/>
          </w:tcPr>
          <w:p>
            <w:pPr>
              <w:pStyle w:val="TableContents"/>
              <w:spacing w:before="0" w:after="283"/>
              <w:rPr/>
            </w:pPr>
            <w:r>
              <w:rPr/>
              <w:t> </w:t>
            </w:r>
          </w:p>
        </w:tc>
        <w:tc>
          <w:tcPr>
            <w:tcW w:w="1330" w:type="dxa"/>
            <w:tcBorders/>
            <w:shd w:fill="CCEEFF" w:val="clear"/>
            <w:vAlign w:val="bottom"/>
          </w:tcPr>
          <w:p>
            <w:pPr>
              <w:pStyle w:val="TableContents"/>
              <w:spacing w:before="0" w:after="283"/>
              <w:jc w:val="center"/>
              <w:rPr/>
            </w:pPr>
            <w:r>
              <w:rPr/>
              <w:t>29%</w:t>
            </w:r>
          </w:p>
        </w:tc>
      </w:tr>
      <w:tr>
        <w:trPr/>
        <w:tc>
          <w:tcPr>
            <w:tcW w:w="3985" w:type="dxa"/>
            <w:tcBorders/>
            <w:shd w:fill="auto" w:val="clear"/>
          </w:tcPr>
          <w:p>
            <w:pPr>
              <w:pStyle w:val="TableContents"/>
              <w:spacing w:before="0" w:after="0"/>
              <w:rPr>
                <w:rFonts w:ascii="ARIAL" w:hAnsi="ARIAL"/>
                <w:sz w:val="20"/>
              </w:rPr>
            </w:pPr>
            <w:r>
              <w:rPr>
                <w:rFonts w:ascii="ARIAL" w:hAnsi="ARIAL"/>
                <w:sz w:val="20"/>
              </w:rPr>
              <w:t>North America</w:t>
            </w:r>
          </w:p>
        </w:tc>
        <w:tc>
          <w:tcPr>
            <w:tcW w:w="18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b/>
              </w:rPr>
            </w:pPr>
            <w:r>
              <w:rPr>
                <w:b/>
              </w:rPr>
              <w:t>1,698</w:t>
            </w:r>
          </w:p>
        </w:tc>
        <w:tc>
          <w:tcPr>
            <w:tcW w:w="32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pPr>
            <w:r>
              <w:rPr/>
              <w:t>1,633</w:t>
            </w:r>
          </w:p>
        </w:tc>
        <w:tc>
          <w:tcPr>
            <w:tcW w:w="2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pPr>
            <w:r>
              <w:rPr/>
              <w:t>1,282</w:t>
            </w:r>
          </w:p>
        </w:tc>
        <w:tc>
          <w:tcPr>
            <w:tcW w:w="2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center"/>
              <w:rPr/>
            </w:pPr>
            <w:r>
              <w:rPr/>
              <w:t>4%</w:t>
            </w:r>
          </w:p>
        </w:tc>
        <w:tc>
          <w:tcPr>
            <w:tcW w:w="133" w:type="dxa"/>
            <w:tcBorders/>
            <w:shd w:fill="auto" w:val="clear"/>
            <w:vAlign w:val="bottom"/>
          </w:tcPr>
          <w:p>
            <w:pPr>
              <w:pStyle w:val="TableContents"/>
              <w:spacing w:before="0" w:after="283"/>
              <w:rPr/>
            </w:pPr>
            <w:r>
              <w:rPr/>
              <w:t> </w:t>
            </w:r>
          </w:p>
        </w:tc>
        <w:tc>
          <w:tcPr>
            <w:tcW w:w="1330" w:type="dxa"/>
            <w:tcBorders/>
            <w:shd w:fill="auto" w:val="clear"/>
            <w:vAlign w:val="bottom"/>
          </w:tcPr>
          <w:p>
            <w:pPr>
              <w:pStyle w:val="TableContents"/>
              <w:spacing w:before="0" w:after="283"/>
              <w:jc w:val="center"/>
              <w:rPr/>
            </w:pPr>
            <w:r>
              <w:rPr/>
              <w:t>32%</w:t>
            </w:r>
          </w:p>
        </w:tc>
      </w:tr>
      <w:tr>
        <w:trPr/>
        <w:tc>
          <w:tcPr>
            <w:tcW w:w="3985" w:type="dxa"/>
            <w:tcBorders/>
            <w:shd w:fill="CCEEFF" w:val="clear"/>
          </w:tcPr>
          <w:p>
            <w:pPr>
              <w:pStyle w:val="TableContents"/>
              <w:spacing w:before="0" w:after="0"/>
              <w:rPr>
                <w:rFonts w:ascii="ARIAL" w:hAnsi="ARIAL"/>
                <w:sz w:val="20"/>
              </w:rPr>
            </w:pPr>
            <w:r>
              <w:rPr>
                <w:rFonts w:ascii="ARIAL" w:hAnsi="ARIAL"/>
                <w:sz w:val="20"/>
              </w:rPr>
              <w:t>Other</w:t>
            </w:r>
          </w:p>
        </w:tc>
        <w:tc>
          <w:tcPr>
            <w:tcW w:w="18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b/>
              </w:rPr>
            </w:pPr>
            <w:r>
              <w:rPr>
                <w:b/>
              </w:rPr>
              <w:t>53</w:t>
            </w:r>
          </w:p>
        </w:tc>
        <w:tc>
          <w:tcPr>
            <w:tcW w:w="32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pPr>
            <w:r>
              <w:rPr/>
              <w:t>52</w:t>
            </w:r>
          </w:p>
        </w:tc>
        <w:tc>
          <w:tcPr>
            <w:tcW w:w="28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pPr>
            <w:r>
              <w:rPr/>
              <w:t>48</w:t>
            </w:r>
          </w:p>
        </w:tc>
        <w:tc>
          <w:tcPr>
            <w:tcW w:w="28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center"/>
              <w:rPr/>
            </w:pPr>
            <w:r>
              <w:rPr/>
              <w:t>n/m</w:t>
            </w:r>
          </w:p>
        </w:tc>
        <w:tc>
          <w:tcPr>
            <w:tcW w:w="133" w:type="dxa"/>
            <w:tcBorders/>
            <w:shd w:fill="CCEEFF" w:val="clear"/>
            <w:vAlign w:val="bottom"/>
          </w:tcPr>
          <w:p>
            <w:pPr>
              <w:pStyle w:val="TableContents"/>
              <w:spacing w:before="0" w:after="283"/>
              <w:rPr/>
            </w:pPr>
            <w:r>
              <w:rPr/>
              <w:t> </w:t>
            </w:r>
          </w:p>
        </w:tc>
        <w:tc>
          <w:tcPr>
            <w:tcW w:w="1330" w:type="dxa"/>
            <w:tcBorders/>
            <w:shd w:fill="CCEEFF" w:val="clear"/>
            <w:vAlign w:val="bottom"/>
          </w:tcPr>
          <w:p>
            <w:pPr>
              <w:pStyle w:val="TableContents"/>
              <w:spacing w:before="0" w:after="283"/>
              <w:jc w:val="center"/>
              <w:rPr/>
            </w:pPr>
            <w:r>
              <w:rPr/>
              <w:t>n/m</w:t>
            </w:r>
          </w:p>
        </w:tc>
      </w:tr>
      <w:tr>
        <w:trPr/>
        <w:tc>
          <w:tcPr>
            <w:tcW w:w="3985"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12" w:type="dxa"/>
            <w:tcBorders/>
            <w:shd w:fill="auto" w:val="clear"/>
            <w:vAlign w:val="bottom"/>
          </w:tcPr>
          <w:p>
            <w:pPr>
              <w:pStyle w:val="TableContents"/>
              <w:pBdr>
                <w:top w:val="single" w:sz="2" w:space="1" w:color="000000"/>
              </w:pBdr>
              <w:spacing w:before="0" w:after="0"/>
              <w:rPr/>
            </w:pPr>
            <w:r>
              <w:rPr/>
              <w:t> </w:t>
            </w:r>
          </w:p>
        </w:tc>
        <w:tc>
          <w:tcPr>
            <w:tcW w:w="321"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2" w:type="dxa"/>
            <w:tcBorders/>
            <w:shd w:fill="auto" w:val="clear"/>
            <w:vAlign w:val="bottom"/>
          </w:tcPr>
          <w:p>
            <w:pPr>
              <w:pStyle w:val="TableContents"/>
              <w:pBdr>
                <w:top w:val="single" w:sz="2" w:space="1" w:color="000000"/>
              </w:pBdr>
              <w:spacing w:before="0" w:after="0"/>
              <w:rPr/>
            </w:pPr>
            <w:r>
              <w:rPr/>
              <w:t> </w:t>
            </w:r>
          </w:p>
        </w:tc>
        <w:tc>
          <w:tcPr>
            <w:tcW w:w="281"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2" w:type="dxa"/>
            <w:tcBorders/>
            <w:shd w:fill="auto" w:val="clear"/>
            <w:vAlign w:val="bottom"/>
          </w:tcPr>
          <w:p>
            <w:pPr>
              <w:pStyle w:val="TableContents"/>
              <w:pBdr>
                <w:top w:val="single" w:sz="2" w:space="1" w:color="000000"/>
              </w:pBdr>
              <w:spacing w:before="0" w:after="0"/>
              <w:rPr/>
            </w:pPr>
            <w:r>
              <w:rPr/>
              <w:t> </w:t>
            </w:r>
          </w:p>
        </w:tc>
        <w:tc>
          <w:tcPr>
            <w:tcW w:w="281"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pBdr>
                <w:top w:val="single" w:sz="2" w:space="1" w:color="000000"/>
              </w:pBdr>
              <w:spacing w:before="0" w:after="0"/>
              <w:rPr/>
            </w:pPr>
            <w:r>
              <w:rPr/>
              <w:t> </w:t>
            </w:r>
          </w:p>
        </w:tc>
        <w:tc>
          <w:tcPr>
            <w:tcW w:w="133" w:type="dxa"/>
            <w:tcBorders/>
            <w:shd w:fill="auto" w:val="clear"/>
            <w:vAlign w:val="bottom"/>
          </w:tcPr>
          <w:p>
            <w:pPr>
              <w:pStyle w:val="TableContents"/>
              <w:spacing w:before="0" w:after="283"/>
              <w:rPr/>
            </w:pPr>
            <w:r>
              <w:rPr/>
              <w:t> </w:t>
            </w:r>
          </w:p>
        </w:tc>
        <w:tc>
          <w:tcPr>
            <w:tcW w:w="1330" w:type="dxa"/>
            <w:tcBorders/>
            <w:shd w:fill="auto" w:val="clear"/>
            <w:vAlign w:val="bottom"/>
          </w:tcPr>
          <w:p>
            <w:pPr>
              <w:pStyle w:val="TableContents"/>
              <w:pBdr>
                <w:top w:val="single" w:sz="2" w:space="1" w:color="000000"/>
              </w:pBdr>
              <w:spacing w:before="0" w:after="0"/>
              <w:rPr/>
            </w:pPr>
            <w:r>
              <w:rPr/>
              <w:t> </w:t>
            </w:r>
          </w:p>
        </w:tc>
      </w:tr>
      <w:tr>
        <w:trPr/>
        <w:tc>
          <w:tcPr>
            <w:tcW w:w="3985" w:type="dxa"/>
            <w:tcBorders/>
            <w:shd w:fill="auto" w:val="clear"/>
          </w:tcPr>
          <w:p>
            <w:pPr>
              <w:pStyle w:val="TableContents"/>
              <w:spacing w:before="0" w:after="283"/>
              <w:rPr>
                <w:sz w:val="4"/>
                <w:szCs w:val="4"/>
              </w:rPr>
            </w:pPr>
            <w:r>
              <w:rPr>
                <w:sz w:val="4"/>
                <w:szCs w:val="4"/>
              </w:rPr>
            </w:r>
          </w:p>
        </w:tc>
        <w:tc>
          <w:tcPr>
            <w:tcW w:w="18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612" w:type="dxa"/>
            <w:tcBorders/>
            <w:shd w:fill="auto" w:val="clear"/>
            <w:vAlign w:val="bottom"/>
          </w:tcPr>
          <w:p>
            <w:pPr>
              <w:pStyle w:val="TableContents"/>
              <w:spacing w:before="0" w:after="283"/>
              <w:jc w:val="right"/>
              <w:rPr>
                <w:b/>
              </w:rPr>
            </w:pPr>
            <w:r>
              <w:rPr>
                <w:b/>
              </w:rPr>
              <w:t>7,736</w:t>
            </w:r>
          </w:p>
        </w:tc>
        <w:tc>
          <w:tcPr>
            <w:tcW w:w="32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7,879</w:t>
            </w:r>
          </w:p>
        </w:tc>
        <w:tc>
          <w:tcPr>
            <w:tcW w:w="2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5,962</w:t>
            </w:r>
          </w:p>
        </w:tc>
        <w:tc>
          <w:tcPr>
            <w:tcW w:w="2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center"/>
              <w:rPr/>
            </w:pPr>
            <w:r>
              <w:rPr/>
              <w:t>-2%</w:t>
            </w:r>
          </w:p>
        </w:tc>
        <w:tc>
          <w:tcPr>
            <w:tcW w:w="133" w:type="dxa"/>
            <w:tcBorders/>
            <w:shd w:fill="auto" w:val="clear"/>
            <w:vAlign w:val="bottom"/>
          </w:tcPr>
          <w:p>
            <w:pPr>
              <w:pStyle w:val="TableContents"/>
              <w:spacing w:before="0" w:after="283"/>
              <w:rPr/>
            </w:pPr>
            <w:r>
              <w:rPr/>
              <w:t> </w:t>
            </w:r>
          </w:p>
        </w:tc>
        <w:tc>
          <w:tcPr>
            <w:tcW w:w="1330" w:type="dxa"/>
            <w:tcBorders/>
            <w:shd w:fill="auto" w:val="clear"/>
            <w:vAlign w:val="bottom"/>
          </w:tcPr>
          <w:p>
            <w:pPr>
              <w:pStyle w:val="TableContents"/>
              <w:spacing w:before="0" w:after="283"/>
              <w:jc w:val="center"/>
              <w:rPr/>
            </w:pPr>
            <w:r>
              <w:rPr/>
              <w:t>30%</w:t>
            </w:r>
          </w:p>
        </w:tc>
      </w:tr>
      <w:tr>
        <w:trPr/>
        <w:tc>
          <w:tcPr>
            <w:tcW w:w="3985"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12" w:type="dxa"/>
            <w:tcBorders/>
            <w:shd w:fill="auto" w:val="clear"/>
            <w:vAlign w:val="bottom"/>
          </w:tcPr>
          <w:p>
            <w:pPr>
              <w:pStyle w:val="TableContents"/>
              <w:pBdr>
                <w:top w:val="single" w:sz="2" w:space="1" w:color="000000"/>
              </w:pBdr>
              <w:spacing w:before="0" w:after="0"/>
              <w:rPr/>
            </w:pPr>
            <w:r>
              <w:rPr/>
              <w:t> </w:t>
            </w:r>
          </w:p>
        </w:tc>
        <w:tc>
          <w:tcPr>
            <w:tcW w:w="321"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2" w:type="dxa"/>
            <w:tcBorders/>
            <w:shd w:fill="auto" w:val="clear"/>
            <w:vAlign w:val="bottom"/>
          </w:tcPr>
          <w:p>
            <w:pPr>
              <w:pStyle w:val="TableContents"/>
              <w:pBdr>
                <w:top w:val="single" w:sz="2" w:space="1" w:color="000000"/>
              </w:pBdr>
              <w:spacing w:before="0" w:after="0"/>
              <w:rPr/>
            </w:pPr>
            <w:r>
              <w:rPr/>
              <w:t> </w:t>
            </w:r>
          </w:p>
        </w:tc>
        <w:tc>
          <w:tcPr>
            <w:tcW w:w="281"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2" w:type="dxa"/>
            <w:tcBorders/>
            <w:shd w:fill="auto" w:val="clear"/>
            <w:vAlign w:val="bottom"/>
          </w:tcPr>
          <w:p>
            <w:pPr>
              <w:pStyle w:val="TableContents"/>
              <w:pBdr>
                <w:top w:val="single" w:sz="2" w:space="1" w:color="000000"/>
              </w:pBdr>
              <w:spacing w:before="0" w:after="0"/>
              <w:rPr/>
            </w:pPr>
            <w:r>
              <w:rPr/>
              <w:t> </w:t>
            </w:r>
          </w:p>
        </w:tc>
        <w:tc>
          <w:tcPr>
            <w:tcW w:w="281"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pBdr>
                <w:top w:val="single" w:sz="2" w:space="1" w:color="000000"/>
              </w:pBdr>
              <w:spacing w:before="0" w:after="0"/>
              <w:rPr/>
            </w:pPr>
            <w:r>
              <w:rPr/>
              <w:t> </w:t>
            </w:r>
          </w:p>
        </w:tc>
        <w:tc>
          <w:tcPr>
            <w:tcW w:w="133" w:type="dxa"/>
            <w:tcBorders/>
            <w:shd w:fill="auto" w:val="clear"/>
            <w:vAlign w:val="bottom"/>
          </w:tcPr>
          <w:p>
            <w:pPr>
              <w:pStyle w:val="TableContents"/>
              <w:spacing w:before="0" w:after="283"/>
              <w:rPr/>
            </w:pPr>
            <w:r>
              <w:rPr/>
              <w:t> </w:t>
            </w:r>
          </w:p>
        </w:tc>
        <w:tc>
          <w:tcPr>
            <w:tcW w:w="1330" w:type="dxa"/>
            <w:tcBorders/>
            <w:shd w:fill="auto" w:val="clear"/>
            <w:vAlign w:val="bottom"/>
          </w:tcPr>
          <w:p>
            <w:pPr>
              <w:pStyle w:val="TableContents"/>
              <w:pBdr>
                <w:top w:val="single" w:sz="2" w:space="1" w:color="000000"/>
              </w:pBdr>
              <w:spacing w:before="0" w:after="0"/>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These are non-GAAP financial measures. See sections titled Charges &amp; Credits, Divisions, and Supplemental Information for details. </w:t>
            </w:r>
          </w:p>
        </w:tc>
      </w:tr>
    </w:tbl>
    <w:p>
      <w:pPr>
        <w:pStyle w:val="TextBody"/>
        <w:spacing w:before="0" w:after="0"/>
        <w:jc w:val="left"/>
        <w:rPr>
          <w:rFonts w:ascii="ARIAL" w:hAnsi="ARIAL"/>
          <w:sz w:val="20"/>
        </w:rPr>
      </w:pPr>
      <w:r>
        <w:rPr>
          <w:rFonts w:ascii="ARIAL" w:hAnsi="ARIAL"/>
          <w:sz w:val="20"/>
        </w:rPr>
        <w:t xml:space="preserve">n/m = not meaningful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3895"/>
        <w:gridCol w:w="180"/>
        <w:gridCol w:w="140"/>
        <w:gridCol w:w="607"/>
        <w:gridCol w:w="320"/>
        <w:gridCol w:w="127"/>
        <w:gridCol w:w="140"/>
        <w:gridCol w:w="570"/>
        <w:gridCol w:w="280"/>
        <w:gridCol w:w="127"/>
        <w:gridCol w:w="140"/>
        <w:gridCol w:w="570"/>
        <w:gridCol w:w="280"/>
        <w:gridCol w:w="127"/>
        <w:gridCol w:w="69"/>
        <w:gridCol w:w="1049"/>
        <w:gridCol w:w="59"/>
        <w:gridCol w:w="127"/>
        <w:gridCol w:w="84"/>
        <w:gridCol w:w="1245"/>
        <w:gridCol w:w="69"/>
      </w:tblGrid>
      <w:tr>
        <w:trPr/>
        <w:tc>
          <w:tcPr>
            <w:tcW w:w="38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r>
      <w:tr>
        <w:trPr/>
        <w:tc>
          <w:tcPr>
            <w:tcW w:w="389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6061" w:type="dxa"/>
            <w:gridSpan w:val="18"/>
            <w:tcBorders/>
            <w:shd w:fill="auto" w:val="clear"/>
            <w:vAlign w:val="bottom"/>
          </w:tcPr>
          <w:p>
            <w:pPr>
              <w:pStyle w:val="TableContents"/>
              <w:spacing w:before="0" w:after="283"/>
              <w:jc w:val="right"/>
              <w:rPr/>
            </w:pPr>
            <w:r>
              <w:rPr/>
              <w:t>(Stated in millions)</w:t>
            </w:r>
          </w:p>
        </w:tc>
        <w:tc>
          <w:tcPr>
            <w:tcW w:w="69" w:type="dxa"/>
            <w:tcBorders/>
            <w:shd w:fill="auto" w:val="clear"/>
            <w:vAlign w:val="bottom"/>
          </w:tcPr>
          <w:p>
            <w:pPr>
              <w:pStyle w:val="TableContents"/>
              <w:spacing w:before="0" w:after="283"/>
              <w:rPr/>
            </w:pPr>
            <w:r>
              <w:rPr/>
              <w:t> </w:t>
            </w:r>
          </w:p>
        </w:tc>
      </w:tr>
      <w:tr>
        <w:trPr/>
        <w:tc>
          <w:tcPr>
            <w:tcW w:w="389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3021"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263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Change</w:t>
            </w:r>
          </w:p>
        </w:tc>
        <w:tc>
          <w:tcPr>
            <w:tcW w:w="69" w:type="dxa"/>
            <w:tcBorders/>
            <w:shd w:fill="auto" w:val="clear"/>
            <w:vAlign w:val="bottom"/>
          </w:tcPr>
          <w:p>
            <w:pPr>
              <w:pStyle w:val="TableContents"/>
              <w:spacing w:before="0" w:after="283"/>
              <w:rPr/>
            </w:pPr>
            <w:r>
              <w:rPr/>
              <w:t> </w:t>
            </w:r>
          </w:p>
        </w:tc>
      </w:tr>
      <w:tr>
        <w:trPr/>
        <w:tc>
          <w:tcPr>
            <w:tcW w:w="389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74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 31,</w:t>
              <w:br/>
              <w:t>2023</w:t>
            </w:r>
          </w:p>
        </w:tc>
        <w:tc>
          <w:tcPr>
            <w:tcW w:w="32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0" w:type="dxa"/>
            <w:gridSpan w:val="2"/>
            <w:tcBorders>
              <w:bottom w:val="single" w:sz="8" w:space="0" w:color="000000"/>
            </w:tcBorders>
            <w:shd w:fill="auto" w:val="clear"/>
            <w:tcMar>
              <w:bottom w:w="28" w:type="dxa"/>
            </w:tcMar>
            <w:vAlign w:val="bottom"/>
          </w:tcPr>
          <w:p>
            <w:pPr>
              <w:pStyle w:val="TableContents"/>
              <w:spacing w:before="0" w:after="283"/>
              <w:jc w:val="center"/>
              <w:rPr/>
            </w:pPr>
            <w:r>
              <w:rPr/>
              <w:t>Dec. 31,</w:t>
              <w:br/>
              <w:t>2022</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0" w:type="dxa"/>
            <w:gridSpan w:val="2"/>
            <w:tcBorders>
              <w:bottom w:val="single" w:sz="8" w:space="0" w:color="000000"/>
            </w:tcBorders>
            <w:shd w:fill="auto" w:val="clear"/>
            <w:tcMar>
              <w:bottom w:w="28" w:type="dxa"/>
            </w:tcMar>
            <w:vAlign w:val="bottom"/>
          </w:tcPr>
          <w:p>
            <w:pPr>
              <w:pStyle w:val="TableContents"/>
              <w:spacing w:before="0" w:after="283"/>
              <w:jc w:val="center"/>
              <w:rPr/>
            </w:pPr>
            <w:r>
              <w:rPr/>
              <w:t>Mar. 31,</w:t>
              <w:br/>
              <w:t>2022</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1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Sequential</w:t>
            </w:r>
          </w:p>
        </w:tc>
        <w:tc>
          <w:tcPr>
            <w:tcW w:w="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329" w:type="dxa"/>
            <w:gridSpan w:val="2"/>
            <w:tcBorders>
              <w:bottom w:val="single" w:sz="8" w:space="0" w:color="000000"/>
            </w:tcBorders>
            <w:shd w:fill="auto" w:val="clear"/>
            <w:tcMar>
              <w:bottom w:w="28" w:type="dxa"/>
            </w:tcMar>
            <w:vAlign w:val="bottom"/>
          </w:tcPr>
          <w:p>
            <w:pPr>
              <w:pStyle w:val="TableContents"/>
              <w:spacing w:before="0" w:after="283"/>
              <w:jc w:val="center"/>
              <w:rPr/>
            </w:pPr>
            <w:r>
              <w:rPr/>
              <w:t>Year-on-year</w:t>
            </w:r>
          </w:p>
        </w:tc>
        <w:tc>
          <w:tcPr>
            <w:tcW w:w="69" w:type="dxa"/>
            <w:tcBorders/>
            <w:shd w:fill="auto" w:val="clear"/>
            <w:vAlign w:val="bottom"/>
          </w:tcPr>
          <w:p>
            <w:pPr>
              <w:pStyle w:val="TableContents"/>
              <w:spacing w:before="0" w:after="283"/>
              <w:rPr/>
            </w:pPr>
            <w:r>
              <w:rPr/>
              <w:t> </w:t>
            </w:r>
          </w:p>
        </w:tc>
      </w:tr>
      <w:tr>
        <w:trPr/>
        <w:tc>
          <w:tcPr>
            <w:tcW w:w="3895" w:type="dxa"/>
            <w:tcBorders/>
            <w:shd w:fill="CCEEFF" w:val="clear"/>
          </w:tcPr>
          <w:p>
            <w:pPr>
              <w:pStyle w:val="TableContents"/>
              <w:spacing w:before="0" w:after="0"/>
              <w:rPr>
                <w:rFonts w:ascii="ARIAL" w:hAnsi="ARIAL"/>
                <w:b/>
                <w:sz w:val="20"/>
              </w:rPr>
            </w:pPr>
            <w:r>
              <w:rPr>
                <w:rFonts w:ascii="ARIAL" w:hAnsi="ARIAL"/>
                <w:b/>
                <w:sz w:val="20"/>
              </w:rPr>
              <w:t>Revenue by Division</w:t>
            </w:r>
          </w:p>
        </w:tc>
        <w:tc>
          <w:tcPr>
            <w:tcW w:w="18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07" w:type="dxa"/>
            <w:tcBorders/>
            <w:shd w:fill="CCEEFF" w:val="clear"/>
            <w:vAlign w:val="bottom"/>
          </w:tcPr>
          <w:p>
            <w:pPr>
              <w:pStyle w:val="TableContents"/>
              <w:spacing w:before="0" w:after="283"/>
              <w:rPr>
                <w:sz w:val="4"/>
                <w:szCs w:val="4"/>
              </w:rPr>
            </w:pPr>
            <w:r>
              <w:rPr>
                <w:sz w:val="4"/>
                <w:szCs w:val="4"/>
              </w:rPr>
            </w:r>
          </w:p>
        </w:tc>
        <w:tc>
          <w:tcPr>
            <w:tcW w:w="320"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sz w:val="4"/>
                <w:szCs w:val="4"/>
              </w:rPr>
            </w:pPr>
            <w:r>
              <w:rPr>
                <w:sz w:val="4"/>
                <w:szCs w:val="4"/>
              </w:rPr>
            </w:r>
          </w:p>
        </w:tc>
        <w:tc>
          <w:tcPr>
            <w:tcW w:w="1049" w:type="dxa"/>
            <w:tcBorders/>
            <w:shd w:fill="CCEEFF" w:val="clear"/>
            <w:vAlign w:val="bottom"/>
          </w:tcPr>
          <w:p>
            <w:pPr>
              <w:pStyle w:val="TableContents"/>
              <w:spacing w:before="0" w:after="283"/>
              <w:rPr>
                <w:sz w:val="4"/>
                <w:szCs w:val="4"/>
              </w:rPr>
            </w:pPr>
            <w:r>
              <w:rPr>
                <w:sz w:val="4"/>
                <w:szCs w:val="4"/>
              </w:rPr>
            </w:r>
          </w:p>
        </w:tc>
        <w:tc>
          <w:tcPr>
            <w:tcW w:w="59"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sz w:val="4"/>
                <w:szCs w:val="4"/>
              </w:rPr>
            </w:pPr>
            <w:r>
              <w:rPr>
                <w:sz w:val="4"/>
                <w:szCs w:val="4"/>
              </w:rPr>
            </w:r>
          </w:p>
        </w:tc>
        <w:tc>
          <w:tcPr>
            <w:tcW w:w="1245"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rPr/>
        <w:tc>
          <w:tcPr>
            <w:tcW w:w="3895" w:type="dxa"/>
            <w:tcBorders/>
            <w:shd w:fill="auto" w:val="clear"/>
            <w:vAlign w:val="bottom"/>
          </w:tcPr>
          <w:p>
            <w:pPr>
              <w:pStyle w:val="TableContents"/>
              <w:spacing w:before="0" w:after="283"/>
              <w:rPr/>
            </w:pPr>
            <w:r>
              <w:rPr/>
              <w:t>Digital &amp; Integration</w:t>
            </w:r>
          </w:p>
        </w:tc>
        <w:tc>
          <w:tcPr>
            <w:tcW w:w="18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607" w:type="dxa"/>
            <w:tcBorders/>
            <w:shd w:fill="auto" w:val="clear"/>
            <w:vAlign w:val="bottom"/>
          </w:tcPr>
          <w:p>
            <w:pPr>
              <w:pStyle w:val="TableContents"/>
              <w:spacing w:before="0" w:after="283"/>
              <w:jc w:val="right"/>
              <w:rPr>
                <w:b/>
              </w:rPr>
            </w:pPr>
            <w:r>
              <w:rPr>
                <w:b/>
              </w:rPr>
              <w:t>894</w:t>
            </w:r>
          </w:p>
        </w:tc>
        <w:tc>
          <w:tcPr>
            <w:tcW w:w="32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0" w:type="dxa"/>
            <w:tcBorders/>
            <w:shd w:fill="auto" w:val="clear"/>
            <w:vAlign w:val="bottom"/>
          </w:tcPr>
          <w:p>
            <w:pPr>
              <w:pStyle w:val="TableContents"/>
              <w:spacing w:before="0" w:after="283"/>
              <w:jc w:val="right"/>
              <w:rPr/>
            </w:pPr>
            <w:r>
              <w:rPr/>
              <w:t>1,012</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0" w:type="dxa"/>
            <w:tcBorders/>
            <w:shd w:fill="auto" w:val="clear"/>
            <w:vAlign w:val="bottom"/>
          </w:tcPr>
          <w:p>
            <w:pPr>
              <w:pStyle w:val="TableContents"/>
              <w:spacing w:before="0" w:after="283"/>
              <w:jc w:val="right"/>
              <w:rPr/>
            </w:pPr>
            <w:r>
              <w:rPr/>
              <w:t>857</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center"/>
              <w:rPr>
                <w:b/>
              </w:rPr>
            </w:pPr>
            <w:r>
              <w:rPr>
                <w:b/>
              </w:rPr>
              <w:t>-12%</w:t>
            </w:r>
          </w:p>
        </w:tc>
        <w:tc>
          <w:tcPr>
            <w:tcW w:w="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center"/>
              <w:rPr/>
            </w:pPr>
            <w:r>
              <w:rPr/>
              <w:t>4%</w:t>
            </w:r>
          </w:p>
        </w:tc>
        <w:tc>
          <w:tcPr>
            <w:tcW w:w="69" w:type="dxa"/>
            <w:tcBorders/>
            <w:shd w:fill="auto" w:val="clear"/>
            <w:vAlign w:val="bottom"/>
          </w:tcPr>
          <w:p>
            <w:pPr>
              <w:pStyle w:val="TableContents"/>
              <w:spacing w:before="0" w:after="283"/>
              <w:rPr/>
            </w:pPr>
            <w:r>
              <w:rPr/>
              <w:t> </w:t>
            </w:r>
          </w:p>
        </w:tc>
      </w:tr>
      <w:tr>
        <w:trPr/>
        <w:tc>
          <w:tcPr>
            <w:tcW w:w="3895" w:type="dxa"/>
            <w:tcBorders/>
            <w:shd w:fill="CCEEFF" w:val="clear"/>
            <w:vAlign w:val="bottom"/>
          </w:tcPr>
          <w:p>
            <w:pPr>
              <w:pStyle w:val="TableContents"/>
              <w:spacing w:before="0" w:after="0"/>
              <w:rPr>
                <w:rFonts w:ascii="ARIAL" w:hAnsi="ARIAL"/>
                <w:sz w:val="20"/>
              </w:rPr>
            </w:pPr>
            <w:r>
              <w:rPr>
                <w:rFonts w:ascii="ARIAL" w:hAnsi="ARIAL"/>
                <w:sz w:val="20"/>
              </w:rPr>
              <w:t>Reservoir Performance</w:t>
            </w:r>
          </w:p>
        </w:tc>
        <w:tc>
          <w:tcPr>
            <w:tcW w:w="18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b/>
              </w:rPr>
            </w:pPr>
            <w:r>
              <w:rPr>
                <w:b/>
              </w:rPr>
              <w:t>1,503</w:t>
            </w:r>
          </w:p>
        </w:tc>
        <w:tc>
          <w:tcPr>
            <w:tcW w:w="32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jc w:val="right"/>
              <w:rPr/>
            </w:pPr>
            <w:r>
              <w:rPr/>
              <w:t>1,554</w:t>
            </w:r>
          </w:p>
        </w:tc>
        <w:tc>
          <w:tcPr>
            <w:tcW w:w="28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jc w:val="right"/>
              <w:rPr/>
            </w:pPr>
            <w:r>
              <w:rPr/>
              <w:t>1,210</w:t>
            </w:r>
          </w:p>
        </w:tc>
        <w:tc>
          <w:tcPr>
            <w:tcW w:w="28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center"/>
              <w:rPr>
                <w:b/>
              </w:rPr>
            </w:pPr>
            <w:r>
              <w:rPr>
                <w:b/>
              </w:rPr>
              <w:t>-3%</w:t>
            </w:r>
          </w:p>
        </w:tc>
        <w:tc>
          <w:tcPr>
            <w:tcW w:w="5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center"/>
              <w:rPr/>
            </w:pPr>
            <w:r>
              <w:rPr/>
              <w:t>24%</w:t>
            </w:r>
          </w:p>
        </w:tc>
        <w:tc>
          <w:tcPr>
            <w:tcW w:w="69" w:type="dxa"/>
            <w:tcBorders/>
            <w:shd w:fill="CCEEFF" w:val="clear"/>
            <w:vAlign w:val="bottom"/>
          </w:tcPr>
          <w:p>
            <w:pPr>
              <w:pStyle w:val="TableContents"/>
              <w:spacing w:before="0" w:after="283"/>
              <w:rPr/>
            </w:pPr>
            <w:r>
              <w:rPr/>
              <w:t> </w:t>
            </w:r>
          </w:p>
        </w:tc>
      </w:tr>
      <w:tr>
        <w:trPr/>
        <w:tc>
          <w:tcPr>
            <w:tcW w:w="3895" w:type="dxa"/>
            <w:tcBorders/>
            <w:shd w:fill="auto" w:val="clear"/>
            <w:vAlign w:val="bottom"/>
          </w:tcPr>
          <w:p>
            <w:pPr>
              <w:pStyle w:val="TableContents"/>
              <w:spacing w:before="0" w:after="0"/>
              <w:rPr>
                <w:rFonts w:ascii="ARIAL" w:hAnsi="ARIAL"/>
                <w:sz w:val="20"/>
              </w:rPr>
            </w:pPr>
            <w:r>
              <w:rPr>
                <w:rFonts w:ascii="ARIAL" w:hAnsi="ARIAL"/>
                <w:sz w:val="20"/>
              </w:rPr>
              <w:t>Well Construction</w:t>
            </w:r>
          </w:p>
        </w:tc>
        <w:tc>
          <w:tcPr>
            <w:tcW w:w="18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b/>
              </w:rPr>
            </w:pPr>
            <w:r>
              <w:rPr>
                <w:b/>
              </w:rPr>
              <w:t>3,261</w:t>
            </w:r>
          </w:p>
        </w:tc>
        <w:tc>
          <w:tcPr>
            <w:tcW w:w="32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3,229</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2,398</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center"/>
              <w:rPr>
                <w:b/>
              </w:rPr>
            </w:pPr>
            <w:r>
              <w:rPr>
                <w:b/>
              </w:rPr>
              <w:t>1%</w:t>
            </w:r>
          </w:p>
        </w:tc>
        <w:tc>
          <w:tcPr>
            <w:tcW w:w="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center"/>
              <w:rPr/>
            </w:pPr>
            <w:r>
              <w:rPr/>
              <w:t>36%</w:t>
            </w:r>
          </w:p>
        </w:tc>
        <w:tc>
          <w:tcPr>
            <w:tcW w:w="69" w:type="dxa"/>
            <w:tcBorders/>
            <w:shd w:fill="auto" w:val="clear"/>
            <w:vAlign w:val="bottom"/>
          </w:tcPr>
          <w:p>
            <w:pPr>
              <w:pStyle w:val="TableContents"/>
              <w:spacing w:before="0" w:after="283"/>
              <w:rPr/>
            </w:pPr>
            <w:r>
              <w:rPr/>
              <w:t> </w:t>
            </w:r>
          </w:p>
        </w:tc>
      </w:tr>
      <w:tr>
        <w:trPr/>
        <w:tc>
          <w:tcPr>
            <w:tcW w:w="3895" w:type="dxa"/>
            <w:tcBorders/>
            <w:shd w:fill="CCEEFF" w:val="clear"/>
            <w:vAlign w:val="bottom"/>
          </w:tcPr>
          <w:p>
            <w:pPr>
              <w:pStyle w:val="TableContents"/>
              <w:spacing w:before="0" w:after="0"/>
              <w:rPr>
                <w:rFonts w:ascii="ARIAL" w:hAnsi="ARIAL"/>
                <w:sz w:val="20"/>
              </w:rPr>
            </w:pPr>
            <w:r>
              <w:rPr>
                <w:rFonts w:ascii="ARIAL" w:hAnsi="ARIAL"/>
                <w:sz w:val="20"/>
              </w:rPr>
              <w:t>Production Systems</w:t>
            </w:r>
          </w:p>
        </w:tc>
        <w:tc>
          <w:tcPr>
            <w:tcW w:w="18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b/>
              </w:rPr>
            </w:pPr>
            <w:r>
              <w:rPr>
                <w:b/>
              </w:rPr>
              <w:t>2,207</w:t>
            </w:r>
          </w:p>
        </w:tc>
        <w:tc>
          <w:tcPr>
            <w:tcW w:w="32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jc w:val="right"/>
              <w:rPr/>
            </w:pPr>
            <w:r>
              <w:rPr/>
              <w:t>2,215</w:t>
            </w:r>
          </w:p>
        </w:tc>
        <w:tc>
          <w:tcPr>
            <w:tcW w:w="28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jc w:val="right"/>
              <w:rPr/>
            </w:pPr>
            <w:r>
              <w:rPr/>
              <w:t>1,604</w:t>
            </w:r>
          </w:p>
        </w:tc>
        <w:tc>
          <w:tcPr>
            <w:tcW w:w="28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center"/>
              <w:rPr>
                <w:b/>
              </w:rPr>
            </w:pPr>
            <w:r>
              <w:rPr>
                <w:b/>
              </w:rPr>
              <w:t>  </w:t>
            </w:r>
          </w:p>
        </w:tc>
        <w:tc>
          <w:tcPr>
            <w:tcW w:w="5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center"/>
              <w:rPr/>
            </w:pPr>
            <w:r>
              <w:rPr/>
              <w:t>38%</w:t>
            </w:r>
          </w:p>
        </w:tc>
        <w:tc>
          <w:tcPr>
            <w:tcW w:w="69" w:type="dxa"/>
            <w:tcBorders/>
            <w:shd w:fill="CCEEFF" w:val="clear"/>
            <w:vAlign w:val="bottom"/>
          </w:tcPr>
          <w:p>
            <w:pPr>
              <w:pStyle w:val="TableContents"/>
              <w:spacing w:before="0" w:after="283"/>
              <w:rPr/>
            </w:pPr>
            <w:r>
              <w:rPr/>
              <w:t> </w:t>
            </w:r>
          </w:p>
        </w:tc>
      </w:tr>
      <w:tr>
        <w:trPr/>
        <w:tc>
          <w:tcPr>
            <w:tcW w:w="3895" w:type="dxa"/>
            <w:tcBorders/>
            <w:shd w:fill="auto" w:val="clear"/>
            <w:vAlign w:val="bottom"/>
          </w:tcPr>
          <w:p>
            <w:pPr>
              <w:pStyle w:val="TableContents"/>
              <w:spacing w:before="0" w:after="0"/>
              <w:rPr>
                <w:rFonts w:ascii="ARIAL" w:hAnsi="ARIAL"/>
                <w:sz w:val="20"/>
              </w:rPr>
            </w:pPr>
            <w:r>
              <w:rPr>
                <w:rFonts w:ascii="ARIAL" w:hAnsi="ARIAL"/>
                <w:sz w:val="20"/>
              </w:rPr>
              <w:t>Other</w:t>
            </w:r>
          </w:p>
        </w:tc>
        <w:tc>
          <w:tcPr>
            <w:tcW w:w="18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b/>
              </w:rPr>
            </w:pPr>
            <w:r>
              <w:rPr>
                <w:b/>
              </w:rPr>
              <w:t>(129</w:t>
            </w:r>
          </w:p>
        </w:tc>
        <w:tc>
          <w:tcPr>
            <w:tcW w:w="320" w:type="dxa"/>
            <w:tcBorders/>
            <w:shd w:fill="auto" w:val="clear"/>
            <w:vAlign w:val="bottom"/>
          </w:tcPr>
          <w:p>
            <w:pPr>
              <w:pStyle w:val="TableContents"/>
              <w:spacing w:before="0" w:after="283"/>
              <w:rPr>
                <w:b/>
              </w:rPr>
            </w:pPr>
            <w:r>
              <w:rPr>
                <w:b/>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(131</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(107</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center"/>
              <w:rPr>
                <w:b/>
              </w:rPr>
            </w:pPr>
            <w:r>
              <w:rPr>
                <w:b/>
              </w:rPr>
              <w:t>n/m</w:t>
            </w:r>
          </w:p>
        </w:tc>
        <w:tc>
          <w:tcPr>
            <w:tcW w:w="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center"/>
              <w:rPr/>
            </w:pPr>
            <w:r>
              <w:rPr/>
              <w:t>n/m</w:t>
            </w:r>
          </w:p>
        </w:tc>
        <w:tc>
          <w:tcPr>
            <w:tcW w:w="69" w:type="dxa"/>
            <w:tcBorders/>
            <w:shd w:fill="auto" w:val="clear"/>
            <w:vAlign w:val="bottom"/>
          </w:tcPr>
          <w:p>
            <w:pPr>
              <w:pStyle w:val="TableContents"/>
              <w:spacing w:before="0" w:after="283"/>
              <w:rPr/>
            </w:pPr>
            <w:r>
              <w:rPr/>
              <w:t> </w:t>
            </w:r>
          </w:p>
        </w:tc>
      </w:tr>
      <w:tr>
        <w:trPr/>
        <w:tc>
          <w:tcPr>
            <w:tcW w:w="389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07" w:type="dxa"/>
            <w:tcBorders/>
            <w:shd w:fill="auto" w:val="clear"/>
            <w:vAlign w:val="bottom"/>
          </w:tcPr>
          <w:p>
            <w:pPr>
              <w:pStyle w:val="TableContents"/>
              <w:pBdr>
                <w:top w:val="single" w:sz="2" w:space="1" w:color="000000"/>
              </w:pBdr>
              <w:spacing w:before="0" w:after="0"/>
              <w:rPr/>
            </w:pPr>
            <w:r>
              <w:rPr/>
              <w:t> </w:t>
            </w:r>
          </w:p>
        </w:tc>
        <w:tc>
          <w:tcPr>
            <w:tcW w:w="320"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0"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0"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049"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pBdr>
                <w:top w:val="single" w:sz="2" w:space="1" w:color="000000"/>
              </w:pBdr>
              <w:spacing w:before="0" w:after="0"/>
              <w:rPr/>
            </w:pPr>
            <w:r>
              <w:rPr/>
              <w:t> </w:t>
            </w:r>
          </w:p>
        </w:tc>
        <w:tc>
          <w:tcPr>
            <w:tcW w:w="1245" w:type="dxa"/>
            <w:tcBorders/>
            <w:shd w:fill="auto" w:val="clear"/>
            <w:vAlign w:val="bottom"/>
          </w:tcPr>
          <w:p>
            <w:pPr>
              <w:pStyle w:val="TableContents"/>
              <w:pBdr>
                <w:top w:val="single" w:sz="2" w:space="1" w:color="000000"/>
              </w:pBdr>
              <w:spacing w:before="0" w:after="0"/>
              <w:rPr/>
            </w:pPr>
            <w:r>
              <w:rPr/>
              <w:t> </w:t>
            </w:r>
          </w:p>
        </w:tc>
        <w:tc>
          <w:tcPr>
            <w:tcW w:w="69" w:type="dxa"/>
            <w:tcBorders/>
            <w:shd w:fill="auto" w:val="clear"/>
            <w:vAlign w:val="center"/>
          </w:tcPr>
          <w:p>
            <w:pPr>
              <w:pStyle w:val="TableContents"/>
              <w:spacing w:before="0" w:after="283"/>
              <w:rPr/>
            </w:pPr>
            <w:r>
              <w:rPr/>
              <w:t> </w:t>
            </w:r>
          </w:p>
        </w:tc>
      </w:tr>
      <w:tr>
        <w:trPr/>
        <w:tc>
          <w:tcPr>
            <w:tcW w:w="3895"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607" w:type="dxa"/>
            <w:tcBorders/>
            <w:shd w:fill="CCEEFF" w:val="clear"/>
            <w:vAlign w:val="bottom"/>
          </w:tcPr>
          <w:p>
            <w:pPr>
              <w:pStyle w:val="TableContents"/>
              <w:spacing w:before="0" w:after="283"/>
              <w:jc w:val="right"/>
              <w:rPr>
                <w:b/>
              </w:rPr>
            </w:pPr>
            <w:r>
              <w:rPr>
                <w:b/>
              </w:rPr>
              <w:t>7,736</w:t>
            </w:r>
          </w:p>
        </w:tc>
        <w:tc>
          <w:tcPr>
            <w:tcW w:w="32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0" w:type="dxa"/>
            <w:tcBorders/>
            <w:shd w:fill="CCEEFF" w:val="clear"/>
            <w:vAlign w:val="bottom"/>
          </w:tcPr>
          <w:p>
            <w:pPr>
              <w:pStyle w:val="TableContents"/>
              <w:spacing w:before="0" w:after="283"/>
              <w:jc w:val="right"/>
              <w:rPr/>
            </w:pPr>
            <w:r>
              <w:rPr/>
              <w:t>7,879</w:t>
            </w:r>
          </w:p>
        </w:tc>
        <w:tc>
          <w:tcPr>
            <w:tcW w:w="28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0" w:type="dxa"/>
            <w:tcBorders/>
            <w:shd w:fill="CCEEFF" w:val="clear"/>
            <w:vAlign w:val="bottom"/>
          </w:tcPr>
          <w:p>
            <w:pPr>
              <w:pStyle w:val="TableContents"/>
              <w:spacing w:before="0" w:after="283"/>
              <w:jc w:val="right"/>
              <w:rPr/>
            </w:pPr>
            <w:r>
              <w:rPr/>
              <w:t>5,962</w:t>
            </w:r>
          </w:p>
        </w:tc>
        <w:tc>
          <w:tcPr>
            <w:tcW w:w="28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center"/>
              <w:rPr>
                <w:b/>
              </w:rPr>
            </w:pPr>
            <w:r>
              <w:rPr>
                <w:b/>
              </w:rPr>
              <w:t>-2%</w:t>
            </w:r>
          </w:p>
        </w:tc>
        <w:tc>
          <w:tcPr>
            <w:tcW w:w="5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center"/>
              <w:rPr/>
            </w:pPr>
            <w:r>
              <w:rPr/>
              <w:t>30%</w:t>
            </w:r>
          </w:p>
        </w:tc>
        <w:tc>
          <w:tcPr>
            <w:tcW w:w="69" w:type="dxa"/>
            <w:tcBorders/>
            <w:shd w:fill="CCEEFF" w:val="clear"/>
            <w:vAlign w:val="bottom"/>
          </w:tcPr>
          <w:p>
            <w:pPr>
              <w:pStyle w:val="TableContents"/>
              <w:spacing w:before="0" w:after="283"/>
              <w:rPr/>
            </w:pPr>
            <w:r>
              <w:rPr/>
              <w:t> </w:t>
            </w:r>
          </w:p>
        </w:tc>
      </w:tr>
      <w:tr>
        <w:trPr/>
        <w:tc>
          <w:tcPr>
            <w:tcW w:w="389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07" w:type="dxa"/>
            <w:tcBorders/>
            <w:shd w:fill="auto" w:val="clear"/>
            <w:vAlign w:val="bottom"/>
          </w:tcPr>
          <w:p>
            <w:pPr>
              <w:pStyle w:val="TableContents"/>
              <w:pBdr>
                <w:top w:val="single" w:sz="2" w:space="1" w:color="000000"/>
              </w:pBdr>
              <w:spacing w:before="0" w:after="0"/>
              <w:rPr/>
            </w:pPr>
            <w:r>
              <w:rPr/>
              <w:t> </w:t>
            </w:r>
          </w:p>
        </w:tc>
        <w:tc>
          <w:tcPr>
            <w:tcW w:w="320"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0"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0"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049"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pBdr>
                <w:top w:val="single" w:sz="2" w:space="1" w:color="000000"/>
              </w:pBdr>
              <w:spacing w:before="0" w:after="0"/>
              <w:rPr/>
            </w:pPr>
            <w:r>
              <w:rPr/>
              <w:t> </w:t>
            </w:r>
          </w:p>
        </w:tc>
        <w:tc>
          <w:tcPr>
            <w:tcW w:w="1245" w:type="dxa"/>
            <w:tcBorders/>
            <w:shd w:fill="auto" w:val="clear"/>
            <w:vAlign w:val="bottom"/>
          </w:tcPr>
          <w:p>
            <w:pPr>
              <w:pStyle w:val="TableContents"/>
              <w:pBdr>
                <w:top w:val="single" w:sz="2" w:space="1" w:color="000000"/>
              </w:pBdr>
              <w:spacing w:before="0" w:after="0"/>
              <w:rPr/>
            </w:pPr>
            <w:r>
              <w:rPr/>
              <w:t> </w:t>
            </w:r>
          </w:p>
        </w:tc>
        <w:tc>
          <w:tcPr>
            <w:tcW w:w="69" w:type="dxa"/>
            <w:tcBorders/>
            <w:shd w:fill="auto" w:val="clear"/>
            <w:vAlign w:val="center"/>
          </w:tcPr>
          <w:p>
            <w:pPr>
              <w:pStyle w:val="TableContents"/>
              <w:spacing w:before="0" w:after="283"/>
              <w:rPr/>
            </w:pPr>
            <w:r>
              <w:rPr/>
              <w:t> </w:t>
            </w:r>
          </w:p>
        </w:tc>
      </w:tr>
      <w:tr>
        <w:trPr/>
        <w:tc>
          <w:tcPr>
            <w:tcW w:w="3895" w:type="dxa"/>
            <w:tcBorders/>
            <w:shd w:fill="auto" w:val="clea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607"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70"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70"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sz w:val="4"/>
                <w:szCs w:val="4"/>
              </w:rPr>
            </w:pPr>
            <w:r>
              <w:rPr>
                <w:sz w:val="4"/>
                <w:szCs w:val="4"/>
              </w:rPr>
            </w:r>
          </w:p>
        </w:tc>
        <w:tc>
          <w:tcPr>
            <w:tcW w:w="1049"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sz w:val="4"/>
                <w:szCs w:val="4"/>
              </w:rPr>
            </w:pPr>
            <w:r>
              <w:rPr>
                <w:sz w:val="4"/>
                <w:szCs w:val="4"/>
              </w:rPr>
            </w:r>
          </w:p>
        </w:tc>
        <w:tc>
          <w:tcPr>
            <w:tcW w:w="1245"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r>
      <w:tr>
        <w:trPr/>
        <w:tc>
          <w:tcPr>
            <w:tcW w:w="3895" w:type="dxa"/>
            <w:tcBorders/>
            <w:shd w:fill="CCEEFF" w:val="clear"/>
          </w:tcPr>
          <w:p>
            <w:pPr>
              <w:pStyle w:val="TableContents"/>
              <w:spacing w:before="0" w:after="0"/>
              <w:rPr>
                <w:rFonts w:ascii="ARIAL" w:hAnsi="ARIAL"/>
                <w:b/>
                <w:sz w:val="20"/>
              </w:rPr>
            </w:pPr>
            <w:r>
              <w:rPr>
                <w:rFonts w:ascii="ARIAL" w:hAnsi="ARIAL"/>
                <w:b/>
                <w:sz w:val="20"/>
              </w:rPr>
              <w:t>Pretax Operating Income by Division</w:t>
            </w:r>
          </w:p>
        </w:tc>
        <w:tc>
          <w:tcPr>
            <w:tcW w:w="18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07" w:type="dxa"/>
            <w:tcBorders/>
            <w:shd w:fill="CCEEFF" w:val="clear"/>
            <w:vAlign w:val="bottom"/>
          </w:tcPr>
          <w:p>
            <w:pPr>
              <w:pStyle w:val="TableContents"/>
              <w:spacing w:before="0" w:after="283"/>
              <w:rPr>
                <w:sz w:val="4"/>
                <w:szCs w:val="4"/>
              </w:rPr>
            </w:pPr>
            <w:r>
              <w:rPr>
                <w:sz w:val="4"/>
                <w:szCs w:val="4"/>
              </w:rPr>
            </w:r>
          </w:p>
        </w:tc>
        <w:tc>
          <w:tcPr>
            <w:tcW w:w="320"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sz w:val="4"/>
                <w:szCs w:val="4"/>
              </w:rPr>
            </w:pPr>
            <w:r>
              <w:rPr>
                <w:sz w:val="4"/>
                <w:szCs w:val="4"/>
              </w:rPr>
            </w:r>
          </w:p>
        </w:tc>
        <w:tc>
          <w:tcPr>
            <w:tcW w:w="1049" w:type="dxa"/>
            <w:tcBorders/>
            <w:shd w:fill="CCEEFF" w:val="clear"/>
            <w:vAlign w:val="bottom"/>
          </w:tcPr>
          <w:p>
            <w:pPr>
              <w:pStyle w:val="TableContents"/>
              <w:spacing w:before="0" w:after="283"/>
              <w:rPr>
                <w:sz w:val="4"/>
                <w:szCs w:val="4"/>
              </w:rPr>
            </w:pPr>
            <w:r>
              <w:rPr>
                <w:sz w:val="4"/>
                <w:szCs w:val="4"/>
              </w:rPr>
            </w:r>
          </w:p>
        </w:tc>
        <w:tc>
          <w:tcPr>
            <w:tcW w:w="59"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sz w:val="4"/>
                <w:szCs w:val="4"/>
              </w:rPr>
            </w:pPr>
            <w:r>
              <w:rPr>
                <w:sz w:val="4"/>
                <w:szCs w:val="4"/>
              </w:rPr>
            </w:r>
          </w:p>
        </w:tc>
        <w:tc>
          <w:tcPr>
            <w:tcW w:w="1245"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rPr/>
        <w:tc>
          <w:tcPr>
            <w:tcW w:w="3895" w:type="dxa"/>
            <w:tcBorders/>
            <w:shd w:fill="auto" w:val="clear"/>
            <w:vAlign w:val="bottom"/>
          </w:tcPr>
          <w:p>
            <w:pPr>
              <w:pStyle w:val="TableContents"/>
              <w:spacing w:before="0" w:after="0"/>
              <w:rPr>
                <w:rFonts w:ascii="ARIAL" w:hAnsi="ARIAL"/>
                <w:sz w:val="20"/>
              </w:rPr>
            </w:pPr>
            <w:r>
              <w:rPr>
                <w:rFonts w:ascii="ARIAL" w:hAnsi="ARIAL"/>
                <w:sz w:val="20"/>
              </w:rPr>
              <w:t>Digital &amp; Integration</w:t>
            </w:r>
          </w:p>
        </w:tc>
        <w:tc>
          <w:tcPr>
            <w:tcW w:w="18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607" w:type="dxa"/>
            <w:tcBorders/>
            <w:shd w:fill="auto" w:val="clear"/>
            <w:vAlign w:val="bottom"/>
          </w:tcPr>
          <w:p>
            <w:pPr>
              <w:pStyle w:val="TableContents"/>
              <w:spacing w:before="0" w:after="283"/>
              <w:jc w:val="right"/>
              <w:rPr>
                <w:b/>
              </w:rPr>
            </w:pPr>
            <w:r>
              <w:rPr>
                <w:b/>
              </w:rPr>
              <w:t>265</w:t>
            </w:r>
          </w:p>
        </w:tc>
        <w:tc>
          <w:tcPr>
            <w:tcW w:w="32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0" w:type="dxa"/>
            <w:tcBorders/>
            <w:shd w:fill="auto" w:val="clear"/>
            <w:vAlign w:val="bottom"/>
          </w:tcPr>
          <w:p>
            <w:pPr>
              <w:pStyle w:val="TableContents"/>
              <w:spacing w:before="0" w:after="283"/>
              <w:jc w:val="right"/>
              <w:rPr/>
            </w:pPr>
            <w:r>
              <w:rPr/>
              <w:t>382</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0" w:type="dxa"/>
            <w:tcBorders/>
            <w:shd w:fill="auto" w:val="clear"/>
            <w:vAlign w:val="bottom"/>
          </w:tcPr>
          <w:p>
            <w:pPr>
              <w:pStyle w:val="TableContents"/>
              <w:spacing w:before="0" w:after="283"/>
              <w:jc w:val="right"/>
              <w:rPr/>
            </w:pPr>
            <w:r>
              <w:rPr/>
              <w:t>292</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center"/>
              <w:rPr>
                <w:b/>
              </w:rPr>
            </w:pPr>
            <w:r>
              <w:rPr>
                <w:b/>
              </w:rPr>
              <w:t>-31%</w:t>
            </w:r>
          </w:p>
        </w:tc>
        <w:tc>
          <w:tcPr>
            <w:tcW w:w="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center"/>
              <w:rPr/>
            </w:pPr>
            <w:r>
              <w:rPr/>
              <w:t>-9%</w:t>
            </w:r>
          </w:p>
        </w:tc>
        <w:tc>
          <w:tcPr>
            <w:tcW w:w="69" w:type="dxa"/>
            <w:tcBorders/>
            <w:shd w:fill="auto" w:val="clear"/>
            <w:vAlign w:val="bottom"/>
          </w:tcPr>
          <w:p>
            <w:pPr>
              <w:pStyle w:val="TableContents"/>
              <w:spacing w:before="0" w:after="283"/>
              <w:rPr/>
            </w:pPr>
            <w:r>
              <w:rPr/>
              <w:t> </w:t>
            </w:r>
          </w:p>
        </w:tc>
      </w:tr>
      <w:tr>
        <w:trPr/>
        <w:tc>
          <w:tcPr>
            <w:tcW w:w="3895" w:type="dxa"/>
            <w:tcBorders/>
            <w:shd w:fill="CCEEFF" w:val="clear"/>
            <w:vAlign w:val="bottom"/>
          </w:tcPr>
          <w:p>
            <w:pPr>
              <w:pStyle w:val="TableContents"/>
              <w:spacing w:before="0" w:after="0"/>
              <w:rPr>
                <w:rFonts w:ascii="ARIAL" w:hAnsi="ARIAL"/>
                <w:sz w:val="20"/>
              </w:rPr>
            </w:pPr>
            <w:r>
              <w:rPr>
                <w:rFonts w:ascii="ARIAL" w:hAnsi="ARIAL"/>
                <w:sz w:val="20"/>
              </w:rPr>
              <w:t>Reservoir Performance</w:t>
            </w:r>
          </w:p>
        </w:tc>
        <w:tc>
          <w:tcPr>
            <w:tcW w:w="18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b/>
              </w:rPr>
            </w:pPr>
            <w:r>
              <w:rPr>
                <w:b/>
              </w:rPr>
              <w:t>242</w:t>
            </w:r>
          </w:p>
        </w:tc>
        <w:tc>
          <w:tcPr>
            <w:tcW w:w="32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jc w:val="right"/>
              <w:rPr/>
            </w:pPr>
            <w:r>
              <w:rPr/>
              <w:t>282</w:t>
            </w:r>
          </w:p>
        </w:tc>
        <w:tc>
          <w:tcPr>
            <w:tcW w:w="28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jc w:val="right"/>
              <w:rPr/>
            </w:pPr>
            <w:r>
              <w:rPr/>
              <w:t>160</w:t>
            </w:r>
          </w:p>
        </w:tc>
        <w:tc>
          <w:tcPr>
            <w:tcW w:w="28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center"/>
              <w:rPr>
                <w:b/>
              </w:rPr>
            </w:pPr>
            <w:r>
              <w:rPr>
                <w:b/>
              </w:rPr>
              <w:t>-14%</w:t>
            </w:r>
          </w:p>
        </w:tc>
        <w:tc>
          <w:tcPr>
            <w:tcW w:w="5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center"/>
              <w:rPr/>
            </w:pPr>
            <w:r>
              <w:rPr/>
              <w:t>52%</w:t>
            </w:r>
          </w:p>
        </w:tc>
        <w:tc>
          <w:tcPr>
            <w:tcW w:w="69" w:type="dxa"/>
            <w:tcBorders/>
            <w:shd w:fill="CCEEFF" w:val="clear"/>
            <w:vAlign w:val="bottom"/>
          </w:tcPr>
          <w:p>
            <w:pPr>
              <w:pStyle w:val="TableContents"/>
              <w:spacing w:before="0" w:after="283"/>
              <w:rPr/>
            </w:pPr>
            <w:r>
              <w:rPr/>
              <w:t> </w:t>
            </w:r>
          </w:p>
        </w:tc>
      </w:tr>
      <w:tr>
        <w:trPr/>
        <w:tc>
          <w:tcPr>
            <w:tcW w:w="3895" w:type="dxa"/>
            <w:tcBorders/>
            <w:shd w:fill="auto" w:val="clear"/>
            <w:vAlign w:val="bottom"/>
          </w:tcPr>
          <w:p>
            <w:pPr>
              <w:pStyle w:val="TableContents"/>
              <w:spacing w:before="0" w:after="0"/>
              <w:rPr>
                <w:rFonts w:ascii="ARIAL" w:hAnsi="ARIAL"/>
                <w:sz w:val="20"/>
              </w:rPr>
            </w:pPr>
            <w:r>
              <w:rPr>
                <w:rFonts w:ascii="ARIAL" w:hAnsi="ARIAL"/>
                <w:sz w:val="20"/>
              </w:rPr>
              <w:t>Well Construction</w:t>
            </w:r>
          </w:p>
        </w:tc>
        <w:tc>
          <w:tcPr>
            <w:tcW w:w="18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b/>
              </w:rPr>
            </w:pPr>
            <w:r>
              <w:rPr>
                <w:b/>
              </w:rPr>
              <w:t>672</w:t>
            </w:r>
          </w:p>
        </w:tc>
        <w:tc>
          <w:tcPr>
            <w:tcW w:w="32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679</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388</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center"/>
              <w:rPr>
                <w:b/>
              </w:rPr>
            </w:pPr>
            <w:r>
              <w:rPr>
                <w:b/>
              </w:rPr>
              <w:t>-1%</w:t>
            </w:r>
          </w:p>
        </w:tc>
        <w:tc>
          <w:tcPr>
            <w:tcW w:w="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center"/>
              <w:rPr/>
            </w:pPr>
            <w:r>
              <w:rPr/>
              <w:t>73%</w:t>
            </w:r>
          </w:p>
        </w:tc>
        <w:tc>
          <w:tcPr>
            <w:tcW w:w="69" w:type="dxa"/>
            <w:tcBorders/>
            <w:shd w:fill="auto" w:val="clear"/>
            <w:vAlign w:val="bottom"/>
          </w:tcPr>
          <w:p>
            <w:pPr>
              <w:pStyle w:val="TableContents"/>
              <w:spacing w:before="0" w:after="283"/>
              <w:rPr/>
            </w:pPr>
            <w:r>
              <w:rPr/>
              <w:t> </w:t>
            </w:r>
          </w:p>
        </w:tc>
      </w:tr>
      <w:tr>
        <w:trPr/>
        <w:tc>
          <w:tcPr>
            <w:tcW w:w="3895" w:type="dxa"/>
            <w:tcBorders/>
            <w:shd w:fill="CCEEFF" w:val="clear"/>
            <w:vAlign w:val="bottom"/>
          </w:tcPr>
          <w:p>
            <w:pPr>
              <w:pStyle w:val="TableContents"/>
              <w:spacing w:before="0" w:after="0"/>
              <w:rPr>
                <w:rFonts w:ascii="ARIAL" w:hAnsi="ARIAL"/>
                <w:sz w:val="20"/>
              </w:rPr>
            </w:pPr>
            <w:r>
              <w:rPr>
                <w:rFonts w:ascii="ARIAL" w:hAnsi="ARIAL"/>
                <w:sz w:val="20"/>
              </w:rPr>
              <w:t>Production Systems</w:t>
            </w:r>
          </w:p>
        </w:tc>
        <w:tc>
          <w:tcPr>
            <w:tcW w:w="18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b/>
              </w:rPr>
            </w:pPr>
            <w:r>
              <w:rPr>
                <w:b/>
              </w:rPr>
              <w:t>205</w:t>
            </w:r>
          </w:p>
        </w:tc>
        <w:tc>
          <w:tcPr>
            <w:tcW w:w="32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jc w:val="right"/>
              <w:rPr/>
            </w:pPr>
            <w:r>
              <w:rPr/>
              <w:t>238</w:t>
            </w:r>
          </w:p>
        </w:tc>
        <w:tc>
          <w:tcPr>
            <w:tcW w:w="28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jc w:val="right"/>
              <w:rPr/>
            </w:pPr>
            <w:r>
              <w:rPr/>
              <w:t>114</w:t>
            </w:r>
          </w:p>
        </w:tc>
        <w:tc>
          <w:tcPr>
            <w:tcW w:w="28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center"/>
              <w:rPr>
                <w:b/>
              </w:rPr>
            </w:pPr>
            <w:r>
              <w:rPr>
                <w:b/>
              </w:rPr>
              <w:t>-14%</w:t>
            </w:r>
          </w:p>
        </w:tc>
        <w:tc>
          <w:tcPr>
            <w:tcW w:w="5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center"/>
              <w:rPr/>
            </w:pPr>
            <w:r>
              <w:rPr/>
              <w:t>80%</w:t>
            </w:r>
          </w:p>
        </w:tc>
        <w:tc>
          <w:tcPr>
            <w:tcW w:w="69" w:type="dxa"/>
            <w:tcBorders/>
            <w:shd w:fill="CCEEFF" w:val="clear"/>
            <w:vAlign w:val="bottom"/>
          </w:tcPr>
          <w:p>
            <w:pPr>
              <w:pStyle w:val="TableContents"/>
              <w:spacing w:before="0" w:after="283"/>
              <w:rPr/>
            </w:pPr>
            <w:r>
              <w:rPr/>
              <w:t> </w:t>
            </w:r>
          </w:p>
        </w:tc>
      </w:tr>
      <w:tr>
        <w:trPr/>
        <w:tc>
          <w:tcPr>
            <w:tcW w:w="3895" w:type="dxa"/>
            <w:tcBorders/>
            <w:shd w:fill="auto" w:val="clear"/>
            <w:vAlign w:val="bottom"/>
          </w:tcPr>
          <w:p>
            <w:pPr>
              <w:pStyle w:val="TableContents"/>
              <w:spacing w:before="0" w:after="0"/>
              <w:rPr>
                <w:rFonts w:ascii="ARIAL" w:hAnsi="ARIAL"/>
                <w:sz w:val="20"/>
              </w:rPr>
            </w:pPr>
            <w:r>
              <w:rPr>
                <w:rFonts w:ascii="ARIAL" w:hAnsi="ARIAL"/>
                <w:sz w:val="20"/>
              </w:rPr>
              <w:t>Other</w:t>
            </w:r>
          </w:p>
        </w:tc>
        <w:tc>
          <w:tcPr>
            <w:tcW w:w="18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b/>
              </w:rPr>
            </w:pPr>
            <w:r>
              <w:rPr>
                <w:b/>
              </w:rPr>
              <w:t>7</w:t>
            </w:r>
          </w:p>
        </w:tc>
        <w:tc>
          <w:tcPr>
            <w:tcW w:w="32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(24</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(60</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center"/>
              <w:rPr>
                <w:b/>
              </w:rPr>
            </w:pPr>
            <w:r>
              <w:rPr>
                <w:b/>
              </w:rPr>
              <w:t>n/m</w:t>
            </w:r>
          </w:p>
        </w:tc>
        <w:tc>
          <w:tcPr>
            <w:tcW w:w="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center"/>
              <w:rPr/>
            </w:pPr>
            <w:r>
              <w:rPr/>
              <w:t>n/m</w:t>
            </w:r>
          </w:p>
        </w:tc>
        <w:tc>
          <w:tcPr>
            <w:tcW w:w="69" w:type="dxa"/>
            <w:tcBorders/>
            <w:shd w:fill="auto" w:val="clear"/>
            <w:vAlign w:val="bottom"/>
          </w:tcPr>
          <w:p>
            <w:pPr>
              <w:pStyle w:val="TableContents"/>
              <w:spacing w:before="0" w:after="283"/>
              <w:rPr/>
            </w:pPr>
            <w:r>
              <w:rPr/>
              <w:t> </w:t>
            </w:r>
          </w:p>
        </w:tc>
      </w:tr>
      <w:tr>
        <w:trPr/>
        <w:tc>
          <w:tcPr>
            <w:tcW w:w="389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07" w:type="dxa"/>
            <w:tcBorders/>
            <w:shd w:fill="auto" w:val="clear"/>
            <w:vAlign w:val="bottom"/>
          </w:tcPr>
          <w:p>
            <w:pPr>
              <w:pStyle w:val="TableContents"/>
              <w:pBdr>
                <w:top w:val="single" w:sz="2" w:space="1" w:color="000000"/>
              </w:pBdr>
              <w:spacing w:before="0" w:after="0"/>
              <w:rPr/>
            </w:pPr>
            <w:r>
              <w:rPr/>
              <w:t> </w:t>
            </w:r>
          </w:p>
        </w:tc>
        <w:tc>
          <w:tcPr>
            <w:tcW w:w="320"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0"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0"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049"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pBdr>
                <w:top w:val="single" w:sz="2" w:space="1" w:color="000000"/>
              </w:pBdr>
              <w:spacing w:before="0" w:after="0"/>
              <w:rPr/>
            </w:pPr>
            <w:r>
              <w:rPr/>
              <w:t> </w:t>
            </w:r>
          </w:p>
        </w:tc>
        <w:tc>
          <w:tcPr>
            <w:tcW w:w="1245" w:type="dxa"/>
            <w:tcBorders/>
            <w:shd w:fill="auto" w:val="clear"/>
            <w:vAlign w:val="bottom"/>
          </w:tcPr>
          <w:p>
            <w:pPr>
              <w:pStyle w:val="TableContents"/>
              <w:pBdr>
                <w:top w:val="single" w:sz="2" w:space="1" w:color="000000"/>
              </w:pBdr>
              <w:spacing w:before="0" w:after="0"/>
              <w:rPr/>
            </w:pPr>
            <w:r>
              <w:rPr/>
              <w:t> </w:t>
            </w:r>
          </w:p>
        </w:tc>
        <w:tc>
          <w:tcPr>
            <w:tcW w:w="69" w:type="dxa"/>
            <w:tcBorders/>
            <w:shd w:fill="auto" w:val="clear"/>
            <w:vAlign w:val="center"/>
          </w:tcPr>
          <w:p>
            <w:pPr>
              <w:pStyle w:val="TableContents"/>
              <w:spacing w:before="0" w:after="283"/>
              <w:rPr/>
            </w:pPr>
            <w:r>
              <w:rPr/>
              <w:t> </w:t>
            </w:r>
          </w:p>
        </w:tc>
      </w:tr>
      <w:tr>
        <w:trPr/>
        <w:tc>
          <w:tcPr>
            <w:tcW w:w="3895"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607" w:type="dxa"/>
            <w:tcBorders/>
            <w:shd w:fill="CCEEFF" w:val="clear"/>
            <w:vAlign w:val="bottom"/>
          </w:tcPr>
          <w:p>
            <w:pPr>
              <w:pStyle w:val="TableContents"/>
              <w:spacing w:before="0" w:after="283"/>
              <w:jc w:val="right"/>
              <w:rPr>
                <w:b/>
              </w:rPr>
            </w:pPr>
            <w:r>
              <w:rPr>
                <w:b/>
              </w:rPr>
              <w:t>1,391</w:t>
            </w:r>
          </w:p>
        </w:tc>
        <w:tc>
          <w:tcPr>
            <w:tcW w:w="32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0" w:type="dxa"/>
            <w:tcBorders/>
            <w:shd w:fill="CCEEFF" w:val="clear"/>
            <w:vAlign w:val="bottom"/>
          </w:tcPr>
          <w:p>
            <w:pPr>
              <w:pStyle w:val="TableContents"/>
              <w:spacing w:before="0" w:after="283"/>
              <w:jc w:val="right"/>
              <w:rPr/>
            </w:pPr>
            <w:r>
              <w:rPr/>
              <w:t>1,557</w:t>
            </w:r>
          </w:p>
        </w:tc>
        <w:tc>
          <w:tcPr>
            <w:tcW w:w="28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0" w:type="dxa"/>
            <w:tcBorders/>
            <w:shd w:fill="CCEEFF" w:val="clear"/>
            <w:vAlign w:val="bottom"/>
          </w:tcPr>
          <w:p>
            <w:pPr>
              <w:pStyle w:val="TableContents"/>
              <w:spacing w:before="0" w:after="283"/>
              <w:jc w:val="right"/>
              <w:rPr/>
            </w:pPr>
            <w:r>
              <w:rPr/>
              <w:t>894</w:t>
            </w:r>
          </w:p>
        </w:tc>
        <w:tc>
          <w:tcPr>
            <w:tcW w:w="28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center"/>
              <w:rPr>
                <w:b/>
              </w:rPr>
            </w:pPr>
            <w:r>
              <w:rPr>
                <w:b/>
              </w:rPr>
              <w:t>-11%</w:t>
            </w:r>
          </w:p>
        </w:tc>
        <w:tc>
          <w:tcPr>
            <w:tcW w:w="5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center"/>
              <w:rPr/>
            </w:pPr>
            <w:r>
              <w:rPr/>
              <w:t>56%</w:t>
            </w:r>
          </w:p>
        </w:tc>
        <w:tc>
          <w:tcPr>
            <w:tcW w:w="69" w:type="dxa"/>
            <w:tcBorders/>
            <w:shd w:fill="CCEEFF" w:val="clear"/>
            <w:vAlign w:val="bottom"/>
          </w:tcPr>
          <w:p>
            <w:pPr>
              <w:pStyle w:val="TableContents"/>
              <w:spacing w:before="0" w:after="283"/>
              <w:rPr/>
            </w:pPr>
            <w:r>
              <w:rPr/>
              <w:t> </w:t>
            </w:r>
          </w:p>
        </w:tc>
      </w:tr>
      <w:tr>
        <w:trPr/>
        <w:tc>
          <w:tcPr>
            <w:tcW w:w="389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07" w:type="dxa"/>
            <w:tcBorders/>
            <w:shd w:fill="auto" w:val="clear"/>
            <w:vAlign w:val="bottom"/>
          </w:tcPr>
          <w:p>
            <w:pPr>
              <w:pStyle w:val="TableContents"/>
              <w:pBdr>
                <w:top w:val="single" w:sz="2" w:space="1" w:color="000000"/>
              </w:pBdr>
              <w:spacing w:before="0" w:after="0"/>
              <w:rPr/>
            </w:pPr>
            <w:r>
              <w:rPr/>
              <w:t> </w:t>
            </w:r>
          </w:p>
        </w:tc>
        <w:tc>
          <w:tcPr>
            <w:tcW w:w="320"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0"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0"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049"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pBdr>
                <w:top w:val="single" w:sz="2" w:space="1" w:color="000000"/>
              </w:pBdr>
              <w:spacing w:before="0" w:after="0"/>
              <w:rPr/>
            </w:pPr>
            <w:r>
              <w:rPr/>
              <w:t> </w:t>
            </w:r>
          </w:p>
        </w:tc>
        <w:tc>
          <w:tcPr>
            <w:tcW w:w="1245" w:type="dxa"/>
            <w:tcBorders/>
            <w:shd w:fill="auto" w:val="clear"/>
            <w:vAlign w:val="bottom"/>
          </w:tcPr>
          <w:p>
            <w:pPr>
              <w:pStyle w:val="TableContents"/>
              <w:pBdr>
                <w:top w:val="single" w:sz="2" w:space="1" w:color="000000"/>
              </w:pBdr>
              <w:spacing w:before="0" w:after="0"/>
              <w:rPr/>
            </w:pPr>
            <w:r>
              <w:rPr/>
              <w:t> </w:t>
            </w:r>
          </w:p>
        </w:tc>
        <w:tc>
          <w:tcPr>
            <w:tcW w:w="69" w:type="dxa"/>
            <w:tcBorders/>
            <w:shd w:fill="auto" w:val="clear"/>
            <w:vAlign w:val="center"/>
          </w:tcPr>
          <w:p>
            <w:pPr>
              <w:pStyle w:val="TableContents"/>
              <w:spacing w:before="0" w:after="283"/>
              <w:rPr/>
            </w:pPr>
            <w:r>
              <w:rPr/>
              <w:t> </w:t>
            </w:r>
          </w:p>
        </w:tc>
      </w:tr>
      <w:tr>
        <w:trPr/>
        <w:tc>
          <w:tcPr>
            <w:tcW w:w="3895" w:type="dxa"/>
            <w:tcBorders/>
            <w:shd w:fill="auto" w:val="clea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607"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70"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70"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sz w:val="4"/>
                <w:szCs w:val="4"/>
              </w:rPr>
            </w:pPr>
            <w:r>
              <w:rPr>
                <w:sz w:val="4"/>
                <w:szCs w:val="4"/>
              </w:rPr>
            </w:r>
          </w:p>
        </w:tc>
        <w:tc>
          <w:tcPr>
            <w:tcW w:w="1049"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sz w:val="4"/>
                <w:szCs w:val="4"/>
              </w:rPr>
            </w:pPr>
            <w:r>
              <w:rPr>
                <w:sz w:val="4"/>
                <w:szCs w:val="4"/>
              </w:rPr>
            </w:r>
          </w:p>
        </w:tc>
        <w:tc>
          <w:tcPr>
            <w:tcW w:w="1245"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r>
      <w:tr>
        <w:trPr/>
        <w:tc>
          <w:tcPr>
            <w:tcW w:w="3895" w:type="dxa"/>
            <w:tcBorders/>
            <w:shd w:fill="CCEEFF" w:val="clear"/>
          </w:tcPr>
          <w:p>
            <w:pPr>
              <w:pStyle w:val="TableContents"/>
              <w:spacing w:before="0" w:after="0"/>
              <w:rPr>
                <w:rFonts w:ascii="ARIAL" w:hAnsi="ARIAL"/>
                <w:b/>
                <w:sz w:val="20"/>
              </w:rPr>
            </w:pPr>
            <w:r>
              <w:rPr>
                <w:rFonts w:ascii="ARIAL" w:hAnsi="ARIAL"/>
                <w:b/>
                <w:sz w:val="20"/>
              </w:rPr>
              <w:t>Pretax Operating Margin by Division</w:t>
            </w:r>
          </w:p>
        </w:tc>
        <w:tc>
          <w:tcPr>
            <w:tcW w:w="18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07" w:type="dxa"/>
            <w:tcBorders/>
            <w:shd w:fill="CCEEFF" w:val="clear"/>
            <w:vAlign w:val="bottom"/>
          </w:tcPr>
          <w:p>
            <w:pPr>
              <w:pStyle w:val="TableContents"/>
              <w:spacing w:before="0" w:after="283"/>
              <w:rPr>
                <w:sz w:val="4"/>
                <w:szCs w:val="4"/>
              </w:rPr>
            </w:pPr>
            <w:r>
              <w:rPr>
                <w:sz w:val="4"/>
                <w:szCs w:val="4"/>
              </w:rPr>
            </w:r>
          </w:p>
        </w:tc>
        <w:tc>
          <w:tcPr>
            <w:tcW w:w="320"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sz w:val="4"/>
                <w:szCs w:val="4"/>
              </w:rPr>
            </w:pPr>
            <w:r>
              <w:rPr>
                <w:sz w:val="4"/>
                <w:szCs w:val="4"/>
              </w:rPr>
            </w:r>
          </w:p>
        </w:tc>
        <w:tc>
          <w:tcPr>
            <w:tcW w:w="1049" w:type="dxa"/>
            <w:tcBorders/>
            <w:shd w:fill="CCEEFF" w:val="clear"/>
            <w:vAlign w:val="bottom"/>
          </w:tcPr>
          <w:p>
            <w:pPr>
              <w:pStyle w:val="TableContents"/>
              <w:spacing w:before="0" w:after="283"/>
              <w:rPr>
                <w:sz w:val="4"/>
                <w:szCs w:val="4"/>
              </w:rPr>
            </w:pPr>
            <w:r>
              <w:rPr>
                <w:sz w:val="4"/>
                <w:szCs w:val="4"/>
              </w:rPr>
            </w:r>
          </w:p>
        </w:tc>
        <w:tc>
          <w:tcPr>
            <w:tcW w:w="59"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sz w:val="4"/>
                <w:szCs w:val="4"/>
              </w:rPr>
            </w:pPr>
            <w:r>
              <w:rPr>
                <w:sz w:val="4"/>
                <w:szCs w:val="4"/>
              </w:rPr>
            </w:r>
          </w:p>
        </w:tc>
        <w:tc>
          <w:tcPr>
            <w:tcW w:w="1245"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rPr/>
        <w:tc>
          <w:tcPr>
            <w:tcW w:w="3895" w:type="dxa"/>
            <w:tcBorders/>
            <w:shd w:fill="auto" w:val="clear"/>
            <w:vAlign w:val="bottom"/>
          </w:tcPr>
          <w:p>
            <w:pPr>
              <w:pStyle w:val="TableContents"/>
              <w:spacing w:before="0" w:after="0"/>
              <w:rPr>
                <w:rFonts w:ascii="ARIAL" w:hAnsi="ARIAL"/>
                <w:sz w:val="20"/>
              </w:rPr>
            </w:pPr>
            <w:r>
              <w:rPr>
                <w:rFonts w:ascii="ARIAL" w:hAnsi="ARIAL"/>
                <w:sz w:val="20"/>
              </w:rPr>
              <w:t>Digital &amp; Integration</w:t>
            </w:r>
          </w:p>
        </w:tc>
        <w:tc>
          <w:tcPr>
            <w:tcW w:w="18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b/>
              </w:rPr>
            </w:pPr>
            <w:r>
              <w:rPr>
                <w:b/>
              </w:rPr>
              <w:t>29.6</w:t>
            </w:r>
          </w:p>
        </w:tc>
        <w:tc>
          <w:tcPr>
            <w:tcW w:w="320" w:type="dxa"/>
            <w:tcBorders/>
            <w:shd w:fill="auto" w:val="clear"/>
            <w:vAlign w:val="bottom"/>
          </w:tcPr>
          <w:p>
            <w:pPr>
              <w:pStyle w:val="TableContents"/>
              <w:spacing w:before="0" w:after="283"/>
              <w:rPr>
                <w:b/>
              </w:rPr>
            </w:pPr>
            <w:r>
              <w:rPr>
                <w:b/>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37.7</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34.0</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center"/>
              <w:rPr>
                <w:b/>
              </w:rPr>
            </w:pPr>
            <w:r>
              <w:rPr>
                <w:b/>
              </w:rPr>
              <w:t>-810 bps</w:t>
            </w:r>
          </w:p>
        </w:tc>
        <w:tc>
          <w:tcPr>
            <w:tcW w:w="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center"/>
              <w:rPr/>
            </w:pPr>
            <w:r>
              <w:rPr/>
              <w:t>-440 bps</w:t>
            </w:r>
          </w:p>
        </w:tc>
        <w:tc>
          <w:tcPr>
            <w:tcW w:w="69" w:type="dxa"/>
            <w:tcBorders/>
            <w:shd w:fill="auto" w:val="clear"/>
            <w:vAlign w:val="bottom"/>
          </w:tcPr>
          <w:p>
            <w:pPr>
              <w:pStyle w:val="TableContents"/>
              <w:spacing w:before="0" w:after="283"/>
              <w:rPr/>
            </w:pPr>
            <w:r>
              <w:rPr/>
              <w:t> </w:t>
            </w:r>
          </w:p>
        </w:tc>
      </w:tr>
      <w:tr>
        <w:trPr/>
        <w:tc>
          <w:tcPr>
            <w:tcW w:w="3895" w:type="dxa"/>
            <w:tcBorders/>
            <w:shd w:fill="CCEEFF" w:val="clear"/>
            <w:vAlign w:val="bottom"/>
          </w:tcPr>
          <w:p>
            <w:pPr>
              <w:pStyle w:val="TableContents"/>
              <w:spacing w:before="0" w:after="0"/>
              <w:rPr>
                <w:rFonts w:ascii="ARIAL" w:hAnsi="ARIAL"/>
                <w:sz w:val="20"/>
              </w:rPr>
            </w:pPr>
            <w:r>
              <w:rPr>
                <w:rFonts w:ascii="ARIAL" w:hAnsi="ARIAL"/>
                <w:sz w:val="20"/>
              </w:rPr>
              <w:t>Reservoir Performance</w:t>
            </w:r>
          </w:p>
        </w:tc>
        <w:tc>
          <w:tcPr>
            <w:tcW w:w="18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b/>
              </w:rPr>
            </w:pPr>
            <w:r>
              <w:rPr>
                <w:b/>
              </w:rPr>
              <w:t>16.1</w:t>
            </w:r>
          </w:p>
        </w:tc>
        <w:tc>
          <w:tcPr>
            <w:tcW w:w="320" w:type="dxa"/>
            <w:tcBorders/>
            <w:shd w:fill="CCEEFF" w:val="clear"/>
            <w:vAlign w:val="bottom"/>
          </w:tcPr>
          <w:p>
            <w:pPr>
              <w:pStyle w:val="TableContents"/>
              <w:spacing w:before="0" w:after="283"/>
              <w:rPr>
                <w:b/>
              </w:rPr>
            </w:pPr>
            <w:r>
              <w:rPr>
                <w:b/>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jc w:val="right"/>
              <w:rPr/>
            </w:pPr>
            <w:r>
              <w:rPr/>
              <w:t>18.2</w:t>
            </w:r>
          </w:p>
        </w:tc>
        <w:tc>
          <w:tcPr>
            <w:tcW w:w="28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jc w:val="right"/>
              <w:rPr/>
            </w:pPr>
            <w:r>
              <w:rPr/>
              <w:t>13.2</w:t>
            </w:r>
          </w:p>
        </w:tc>
        <w:tc>
          <w:tcPr>
            <w:tcW w:w="28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center"/>
              <w:rPr>
                <w:b/>
              </w:rPr>
            </w:pPr>
            <w:r>
              <w:rPr>
                <w:b/>
              </w:rPr>
              <w:t>-207 bps</w:t>
            </w:r>
          </w:p>
        </w:tc>
        <w:tc>
          <w:tcPr>
            <w:tcW w:w="5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center"/>
              <w:rPr/>
            </w:pPr>
            <w:r>
              <w:rPr/>
              <w:t>291 bps</w:t>
            </w:r>
          </w:p>
        </w:tc>
        <w:tc>
          <w:tcPr>
            <w:tcW w:w="69" w:type="dxa"/>
            <w:tcBorders/>
            <w:shd w:fill="CCEEFF" w:val="clear"/>
            <w:vAlign w:val="bottom"/>
          </w:tcPr>
          <w:p>
            <w:pPr>
              <w:pStyle w:val="TableContents"/>
              <w:spacing w:before="0" w:after="283"/>
              <w:rPr/>
            </w:pPr>
            <w:r>
              <w:rPr/>
              <w:t> </w:t>
            </w:r>
          </w:p>
        </w:tc>
      </w:tr>
      <w:tr>
        <w:trPr/>
        <w:tc>
          <w:tcPr>
            <w:tcW w:w="3895" w:type="dxa"/>
            <w:tcBorders/>
            <w:shd w:fill="auto" w:val="clear"/>
            <w:vAlign w:val="bottom"/>
          </w:tcPr>
          <w:p>
            <w:pPr>
              <w:pStyle w:val="TableContents"/>
              <w:spacing w:before="0" w:after="0"/>
              <w:rPr>
                <w:rFonts w:ascii="ARIAL" w:hAnsi="ARIAL"/>
                <w:sz w:val="20"/>
              </w:rPr>
            </w:pPr>
            <w:r>
              <w:rPr>
                <w:rFonts w:ascii="ARIAL" w:hAnsi="ARIAL"/>
                <w:sz w:val="20"/>
              </w:rPr>
              <w:t>Well Construction</w:t>
            </w:r>
          </w:p>
        </w:tc>
        <w:tc>
          <w:tcPr>
            <w:tcW w:w="18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b/>
              </w:rPr>
            </w:pPr>
            <w:r>
              <w:rPr>
                <w:b/>
              </w:rPr>
              <w:t>20.6</w:t>
            </w:r>
          </w:p>
        </w:tc>
        <w:tc>
          <w:tcPr>
            <w:tcW w:w="320" w:type="dxa"/>
            <w:tcBorders/>
            <w:shd w:fill="auto" w:val="clear"/>
            <w:vAlign w:val="bottom"/>
          </w:tcPr>
          <w:p>
            <w:pPr>
              <w:pStyle w:val="TableContents"/>
              <w:spacing w:before="0" w:after="283"/>
              <w:rPr>
                <w:b/>
              </w:rPr>
            </w:pPr>
            <w:r>
              <w:rPr>
                <w:b/>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21.0</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16.2</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center"/>
              <w:rPr>
                <w:b/>
              </w:rPr>
            </w:pPr>
            <w:r>
              <w:rPr>
                <w:b/>
              </w:rPr>
              <w:t>-44 bps</w:t>
            </w:r>
          </w:p>
        </w:tc>
        <w:tc>
          <w:tcPr>
            <w:tcW w:w="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center"/>
              <w:rPr/>
            </w:pPr>
            <w:r>
              <w:rPr/>
              <w:t>444 bps</w:t>
            </w:r>
          </w:p>
        </w:tc>
        <w:tc>
          <w:tcPr>
            <w:tcW w:w="69" w:type="dxa"/>
            <w:tcBorders/>
            <w:shd w:fill="auto" w:val="clear"/>
            <w:vAlign w:val="bottom"/>
          </w:tcPr>
          <w:p>
            <w:pPr>
              <w:pStyle w:val="TableContents"/>
              <w:spacing w:before="0" w:after="283"/>
              <w:rPr/>
            </w:pPr>
            <w:r>
              <w:rPr/>
              <w:t> </w:t>
            </w:r>
          </w:p>
        </w:tc>
      </w:tr>
      <w:tr>
        <w:trPr/>
        <w:tc>
          <w:tcPr>
            <w:tcW w:w="3895" w:type="dxa"/>
            <w:tcBorders/>
            <w:shd w:fill="CCEEFF" w:val="clear"/>
            <w:vAlign w:val="bottom"/>
          </w:tcPr>
          <w:p>
            <w:pPr>
              <w:pStyle w:val="TableContents"/>
              <w:spacing w:before="0" w:after="0"/>
              <w:rPr>
                <w:rFonts w:ascii="ARIAL" w:hAnsi="ARIAL"/>
                <w:sz w:val="20"/>
              </w:rPr>
            </w:pPr>
            <w:r>
              <w:rPr>
                <w:rFonts w:ascii="ARIAL" w:hAnsi="ARIAL"/>
                <w:sz w:val="20"/>
              </w:rPr>
              <w:t>Production Systems</w:t>
            </w:r>
          </w:p>
        </w:tc>
        <w:tc>
          <w:tcPr>
            <w:tcW w:w="18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b/>
              </w:rPr>
            </w:pPr>
            <w:r>
              <w:rPr>
                <w:b/>
              </w:rPr>
              <w:t>9.3</w:t>
            </w:r>
          </w:p>
        </w:tc>
        <w:tc>
          <w:tcPr>
            <w:tcW w:w="320" w:type="dxa"/>
            <w:tcBorders/>
            <w:shd w:fill="CCEEFF" w:val="clear"/>
            <w:vAlign w:val="bottom"/>
          </w:tcPr>
          <w:p>
            <w:pPr>
              <w:pStyle w:val="TableContents"/>
              <w:spacing w:before="0" w:after="283"/>
              <w:rPr>
                <w:b/>
              </w:rPr>
            </w:pPr>
            <w:r>
              <w:rPr>
                <w:b/>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jc w:val="right"/>
              <w:rPr/>
            </w:pPr>
            <w:r>
              <w:rPr/>
              <w:t>10.8</w:t>
            </w:r>
          </w:p>
        </w:tc>
        <w:tc>
          <w:tcPr>
            <w:tcW w:w="28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jc w:val="right"/>
              <w:rPr/>
            </w:pPr>
            <w:r>
              <w:rPr/>
              <w:t>7.1</w:t>
            </w:r>
          </w:p>
        </w:tc>
        <w:tc>
          <w:tcPr>
            <w:tcW w:w="28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center"/>
              <w:rPr>
                <w:b/>
              </w:rPr>
            </w:pPr>
            <w:r>
              <w:rPr>
                <w:b/>
              </w:rPr>
              <w:t>-148 bps</w:t>
            </w:r>
          </w:p>
        </w:tc>
        <w:tc>
          <w:tcPr>
            <w:tcW w:w="5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center"/>
              <w:rPr/>
            </w:pPr>
            <w:r>
              <w:rPr/>
              <w:t>217 bps</w:t>
            </w:r>
          </w:p>
        </w:tc>
        <w:tc>
          <w:tcPr>
            <w:tcW w:w="69" w:type="dxa"/>
            <w:tcBorders/>
            <w:shd w:fill="CCEEFF" w:val="clear"/>
            <w:vAlign w:val="bottom"/>
          </w:tcPr>
          <w:p>
            <w:pPr>
              <w:pStyle w:val="TableContents"/>
              <w:spacing w:before="0" w:after="283"/>
              <w:rPr/>
            </w:pPr>
            <w:r>
              <w:rPr/>
              <w:t> </w:t>
            </w:r>
          </w:p>
        </w:tc>
      </w:tr>
      <w:tr>
        <w:trPr/>
        <w:tc>
          <w:tcPr>
            <w:tcW w:w="3895" w:type="dxa"/>
            <w:tcBorders/>
            <w:shd w:fill="auto" w:val="clear"/>
            <w:vAlign w:val="bottom"/>
          </w:tcPr>
          <w:p>
            <w:pPr>
              <w:pStyle w:val="TableContents"/>
              <w:spacing w:before="0" w:after="0"/>
              <w:rPr>
                <w:rFonts w:ascii="ARIAL" w:hAnsi="ARIAL"/>
                <w:sz w:val="20"/>
              </w:rPr>
            </w:pPr>
            <w:r>
              <w:rPr>
                <w:rFonts w:ascii="ARIAL" w:hAnsi="ARIAL"/>
                <w:sz w:val="20"/>
              </w:rPr>
              <w:t>Other</w:t>
            </w:r>
          </w:p>
        </w:tc>
        <w:tc>
          <w:tcPr>
            <w:tcW w:w="18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jc w:val="right"/>
              <w:rPr>
                <w:b/>
              </w:rPr>
            </w:pPr>
            <w:r>
              <w:rPr>
                <w:b/>
              </w:rPr>
              <w:t>n/m</w:t>
            </w:r>
          </w:p>
        </w:tc>
        <w:tc>
          <w:tcPr>
            <w:tcW w:w="32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n/m</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n/m</w:t>
            </w:r>
          </w:p>
        </w:tc>
        <w:tc>
          <w:tcPr>
            <w:tcW w:w="28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center"/>
              <w:rPr>
                <w:b/>
              </w:rPr>
            </w:pPr>
            <w:r>
              <w:rPr>
                <w:b/>
              </w:rPr>
              <w:t>n/m</w:t>
            </w:r>
          </w:p>
        </w:tc>
        <w:tc>
          <w:tcPr>
            <w:tcW w:w="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45" w:type="dxa"/>
            <w:tcBorders/>
            <w:shd w:fill="auto" w:val="clear"/>
            <w:vAlign w:val="bottom"/>
          </w:tcPr>
          <w:p>
            <w:pPr>
              <w:pStyle w:val="TableContents"/>
              <w:spacing w:before="0" w:after="283"/>
              <w:jc w:val="center"/>
              <w:rPr/>
            </w:pPr>
            <w:r>
              <w:rPr/>
              <w:t>n/m</w:t>
            </w:r>
          </w:p>
        </w:tc>
        <w:tc>
          <w:tcPr>
            <w:tcW w:w="69" w:type="dxa"/>
            <w:tcBorders/>
            <w:shd w:fill="auto" w:val="clear"/>
            <w:vAlign w:val="bottom"/>
          </w:tcPr>
          <w:p>
            <w:pPr>
              <w:pStyle w:val="TableContents"/>
              <w:spacing w:before="0" w:after="283"/>
              <w:rPr/>
            </w:pPr>
            <w:r>
              <w:rPr/>
              <w:t> </w:t>
            </w:r>
          </w:p>
        </w:tc>
      </w:tr>
      <w:tr>
        <w:trPr/>
        <w:tc>
          <w:tcPr>
            <w:tcW w:w="389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07" w:type="dxa"/>
            <w:tcBorders/>
            <w:shd w:fill="auto" w:val="clear"/>
            <w:vAlign w:val="bottom"/>
          </w:tcPr>
          <w:p>
            <w:pPr>
              <w:pStyle w:val="TableContents"/>
              <w:pBdr>
                <w:top w:val="single" w:sz="2" w:space="1" w:color="000000"/>
              </w:pBdr>
              <w:spacing w:before="0" w:after="0"/>
              <w:rPr/>
            </w:pPr>
            <w:r>
              <w:rPr/>
              <w:t> </w:t>
            </w:r>
          </w:p>
        </w:tc>
        <w:tc>
          <w:tcPr>
            <w:tcW w:w="320"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0"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0"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049"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pBdr>
                <w:top w:val="single" w:sz="2" w:space="1" w:color="000000"/>
              </w:pBdr>
              <w:spacing w:before="0" w:after="0"/>
              <w:rPr/>
            </w:pPr>
            <w:r>
              <w:rPr/>
              <w:t> </w:t>
            </w:r>
          </w:p>
        </w:tc>
        <w:tc>
          <w:tcPr>
            <w:tcW w:w="1245" w:type="dxa"/>
            <w:tcBorders/>
            <w:shd w:fill="auto" w:val="clear"/>
            <w:vAlign w:val="bottom"/>
          </w:tcPr>
          <w:p>
            <w:pPr>
              <w:pStyle w:val="TableContents"/>
              <w:pBdr>
                <w:top w:val="single" w:sz="2" w:space="1" w:color="000000"/>
              </w:pBdr>
              <w:spacing w:before="0" w:after="0"/>
              <w:rPr/>
            </w:pPr>
            <w:r>
              <w:rPr/>
              <w:t> </w:t>
            </w:r>
          </w:p>
        </w:tc>
        <w:tc>
          <w:tcPr>
            <w:tcW w:w="69" w:type="dxa"/>
            <w:tcBorders/>
            <w:shd w:fill="auto" w:val="clear"/>
            <w:vAlign w:val="center"/>
          </w:tcPr>
          <w:p>
            <w:pPr>
              <w:pStyle w:val="TableContents"/>
              <w:spacing w:before="0" w:after="283"/>
              <w:rPr/>
            </w:pPr>
            <w:r>
              <w:rPr/>
              <w:t> </w:t>
            </w:r>
          </w:p>
        </w:tc>
      </w:tr>
      <w:tr>
        <w:trPr/>
        <w:tc>
          <w:tcPr>
            <w:tcW w:w="3895" w:type="dxa"/>
            <w:tcBorders/>
            <w:shd w:fill="CCEEFF" w:val="clear"/>
            <w:vAlign w:val="bottom"/>
          </w:tcPr>
          <w:p>
            <w:pPr>
              <w:pStyle w:val="TableContents"/>
              <w:spacing w:before="0" w:after="283"/>
              <w:rPr>
                <w:sz w:val="4"/>
                <w:szCs w:val="4"/>
              </w:rPr>
            </w:pPr>
            <w:r>
              <w:rPr>
                <w:sz w:val="4"/>
                <w:szCs w:val="4"/>
              </w:rPr>
            </w:r>
          </w:p>
        </w:tc>
        <w:tc>
          <w:tcPr>
            <w:tcW w:w="18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jc w:val="right"/>
              <w:rPr>
                <w:b/>
              </w:rPr>
            </w:pPr>
            <w:r>
              <w:rPr>
                <w:b/>
              </w:rPr>
              <w:t>18.0</w:t>
            </w:r>
          </w:p>
        </w:tc>
        <w:tc>
          <w:tcPr>
            <w:tcW w:w="320" w:type="dxa"/>
            <w:tcBorders/>
            <w:shd w:fill="CCEEFF" w:val="clear"/>
            <w:vAlign w:val="bottom"/>
          </w:tcPr>
          <w:p>
            <w:pPr>
              <w:pStyle w:val="TableContents"/>
              <w:spacing w:before="0" w:after="283"/>
              <w:rPr>
                <w:b/>
              </w:rPr>
            </w:pPr>
            <w:r>
              <w:rPr>
                <w:b/>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jc w:val="right"/>
              <w:rPr/>
            </w:pPr>
            <w:r>
              <w:rPr/>
              <w:t>19.8</w:t>
            </w:r>
          </w:p>
        </w:tc>
        <w:tc>
          <w:tcPr>
            <w:tcW w:w="28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jc w:val="right"/>
              <w:rPr/>
            </w:pPr>
            <w:r>
              <w:rPr/>
              <w:t>15.0</w:t>
            </w:r>
          </w:p>
        </w:tc>
        <w:tc>
          <w:tcPr>
            <w:tcW w:w="28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jc w:val="center"/>
              <w:rPr>
                <w:b/>
              </w:rPr>
            </w:pPr>
            <w:r>
              <w:rPr>
                <w:b/>
              </w:rPr>
              <w:t>-178 bps</w:t>
            </w:r>
          </w:p>
        </w:tc>
        <w:tc>
          <w:tcPr>
            <w:tcW w:w="5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245" w:type="dxa"/>
            <w:tcBorders/>
            <w:shd w:fill="CCEEFF" w:val="clear"/>
            <w:vAlign w:val="bottom"/>
          </w:tcPr>
          <w:p>
            <w:pPr>
              <w:pStyle w:val="TableContents"/>
              <w:spacing w:before="0" w:after="283"/>
              <w:jc w:val="center"/>
              <w:rPr/>
            </w:pPr>
            <w:r>
              <w:rPr/>
              <w:t>298 bps</w:t>
            </w:r>
          </w:p>
        </w:tc>
        <w:tc>
          <w:tcPr>
            <w:tcW w:w="69" w:type="dxa"/>
            <w:tcBorders/>
            <w:shd w:fill="CCEEFF" w:val="clear"/>
            <w:vAlign w:val="bottom"/>
          </w:tcPr>
          <w:p>
            <w:pPr>
              <w:pStyle w:val="TableContents"/>
              <w:spacing w:before="0" w:after="283"/>
              <w:rPr/>
            </w:pPr>
            <w:r>
              <w:rPr/>
              <w:t> </w:t>
            </w:r>
          </w:p>
        </w:tc>
      </w:tr>
      <w:tr>
        <w:trPr/>
        <w:tc>
          <w:tcPr>
            <w:tcW w:w="3895"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07" w:type="dxa"/>
            <w:tcBorders/>
            <w:shd w:fill="auto" w:val="clear"/>
            <w:vAlign w:val="bottom"/>
          </w:tcPr>
          <w:p>
            <w:pPr>
              <w:pStyle w:val="TableContents"/>
              <w:pBdr>
                <w:top w:val="single" w:sz="2" w:space="1" w:color="000000"/>
              </w:pBdr>
              <w:spacing w:before="0" w:after="0"/>
              <w:rPr/>
            </w:pPr>
            <w:r>
              <w:rPr/>
              <w:t> </w:t>
            </w:r>
          </w:p>
        </w:tc>
        <w:tc>
          <w:tcPr>
            <w:tcW w:w="320"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0"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0" w:type="dxa"/>
            <w:tcBorders/>
            <w:shd w:fill="auto" w:val="clear"/>
            <w:vAlign w:val="bottom"/>
          </w:tcPr>
          <w:p>
            <w:pPr>
              <w:pStyle w:val="TableContents"/>
              <w:pBdr>
                <w:top w:val="single" w:sz="2" w:space="1" w:color="000000"/>
              </w:pBdr>
              <w:spacing w:before="0" w:after="0"/>
              <w:rPr/>
            </w:pPr>
            <w:r>
              <w:rPr/>
              <w:t> </w:t>
            </w:r>
          </w:p>
        </w:tc>
        <w:tc>
          <w:tcPr>
            <w:tcW w:w="280"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049"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pBdr>
                <w:top w:val="single" w:sz="2" w:space="1" w:color="000000"/>
              </w:pBdr>
              <w:spacing w:before="0" w:after="0"/>
              <w:rPr/>
            </w:pPr>
            <w:r>
              <w:rPr/>
              <w:t> </w:t>
            </w:r>
          </w:p>
        </w:tc>
        <w:tc>
          <w:tcPr>
            <w:tcW w:w="1245" w:type="dxa"/>
            <w:tcBorders/>
            <w:shd w:fill="auto" w:val="clear"/>
            <w:vAlign w:val="bottom"/>
          </w:tcPr>
          <w:p>
            <w:pPr>
              <w:pStyle w:val="TableContents"/>
              <w:pBdr>
                <w:top w:val="single" w:sz="2" w:space="1" w:color="000000"/>
              </w:pBdr>
              <w:spacing w:before="0" w:after="0"/>
              <w:rPr/>
            </w:pPr>
            <w:r>
              <w:rPr/>
              <w:t> </w:t>
            </w:r>
          </w:p>
        </w:tc>
        <w:tc>
          <w:tcPr>
            <w:tcW w:w="69" w:type="dxa"/>
            <w:tcBorders/>
            <w:shd w:fill="auto" w:val="clear"/>
            <w:vAlign w:val="center"/>
          </w:tcPr>
          <w:p>
            <w:pPr>
              <w:pStyle w:val="TableContents"/>
              <w:spacing w:before="0" w:after="283"/>
              <w:rPr/>
            </w:pPr>
            <w:r>
              <w:rPr/>
              <w:t> </w:t>
            </w:r>
          </w:p>
        </w:tc>
      </w:tr>
    </w:tbl>
    <w:p>
      <w:pPr>
        <w:pStyle w:val="TextBody"/>
        <w:spacing w:before="240" w:after="0"/>
        <w:jc w:val="left"/>
        <w:rPr>
          <w:rFonts w:ascii="ARIAL" w:hAnsi="ARIAL"/>
          <w:sz w:val="20"/>
        </w:rPr>
      </w:pPr>
      <w:r>
        <w:rPr>
          <w:rFonts w:ascii="ARIAL" w:hAnsi="ARIAL"/>
          <w:sz w:val="20"/>
        </w:rPr>
        <w:t xml:space="preserve">n/m = not meaningful </w:t>
      </w:r>
    </w:p>
    <w:p>
      <w:pPr>
        <w:pStyle w:val="TextBody"/>
        <w:spacing w:before="360" w:after="0"/>
        <w:jc w:val="left"/>
        <w:rPr>
          <w:rFonts w:ascii="ARIAL" w:hAnsi="ARIAL"/>
          <w:b/>
          <w:sz w:val="20"/>
        </w:rPr>
      </w:pPr>
      <w:r>
        <w:rPr>
          <w:rFonts w:ascii="ARIAL" w:hAnsi="ARIAL"/>
          <w:b/>
          <w:sz w:val="20"/>
        </w:rPr>
        <w:t xml:space="preserve">Strong Growth and Broad-Based Attributes </w:t>
      </w:r>
    </w:p>
    <w:p>
      <w:pPr>
        <w:pStyle w:val="TextBody"/>
        <w:spacing w:before="120" w:after="0"/>
        <w:jc w:val="left"/>
        <w:rPr>
          <w:rFonts w:ascii="ARIAL" w:hAnsi="ARIAL"/>
          <w:sz w:val="20"/>
        </w:rPr>
      </w:pPr>
      <w:r>
        <w:rPr>
          <w:rFonts w:ascii="ARIAL" w:hAnsi="ARIAL"/>
          <w:sz w:val="20"/>
        </w:rPr>
        <w:t xml:space="preserve">SLB CEO Olivier Le Peuch commented, I am very pleased with our start to 2023. We delivered strong year-over-year revenue growth and margin expansion at a scale that instills further confidence in our full-year financial ambition. The quarter was defined by strong activity dynamics offshore and in the broader international basins, most notably in Well Construction and Production Systems. </w:t>
      </w:r>
    </w:p>
    <w:p>
      <w:pPr>
        <w:pStyle w:val="TextBody"/>
        <w:spacing w:before="240" w:after="0"/>
        <w:jc w:val="left"/>
        <w:rPr>
          <w:rFonts w:ascii="ARIAL" w:hAnsi="ARIAL"/>
          <w:sz w:val="20"/>
        </w:rPr>
      </w:pPr>
      <w:r>
        <w:rPr>
          <w:rFonts w:ascii="ARIAL" w:hAnsi="ARIAL"/>
          <w:sz w:val="20"/>
        </w:rPr>
        <w:t xml:space="preserve">Compared to the same period last year, revenue grew 30%; adjusted EBITDA increased 43%; EPSexcluding charges and creditsincreased 85%; and pretax segment operating margin expanded 298 basis points (bps). All Divisions grew, both in North America and in the international markets, reflecting the strength of our portfolio across geographies and business lines. Revenue growth surpassed rig count growth both in North America and internationallyrepresenting the highest year-on-year quarterly growth in more than a decade. </w:t>
      </w:r>
    </w:p>
    <w:p>
      <w:pPr>
        <w:pStyle w:val="TextBody"/>
        <w:spacing w:before="240" w:after="0"/>
        <w:jc w:val="left"/>
        <w:rPr>
          <w:rFonts w:ascii="ARIAL" w:hAnsi="ARIAL"/>
          <w:sz w:val="20"/>
        </w:rPr>
      </w:pPr>
      <w:r>
        <w:rPr>
          <w:rFonts w:ascii="ARIAL" w:hAnsi="ARIAL"/>
          <w:sz w:val="20"/>
        </w:rPr>
        <w:t>Sequentially, revenue grew 4% in North America, our eighth consecutive quarter of growth, benefiting from our exposure to the most resilient basins and market segments. Internationally, the sequential revenue decline was less pronounced than historical trends as seasonal effects were partially offset by robust activity gains.</w:t>
      </w:r>
    </w:p>
    <w:p>
      <w:pPr>
        <w:pStyle w:val="TextBody"/>
        <w:spacing w:before="240" w:after="0"/>
        <w:jc w:val="left"/>
        <w:rPr>
          <w:rFonts w:ascii="ARIAL" w:hAnsi="ARIAL"/>
          <w:sz w:val="20"/>
        </w:rPr>
      </w:pPr>
      <w:r>
        <w:rPr>
          <w:rFonts w:ascii="ARIAL" w:hAnsi="ARIAL"/>
          <w:sz w:val="20"/>
        </w:rPr>
        <w:t xml:space="preserve">We continue to see positive pricing as our performance differentiates, technology adoption increases, contract terms are adjusted to offset inflation, and service capacity continues to tighten in key international markets. In this environment, our customers are more actively collaborating with us to improve their operational performance, attain decarbonization objectives, and lower overall costs through the increased use of our differentiated technologies.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First-quarter cash flow from operations was $330 million, reflecting the seasonal first-quarter buildup of working capital that will support our anticipated growth for the year and the payment of our annual incentives. Free cash flow generation is expected to accelerate throughout the year, consistent with historical trends. </w:t>
      </w:r>
    </w:p>
    <w:p>
      <w:pPr>
        <w:pStyle w:val="TextBody"/>
        <w:spacing w:before="360" w:after="0"/>
        <w:jc w:val="left"/>
        <w:rPr>
          <w:rFonts w:ascii="ARIAL" w:hAnsi="ARIAL"/>
          <w:b/>
          <w:sz w:val="20"/>
        </w:rPr>
      </w:pPr>
      <w:r>
        <w:rPr>
          <w:rFonts w:ascii="ARIAL" w:hAnsi="ARIAL"/>
          <w:b/>
          <w:sz w:val="20"/>
        </w:rPr>
        <w:t xml:space="preserve">Great Start to the Year Anchored on a Very Solid Core </w:t>
      </w:r>
    </w:p>
    <w:p>
      <w:pPr>
        <w:pStyle w:val="TextBody"/>
        <w:spacing w:before="120" w:after="0"/>
        <w:jc w:val="left"/>
        <w:rPr>
          <w:rFonts w:ascii="ARIAL" w:hAnsi="ARIAL"/>
          <w:sz w:val="20"/>
        </w:rPr>
      </w:pPr>
      <w:r>
        <w:rPr>
          <w:rFonts w:ascii="ARIAL" w:hAnsi="ARIAL"/>
          <w:sz w:val="20"/>
        </w:rPr>
        <w:t xml:space="preserve">Year over year, our Core Divisions collectively grew by 34% and expanded operating margins by more than 300 bps. Each of the three Core Divisions delivered very strong growth and expanded marginsdriven by increased activity, pricing, and technology adoption. </w:t>
      </w:r>
    </w:p>
    <w:p>
      <w:pPr>
        <w:pStyle w:val="TextBody"/>
        <w:spacing w:before="240" w:after="0"/>
        <w:jc w:val="left"/>
        <w:rPr>
          <w:rFonts w:ascii="ARIAL" w:hAnsi="ARIAL"/>
          <w:sz w:val="20"/>
        </w:rPr>
      </w:pPr>
      <w:r>
        <w:rPr>
          <w:rFonts w:ascii="ARIAL" w:hAnsi="ARIAL"/>
          <w:sz w:val="20"/>
        </w:rPr>
        <w:t xml:space="preserve">In our Core, we continue to leverage the industrys most comprehensive technology portfolio with disruptive fit-for-basin technologies, advanced digital solutions, and an unmatched ability to integrate across the entire value chainfrom subsurface to midstream. </w:t>
      </w:r>
    </w:p>
    <w:p>
      <w:pPr>
        <w:pStyle w:val="TextBody"/>
        <w:spacing w:before="240" w:after="0"/>
        <w:jc w:val="left"/>
        <w:rPr>
          <w:rFonts w:ascii="ARIAL" w:hAnsi="ARIAL"/>
          <w:sz w:val="20"/>
        </w:rPr>
      </w:pPr>
      <w:r>
        <w:rPr>
          <w:rFonts w:ascii="ARIAL" w:hAnsi="ARIAL"/>
          <w:sz w:val="20"/>
        </w:rPr>
        <w:t xml:space="preserve">In our Digital &amp; Integration Division, digital sales posted strong year-on-year growth that is on track with our strategic ambition as we continue to secure new contracts and accelerate cloud and edge solutions. However, the increase in digital sales during the quarter was largely offset by a decline in Asset Performance Solutions (APS) revenue, arising from production interruptions in Ecuador and lower revenue from our Palliser asset in Canada. </w:t>
      </w:r>
    </w:p>
    <w:p>
      <w:pPr>
        <w:pStyle w:val="TextBody"/>
        <w:spacing w:before="360" w:after="0"/>
        <w:jc w:val="left"/>
        <w:rPr>
          <w:rFonts w:ascii="ARIAL" w:hAnsi="ARIAL"/>
          <w:b/>
          <w:sz w:val="20"/>
        </w:rPr>
      </w:pPr>
      <w:r>
        <w:rPr>
          <w:rFonts w:ascii="ARIAL" w:hAnsi="ARIAL"/>
          <w:b/>
          <w:sz w:val="20"/>
        </w:rPr>
        <w:t xml:space="preserve">A Resilient CyclePowered by the International and Offshore Markets </w:t>
      </w:r>
    </w:p>
    <w:p>
      <w:pPr>
        <w:pStyle w:val="TextBody"/>
        <w:spacing w:before="120" w:after="0"/>
        <w:jc w:val="left"/>
        <w:rPr>
          <w:rFonts w:ascii="ARIAL" w:hAnsi="ARIAL"/>
          <w:sz w:val="20"/>
        </w:rPr>
      </w:pPr>
      <w:r>
        <w:rPr>
          <w:rFonts w:ascii="ARIAL" w:hAnsi="ARIAL"/>
          <w:sz w:val="20"/>
        </w:rPr>
        <w:t xml:space="preserve">Looking at the macro, we maintain our very constructive multiyear outlook as the upcycle attributes and key activity drivers continue to evolve very positively. The international and offshore markets continue to experience a strong resurgence of activity driven by resilient long-cycle development and capacity expansion projects. In contrast, the North American land market, which has led this upcycle in the early innings, could potentially result in an activity plateau in 2023 due to lower gas prices and capital restraint by private E&amp;P operators. </w:t>
      </w:r>
    </w:p>
    <w:p>
      <w:pPr>
        <w:pStyle w:val="TextBody"/>
        <w:spacing w:before="240" w:after="0"/>
        <w:jc w:val="left"/>
        <w:rPr>
          <w:rFonts w:ascii="ARIAL" w:hAnsi="ARIAL"/>
          <w:sz w:val="20"/>
        </w:rPr>
      </w:pPr>
      <w:r>
        <w:rPr>
          <w:rFonts w:ascii="ARIAL" w:hAnsi="ARIAL"/>
          <w:sz w:val="20"/>
        </w:rPr>
        <w:t xml:space="preserve">On balance, the global activity outlook for the full year remains very solid. Through the first quarter, the resilience, breadth, and durability of this upcycle have become more evident, particularly in the international markets. These attributes are highlighted by the following factors. </w:t>
      </w:r>
    </w:p>
    <w:p>
      <w:pPr>
        <w:pStyle w:val="TextBody"/>
        <w:spacing w:before="240" w:after="0"/>
        <w:jc w:val="left"/>
        <w:rPr>
          <w:rFonts w:ascii="ARIAL" w:hAnsi="ARIAL"/>
          <w:sz w:val="20"/>
        </w:rPr>
      </w:pPr>
      <w:r>
        <w:rPr>
          <w:rFonts w:ascii="ARIAL" w:hAnsi="ARIAL"/>
          <w:sz w:val="20"/>
        </w:rPr>
        <w:t xml:space="preserve">First, there is broader recognition of the positive long-term demand outlook for oil and gas and the potential for a stronger demand rebound in the second half of the year. In addition, recent OPEC+ decisions continue to keep commodity prices at supportive levelsproviding operators increased confidence to execute their projects. </w:t>
      </w:r>
    </w:p>
    <w:p>
      <w:pPr>
        <w:pStyle w:val="TextBody"/>
        <w:spacing w:before="240" w:after="0"/>
        <w:jc w:val="left"/>
        <w:rPr>
          <w:rFonts w:ascii="ARIAL" w:hAnsi="ARIAL"/>
          <w:sz w:val="20"/>
        </w:rPr>
      </w:pPr>
      <w:r>
        <w:rPr>
          <w:rFonts w:ascii="ARIAL" w:hAnsi="ARIAL"/>
          <w:sz w:val="20"/>
        </w:rPr>
        <w:t xml:space="preserve">Second, broad-based investments to expand oil capacity and diversify gas supply have been reinforced by the capex plans recently announced by major IOCs and NOCs. Most of the announced budgets highlight a significant increase in spending that supports multiyear activity growth in key resource basins all over the world. In fact, we expect investments will become even more extensive internationally as the pursuit of supply diversity remains a global priority and gathers greater urgency. </w:t>
      </w:r>
    </w:p>
    <w:p>
      <w:pPr>
        <w:pStyle w:val="TextBody"/>
        <w:spacing w:before="240" w:after="0"/>
        <w:jc w:val="left"/>
        <w:rPr>
          <w:rFonts w:ascii="ARIAL" w:hAnsi="ARIAL"/>
          <w:sz w:val="20"/>
        </w:rPr>
      </w:pPr>
      <w:r>
        <w:rPr>
          <w:rFonts w:ascii="ARIAL" w:hAnsi="ARIAL"/>
          <w:sz w:val="20"/>
        </w:rPr>
        <w:t xml:space="preserve">And third, the durability of the current cycle is underscored by the nature of the ongoing investments with the emergence of gas as a long-term energy transition fuel and enabler of energy security, the prominence of long-cycle projects, and the pivot to the Middle East and offshore basins as the anchors of supply growth. Finally, the return of global exploration and appraisal will likely extend this cycle of investment for a number of years.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Taken together, these market dynamics play to our strengths and create an advantaged position for SLB. Our strategy, global footprint, unique integration capabilities, and portfolio actions have strengthened our ability to support our customers. </w:t>
      </w:r>
    </w:p>
    <w:p>
      <w:pPr>
        <w:pStyle w:val="TextBody"/>
        <w:spacing w:before="360" w:after="0"/>
        <w:jc w:val="left"/>
        <w:rPr>
          <w:rFonts w:ascii="ARIAL" w:hAnsi="ARIAL"/>
          <w:b/>
          <w:sz w:val="20"/>
        </w:rPr>
      </w:pPr>
      <w:r>
        <w:rPr>
          <w:rFonts w:ascii="ARIAL" w:hAnsi="ARIAL"/>
          <w:b/>
          <w:sz w:val="20"/>
        </w:rPr>
        <w:t>Sequential Revenue Growth and Margin Expansion Ahead</w:t>
      </w:r>
    </w:p>
    <w:p>
      <w:pPr>
        <w:pStyle w:val="TextBody"/>
        <w:spacing w:before="120" w:after="0"/>
        <w:jc w:val="left"/>
        <w:rPr>
          <w:rFonts w:ascii="ARIAL" w:hAnsi="ARIAL"/>
          <w:sz w:val="20"/>
        </w:rPr>
      </w:pPr>
      <w:r>
        <w:rPr>
          <w:rFonts w:ascii="ARIAL" w:hAnsi="ARIAL"/>
          <w:sz w:val="20"/>
        </w:rPr>
        <w:t xml:space="preserve">Looking ahead to the second quarter, we expect strong growth with seasonal recovery in the Northern Hemisphere, capacity expansion projects in the Middle East that are in various stages of ramp-up, and robust activity in Asia and Sub-Sahara Africa. This growth scenario provides support for broad sequential margin expansion across the Divisions and geographies. </w:t>
      </w:r>
    </w:p>
    <w:p>
      <w:pPr>
        <w:pStyle w:val="TextBody"/>
        <w:spacing w:before="240" w:after="0"/>
        <w:jc w:val="left"/>
        <w:rPr>
          <w:rFonts w:ascii="ARIAL" w:hAnsi="ARIAL"/>
          <w:sz w:val="20"/>
        </w:rPr>
      </w:pPr>
      <w:r>
        <w:rPr>
          <w:rFonts w:ascii="ARIAL" w:hAnsi="ARIAL"/>
          <w:sz w:val="20"/>
        </w:rPr>
        <w:t xml:space="preserve">I am excited about our start to the year, which gives us even further confidence in our full-year 2023 and through-cycle targets. We are laser-focused on execution, supporting our customers, and delivering on our goals for the year. </w:t>
      </w:r>
    </w:p>
    <w:p>
      <w:pPr>
        <w:pStyle w:val="TextBody"/>
        <w:spacing w:before="240" w:after="0"/>
        <w:jc w:val="left"/>
        <w:rPr>
          <w:rFonts w:ascii="ARIAL" w:hAnsi="ARIAL"/>
          <w:sz w:val="20"/>
        </w:rPr>
      </w:pPr>
      <w:r>
        <w:rPr>
          <w:rFonts w:ascii="ARIAL" w:hAnsi="ARIAL"/>
          <w:sz w:val="20"/>
        </w:rPr>
        <w:t xml:space="preserve">I would like to thank our team for delivering these strong results and performing for our customers and stakeholders. </w:t>
      </w:r>
    </w:p>
    <w:p>
      <w:pPr>
        <w:pStyle w:val="TextBody"/>
        <w:spacing w:before="360" w:after="0"/>
        <w:jc w:val="left"/>
        <w:rPr>
          <w:rFonts w:ascii="ARIAL" w:hAnsi="ARIAL"/>
          <w:b/>
          <w:sz w:val="20"/>
        </w:rPr>
      </w:pPr>
      <w:r>
        <w:rPr>
          <w:rFonts w:ascii="ARIAL" w:hAnsi="ARIAL"/>
          <w:b/>
          <w:sz w:val="20"/>
        </w:rPr>
        <w:t xml:space="preserve">Other Events </w:t>
      </w:r>
    </w:p>
    <w:p>
      <w:pPr>
        <w:pStyle w:val="TextBody"/>
        <w:spacing w:before="120" w:after="0"/>
        <w:jc w:val="left"/>
        <w:rPr>
          <w:rFonts w:ascii="ARIAL" w:hAnsi="ARIAL"/>
          <w:sz w:val="20"/>
        </w:rPr>
      </w:pPr>
      <w:r>
        <w:rPr>
          <w:rFonts w:ascii="ARIAL" w:hAnsi="ARIAL"/>
          <w:sz w:val="20"/>
        </w:rPr>
        <w:t xml:space="preserve">During the quarter, SLB repurchased approximately 4.4 million shares of its common stock at an average price of $52.65 per share for a total purchase price of $230 million. </w:t>
      </w:r>
    </w:p>
    <w:p>
      <w:pPr>
        <w:pStyle w:val="TextBody"/>
        <w:spacing w:before="240" w:after="0"/>
        <w:jc w:val="left"/>
        <w:rPr>
          <w:rFonts w:ascii="ARIAL" w:hAnsi="ARIAL"/>
          <w:sz w:val="20"/>
        </w:rPr>
      </w:pPr>
      <w:r>
        <w:rPr>
          <w:rFonts w:ascii="ARIAL" w:hAnsi="ARIAL"/>
          <w:sz w:val="20"/>
        </w:rPr>
        <w:t xml:space="preserve">On February 3, 2023, SLB completed the acquisition of Gyrodata Incorporated, a global company specializing in gyroscopic wellbore positioning and survey technology. The transaction incorporates Gyrodatas wellbore placement and surveying technologies within SLBs Well Construction business, further enhancing its ability to deliver innovative drilling solutions to customers. </w:t>
      </w:r>
    </w:p>
    <w:p>
      <w:pPr>
        <w:pStyle w:val="TextBody"/>
        <w:spacing w:before="240" w:after="0"/>
        <w:jc w:val="left"/>
        <w:rPr>
          <w:rFonts w:ascii="ARIAL" w:hAnsi="ARIAL"/>
          <w:sz w:val="20"/>
        </w:rPr>
      </w:pPr>
      <w:r>
        <w:rPr>
          <w:rFonts w:ascii="ARIAL" w:hAnsi="ARIAL"/>
          <w:sz w:val="20"/>
        </w:rPr>
        <w:t xml:space="preserve">On April 20, 2023, SLBs Board of Directors approved a quarterly cash dividend of $0.25 per share of outstanding common stock, payable on July 13, 2023, to stockholders of record on June 7, 2023.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rPr/>
      </w:pPr>
      <w:r>
        <w:rPr/>
      </w:r>
    </w:p>
    <w:p>
      <w:pPr>
        <w:pStyle w:val="TextBody"/>
        <w:spacing w:before="0" w:after="0"/>
        <w:jc w:val="left"/>
        <w:rPr>
          <w:rFonts w:ascii="ARIAL" w:hAnsi="ARIAL"/>
          <w:b/>
          <w:sz w:val="20"/>
        </w:rPr>
      </w:pPr>
      <w:r>
        <w:rPr>
          <w:rFonts w:ascii="ARIAL" w:hAnsi="ARIAL"/>
          <w:b/>
          <w:sz w:val="20"/>
        </w:rPr>
        <w:t xml:space="preserve">First-Quarter Revenue by Geographical Area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388"/>
        <w:gridCol w:w="234"/>
        <w:gridCol w:w="140"/>
        <w:gridCol w:w="563"/>
        <w:gridCol w:w="60"/>
        <w:gridCol w:w="234"/>
        <w:gridCol w:w="140"/>
        <w:gridCol w:w="563"/>
        <w:gridCol w:w="60"/>
        <w:gridCol w:w="234"/>
        <w:gridCol w:w="140"/>
        <w:gridCol w:w="563"/>
        <w:gridCol w:w="60"/>
        <w:gridCol w:w="234"/>
        <w:gridCol w:w="1096"/>
        <w:gridCol w:w="183"/>
        <w:gridCol w:w="1313"/>
      </w:tblGrid>
      <w:tr>
        <w:trPr/>
        <w:tc>
          <w:tcPr>
            <w:tcW w:w="438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r>
      <w:tr>
        <w:trPr/>
        <w:tc>
          <w:tcPr>
            <w:tcW w:w="4388"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5583" w:type="dxa"/>
            <w:gridSpan w:val="15"/>
            <w:tcBorders/>
            <w:shd w:fill="auto" w:val="clear"/>
            <w:vAlign w:val="bottom"/>
          </w:tcPr>
          <w:p>
            <w:pPr>
              <w:pStyle w:val="TableContents"/>
              <w:spacing w:before="0" w:after="283"/>
              <w:jc w:val="right"/>
              <w:rPr/>
            </w:pPr>
            <w:r>
              <w:rPr/>
              <w:t>(Stated in millions)</w:t>
            </w:r>
          </w:p>
        </w:tc>
      </w:tr>
      <w:tr>
        <w:trPr/>
        <w:tc>
          <w:tcPr>
            <w:tcW w:w="4388"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697"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592" w:type="dxa"/>
            <w:gridSpan w:val="3"/>
            <w:tcBorders>
              <w:bottom w:val="single" w:sz="8" w:space="0" w:color="000000"/>
            </w:tcBorders>
            <w:shd w:fill="auto" w:val="clear"/>
            <w:tcMar>
              <w:bottom w:w="28" w:type="dxa"/>
            </w:tcMar>
            <w:vAlign w:val="bottom"/>
          </w:tcPr>
          <w:p>
            <w:pPr>
              <w:pStyle w:val="TableContents"/>
              <w:spacing w:before="0" w:after="283"/>
              <w:jc w:val="center"/>
              <w:rPr>
                <w:b/>
              </w:rPr>
            </w:pPr>
            <w:r>
              <w:rPr>
                <w:b/>
              </w:rPr>
              <w:t>Change</w:t>
            </w:r>
          </w:p>
        </w:tc>
      </w:tr>
      <w:tr>
        <w:trPr/>
        <w:tc>
          <w:tcPr>
            <w:tcW w:w="4388"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7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 31,</w:t>
              <w:br/>
              <w:t>2023</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703" w:type="dxa"/>
            <w:gridSpan w:val="2"/>
            <w:tcBorders>
              <w:bottom w:val="single" w:sz="8" w:space="0" w:color="000000"/>
            </w:tcBorders>
            <w:shd w:fill="auto" w:val="clear"/>
            <w:tcMar>
              <w:bottom w:w="28" w:type="dxa"/>
            </w:tcMar>
            <w:vAlign w:val="bottom"/>
          </w:tcPr>
          <w:p>
            <w:pPr>
              <w:pStyle w:val="TableContents"/>
              <w:spacing w:before="0" w:after="283"/>
              <w:jc w:val="center"/>
              <w:rPr/>
            </w:pPr>
            <w:r>
              <w:rPr/>
              <w:t>Dec. 31,</w:t>
              <w:br/>
              <w:t>2022</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703" w:type="dxa"/>
            <w:gridSpan w:val="2"/>
            <w:tcBorders>
              <w:bottom w:val="single" w:sz="8" w:space="0" w:color="000000"/>
            </w:tcBorders>
            <w:shd w:fill="auto" w:val="clear"/>
            <w:tcMar>
              <w:bottom w:w="28" w:type="dxa"/>
            </w:tcMar>
            <w:vAlign w:val="bottom"/>
          </w:tcPr>
          <w:p>
            <w:pPr>
              <w:pStyle w:val="TableContents"/>
              <w:spacing w:before="0" w:after="283"/>
              <w:jc w:val="center"/>
              <w:rPr/>
            </w:pPr>
            <w:r>
              <w:rPr/>
              <w:t>Mar. 31,</w:t>
              <w:br/>
              <w:t>2022</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096" w:type="dxa"/>
            <w:tcBorders>
              <w:bottom w:val="single" w:sz="8" w:space="0" w:color="000000"/>
            </w:tcBorders>
            <w:shd w:fill="auto" w:val="clear"/>
            <w:tcMar>
              <w:bottom w:w="28" w:type="dxa"/>
            </w:tcMar>
            <w:vAlign w:val="bottom"/>
          </w:tcPr>
          <w:p>
            <w:pPr>
              <w:pStyle w:val="TableContents"/>
              <w:spacing w:before="0" w:after="283"/>
              <w:jc w:val="center"/>
              <w:rPr>
                <w:b/>
              </w:rPr>
            </w:pPr>
            <w:r>
              <w:rPr>
                <w:b/>
              </w:rPr>
              <w:t>Sequential</w:t>
            </w:r>
          </w:p>
        </w:tc>
        <w:tc>
          <w:tcPr>
            <w:tcW w:w="183" w:type="dxa"/>
            <w:tcBorders/>
            <w:shd w:fill="auto" w:val="clear"/>
            <w:vAlign w:val="bottom"/>
          </w:tcPr>
          <w:p>
            <w:pPr>
              <w:pStyle w:val="TableContents"/>
              <w:spacing w:before="0" w:after="283"/>
              <w:rPr/>
            </w:pPr>
            <w:r>
              <w:rPr/>
              <w:t> </w:t>
            </w:r>
          </w:p>
        </w:tc>
        <w:tc>
          <w:tcPr>
            <w:tcW w:w="1313" w:type="dxa"/>
            <w:tcBorders>
              <w:bottom w:val="single" w:sz="8" w:space="0" w:color="000000"/>
            </w:tcBorders>
            <w:shd w:fill="auto" w:val="clear"/>
            <w:tcMar>
              <w:bottom w:w="28" w:type="dxa"/>
            </w:tcMar>
            <w:vAlign w:val="bottom"/>
          </w:tcPr>
          <w:p>
            <w:pPr>
              <w:pStyle w:val="TableContents"/>
              <w:spacing w:before="0" w:after="283"/>
              <w:jc w:val="center"/>
              <w:rPr/>
            </w:pPr>
            <w:r>
              <w:rPr/>
              <w:t>Year-on-year</w:t>
            </w:r>
          </w:p>
        </w:tc>
      </w:tr>
      <w:tr>
        <w:trPr/>
        <w:tc>
          <w:tcPr>
            <w:tcW w:w="4388" w:type="dxa"/>
            <w:tcBorders/>
            <w:shd w:fill="CCEEFF" w:val="clear"/>
            <w:vAlign w:val="bottom"/>
          </w:tcPr>
          <w:p>
            <w:pPr>
              <w:pStyle w:val="TableContents"/>
              <w:spacing w:before="0" w:after="0"/>
              <w:rPr>
                <w:rFonts w:ascii="ARIAL" w:hAnsi="ARIAL"/>
                <w:sz w:val="20"/>
              </w:rPr>
            </w:pPr>
            <w:r>
              <w:rPr>
                <w:rFonts w:ascii="ARIAL" w:hAnsi="ARIAL"/>
                <w:sz w:val="20"/>
              </w:rPr>
              <w:t>North America</w:t>
            </w:r>
          </w:p>
        </w:tc>
        <w:tc>
          <w:tcPr>
            <w:tcW w:w="23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563" w:type="dxa"/>
            <w:tcBorders/>
            <w:shd w:fill="CCEEFF" w:val="clear"/>
            <w:vAlign w:val="bottom"/>
          </w:tcPr>
          <w:p>
            <w:pPr>
              <w:pStyle w:val="TableContents"/>
              <w:spacing w:before="0" w:after="283"/>
              <w:jc w:val="right"/>
              <w:rPr>
                <w:b/>
              </w:rPr>
            </w:pPr>
            <w:r>
              <w:rPr>
                <w:b/>
              </w:rPr>
              <w:t>1,698</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3" w:type="dxa"/>
            <w:tcBorders/>
            <w:shd w:fill="CCEEFF" w:val="clear"/>
            <w:vAlign w:val="bottom"/>
          </w:tcPr>
          <w:p>
            <w:pPr>
              <w:pStyle w:val="TableContents"/>
              <w:spacing w:before="0" w:after="283"/>
              <w:jc w:val="right"/>
              <w:rPr/>
            </w:pPr>
            <w:r>
              <w:rPr/>
              <w:t>1,633</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3" w:type="dxa"/>
            <w:tcBorders/>
            <w:shd w:fill="CCEEFF" w:val="clear"/>
            <w:vAlign w:val="bottom"/>
          </w:tcPr>
          <w:p>
            <w:pPr>
              <w:pStyle w:val="TableContents"/>
              <w:spacing w:before="0" w:after="283"/>
              <w:jc w:val="right"/>
              <w:rPr/>
            </w:pPr>
            <w:r>
              <w:rPr/>
              <w:t>1,282</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center"/>
              <w:rPr>
                <w:b/>
              </w:rPr>
            </w:pPr>
            <w:r>
              <w:rPr>
                <w:b/>
              </w:rPr>
              <w:t>4%</w:t>
            </w:r>
          </w:p>
        </w:tc>
        <w:tc>
          <w:tcPr>
            <w:tcW w:w="183"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center"/>
              <w:rPr/>
            </w:pPr>
            <w:r>
              <w:rPr/>
              <w:t>32%</w:t>
            </w:r>
          </w:p>
        </w:tc>
      </w:tr>
      <w:tr>
        <w:trPr/>
        <w:tc>
          <w:tcPr>
            <w:tcW w:w="4388" w:type="dxa"/>
            <w:tcBorders/>
            <w:shd w:fill="auto" w:val="clear"/>
            <w:vAlign w:val="bottom"/>
          </w:tcPr>
          <w:p>
            <w:pPr>
              <w:pStyle w:val="TableContents"/>
              <w:spacing w:before="0" w:after="0"/>
              <w:rPr>
                <w:rFonts w:ascii="ARIAL" w:hAnsi="ARIAL"/>
                <w:sz w:val="20"/>
              </w:rPr>
            </w:pPr>
            <w:r>
              <w:rPr>
                <w:rFonts w:ascii="ARIAL" w:hAnsi="ARIAL"/>
                <w:sz w:val="20"/>
              </w:rPr>
              <w:t>Latin America</w:t>
            </w:r>
          </w:p>
        </w:tc>
        <w:tc>
          <w:tcPr>
            <w:tcW w:w="23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b/>
              </w:rPr>
            </w:pPr>
            <w:r>
              <w:rPr>
                <w:b/>
              </w:rPr>
              <w:t>1,617</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1,619</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1,204</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center"/>
              <w:rPr>
                <w:b/>
              </w:rPr>
            </w:pPr>
            <w:r>
              <w:rPr>
                <w:b/>
              </w:rPr>
              <w:t>  </w:t>
            </w:r>
          </w:p>
        </w:tc>
        <w:tc>
          <w:tcPr>
            <w:tcW w:w="183"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center"/>
              <w:rPr/>
            </w:pPr>
            <w:r>
              <w:rPr/>
              <w:t>34%</w:t>
            </w:r>
          </w:p>
        </w:tc>
      </w:tr>
      <w:tr>
        <w:trPr/>
        <w:tc>
          <w:tcPr>
            <w:tcW w:w="4388" w:type="dxa"/>
            <w:tcBorders/>
            <w:shd w:fill="CCEEFF" w:val="clear"/>
            <w:vAlign w:val="bottom"/>
          </w:tcPr>
          <w:p>
            <w:pPr>
              <w:pStyle w:val="TableContents"/>
              <w:spacing w:before="0" w:after="0"/>
              <w:rPr>
                <w:rFonts w:ascii="ARIAL" w:hAnsi="ARIAL"/>
                <w:sz w:val="20"/>
              </w:rPr>
            </w:pPr>
            <w:r>
              <w:rPr>
                <w:rFonts w:ascii="ARIAL" w:hAnsi="ARIAL"/>
                <w:sz w:val="20"/>
              </w:rPr>
              <w:t>Europe &amp; Africa</w:t>
            </w:r>
          </w:p>
        </w:tc>
        <w:tc>
          <w:tcPr>
            <w:tcW w:w="23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b/>
              </w:rPr>
            </w:pPr>
            <w:r>
              <w:rPr>
                <w:b/>
              </w:rPr>
              <w:t>1,974</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2,067</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1,404</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center"/>
              <w:rPr>
                <w:b/>
              </w:rPr>
            </w:pPr>
            <w:r>
              <w:rPr>
                <w:b/>
              </w:rPr>
              <w:t>-5%</w:t>
            </w:r>
          </w:p>
        </w:tc>
        <w:tc>
          <w:tcPr>
            <w:tcW w:w="183"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center"/>
              <w:rPr/>
            </w:pPr>
            <w:r>
              <w:rPr/>
              <w:t>41%</w:t>
            </w:r>
          </w:p>
        </w:tc>
      </w:tr>
      <w:tr>
        <w:trPr/>
        <w:tc>
          <w:tcPr>
            <w:tcW w:w="4388" w:type="dxa"/>
            <w:tcBorders/>
            <w:shd w:fill="auto" w:val="clear"/>
            <w:vAlign w:val="bottom"/>
          </w:tcPr>
          <w:p>
            <w:pPr>
              <w:pStyle w:val="TableContents"/>
              <w:spacing w:before="0" w:after="0"/>
              <w:rPr>
                <w:rFonts w:ascii="ARIAL" w:hAnsi="ARIAL"/>
                <w:sz w:val="20"/>
              </w:rPr>
            </w:pPr>
            <w:r>
              <w:rPr>
                <w:rFonts w:ascii="ARIAL" w:hAnsi="ARIAL"/>
                <w:sz w:val="20"/>
              </w:rPr>
              <w:t>Middle East &amp; Asia</w:t>
            </w:r>
          </w:p>
        </w:tc>
        <w:tc>
          <w:tcPr>
            <w:tcW w:w="23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b/>
              </w:rPr>
            </w:pPr>
            <w:r>
              <w:rPr>
                <w:b/>
              </w:rPr>
              <w:t>2,394</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2,508</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2,024</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center"/>
              <w:rPr>
                <w:b/>
              </w:rPr>
            </w:pPr>
            <w:r>
              <w:rPr>
                <w:b/>
              </w:rPr>
              <w:t>-5%</w:t>
            </w:r>
          </w:p>
        </w:tc>
        <w:tc>
          <w:tcPr>
            <w:tcW w:w="183"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center"/>
              <w:rPr/>
            </w:pPr>
            <w:r>
              <w:rPr/>
              <w:t>18%</w:t>
            </w:r>
          </w:p>
        </w:tc>
      </w:tr>
      <w:tr>
        <w:trPr/>
        <w:tc>
          <w:tcPr>
            <w:tcW w:w="4388" w:type="dxa"/>
            <w:tcBorders/>
            <w:shd w:fill="CCEEFF" w:val="clear"/>
            <w:vAlign w:val="bottom"/>
          </w:tcPr>
          <w:p>
            <w:pPr>
              <w:pStyle w:val="TableContents"/>
              <w:spacing w:before="0" w:after="0"/>
              <w:rPr>
                <w:rFonts w:ascii="ARIAL" w:hAnsi="ARIAL"/>
                <w:sz w:val="20"/>
              </w:rPr>
            </w:pPr>
            <w:r>
              <w:rPr>
                <w:rFonts w:ascii="ARIAL" w:hAnsi="ARIAL"/>
                <w:sz w:val="20"/>
              </w:rPr>
              <w:t>Eliminations &amp; other</w:t>
            </w:r>
          </w:p>
        </w:tc>
        <w:tc>
          <w:tcPr>
            <w:tcW w:w="23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b/>
              </w:rPr>
            </w:pPr>
            <w:r>
              <w:rPr>
                <w:b/>
              </w:rPr>
              <w:t>53</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52</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48</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center"/>
              <w:rPr>
                <w:b/>
              </w:rPr>
            </w:pPr>
            <w:r>
              <w:rPr>
                <w:b/>
              </w:rPr>
              <w:t>n/m</w:t>
            </w:r>
          </w:p>
        </w:tc>
        <w:tc>
          <w:tcPr>
            <w:tcW w:w="183"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center"/>
              <w:rPr/>
            </w:pPr>
            <w:r>
              <w:rPr/>
              <w:t>n/m</w:t>
            </w:r>
          </w:p>
        </w:tc>
      </w:tr>
      <w:tr>
        <w:trPr/>
        <w:tc>
          <w:tcPr>
            <w:tcW w:w="4388"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pBdr>
                <w:top w:val="single" w:sz="2" w:space="1" w:color="000000"/>
              </w:pBdr>
              <w:spacing w:before="0" w:after="0"/>
              <w:rPr/>
            </w:pPr>
            <w:r>
              <w:rPr/>
              <w:t> </w:t>
            </w:r>
          </w:p>
        </w:tc>
        <w:tc>
          <w:tcPr>
            <w:tcW w:w="183"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pBdr>
                <w:top w:val="single" w:sz="2" w:space="1" w:color="000000"/>
              </w:pBdr>
              <w:spacing w:before="0" w:after="0"/>
              <w:rPr/>
            </w:pPr>
            <w:r>
              <w:rPr/>
              <w:t> </w:t>
            </w:r>
          </w:p>
        </w:tc>
      </w:tr>
      <w:tr>
        <w:trPr/>
        <w:tc>
          <w:tcPr>
            <w:tcW w:w="4388"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563" w:type="dxa"/>
            <w:tcBorders/>
            <w:shd w:fill="auto" w:val="clear"/>
            <w:vAlign w:val="bottom"/>
          </w:tcPr>
          <w:p>
            <w:pPr>
              <w:pStyle w:val="TableContents"/>
              <w:spacing w:before="0" w:after="283"/>
              <w:jc w:val="right"/>
              <w:rPr>
                <w:b/>
              </w:rPr>
            </w:pPr>
            <w:r>
              <w:rPr>
                <w:b/>
              </w:rPr>
              <w:t>7,736</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3" w:type="dxa"/>
            <w:tcBorders/>
            <w:shd w:fill="auto" w:val="clear"/>
            <w:vAlign w:val="bottom"/>
          </w:tcPr>
          <w:p>
            <w:pPr>
              <w:pStyle w:val="TableContents"/>
              <w:spacing w:before="0" w:after="283"/>
              <w:jc w:val="right"/>
              <w:rPr/>
            </w:pPr>
            <w:r>
              <w:rPr/>
              <w:t>7,879</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3" w:type="dxa"/>
            <w:tcBorders/>
            <w:shd w:fill="auto" w:val="clear"/>
            <w:vAlign w:val="bottom"/>
          </w:tcPr>
          <w:p>
            <w:pPr>
              <w:pStyle w:val="TableContents"/>
              <w:spacing w:before="0" w:after="283"/>
              <w:jc w:val="right"/>
              <w:rPr/>
            </w:pPr>
            <w:r>
              <w:rPr/>
              <w:t>5,962</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center"/>
              <w:rPr>
                <w:b/>
              </w:rPr>
            </w:pPr>
            <w:r>
              <w:rPr>
                <w:b/>
              </w:rPr>
              <w:t>-2%</w:t>
            </w:r>
          </w:p>
        </w:tc>
        <w:tc>
          <w:tcPr>
            <w:tcW w:w="183"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center"/>
              <w:rPr/>
            </w:pPr>
            <w:r>
              <w:rPr/>
              <w:t>30%</w:t>
            </w:r>
          </w:p>
        </w:tc>
      </w:tr>
      <w:tr>
        <w:trPr/>
        <w:tc>
          <w:tcPr>
            <w:tcW w:w="4388"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pBdr>
                <w:top w:val="single" w:sz="2" w:space="1" w:color="000000"/>
              </w:pBdr>
              <w:spacing w:before="0" w:after="0"/>
              <w:rPr/>
            </w:pPr>
            <w:r>
              <w:rPr/>
              <w:t> </w:t>
            </w:r>
          </w:p>
        </w:tc>
        <w:tc>
          <w:tcPr>
            <w:tcW w:w="183"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pBdr>
                <w:top w:val="single" w:sz="2" w:space="1" w:color="000000"/>
              </w:pBdr>
              <w:spacing w:before="0" w:after="0"/>
              <w:rPr/>
            </w:pPr>
            <w:r>
              <w:rPr/>
              <w:t> </w:t>
            </w:r>
          </w:p>
        </w:tc>
      </w:tr>
      <w:tr>
        <w:trPr/>
        <w:tc>
          <w:tcPr>
            <w:tcW w:w="4388" w:type="dxa"/>
            <w:tcBorders/>
            <w:shd w:fill="CCEEFF" w:val="clear"/>
            <w:vAlign w:val="bottom"/>
          </w:tcPr>
          <w:p>
            <w:pPr>
              <w:pStyle w:val="TableContents"/>
              <w:spacing w:before="0" w:after="0"/>
              <w:rPr>
                <w:rFonts w:ascii="ARIAL" w:hAnsi="ARIAL"/>
                <w:sz w:val="20"/>
              </w:rPr>
            </w:pPr>
            <w:r>
              <w:rPr>
                <w:rFonts w:ascii="ARIAL" w:hAnsi="ARIAL"/>
                <w:sz w:val="20"/>
              </w:rPr>
              <w:t>International</w:t>
            </w:r>
          </w:p>
        </w:tc>
        <w:tc>
          <w:tcPr>
            <w:tcW w:w="23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563" w:type="dxa"/>
            <w:tcBorders/>
            <w:shd w:fill="CCEEFF" w:val="clear"/>
            <w:vAlign w:val="bottom"/>
          </w:tcPr>
          <w:p>
            <w:pPr>
              <w:pStyle w:val="TableContents"/>
              <w:spacing w:before="0" w:after="283"/>
              <w:jc w:val="right"/>
              <w:rPr>
                <w:b/>
              </w:rPr>
            </w:pPr>
            <w:r>
              <w:rPr>
                <w:b/>
              </w:rPr>
              <w:t>5,985</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3" w:type="dxa"/>
            <w:tcBorders/>
            <w:shd w:fill="CCEEFF" w:val="clear"/>
            <w:vAlign w:val="bottom"/>
          </w:tcPr>
          <w:p>
            <w:pPr>
              <w:pStyle w:val="TableContents"/>
              <w:spacing w:before="0" w:after="283"/>
              <w:jc w:val="right"/>
              <w:rPr/>
            </w:pPr>
            <w:r>
              <w:rPr/>
              <w:t>6,194</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3" w:type="dxa"/>
            <w:tcBorders/>
            <w:shd w:fill="CCEEFF" w:val="clear"/>
            <w:vAlign w:val="bottom"/>
          </w:tcPr>
          <w:p>
            <w:pPr>
              <w:pStyle w:val="TableContents"/>
              <w:spacing w:before="0" w:after="283"/>
              <w:jc w:val="right"/>
              <w:rPr/>
            </w:pPr>
            <w:r>
              <w:rPr/>
              <w:t>4,632</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center"/>
              <w:rPr>
                <w:b/>
              </w:rPr>
            </w:pPr>
            <w:r>
              <w:rPr>
                <w:b/>
              </w:rPr>
              <w:t>-3%</w:t>
            </w:r>
          </w:p>
        </w:tc>
        <w:tc>
          <w:tcPr>
            <w:tcW w:w="183"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center"/>
              <w:rPr/>
            </w:pPr>
            <w:r>
              <w:rPr/>
              <w:t>29%</w:t>
            </w:r>
          </w:p>
        </w:tc>
      </w:tr>
      <w:tr>
        <w:trPr/>
        <w:tc>
          <w:tcPr>
            <w:tcW w:w="4388" w:type="dxa"/>
            <w:tcBorders/>
            <w:shd w:fill="auto" w:val="clear"/>
            <w:vAlign w:val="bottom"/>
          </w:tcPr>
          <w:p>
            <w:pPr>
              <w:pStyle w:val="TableContents"/>
              <w:spacing w:before="0" w:after="0"/>
              <w:rPr>
                <w:rFonts w:ascii="ARIAL" w:hAnsi="ARIAL"/>
                <w:sz w:val="20"/>
              </w:rPr>
            </w:pPr>
            <w:r>
              <w:rPr>
                <w:rFonts w:ascii="ARIAL" w:hAnsi="ARIAL"/>
                <w:sz w:val="20"/>
              </w:rPr>
              <w:t>North America</w:t>
            </w:r>
          </w:p>
        </w:tc>
        <w:tc>
          <w:tcPr>
            <w:tcW w:w="23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563" w:type="dxa"/>
            <w:tcBorders/>
            <w:shd w:fill="auto" w:val="clear"/>
            <w:vAlign w:val="bottom"/>
          </w:tcPr>
          <w:p>
            <w:pPr>
              <w:pStyle w:val="TableContents"/>
              <w:spacing w:before="0" w:after="283"/>
              <w:jc w:val="right"/>
              <w:rPr>
                <w:b/>
              </w:rPr>
            </w:pPr>
            <w:r>
              <w:rPr>
                <w:b/>
              </w:rPr>
              <w:t>1,698</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3" w:type="dxa"/>
            <w:tcBorders/>
            <w:shd w:fill="auto" w:val="clear"/>
            <w:vAlign w:val="bottom"/>
          </w:tcPr>
          <w:p>
            <w:pPr>
              <w:pStyle w:val="TableContents"/>
              <w:spacing w:before="0" w:after="283"/>
              <w:jc w:val="right"/>
              <w:rPr/>
            </w:pPr>
            <w:r>
              <w:rPr/>
              <w:t>1,633</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3" w:type="dxa"/>
            <w:tcBorders/>
            <w:shd w:fill="auto" w:val="clear"/>
            <w:vAlign w:val="bottom"/>
          </w:tcPr>
          <w:p>
            <w:pPr>
              <w:pStyle w:val="TableContents"/>
              <w:spacing w:before="0" w:after="283"/>
              <w:jc w:val="right"/>
              <w:rPr/>
            </w:pPr>
            <w:r>
              <w:rPr/>
              <w:t>1,282</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center"/>
              <w:rPr>
                <w:b/>
              </w:rPr>
            </w:pPr>
            <w:r>
              <w:rPr>
                <w:b/>
              </w:rPr>
              <w:t>4%</w:t>
            </w:r>
          </w:p>
        </w:tc>
        <w:tc>
          <w:tcPr>
            <w:tcW w:w="183"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center"/>
              <w:rPr/>
            </w:pPr>
            <w:r>
              <w:rPr/>
              <w:t>32%</w:t>
            </w:r>
          </w:p>
        </w:tc>
      </w:tr>
    </w:tbl>
    <w:p>
      <w:pPr>
        <w:pStyle w:val="TextBody"/>
        <w:spacing w:before="240" w:after="0"/>
        <w:jc w:val="left"/>
        <w:rPr>
          <w:rFonts w:ascii="ARIAL" w:hAnsi="ARIAL"/>
          <w:sz w:val="20"/>
        </w:rPr>
      </w:pPr>
      <w:r>
        <w:rPr>
          <w:rFonts w:ascii="ARIAL" w:hAnsi="ARIAL"/>
          <w:sz w:val="20"/>
        </w:rPr>
        <w:t xml:space="preserve">n/m = not meaningful </w:t>
      </w:r>
    </w:p>
    <w:p>
      <w:pPr>
        <w:pStyle w:val="TextBody"/>
        <w:spacing w:before="360" w:after="0"/>
        <w:jc w:val="left"/>
        <w:rPr>
          <w:rFonts w:ascii="ARIAL" w:hAnsi="ARIAL"/>
          <w:b/>
          <w:sz w:val="20"/>
        </w:rPr>
      </w:pPr>
      <w:r>
        <w:rPr>
          <w:rFonts w:ascii="ARIAL" w:hAnsi="ARIAL"/>
          <w:b/>
          <w:sz w:val="20"/>
        </w:rPr>
        <w:t xml:space="preserve">International </w:t>
      </w:r>
    </w:p>
    <w:p>
      <w:pPr>
        <w:pStyle w:val="TextBody"/>
        <w:spacing w:before="120" w:after="0"/>
        <w:jc w:val="left"/>
        <w:rPr>
          <w:rFonts w:ascii="ARIAL" w:hAnsi="ARIAL"/>
          <w:sz w:val="20"/>
        </w:rPr>
      </w:pPr>
      <w:r>
        <w:rPr>
          <w:rFonts w:ascii="ARIAL" w:hAnsi="ARIAL"/>
          <w:sz w:val="20"/>
        </w:rPr>
        <w:t xml:space="preserve">Revenue in </w:t>
      </w:r>
      <w:r>
        <w:rPr>
          <w:rFonts w:ascii="ARIAL" w:hAnsi="ARIAL"/>
          <w:b/>
          <w:sz w:val="20"/>
        </w:rPr>
        <w:t>Latin America</w:t>
      </w:r>
      <w:r>
        <w:rPr>
          <w:rFonts w:ascii="ARIAL" w:hAnsi="ARIAL"/>
          <w:sz w:val="20"/>
        </w:rPr>
        <w:t xml:space="preserve"> of $1.6 billion increased 34% year on year due to robust drilling activity and improved pricing, higher sales of offshore production systems in Brazil and Guyana, and increased stimulation work in Argentina. Sequentially, revenue was essentially flat as higher drilling activity was offset by reduced APS revenue in Ecuador due to production interruptions. </w:t>
      </w:r>
    </w:p>
    <w:p>
      <w:pPr>
        <w:pStyle w:val="TextBody"/>
        <w:spacing w:before="240" w:after="0"/>
        <w:jc w:val="left"/>
        <w:rPr>
          <w:rFonts w:ascii="ARIAL" w:hAnsi="ARIAL"/>
          <w:sz w:val="20"/>
        </w:rPr>
      </w:pPr>
      <w:r>
        <w:rPr>
          <w:rFonts w:ascii="ARIAL" w:hAnsi="ARIAL"/>
          <w:b/>
          <w:sz w:val="20"/>
        </w:rPr>
        <w:t>Europe</w:t>
      </w:r>
      <w:r>
        <w:rPr>
          <w:rFonts w:ascii="ARIAL" w:hAnsi="ARIAL"/>
          <w:sz w:val="20"/>
        </w:rPr>
        <w:t> </w:t>
      </w:r>
      <w:r>
        <w:rPr>
          <w:rFonts w:ascii="ARIAL" w:hAnsi="ARIAL"/>
          <w:b/>
          <w:sz w:val="20"/>
        </w:rPr>
        <w:t>&amp; Africa</w:t>
      </w:r>
      <w:r>
        <w:rPr>
          <w:rFonts w:ascii="ARIAL" w:hAnsi="ARIAL"/>
          <w:sz w:val="20"/>
        </w:rPr>
        <w:t xml:space="preserve"> revenue of $2.0 billion grew 41% year on year primarily from higher sales of production systems in Europe and Scandinavia and increased exploration and production activity offshore Africa. Sequentially, revenue decreased 5% primarily driven by Russia. Excluding Russia, revenue grew 2% sequentially due to higher drilling activity from new projects in Angola, Gabon, and Namibia and increased sales of production systems in Europe. </w:t>
      </w:r>
    </w:p>
    <w:p>
      <w:pPr>
        <w:pStyle w:val="TextBody"/>
        <w:spacing w:before="240" w:after="0"/>
        <w:jc w:val="left"/>
        <w:rPr>
          <w:rFonts w:ascii="ARIAL" w:hAnsi="ARIAL"/>
          <w:sz w:val="20"/>
        </w:rPr>
      </w:pPr>
      <w:r>
        <w:rPr>
          <w:rFonts w:ascii="ARIAL" w:hAnsi="ARIAL"/>
          <w:sz w:val="20"/>
        </w:rPr>
        <w:t xml:space="preserve">Revenue in the </w:t>
      </w:r>
      <w:r>
        <w:rPr>
          <w:rFonts w:ascii="ARIAL" w:hAnsi="ARIAL"/>
          <w:b/>
          <w:sz w:val="20"/>
        </w:rPr>
        <w:t>Middle East</w:t>
      </w:r>
      <w:r>
        <w:rPr>
          <w:rFonts w:ascii="ARIAL" w:hAnsi="ARIAL"/>
          <w:sz w:val="20"/>
        </w:rPr>
        <w:t> </w:t>
      </w:r>
      <w:r>
        <w:rPr>
          <w:rFonts w:ascii="ARIAL" w:hAnsi="ARIAL"/>
          <w:b/>
          <w:sz w:val="20"/>
        </w:rPr>
        <w:t>&amp; Asia</w:t>
      </w:r>
      <w:r>
        <w:rPr>
          <w:rFonts w:ascii="ARIAL" w:hAnsi="ARIAL"/>
          <w:sz w:val="20"/>
        </w:rPr>
        <w:t xml:space="preserve"> of $2.4 billion increased 18% year on year due to higher drilling, intervention, and evaluation activity in Saudi Arabia, United Arab Emirates, Qatar, and Oman and across Southeast Asia and Australia. Sequentially, revenue decreased 5% due to seasonally lower activity in Asia, weather-impacted stimulation activity in Saudi Arabia, and reduced sales of production systems across the area following the strong year-end sales in the previous quarter. </w:t>
      </w:r>
    </w:p>
    <w:p>
      <w:pPr>
        <w:pStyle w:val="TextBody"/>
        <w:spacing w:before="360" w:after="0"/>
        <w:jc w:val="left"/>
        <w:rPr>
          <w:rFonts w:ascii="ARIAL" w:hAnsi="ARIAL"/>
          <w:b/>
          <w:sz w:val="20"/>
        </w:rPr>
      </w:pPr>
      <w:r>
        <w:rPr>
          <w:rFonts w:ascii="ARIAL" w:hAnsi="ARIAL"/>
          <w:b/>
          <w:sz w:val="20"/>
        </w:rPr>
        <w:t xml:space="preserve">North America </w:t>
      </w:r>
    </w:p>
    <w:p>
      <w:pPr>
        <w:pStyle w:val="TextBody"/>
        <w:spacing w:before="120" w:after="0"/>
        <w:jc w:val="left"/>
        <w:rPr>
          <w:rFonts w:ascii="ARIAL" w:hAnsi="ARIAL"/>
          <w:sz w:val="20"/>
        </w:rPr>
      </w:pPr>
      <w:r>
        <w:rPr>
          <w:rFonts w:ascii="ARIAL" w:hAnsi="ARIAL"/>
          <w:b/>
          <w:sz w:val="20"/>
        </w:rPr>
        <w:t>North America</w:t>
      </w:r>
      <w:r>
        <w:rPr>
          <w:rFonts w:ascii="ARIAL" w:hAnsi="ARIAL"/>
          <w:sz w:val="20"/>
        </w:rPr>
        <w:t xml:space="preserve"> revenue of $1.7 billion grew 32% year on year due to strong land and offshore drilling and higher sales of production systems. US land revenue increased, driven by Well Construction revenue growth that outperformed the rig count growth, in addition to higher Production Systems revenue. North America offshore revenue grew due to increases in drilling activity, exploration data licensing sales, and sales of subsea production systems in the US Gulf of Mexico. Sequentially, North America revenue increased 4% due to higher land and offshore drilling and increased sales of subsea production systems, which were partially offset by lower APS revenue in Canada. Revenue from both Well Construction and Production Systems grew 9% sequentially.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rPr/>
      </w:pPr>
      <w:r>
        <w:rPr/>
      </w:r>
    </w:p>
    <w:p>
      <w:pPr>
        <w:pStyle w:val="TextBody"/>
        <w:spacing w:before="0" w:after="0"/>
        <w:jc w:val="left"/>
        <w:rPr>
          <w:rFonts w:ascii="ARIAL" w:hAnsi="ARIAL"/>
          <w:b/>
          <w:sz w:val="20"/>
        </w:rPr>
      </w:pPr>
      <w:r>
        <w:rPr>
          <w:rFonts w:ascii="ARIAL" w:hAnsi="ARIAL"/>
          <w:b/>
          <w:sz w:val="20"/>
        </w:rPr>
        <w:t xml:space="preserve">First-Quarter Results by Division </w:t>
      </w:r>
    </w:p>
    <w:p>
      <w:pPr>
        <w:pStyle w:val="TextBody"/>
        <w:spacing w:before="120" w:after="0"/>
        <w:jc w:val="left"/>
        <w:rPr>
          <w:rFonts w:ascii="ARIAL" w:hAnsi="ARIAL"/>
          <w:b/>
          <w:sz w:val="20"/>
        </w:rPr>
      </w:pPr>
      <w:r>
        <w:rPr>
          <w:rFonts w:ascii="ARIAL" w:hAnsi="ARIAL"/>
          <w:b/>
          <w:sz w:val="20"/>
        </w:rPr>
        <w:t xml:space="preserve">Digital &amp; Integration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53"/>
        <w:gridCol w:w="224"/>
        <w:gridCol w:w="214"/>
        <w:gridCol w:w="677"/>
        <w:gridCol w:w="322"/>
        <w:gridCol w:w="171"/>
        <w:gridCol w:w="140"/>
        <w:gridCol w:w="574"/>
        <w:gridCol w:w="282"/>
        <w:gridCol w:w="171"/>
        <w:gridCol w:w="200"/>
        <w:gridCol w:w="636"/>
        <w:gridCol w:w="282"/>
        <w:gridCol w:w="171"/>
        <w:gridCol w:w="69"/>
        <w:gridCol w:w="1017"/>
        <w:gridCol w:w="60"/>
        <w:gridCol w:w="171"/>
        <w:gridCol w:w="83"/>
        <w:gridCol w:w="1216"/>
        <w:gridCol w:w="72"/>
      </w:tblGrid>
      <w:tr>
        <w:trPr/>
        <w:tc>
          <w:tcPr>
            <w:tcW w:w="3453"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r>
      <w:tr>
        <w:trPr/>
        <w:tc>
          <w:tcPr>
            <w:tcW w:w="3453"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6456" w:type="dxa"/>
            <w:gridSpan w:val="18"/>
            <w:tcBorders/>
            <w:shd w:fill="auto" w:val="clear"/>
            <w:vAlign w:val="bottom"/>
          </w:tcPr>
          <w:p>
            <w:pPr>
              <w:pStyle w:val="TableContents"/>
              <w:spacing w:before="0" w:after="283"/>
              <w:jc w:val="right"/>
              <w:rPr/>
            </w:pPr>
            <w:r>
              <w:rPr/>
              <w:t>(Stated in millions)</w:t>
            </w:r>
          </w:p>
        </w:tc>
        <w:tc>
          <w:tcPr>
            <w:tcW w:w="72" w:type="dxa"/>
            <w:tcBorders/>
            <w:shd w:fill="auto" w:val="clear"/>
            <w:vAlign w:val="bottom"/>
          </w:tcPr>
          <w:p>
            <w:pPr>
              <w:pStyle w:val="TableContents"/>
              <w:spacing w:before="0" w:after="283"/>
              <w:rPr/>
            </w:pPr>
            <w:r>
              <w:rPr/>
              <w:t> </w:t>
            </w:r>
          </w:p>
        </w:tc>
      </w:tr>
      <w:tr>
        <w:trPr/>
        <w:tc>
          <w:tcPr>
            <w:tcW w:w="3453"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3387"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w:t>
            </w:r>
          </w:p>
        </w:tc>
        <w:tc>
          <w:tcPr>
            <w:tcW w:w="28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61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Change</w:t>
            </w:r>
          </w:p>
        </w:tc>
        <w:tc>
          <w:tcPr>
            <w:tcW w:w="72" w:type="dxa"/>
            <w:tcBorders/>
            <w:shd w:fill="auto" w:val="clear"/>
            <w:vAlign w:val="bottom"/>
          </w:tcPr>
          <w:p>
            <w:pPr>
              <w:pStyle w:val="TableContents"/>
              <w:spacing w:before="0" w:after="283"/>
              <w:rPr/>
            </w:pPr>
            <w:r>
              <w:rPr/>
              <w:t> </w:t>
            </w:r>
          </w:p>
        </w:tc>
      </w:tr>
      <w:tr>
        <w:trPr/>
        <w:tc>
          <w:tcPr>
            <w:tcW w:w="3453"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89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 31,</w:t>
              <w:br/>
              <w:t>2023</w:t>
            </w:r>
          </w:p>
        </w:tc>
        <w:tc>
          <w:tcPr>
            <w:tcW w:w="32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714" w:type="dxa"/>
            <w:gridSpan w:val="2"/>
            <w:tcBorders>
              <w:bottom w:val="single" w:sz="8" w:space="0" w:color="000000"/>
            </w:tcBorders>
            <w:shd w:fill="auto" w:val="clear"/>
            <w:tcMar>
              <w:bottom w:w="28" w:type="dxa"/>
            </w:tcMar>
            <w:vAlign w:val="bottom"/>
          </w:tcPr>
          <w:p>
            <w:pPr>
              <w:pStyle w:val="TableContents"/>
              <w:spacing w:before="0" w:after="283"/>
              <w:jc w:val="center"/>
              <w:rPr/>
            </w:pPr>
            <w:r>
              <w:rPr/>
              <w:t>Dec. 31,</w:t>
              <w:br/>
              <w:t>2022</w:t>
            </w:r>
          </w:p>
        </w:tc>
        <w:tc>
          <w:tcPr>
            <w:tcW w:w="28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36" w:type="dxa"/>
            <w:gridSpan w:val="2"/>
            <w:tcBorders>
              <w:bottom w:val="single" w:sz="8" w:space="0" w:color="000000"/>
            </w:tcBorders>
            <w:shd w:fill="auto" w:val="clear"/>
            <w:tcMar>
              <w:bottom w:w="28" w:type="dxa"/>
            </w:tcMar>
            <w:vAlign w:val="bottom"/>
          </w:tcPr>
          <w:p>
            <w:pPr>
              <w:pStyle w:val="TableContents"/>
              <w:spacing w:before="0" w:after="283"/>
              <w:jc w:val="center"/>
              <w:rPr/>
            </w:pPr>
            <w:r>
              <w:rPr/>
              <w:t>Mar. 31,</w:t>
              <w:br/>
              <w:t>2022</w:t>
            </w:r>
          </w:p>
        </w:tc>
        <w:tc>
          <w:tcPr>
            <w:tcW w:w="28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08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Sequential</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299" w:type="dxa"/>
            <w:gridSpan w:val="2"/>
            <w:tcBorders>
              <w:bottom w:val="single" w:sz="8" w:space="0" w:color="000000"/>
            </w:tcBorders>
            <w:shd w:fill="auto" w:val="clear"/>
            <w:tcMar>
              <w:bottom w:w="28" w:type="dxa"/>
            </w:tcMar>
            <w:vAlign w:val="bottom"/>
          </w:tcPr>
          <w:p>
            <w:pPr>
              <w:pStyle w:val="TableContents"/>
              <w:spacing w:before="0" w:after="283"/>
              <w:jc w:val="center"/>
              <w:rPr/>
            </w:pPr>
            <w:r>
              <w:rPr/>
              <w:t>Year-on-year</w:t>
            </w:r>
          </w:p>
        </w:tc>
        <w:tc>
          <w:tcPr>
            <w:tcW w:w="72" w:type="dxa"/>
            <w:tcBorders/>
            <w:shd w:fill="auto" w:val="clear"/>
            <w:vAlign w:val="bottom"/>
          </w:tcPr>
          <w:p>
            <w:pPr>
              <w:pStyle w:val="TableContents"/>
              <w:spacing w:before="0" w:after="283"/>
              <w:rPr/>
            </w:pPr>
            <w:r>
              <w:rPr/>
              <w:t> </w:t>
            </w:r>
          </w:p>
        </w:tc>
      </w:tr>
      <w:tr>
        <w:trPr/>
        <w:tc>
          <w:tcPr>
            <w:tcW w:w="3453" w:type="dxa"/>
            <w:tcBorders/>
            <w:shd w:fill="CCEEFF" w:val="clear"/>
          </w:tcPr>
          <w:p>
            <w:pPr>
              <w:pStyle w:val="TableContents"/>
              <w:spacing w:before="0" w:after="0"/>
              <w:rPr>
                <w:rFonts w:ascii="ARIAL" w:hAnsi="ARIAL"/>
                <w:sz w:val="20"/>
              </w:rPr>
            </w:pPr>
            <w:r>
              <w:rPr>
                <w:rFonts w:ascii="ARIAL" w:hAnsi="ARIAL"/>
                <w:sz w:val="20"/>
              </w:rPr>
              <w:t>Revenue</w:t>
            </w:r>
          </w:p>
        </w:tc>
        <w:tc>
          <w:tcPr>
            <w:tcW w:w="22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sz w:val="4"/>
                <w:szCs w:val="4"/>
              </w:rPr>
            </w:pPr>
            <w:r>
              <w:rPr>
                <w:sz w:val="4"/>
                <w:szCs w:val="4"/>
              </w:rPr>
            </w:r>
          </w:p>
        </w:tc>
        <w:tc>
          <w:tcPr>
            <w:tcW w:w="677" w:type="dxa"/>
            <w:tcBorders/>
            <w:shd w:fill="CCEEFF" w:val="clear"/>
            <w:vAlign w:val="bottom"/>
          </w:tcPr>
          <w:p>
            <w:pPr>
              <w:pStyle w:val="TableContents"/>
              <w:spacing w:before="0" w:after="283"/>
              <w:rPr>
                <w:sz w:val="4"/>
                <w:szCs w:val="4"/>
              </w:rPr>
            </w:pPr>
            <w:r>
              <w:rPr>
                <w:sz w:val="4"/>
                <w:szCs w:val="4"/>
              </w:rPr>
            </w:r>
          </w:p>
        </w:tc>
        <w:tc>
          <w:tcPr>
            <w:tcW w:w="322"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4" w:type="dxa"/>
            <w:tcBorders/>
            <w:shd w:fill="CCEEFF" w:val="clear"/>
            <w:vAlign w:val="bottom"/>
          </w:tcPr>
          <w:p>
            <w:pPr>
              <w:pStyle w:val="TableContents"/>
              <w:spacing w:before="0" w:after="283"/>
              <w:rPr>
                <w:sz w:val="4"/>
                <w:szCs w:val="4"/>
              </w:rPr>
            </w:pPr>
            <w:r>
              <w:rPr>
                <w:sz w:val="4"/>
                <w:szCs w:val="4"/>
              </w:rPr>
            </w:r>
          </w:p>
        </w:tc>
        <w:tc>
          <w:tcPr>
            <w:tcW w:w="282"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636" w:type="dxa"/>
            <w:tcBorders/>
            <w:shd w:fill="CCEEFF" w:val="clear"/>
            <w:vAlign w:val="bottom"/>
          </w:tcPr>
          <w:p>
            <w:pPr>
              <w:pStyle w:val="TableContents"/>
              <w:spacing w:before="0" w:after="283"/>
              <w:rPr>
                <w:sz w:val="4"/>
                <w:szCs w:val="4"/>
              </w:rPr>
            </w:pPr>
            <w:r>
              <w:rPr>
                <w:sz w:val="4"/>
                <w:szCs w:val="4"/>
              </w:rPr>
            </w:r>
          </w:p>
        </w:tc>
        <w:tc>
          <w:tcPr>
            <w:tcW w:w="282"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sz w:val="4"/>
                <w:szCs w:val="4"/>
              </w:rPr>
            </w:pPr>
            <w:r>
              <w:rPr>
                <w:sz w:val="4"/>
                <w:szCs w:val="4"/>
              </w:rPr>
            </w:r>
          </w:p>
        </w:tc>
        <w:tc>
          <w:tcPr>
            <w:tcW w:w="101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sz w:val="4"/>
                <w:szCs w:val="4"/>
              </w:rPr>
            </w:pPr>
            <w:r>
              <w:rPr>
                <w:sz w:val="4"/>
                <w:szCs w:val="4"/>
              </w:rPr>
            </w:r>
          </w:p>
        </w:tc>
        <w:tc>
          <w:tcPr>
            <w:tcW w:w="1216" w:type="dxa"/>
            <w:tcBorders/>
            <w:shd w:fill="CCEEFF" w:val="clear"/>
            <w:vAlign w:val="bottom"/>
          </w:tcPr>
          <w:p>
            <w:pPr>
              <w:pStyle w:val="TableContents"/>
              <w:spacing w:before="0" w:after="283"/>
              <w:rPr>
                <w:sz w:val="4"/>
                <w:szCs w:val="4"/>
              </w:rPr>
            </w:pPr>
            <w:r>
              <w:rPr>
                <w:sz w:val="4"/>
                <w:szCs w:val="4"/>
              </w:rPr>
            </w:r>
          </w:p>
        </w:tc>
        <w:tc>
          <w:tcPr>
            <w:tcW w:w="72" w:type="dxa"/>
            <w:tcBorders/>
            <w:shd w:fill="CCEEFF" w:val="clear"/>
            <w:vAlign w:val="bottom"/>
          </w:tcPr>
          <w:p>
            <w:pPr>
              <w:pStyle w:val="TableContents"/>
              <w:spacing w:before="0" w:after="283"/>
              <w:rPr>
                <w:sz w:val="4"/>
                <w:szCs w:val="4"/>
              </w:rPr>
            </w:pPr>
            <w:r>
              <w:rPr>
                <w:sz w:val="4"/>
                <w:szCs w:val="4"/>
              </w:rPr>
            </w:r>
          </w:p>
        </w:tc>
      </w:tr>
      <w:tr>
        <w:trPr/>
        <w:tc>
          <w:tcPr>
            <w:tcW w:w="3453" w:type="dxa"/>
            <w:tcBorders/>
            <w:shd w:fill="auto" w:val="clear"/>
            <w:vAlign w:val="bottom"/>
          </w:tcPr>
          <w:p>
            <w:pPr>
              <w:pStyle w:val="TableContents"/>
              <w:spacing w:before="0" w:after="0"/>
              <w:rPr>
                <w:rFonts w:ascii="ARIAL" w:hAnsi="ARIAL"/>
                <w:sz w:val="20"/>
              </w:rPr>
            </w:pPr>
            <w:r>
              <w:rPr>
                <w:rFonts w:ascii="ARIAL" w:hAnsi="ARIAL"/>
                <w:sz w:val="20"/>
              </w:rPr>
              <w:t>International</w:t>
            </w:r>
          </w:p>
        </w:tc>
        <w:tc>
          <w:tcPr>
            <w:tcW w:w="22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b/>
              </w:rPr>
            </w:pPr>
            <w:r>
              <w:rPr>
                <w:b/>
              </w:rPr>
              <w:t>$</w:t>
            </w:r>
          </w:p>
        </w:tc>
        <w:tc>
          <w:tcPr>
            <w:tcW w:w="677" w:type="dxa"/>
            <w:tcBorders/>
            <w:shd w:fill="auto" w:val="clear"/>
            <w:vAlign w:val="bottom"/>
          </w:tcPr>
          <w:p>
            <w:pPr>
              <w:pStyle w:val="TableContents"/>
              <w:spacing w:before="0" w:after="283"/>
              <w:jc w:val="right"/>
              <w:rPr>
                <w:b/>
              </w:rPr>
            </w:pPr>
            <w:r>
              <w:rPr>
                <w:b/>
              </w:rPr>
              <w:t>642</w:t>
            </w:r>
          </w:p>
        </w:tc>
        <w:tc>
          <w:tcPr>
            <w:tcW w:w="32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4" w:type="dxa"/>
            <w:tcBorders/>
            <w:shd w:fill="auto" w:val="clear"/>
            <w:vAlign w:val="bottom"/>
          </w:tcPr>
          <w:p>
            <w:pPr>
              <w:pStyle w:val="TableContents"/>
              <w:spacing w:before="0" w:after="283"/>
              <w:jc w:val="right"/>
              <w:rPr/>
            </w:pPr>
            <w:r>
              <w:rPr/>
              <w:t>723</w:t>
            </w:r>
          </w:p>
        </w:tc>
        <w:tc>
          <w:tcPr>
            <w:tcW w:w="28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w:t>
            </w:r>
          </w:p>
        </w:tc>
        <w:tc>
          <w:tcPr>
            <w:tcW w:w="636" w:type="dxa"/>
            <w:tcBorders/>
            <w:shd w:fill="auto" w:val="clear"/>
            <w:vAlign w:val="bottom"/>
          </w:tcPr>
          <w:p>
            <w:pPr>
              <w:pStyle w:val="TableContents"/>
              <w:spacing w:before="0" w:after="283"/>
              <w:jc w:val="right"/>
              <w:rPr/>
            </w:pPr>
            <w:r>
              <w:rPr/>
              <w:t>631</w:t>
            </w:r>
          </w:p>
        </w:tc>
        <w:tc>
          <w:tcPr>
            <w:tcW w:w="28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center"/>
              <w:rPr>
                <w:b/>
              </w:rPr>
            </w:pPr>
            <w:r>
              <w:rPr>
                <w:b/>
              </w:rPr>
              <w:t>-11%</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center"/>
              <w:rPr/>
            </w:pPr>
            <w:r>
              <w:rPr/>
              <w:t>2%</w:t>
            </w:r>
          </w:p>
        </w:tc>
        <w:tc>
          <w:tcPr>
            <w:tcW w:w="72" w:type="dxa"/>
            <w:tcBorders/>
            <w:shd w:fill="auto" w:val="clear"/>
            <w:vAlign w:val="bottom"/>
          </w:tcPr>
          <w:p>
            <w:pPr>
              <w:pStyle w:val="TableContents"/>
              <w:spacing w:before="0" w:after="283"/>
              <w:rPr/>
            </w:pPr>
            <w:r>
              <w:rPr/>
              <w:t> </w:t>
            </w:r>
          </w:p>
        </w:tc>
      </w:tr>
      <w:tr>
        <w:trPr/>
        <w:tc>
          <w:tcPr>
            <w:tcW w:w="3453" w:type="dxa"/>
            <w:tcBorders/>
            <w:shd w:fill="CCEEFF" w:val="clear"/>
            <w:vAlign w:val="bottom"/>
          </w:tcPr>
          <w:p>
            <w:pPr>
              <w:pStyle w:val="TableContents"/>
              <w:spacing w:before="0" w:after="0"/>
              <w:rPr>
                <w:rFonts w:ascii="ARIAL" w:hAnsi="ARIAL"/>
                <w:sz w:val="20"/>
              </w:rPr>
            </w:pPr>
            <w:r>
              <w:rPr>
                <w:rFonts w:ascii="ARIAL" w:hAnsi="ARIAL"/>
                <w:sz w:val="20"/>
              </w:rPr>
              <w:t>North America</w:t>
            </w:r>
          </w:p>
        </w:tc>
        <w:tc>
          <w:tcPr>
            <w:tcW w:w="22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283"/>
              <w:jc w:val="right"/>
              <w:rPr>
                <w:b/>
              </w:rPr>
            </w:pPr>
            <w:r>
              <w:rPr>
                <w:b/>
              </w:rPr>
              <w:t>251</w:t>
            </w:r>
          </w:p>
        </w:tc>
        <w:tc>
          <w:tcPr>
            <w:tcW w:w="322"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4" w:type="dxa"/>
            <w:tcBorders/>
            <w:shd w:fill="CCEEFF" w:val="clear"/>
            <w:vAlign w:val="bottom"/>
          </w:tcPr>
          <w:p>
            <w:pPr>
              <w:pStyle w:val="TableContents"/>
              <w:spacing w:before="0" w:after="283"/>
              <w:jc w:val="right"/>
              <w:rPr/>
            </w:pPr>
            <w:r>
              <w:rPr/>
              <w:t>288</w:t>
            </w:r>
          </w:p>
        </w:tc>
        <w:tc>
          <w:tcPr>
            <w:tcW w:w="282"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225</w:t>
            </w:r>
          </w:p>
        </w:tc>
        <w:tc>
          <w:tcPr>
            <w:tcW w:w="282"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center"/>
              <w:rPr>
                <w:b/>
              </w:rPr>
            </w:pPr>
            <w:r>
              <w:rPr>
                <w:b/>
              </w:rPr>
              <w:t>-13%</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center"/>
              <w:rPr/>
            </w:pPr>
            <w:r>
              <w:rPr/>
              <w:t>11%</w:t>
            </w:r>
          </w:p>
        </w:tc>
        <w:tc>
          <w:tcPr>
            <w:tcW w:w="72" w:type="dxa"/>
            <w:tcBorders/>
            <w:shd w:fill="CCEEFF" w:val="clear"/>
            <w:vAlign w:val="bottom"/>
          </w:tcPr>
          <w:p>
            <w:pPr>
              <w:pStyle w:val="TableContents"/>
              <w:spacing w:before="0" w:after="283"/>
              <w:rPr/>
            </w:pPr>
            <w:r>
              <w:rPr/>
              <w:t> </w:t>
            </w:r>
          </w:p>
        </w:tc>
      </w:tr>
      <w:tr>
        <w:trPr/>
        <w:tc>
          <w:tcPr>
            <w:tcW w:w="3453" w:type="dxa"/>
            <w:tcBorders/>
            <w:shd w:fill="auto" w:val="clear"/>
            <w:vAlign w:val="bottom"/>
          </w:tcPr>
          <w:p>
            <w:pPr>
              <w:pStyle w:val="TableContents"/>
              <w:spacing w:before="0" w:after="0"/>
              <w:rPr>
                <w:rFonts w:ascii="ARIAL" w:hAnsi="ARIAL"/>
                <w:sz w:val="20"/>
              </w:rPr>
            </w:pPr>
            <w:r>
              <w:rPr>
                <w:rFonts w:ascii="ARIAL" w:hAnsi="ARIAL"/>
                <w:sz w:val="20"/>
              </w:rPr>
              <w:t>Other</w:t>
            </w:r>
          </w:p>
        </w:tc>
        <w:tc>
          <w:tcPr>
            <w:tcW w:w="22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283"/>
              <w:jc w:val="right"/>
              <w:rPr>
                <w:b/>
              </w:rPr>
            </w:pPr>
            <w:r>
              <w:rPr>
                <w:b/>
              </w:rPr>
              <w:t>1</w:t>
            </w:r>
          </w:p>
        </w:tc>
        <w:tc>
          <w:tcPr>
            <w:tcW w:w="32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right"/>
              <w:rPr/>
            </w:pPr>
            <w:r>
              <w:rPr/>
              <w:t>1</w:t>
            </w:r>
          </w:p>
        </w:tc>
        <w:tc>
          <w:tcPr>
            <w:tcW w:w="28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1</w:t>
            </w:r>
          </w:p>
        </w:tc>
        <w:tc>
          <w:tcPr>
            <w:tcW w:w="28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center"/>
              <w:rPr>
                <w:b/>
              </w:rPr>
            </w:pPr>
            <w:r>
              <w:rPr>
                <w:b/>
              </w:rPr>
              <w:t>n/m</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center"/>
              <w:rPr/>
            </w:pPr>
            <w:r>
              <w:rPr/>
              <w:t>n/m</w:t>
            </w:r>
          </w:p>
        </w:tc>
        <w:tc>
          <w:tcPr>
            <w:tcW w:w="72" w:type="dxa"/>
            <w:tcBorders/>
            <w:shd w:fill="auto" w:val="clear"/>
            <w:vAlign w:val="bottom"/>
          </w:tcPr>
          <w:p>
            <w:pPr>
              <w:pStyle w:val="TableContents"/>
              <w:spacing w:before="0" w:after="283"/>
              <w:rPr/>
            </w:pPr>
            <w:r>
              <w:rPr/>
              <w:t> </w:t>
            </w:r>
          </w:p>
        </w:tc>
      </w:tr>
      <w:tr>
        <w:trPr/>
        <w:tc>
          <w:tcPr>
            <w:tcW w:w="3453" w:type="dxa"/>
            <w:tcBorders/>
            <w:shd w:fill="auto" w:val="clear"/>
            <w:vAlign w:val="bottom"/>
          </w:tcPr>
          <w:p>
            <w:pPr>
              <w:pStyle w:val="TableContents"/>
              <w:spacing w:before="0" w:after="283"/>
              <w:rPr>
                <w:sz w:val="4"/>
                <w:szCs w:val="4"/>
              </w:rPr>
            </w:pPr>
            <w:r>
              <w:rPr>
                <w:sz w:val="4"/>
                <w:szCs w:val="4"/>
              </w:rPr>
            </w:r>
          </w:p>
        </w:tc>
        <w:tc>
          <w:tcPr>
            <w:tcW w:w="22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pBdr>
                <w:top w:val="single" w:sz="2" w:space="1" w:color="000000"/>
              </w:pBdr>
              <w:spacing w:before="0" w:after="0"/>
              <w:rPr/>
            </w:pPr>
            <w:r>
              <w:rPr/>
              <w:t> </w:t>
            </w:r>
          </w:p>
        </w:tc>
        <w:tc>
          <w:tcPr>
            <w:tcW w:w="677" w:type="dxa"/>
            <w:tcBorders/>
            <w:shd w:fill="auto" w:val="clear"/>
            <w:vAlign w:val="bottom"/>
          </w:tcPr>
          <w:p>
            <w:pPr>
              <w:pStyle w:val="TableContents"/>
              <w:pBdr>
                <w:top w:val="single" w:sz="2" w:space="1" w:color="000000"/>
              </w:pBdr>
              <w:spacing w:before="0" w:after="0"/>
              <w:rPr/>
            </w:pPr>
            <w:r>
              <w:rPr/>
              <w:t> </w:t>
            </w:r>
          </w:p>
        </w:tc>
        <w:tc>
          <w:tcPr>
            <w:tcW w:w="322" w:type="dxa"/>
            <w:tcBorders/>
            <w:shd w:fill="auto" w:val="clear"/>
            <w:vAlign w:val="center"/>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4"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center"/>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pBdr>
                <w:top w:val="single" w:sz="2" w:space="1" w:color="000000"/>
              </w:pBdr>
              <w:spacing w:before="0" w:after="0"/>
              <w:rPr/>
            </w:pPr>
            <w:r>
              <w:rPr/>
              <w:t> </w:t>
            </w:r>
          </w:p>
        </w:tc>
        <w:tc>
          <w:tcPr>
            <w:tcW w:w="636"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center"/>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01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pBdr>
                <w:top w:val="single" w:sz="2" w:space="1" w:color="000000"/>
              </w:pBdr>
              <w:spacing w:before="0" w:after="0"/>
              <w:rPr/>
            </w:pPr>
            <w:r>
              <w:rPr/>
              <w:t> </w:t>
            </w:r>
          </w:p>
        </w:tc>
        <w:tc>
          <w:tcPr>
            <w:tcW w:w="1216" w:type="dxa"/>
            <w:tcBorders/>
            <w:shd w:fill="auto" w:val="clear"/>
            <w:vAlign w:val="bottom"/>
          </w:tcPr>
          <w:p>
            <w:pPr>
              <w:pStyle w:val="TableContents"/>
              <w:pBdr>
                <w:top w:val="single" w:sz="2" w:space="1" w:color="000000"/>
              </w:pBdr>
              <w:spacing w:before="0" w:after="0"/>
              <w:rPr/>
            </w:pPr>
            <w:r>
              <w:rPr/>
              <w:t> </w:t>
            </w:r>
          </w:p>
        </w:tc>
        <w:tc>
          <w:tcPr>
            <w:tcW w:w="72" w:type="dxa"/>
            <w:tcBorders/>
            <w:shd w:fill="auto" w:val="clear"/>
            <w:vAlign w:val="center"/>
          </w:tcPr>
          <w:p>
            <w:pPr>
              <w:pStyle w:val="TableContents"/>
              <w:spacing w:before="0" w:after="283"/>
              <w:rPr/>
            </w:pPr>
            <w:r>
              <w:rPr/>
              <w:t> </w:t>
            </w:r>
          </w:p>
        </w:tc>
      </w:tr>
      <w:tr>
        <w:trPr/>
        <w:tc>
          <w:tcPr>
            <w:tcW w:w="3453" w:type="dxa"/>
            <w:tcBorders/>
            <w:shd w:fill="CCEEFF" w:val="clear"/>
            <w:vAlign w:val="bottom"/>
          </w:tcPr>
          <w:p>
            <w:pPr>
              <w:pStyle w:val="TableContents"/>
              <w:spacing w:before="0" w:after="283"/>
              <w:rPr>
                <w:sz w:val="4"/>
                <w:szCs w:val="4"/>
              </w:rPr>
            </w:pPr>
            <w:r>
              <w:rPr>
                <w:sz w:val="4"/>
                <w:szCs w:val="4"/>
              </w:rPr>
            </w:r>
          </w:p>
        </w:tc>
        <w:tc>
          <w:tcPr>
            <w:tcW w:w="22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b/>
              </w:rPr>
            </w:pPr>
            <w:r>
              <w:rPr>
                <w:b/>
              </w:rPr>
              <w:t>$</w:t>
            </w:r>
          </w:p>
        </w:tc>
        <w:tc>
          <w:tcPr>
            <w:tcW w:w="677" w:type="dxa"/>
            <w:tcBorders/>
            <w:shd w:fill="CCEEFF" w:val="clear"/>
            <w:vAlign w:val="bottom"/>
          </w:tcPr>
          <w:p>
            <w:pPr>
              <w:pStyle w:val="TableContents"/>
              <w:spacing w:before="0" w:after="283"/>
              <w:jc w:val="right"/>
              <w:rPr>
                <w:b/>
              </w:rPr>
            </w:pPr>
            <w:r>
              <w:rPr>
                <w:b/>
              </w:rPr>
              <w:t>894</w:t>
            </w:r>
          </w:p>
        </w:tc>
        <w:tc>
          <w:tcPr>
            <w:tcW w:w="322"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4" w:type="dxa"/>
            <w:tcBorders/>
            <w:shd w:fill="CCEEFF" w:val="clear"/>
            <w:vAlign w:val="bottom"/>
          </w:tcPr>
          <w:p>
            <w:pPr>
              <w:pStyle w:val="TableContents"/>
              <w:spacing w:before="0" w:after="283"/>
              <w:jc w:val="right"/>
              <w:rPr/>
            </w:pPr>
            <w:r>
              <w:rPr/>
              <w:t>1,012</w:t>
            </w:r>
          </w:p>
        </w:tc>
        <w:tc>
          <w:tcPr>
            <w:tcW w:w="282"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w:t>
            </w:r>
          </w:p>
        </w:tc>
        <w:tc>
          <w:tcPr>
            <w:tcW w:w="636" w:type="dxa"/>
            <w:tcBorders/>
            <w:shd w:fill="CCEEFF" w:val="clear"/>
            <w:vAlign w:val="bottom"/>
          </w:tcPr>
          <w:p>
            <w:pPr>
              <w:pStyle w:val="TableContents"/>
              <w:spacing w:before="0" w:after="283"/>
              <w:jc w:val="right"/>
              <w:rPr/>
            </w:pPr>
            <w:r>
              <w:rPr/>
              <w:t>857</w:t>
            </w:r>
          </w:p>
        </w:tc>
        <w:tc>
          <w:tcPr>
            <w:tcW w:w="282"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center"/>
              <w:rPr>
                <w:b/>
              </w:rPr>
            </w:pPr>
            <w:r>
              <w:rPr>
                <w:b/>
              </w:rPr>
              <w:t>-12%</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center"/>
              <w:rPr/>
            </w:pPr>
            <w:r>
              <w:rPr/>
              <w:t>4%</w:t>
            </w:r>
          </w:p>
        </w:tc>
        <w:tc>
          <w:tcPr>
            <w:tcW w:w="72" w:type="dxa"/>
            <w:tcBorders/>
            <w:shd w:fill="CCEEFF" w:val="clear"/>
            <w:vAlign w:val="bottom"/>
          </w:tcPr>
          <w:p>
            <w:pPr>
              <w:pStyle w:val="TableContents"/>
              <w:spacing w:before="0" w:after="283"/>
              <w:rPr/>
            </w:pPr>
            <w:r>
              <w:rPr/>
              <w:t> </w:t>
            </w:r>
          </w:p>
        </w:tc>
      </w:tr>
      <w:tr>
        <w:trPr/>
        <w:tc>
          <w:tcPr>
            <w:tcW w:w="3453" w:type="dxa"/>
            <w:tcBorders/>
            <w:shd w:fill="auto" w:val="clear"/>
            <w:vAlign w:val="bottom"/>
          </w:tcPr>
          <w:p>
            <w:pPr>
              <w:pStyle w:val="TableContents"/>
              <w:spacing w:before="0" w:after="283"/>
              <w:rPr>
                <w:sz w:val="4"/>
                <w:szCs w:val="4"/>
              </w:rPr>
            </w:pPr>
            <w:r>
              <w:rPr>
                <w:sz w:val="4"/>
                <w:szCs w:val="4"/>
              </w:rPr>
            </w:r>
          </w:p>
        </w:tc>
        <w:tc>
          <w:tcPr>
            <w:tcW w:w="22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pBdr>
                <w:top w:val="single" w:sz="2" w:space="1" w:color="000000"/>
              </w:pBdr>
              <w:spacing w:before="0" w:after="0"/>
              <w:rPr/>
            </w:pPr>
            <w:r>
              <w:rPr/>
              <w:t> </w:t>
            </w:r>
          </w:p>
        </w:tc>
        <w:tc>
          <w:tcPr>
            <w:tcW w:w="677" w:type="dxa"/>
            <w:tcBorders/>
            <w:shd w:fill="auto" w:val="clear"/>
            <w:vAlign w:val="bottom"/>
          </w:tcPr>
          <w:p>
            <w:pPr>
              <w:pStyle w:val="TableContents"/>
              <w:pBdr>
                <w:top w:val="single" w:sz="2" w:space="1" w:color="000000"/>
              </w:pBdr>
              <w:spacing w:before="0" w:after="0"/>
              <w:rPr/>
            </w:pPr>
            <w:r>
              <w:rPr/>
              <w:t> </w:t>
            </w:r>
          </w:p>
        </w:tc>
        <w:tc>
          <w:tcPr>
            <w:tcW w:w="322" w:type="dxa"/>
            <w:tcBorders/>
            <w:shd w:fill="auto" w:val="clear"/>
            <w:vAlign w:val="center"/>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4"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center"/>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pBdr>
                <w:top w:val="single" w:sz="2" w:space="1" w:color="000000"/>
              </w:pBdr>
              <w:spacing w:before="0" w:after="0"/>
              <w:rPr/>
            </w:pPr>
            <w:r>
              <w:rPr/>
              <w:t> </w:t>
            </w:r>
          </w:p>
        </w:tc>
        <w:tc>
          <w:tcPr>
            <w:tcW w:w="636"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center"/>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01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pBdr>
                <w:top w:val="single" w:sz="2" w:space="1" w:color="000000"/>
              </w:pBdr>
              <w:spacing w:before="0" w:after="0"/>
              <w:rPr/>
            </w:pPr>
            <w:r>
              <w:rPr/>
              <w:t> </w:t>
            </w:r>
          </w:p>
        </w:tc>
        <w:tc>
          <w:tcPr>
            <w:tcW w:w="1216" w:type="dxa"/>
            <w:tcBorders/>
            <w:shd w:fill="auto" w:val="clear"/>
            <w:vAlign w:val="bottom"/>
          </w:tcPr>
          <w:p>
            <w:pPr>
              <w:pStyle w:val="TableContents"/>
              <w:pBdr>
                <w:top w:val="single" w:sz="2" w:space="1" w:color="000000"/>
              </w:pBdr>
              <w:spacing w:before="0" w:after="0"/>
              <w:rPr/>
            </w:pPr>
            <w:r>
              <w:rPr/>
              <w:t> </w:t>
            </w:r>
          </w:p>
        </w:tc>
        <w:tc>
          <w:tcPr>
            <w:tcW w:w="72" w:type="dxa"/>
            <w:tcBorders/>
            <w:shd w:fill="auto" w:val="clear"/>
            <w:vAlign w:val="center"/>
          </w:tcPr>
          <w:p>
            <w:pPr>
              <w:pStyle w:val="TableContents"/>
              <w:spacing w:before="0" w:after="283"/>
              <w:rPr/>
            </w:pPr>
            <w:r>
              <w:rPr/>
              <w:t> </w:t>
            </w:r>
          </w:p>
        </w:tc>
      </w:tr>
      <w:tr>
        <w:trPr/>
        <w:tc>
          <w:tcPr>
            <w:tcW w:w="3453" w:type="dxa"/>
            <w:tcBorders/>
            <w:shd w:fill="auto" w:val="clear"/>
            <w:vAlign w:val="bottom"/>
          </w:tcPr>
          <w:p>
            <w:pPr>
              <w:pStyle w:val="TableContents"/>
              <w:spacing w:before="0" w:after="0"/>
              <w:rPr>
                <w:rFonts w:ascii="ARIAL" w:hAnsi="ARIAL"/>
                <w:sz w:val="20"/>
              </w:rPr>
            </w:pPr>
            <w:r>
              <w:rPr>
                <w:rFonts w:ascii="ARIAL" w:hAnsi="ARIAL"/>
                <w:sz w:val="20"/>
              </w:rPr>
              <w:t>Pretax operating income</w:t>
            </w:r>
          </w:p>
        </w:tc>
        <w:tc>
          <w:tcPr>
            <w:tcW w:w="22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b/>
              </w:rPr>
            </w:pPr>
            <w:r>
              <w:rPr>
                <w:b/>
              </w:rPr>
              <w:t>$</w:t>
            </w:r>
          </w:p>
        </w:tc>
        <w:tc>
          <w:tcPr>
            <w:tcW w:w="677" w:type="dxa"/>
            <w:tcBorders/>
            <w:shd w:fill="auto" w:val="clear"/>
            <w:vAlign w:val="bottom"/>
          </w:tcPr>
          <w:p>
            <w:pPr>
              <w:pStyle w:val="TableContents"/>
              <w:spacing w:before="0" w:after="283"/>
              <w:jc w:val="right"/>
              <w:rPr>
                <w:b/>
              </w:rPr>
            </w:pPr>
            <w:r>
              <w:rPr>
                <w:b/>
              </w:rPr>
              <w:t>265</w:t>
            </w:r>
          </w:p>
        </w:tc>
        <w:tc>
          <w:tcPr>
            <w:tcW w:w="32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4" w:type="dxa"/>
            <w:tcBorders/>
            <w:shd w:fill="auto" w:val="clear"/>
            <w:vAlign w:val="bottom"/>
          </w:tcPr>
          <w:p>
            <w:pPr>
              <w:pStyle w:val="TableContents"/>
              <w:spacing w:before="0" w:after="283"/>
              <w:jc w:val="right"/>
              <w:rPr/>
            </w:pPr>
            <w:r>
              <w:rPr/>
              <w:t>382</w:t>
            </w:r>
          </w:p>
        </w:tc>
        <w:tc>
          <w:tcPr>
            <w:tcW w:w="28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w:t>
            </w:r>
          </w:p>
        </w:tc>
        <w:tc>
          <w:tcPr>
            <w:tcW w:w="636" w:type="dxa"/>
            <w:tcBorders/>
            <w:shd w:fill="auto" w:val="clear"/>
            <w:vAlign w:val="bottom"/>
          </w:tcPr>
          <w:p>
            <w:pPr>
              <w:pStyle w:val="TableContents"/>
              <w:spacing w:before="0" w:after="283"/>
              <w:jc w:val="right"/>
              <w:rPr/>
            </w:pPr>
            <w:r>
              <w:rPr/>
              <w:t>292</w:t>
            </w:r>
          </w:p>
        </w:tc>
        <w:tc>
          <w:tcPr>
            <w:tcW w:w="282"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center"/>
              <w:rPr>
                <w:b/>
              </w:rPr>
            </w:pPr>
            <w:r>
              <w:rPr>
                <w:b/>
              </w:rPr>
              <w:t>-31%</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216" w:type="dxa"/>
            <w:tcBorders/>
            <w:shd w:fill="auto" w:val="clear"/>
            <w:vAlign w:val="bottom"/>
          </w:tcPr>
          <w:p>
            <w:pPr>
              <w:pStyle w:val="TableContents"/>
              <w:spacing w:before="0" w:after="283"/>
              <w:jc w:val="center"/>
              <w:rPr/>
            </w:pPr>
            <w:r>
              <w:rPr/>
              <w:t>-9%</w:t>
            </w:r>
          </w:p>
        </w:tc>
        <w:tc>
          <w:tcPr>
            <w:tcW w:w="72" w:type="dxa"/>
            <w:tcBorders/>
            <w:shd w:fill="auto" w:val="clear"/>
            <w:vAlign w:val="bottom"/>
          </w:tcPr>
          <w:p>
            <w:pPr>
              <w:pStyle w:val="TableContents"/>
              <w:spacing w:before="0" w:after="283"/>
              <w:rPr/>
            </w:pPr>
            <w:r>
              <w:rPr/>
              <w:t> </w:t>
            </w:r>
          </w:p>
        </w:tc>
      </w:tr>
      <w:tr>
        <w:trPr/>
        <w:tc>
          <w:tcPr>
            <w:tcW w:w="3453" w:type="dxa"/>
            <w:tcBorders/>
            <w:shd w:fill="CCEEFF" w:val="clear"/>
            <w:vAlign w:val="bottom"/>
          </w:tcPr>
          <w:p>
            <w:pPr>
              <w:pStyle w:val="TableContents"/>
              <w:spacing w:before="0" w:after="0"/>
              <w:rPr>
                <w:rFonts w:ascii="ARIAL" w:hAnsi="ARIAL"/>
                <w:sz w:val="20"/>
              </w:rPr>
            </w:pPr>
            <w:r>
              <w:rPr>
                <w:rFonts w:ascii="ARIAL" w:hAnsi="ARIAL"/>
                <w:sz w:val="20"/>
              </w:rPr>
              <w:t>Pretax operating margin</w:t>
            </w:r>
          </w:p>
        </w:tc>
        <w:tc>
          <w:tcPr>
            <w:tcW w:w="22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283"/>
              <w:jc w:val="right"/>
              <w:rPr>
                <w:b/>
              </w:rPr>
            </w:pPr>
            <w:r>
              <w:rPr>
                <w:b/>
              </w:rPr>
              <w:t>29.6</w:t>
            </w:r>
          </w:p>
        </w:tc>
        <w:tc>
          <w:tcPr>
            <w:tcW w:w="322" w:type="dxa"/>
            <w:tcBorders/>
            <w:shd w:fill="CCEEFF" w:val="clear"/>
            <w:vAlign w:val="bottom"/>
          </w:tcPr>
          <w:p>
            <w:pPr>
              <w:pStyle w:val="TableContents"/>
              <w:spacing w:before="0" w:after="283"/>
              <w:rPr>
                <w:b/>
              </w:rPr>
            </w:pPr>
            <w:r>
              <w:rPr>
                <w:b/>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4" w:type="dxa"/>
            <w:tcBorders/>
            <w:shd w:fill="CCEEFF" w:val="clear"/>
            <w:vAlign w:val="bottom"/>
          </w:tcPr>
          <w:p>
            <w:pPr>
              <w:pStyle w:val="TableContents"/>
              <w:spacing w:before="0" w:after="283"/>
              <w:jc w:val="right"/>
              <w:rPr/>
            </w:pPr>
            <w:r>
              <w:rPr/>
              <w:t>37.7</w:t>
            </w:r>
          </w:p>
        </w:tc>
        <w:tc>
          <w:tcPr>
            <w:tcW w:w="282"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34.0</w:t>
            </w:r>
          </w:p>
        </w:tc>
        <w:tc>
          <w:tcPr>
            <w:tcW w:w="282"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center"/>
              <w:rPr>
                <w:b/>
              </w:rPr>
            </w:pPr>
            <w:r>
              <w:rPr>
                <w:b/>
              </w:rPr>
              <w:t>-810 bps</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216" w:type="dxa"/>
            <w:tcBorders/>
            <w:shd w:fill="CCEEFF" w:val="clear"/>
            <w:vAlign w:val="bottom"/>
          </w:tcPr>
          <w:p>
            <w:pPr>
              <w:pStyle w:val="TableContents"/>
              <w:spacing w:before="0" w:after="283"/>
              <w:jc w:val="center"/>
              <w:rPr/>
            </w:pPr>
            <w:r>
              <w:rPr/>
              <w:t>-440 bps</w:t>
            </w:r>
          </w:p>
        </w:tc>
        <w:tc>
          <w:tcPr>
            <w:tcW w:w="72" w:type="dxa"/>
            <w:tcBorders/>
            <w:shd w:fill="CCEEFF" w:val="clear"/>
            <w:vAlign w:val="bottom"/>
          </w:tcPr>
          <w:p>
            <w:pPr>
              <w:pStyle w:val="TableContents"/>
              <w:spacing w:before="0" w:after="283"/>
              <w:rPr/>
            </w:pPr>
            <w:r>
              <w:rPr/>
              <w:t> </w:t>
            </w:r>
          </w:p>
        </w:tc>
      </w:tr>
    </w:tbl>
    <w:p>
      <w:pPr>
        <w:pStyle w:val="TextBody"/>
        <w:spacing w:before="240" w:after="0"/>
        <w:jc w:val="left"/>
        <w:rPr>
          <w:rFonts w:ascii="ARIAL" w:hAnsi="ARIAL"/>
          <w:sz w:val="20"/>
        </w:rPr>
      </w:pPr>
      <w:r>
        <w:rPr>
          <w:rFonts w:ascii="ARIAL" w:hAnsi="ARIAL"/>
          <w:sz w:val="20"/>
        </w:rPr>
        <w:t xml:space="preserve">n/m  =  not meaningful </w:t>
      </w:r>
    </w:p>
    <w:p>
      <w:pPr>
        <w:pStyle w:val="TextBody"/>
        <w:spacing w:before="240" w:after="0"/>
        <w:jc w:val="left"/>
        <w:rPr>
          <w:rFonts w:ascii="ARIAL" w:hAnsi="ARIAL"/>
          <w:sz w:val="20"/>
        </w:rPr>
      </w:pPr>
      <w:r>
        <w:rPr>
          <w:rFonts w:ascii="ARIAL" w:hAnsi="ARIAL"/>
          <w:sz w:val="20"/>
        </w:rPr>
        <w:t xml:space="preserve">Digital &amp; Integration revenue of $894 million increased 4% year on year as a result of continued growth in digital sales and increased exploration data license sales in the US Gulf of Mexico, which were partially offset by lower revenue from APS projects. </w:t>
      </w:r>
    </w:p>
    <w:p>
      <w:pPr>
        <w:pStyle w:val="TextBody"/>
        <w:spacing w:before="240" w:after="0"/>
        <w:jc w:val="left"/>
        <w:rPr>
          <w:rFonts w:ascii="ARIAL" w:hAnsi="ARIAL"/>
          <w:sz w:val="20"/>
        </w:rPr>
      </w:pPr>
      <w:r>
        <w:rPr>
          <w:rFonts w:ascii="ARIAL" w:hAnsi="ARIAL"/>
          <w:sz w:val="20"/>
        </w:rPr>
        <w:t xml:space="preserve">Sequentially, revenue declined 12% due to lower revenue from APS projects and seasonally lower sales of digital and exploration data licenses following strong year-end sales. The APS revenue decline resulted primarily from a temporary production interruption in our projects in Ecuador due to a pipeline disruption. Additionally, lower commodity prices impacted our project in Canada. </w:t>
      </w:r>
    </w:p>
    <w:p>
      <w:pPr>
        <w:pStyle w:val="TextBody"/>
        <w:spacing w:before="240" w:after="0"/>
        <w:jc w:val="left"/>
        <w:rPr>
          <w:rFonts w:ascii="ARIAL" w:hAnsi="ARIAL"/>
          <w:sz w:val="20"/>
        </w:rPr>
      </w:pPr>
      <w:r>
        <w:rPr>
          <w:rFonts w:ascii="ARIAL" w:hAnsi="ARIAL"/>
          <w:sz w:val="20"/>
        </w:rPr>
        <w:t xml:space="preserve">Digital &amp; Integration pretax operating margin of 30% decreased 440 bps year on year as the continued growth in digital sales was more than offset by lower APS revenue. </w:t>
      </w:r>
    </w:p>
    <w:p>
      <w:pPr>
        <w:pStyle w:val="TextBody"/>
        <w:spacing w:before="240" w:after="0"/>
        <w:jc w:val="left"/>
        <w:rPr>
          <w:rFonts w:ascii="ARIAL" w:hAnsi="ARIAL"/>
          <w:sz w:val="20"/>
        </w:rPr>
      </w:pPr>
      <w:r>
        <w:rPr>
          <w:rFonts w:ascii="ARIAL" w:hAnsi="ARIAL"/>
          <w:sz w:val="20"/>
        </w:rPr>
        <w:t xml:space="preserve">Sequentially, pretax operating margin decreased eight percentage points due to seasonally lower sales of digital and exploration data licenses and lower APS revenue. Pretax operating margin is expected to expand next quarter on higher digital sales and increased revenue from APS projects.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rPr/>
      </w:pPr>
      <w:r>
        <w:rPr/>
      </w:r>
    </w:p>
    <w:p>
      <w:pPr>
        <w:pStyle w:val="TextBody"/>
        <w:spacing w:before="0" w:after="0"/>
        <w:jc w:val="left"/>
        <w:rPr>
          <w:rFonts w:ascii="ARIAL" w:hAnsi="ARIAL"/>
          <w:b/>
          <w:sz w:val="20"/>
        </w:rPr>
      </w:pPr>
      <w:r>
        <w:rPr>
          <w:rFonts w:ascii="ARIAL" w:hAnsi="ARIAL"/>
          <w:b/>
          <w:sz w:val="20"/>
        </w:rPr>
        <w:t xml:space="preserve">Reservoir Performance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926"/>
        <w:gridCol w:w="194"/>
        <w:gridCol w:w="140"/>
        <w:gridCol w:w="618"/>
        <w:gridCol w:w="320"/>
        <w:gridCol w:w="143"/>
        <w:gridCol w:w="140"/>
        <w:gridCol w:w="572"/>
        <w:gridCol w:w="281"/>
        <w:gridCol w:w="143"/>
        <w:gridCol w:w="140"/>
        <w:gridCol w:w="572"/>
        <w:gridCol w:w="281"/>
        <w:gridCol w:w="143"/>
        <w:gridCol w:w="1113"/>
        <w:gridCol w:w="143"/>
        <w:gridCol w:w="1336"/>
      </w:tblGrid>
      <w:tr>
        <w:trPr/>
        <w:tc>
          <w:tcPr>
            <w:tcW w:w="392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392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085" w:type="dxa"/>
            <w:gridSpan w:val="15"/>
            <w:tcBorders/>
            <w:shd w:fill="auto" w:val="clear"/>
            <w:vAlign w:val="bottom"/>
          </w:tcPr>
          <w:p>
            <w:pPr>
              <w:pStyle w:val="TableContents"/>
              <w:spacing w:before="0" w:after="283"/>
              <w:jc w:val="right"/>
              <w:rPr/>
            </w:pPr>
            <w:r>
              <w:rPr/>
              <w:t>(Stated in millions)</w:t>
            </w:r>
          </w:p>
        </w:tc>
      </w:tr>
      <w:tr>
        <w:trPr/>
        <w:tc>
          <w:tcPr>
            <w:tcW w:w="392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3069"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w:t>
            </w:r>
          </w:p>
        </w:tc>
        <w:tc>
          <w:tcPr>
            <w:tcW w:w="28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2592" w:type="dxa"/>
            <w:gridSpan w:val="3"/>
            <w:tcBorders>
              <w:bottom w:val="single" w:sz="8" w:space="0" w:color="000000"/>
            </w:tcBorders>
            <w:shd w:fill="auto" w:val="clear"/>
            <w:tcMar>
              <w:bottom w:w="28" w:type="dxa"/>
            </w:tcMar>
            <w:vAlign w:val="bottom"/>
          </w:tcPr>
          <w:p>
            <w:pPr>
              <w:pStyle w:val="TableContents"/>
              <w:spacing w:before="0" w:after="283"/>
              <w:jc w:val="center"/>
              <w:rPr>
                <w:b/>
              </w:rPr>
            </w:pPr>
            <w:r>
              <w:rPr>
                <w:b/>
              </w:rPr>
              <w:t>Change</w:t>
            </w:r>
          </w:p>
        </w:tc>
      </w:tr>
      <w:tr>
        <w:trPr/>
        <w:tc>
          <w:tcPr>
            <w:tcW w:w="3926"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75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 31,</w:t>
              <w:br/>
              <w:t>2023</w:t>
            </w:r>
          </w:p>
        </w:tc>
        <w:tc>
          <w:tcPr>
            <w:tcW w:w="32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2" w:type="dxa"/>
            <w:gridSpan w:val="2"/>
            <w:tcBorders>
              <w:bottom w:val="single" w:sz="8" w:space="0" w:color="000000"/>
            </w:tcBorders>
            <w:shd w:fill="auto" w:val="clear"/>
            <w:tcMar>
              <w:bottom w:w="28" w:type="dxa"/>
            </w:tcMar>
            <w:vAlign w:val="bottom"/>
          </w:tcPr>
          <w:p>
            <w:pPr>
              <w:pStyle w:val="TableContents"/>
              <w:spacing w:before="0" w:after="283"/>
              <w:jc w:val="center"/>
              <w:rPr/>
            </w:pPr>
            <w:r>
              <w:rPr/>
              <w:t>Dec. 31,</w:t>
              <w:br/>
              <w:t>2022</w:t>
            </w:r>
          </w:p>
        </w:tc>
        <w:tc>
          <w:tcPr>
            <w:tcW w:w="28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712" w:type="dxa"/>
            <w:gridSpan w:val="2"/>
            <w:tcBorders>
              <w:bottom w:val="single" w:sz="8" w:space="0" w:color="000000"/>
            </w:tcBorders>
            <w:shd w:fill="auto" w:val="clear"/>
            <w:tcMar>
              <w:bottom w:w="28" w:type="dxa"/>
            </w:tcMar>
            <w:vAlign w:val="bottom"/>
          </w:tcPr>
          <w:p>
            <w:pPr>
              <w:pStyle w:val="TableContents"/>
              <w:spacing w:before="0" w:after="283"/>
              <w:jc w:val="center"/>
              <w:rPr/>
            </w:pPr>
            <w:r>
              <w:rPr/>
              <w:t>Mar. 31,</w:t>
              <w:br/>
              <w:t>2022</w:t>
            </w:r>
          </w:p>
        </w:tc>
        <w:tc>
          <w:tcPr>
            <w:tcW w:w="28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113" w:type="dxa"/>
            <w:tcBorders>
              <w:bottom w:val="single" w:sz="8" w:space="0" w:color="000000"/>
            </w:tcBorders>
            <w:shd w:fill="auto" w:val="clear"/>
            <w:tcMar>
              <w:bottom w:w="28" w:type="dxa"/>
            </w:tcMar>
            <w:vAlign w:val="bottom"/>
          </w:tcPr>
          <w:p>
            <w:pPr>
              <w:pStyle w:val="TableContents"/>
              <w:spacing w:before="0" w:after="283"/>
              <w:jc w:val="center"/>
              <w:rPr>
                <w:b/>
              </w:rPr>
            </w:pPr>
            <w:r>
              <w:rPr>
                <w:b/>
              </w:rPr>
              <w:t>Sequential</w:t>
            </w:r>
          </w:p>
        </w:tc>
        <w:tc>
          <w:tcPr>
            <w:tcW w:w="143" w:type="dxa"/>
            <w:tcBorders/>
            <w:shd w:fill="auto" w:val="clear"/>
            <w:vAlign w:val="bottom"/>
          </w:tcPr>
          <w:p>
            <w:pPr>
              <w:pStyle w:val="TableContents"/>
              <w:spacing w:before="0" w:after="283"/>
              <w:rPr/>
            </w:pPr>
            <w:r>
              <w:rPr/>
              <w:t> </w:t>
            </w:r>
          </w:p>
        </w:tc>
        <w:tc>
          <w:tcPr>
            <w:tcW w:w="1336" w:type="dxa"/>
            <w:tcBorders>
              <w:bottom w:val="single" w:sz="8" w:space="0" w:color="000000"/>
            </w:tcBorders>
            <w:shd w:fill="auto" w:val="clear"/>
            <w:tcMar>
              <w:bottom w:w="28" w:type="dxa"/>
            </w:tcMar>
            <w:vAlign w:val="bottom"/>
          </w:tcPr>
          <w:p>
            <w:pPr>
              <w:pStyle w:val="TableContents"/>
              <w:spacing w:before="0" w:after="283"/>
              <w:jc w:val="center"/>
              <w:rPr/>
            </w:pPr>
            <w:r>
              <w:rPr/>
              <w:t>Year-on-year</w:t>
            </w:r>
          </w:p>
        </w:tc>
      </w:tr>
      <w:tr>
        <w:trPr/>
        <w:tc>
          <w:tcPr>
            <w:tcW w:w="3926" w:type="dxa"/>
            <w:tcBorders/>
            <w:shd w:fill="CCEEFF" w:val="clear"/>
          </w:tcPr>
          <w:p>
            <w:pPr>
              <w:pStyle w:val="TableContents"/>
              <w:spacing w:before="0" w:after="0"/>
              <w:rPr>
                <w:rFonts w:ascii="ARIAL" w:hAnsi="ARIAL"/>
                <w:sz w:val="20"/>
              </w:rPr>
            </w:pPr>
            <w:r>
              <w:rPr>
                <w:rFonts w:ascii="ARIAL" w:hAnsi="ARIAL"/>
                <w:sz w:val="20"/>
              </w:rPr>
              <w:t>Revenue</w:t>
            </w:r>
          </w:p>
        </w:tc>
        <w:tc>
          <w:tcPr>
            <w:tcW w:w="19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18" w:type="dxa"/>
            <w:tcBorders/>
            <w:shd w:fill="CCEEFF" w:val="clear"/>
            <w:vAlign w:val="bottom"/>
          </w:tcPr>
          <w:p>
            <w:pPr>
              <w:pStyle w:val="TableContents"/>
              <w:spacing w:before="0" w:after="283"/>
              <w:rPr>
                <w:sz w:val="4"/>
                <w:szCs w:val="4"/>
              </w:rPr>
            </w:pPr>
            <w:r>
              <w:rPr>
                <w:sz w:val="4"/>
                <w:szCs w:val="4"/>
              </w:rPr>
            </w:r>
          </w:p>
        </w:tc>
        <w:tc>
          <w:tcPr>
            <w:tcW w:w="320" w:type="dxa"/>
            <w:tcBorders/>
            <w:shd w:fill="CCEEFF" w:val="clear"/>
            <w:vAlign w:val="bottom"/>
          </w:tcPr>
          <w:p>
            <w:pPr>
              <w:pStyle w:val="TableContents"/>
              <w:spacing w:before="0" w:after="283"/>
              <w:rPr>
                <w:sz w:val="4"/>
                <w:szCs w:val="4"/>
              </w:rPr>
            </w:pPr>
            <w:r>
              <w:rPr>
                <w:sz w:val="4"/>
                <w:szCs w:val="4"/>
              </w:rPr>
            </w:r>
          </w:p>
        </w:tc>
        <w:tc>
          <w:tcPr>
            <w:tcW w:w="14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2"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sz w:val="4"/>
                <w:szCs w:val="4"/>
              </w:rPr>
            </w:pPr>
            <w:r>
              <w:rPr>
                <w:sz w:val="4"/>
                <w:szCs w:val="4"/>
              </w:rPr>
            </w:r>
          </w:p>
        </w:tc>
        <w:tc>
          <w:tcPr>
            <w:tcW w:w="14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2"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sz w:val="4"/>
                <w:szCs w:val="4"/>
              </w:rPr>
            </w:pPr>
            <w:r>
              <w:rPr>
                <w:sz w:val="4"/>
                <w:szCs w:val="4"/>
              </w:rPr>
            </w:r>
          </w:p>
        </w:tc>
        <w:tc>
          <w:tcPr>
            <w:tcW w:w="14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rPr>
                <w:sz w:val="4"/>
                <w:szCs w:val="4"/>
              </w:rPr>
            </w:pPr>
            <w:r>
              <w:rPr>
                <w:sz w:val="4"/>
                <w:szCs w:val="4"/>
              </w:rPr>
            </w:r>
          </w:p>
        </w:tc>
        <w:tc>
          <w:tcPr>
            <w:tcW w:w="143"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spacing w:before="0" w:after="283"/>
              <w:rPr>
                <w:sz w:val="4"/>
                <w:szCs w:val="4"/>
              </w:rPr>
            </w:pPr>
            <w:r>
              <w:rPr>
                <w:sz w:val="4"/>
                <w:szCs w:val="4"/>
              </w:rPr>
            </w:r>
          </w:p>
        </w:tc>
      </w:tr>
      <w:tr>
        <w:trPr/>
        <w:tc>
          <w:tcPr>
            <w:tcW w:w="3926" w:type="dxa"/>
            <w:tcBorders/>
            <w:shd w:fill="auto" w:val="clear"/>
            <w:vAlign w:val="bottom"/>
          </w:tcPr>
          <w:p>
            <w:pPr>
              <w:pStyle w:val="TableContents"/>
              <w:spacing w:before="0" w:after="0"/>
              <w:rPr>
                <w:rFonts w:ascii="ARIAL" w:hAnsi="ARIAL"/>
                <w:sz w:val="20"/>
              </w:rPr>
            </w:pPr>
            <w:r>
              <w:rPr>
                <w:rFonts w:ascii="ARIAL" w:hAnsi="ARIAL"/>
                <w:sz w:val="20"/>
              </w:rPr>
              <w:t>International</w:t>
            </w:r>
          </w:p>
        </w:tc>
        <w:tc>
          <w:tcPr>
            <w:tcW w:w="1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618" w:type="dxa"/>
            <w:tcBorders/>
            <w:shd w:fill="auto" w:val="clear"/>
            <w:vAlign w:val="bottom"/>
          </w:tcPr>
          <w:p>
            <w:pPr>
              <w:pStyle w:val="TableContents"/>
              <w:spacing w:before="0" w:after="283"/>
              <w:jc w:val="right"/>
              <w:rPr>
                <w:b/>
              </w:rPr>
            </w:pPr>
            <w:r>
              <w:rPr>
                <w:b/>
              </w:rPr>
              <w:t>1,380</w:t>
            </w:r>
          </w:p>
        </w:tc>
        <w:tc>
          <w:tcPr>
            <w:tcW w:w="32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1,430</w:t>
            </w:r>
          </w:p>
        </w:tc>
        <w:tc>
          <w:tcPr>
            <w:tcW w:w="28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1,105</w:t>
            </w:r>
          </w:p>
        </w:tc>
        <w:tc>
          <w:tcPr>
            <w:tcW w:w="28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center"/>
              <w:rPr>
                <w:b/>
              </w:rPr>
            </w:pPr>
            <w:r>
              <w:rPr>
                <w:b/>
              </w:rPr>
              <w:t>-3%</w:t>
            </w:r>
          </w:p>
        </w:tc>
        <w:tc>
          <w:tcPr>
            <w:tcW w:w="143"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spacing w:before="0" w:after="283"/>
              <w:jc w:val="center"/>
              <w:rPr/>
            </w:pPr>
            <w:r>
              <w:rPr/>
              <w:t>25%</w:t>
            </w:r>
          </w:p>
        </w:tc>
      </w:tr>
      <w:tr>
        <w:trPr/>
        <w:tc>
          <w:tcPr>
            <w:tcW w:w="3926" w:type="dxa"/>
            <w:tcBorders/>
            <w:shd w:fill="CCEEFF" w:val="clear"/>
            <w:vAlign w:val="bottom"/>
          </w:tcPr>
          <w:p>
            <w:pPr>
              <w:pStyle w:val="TableContents"/>
              <w:spacing w:before="0" w:after="0"/>
              <w:rPr>
                <w:rFonts w:ascii="ARIAL" w:hAnsi="ARIAL"/>
                <w:sz w:val="20"/>
              </w:rPr>
            </w:pPr>
            <w:r>
              <w:rPr>
                <w:rFonts w:ascii="ARIAL" w:hAnsi="ARIAL"/>
                <w:sz w:val="20"/>
              </w:rPr>
              <w:t>North America</w:t>
            </w:r>
          </w:p>
        </w:tc>
        <w:tc>
          <w:tcPr>
            <w:tcW w:w="19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b/>
              </w:rPr>
            </w:pPr>
            <w:r>
              <w:rPr>
                <w:b/>
              </w:rPr>
              <w:t>120</w:t>
            </w:r>
          </w:p>
        </w:tc>
        <w:tc>
          <w:tcPr>
            <w:tcW w:w="32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pPr>
            <w:r>
              <w:rPr/>
              <w:t>123</w:t>
            </w:r>
          </w:p>
        </w:tc>
        <w:tc>
          <w:tcPr>
            <w:tcW w:w="28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pPr>
            <w:r>
              <w:rPr/>
              <w:t>103</w:t>
            </w:r>
          </w:p>
        </w:tc>
        <w:tc>
          <w:tcPr>
            <w:tcW w:w="28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center"/>
              <w:rPr>
                <w:b/>
              </w:rPr>
            </w:pPr>
            <w:r>
              <w:rPr>
                <w:b/>
              </w:rPr>
              <w:t>-2%</w:t>
            </w:r>
          </w:p>
        </w:tc>
        <w:tc>
          <w:tcPr>
            <w:tcW w:w="143"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spacing w:before="0" w:after="283"/>
              <w:jc w:val="center"/>
              <w:rPr/>
            </w:pPr>
            <w:r>
              <w:rPr/>
              <w:t>17%</w:t>
            </w:r>
          </w:p>
        </w:tc>
      </w:tr>
      <w:tr>
        <w:trPr/>
        <w:tc>
          <w:tcPr>
            <w:tcW w:w="3926" w:type="dxa"/>
            <w:tcBorders/>
            <w:shd w:fill="auto" w:val="clear"/>
            <w:vAlign w:val="bottom"/>
          </w:tcPr>
          <w:p>
            <w:pPr>
              <w:pStyle w:val="TableContents"/>
              <w:spacing w:before="0" w:after="0"/>
              <w:rPr>
                <w:rFonts w:ascii="ARIAL" w:hAnsi="ARIAL"/>
                <w:sz w:val="20"/>
              </w:rPr>
            </w:pPr>
            <w:r>
              <w:rPr>
                <w:rFonts w:ascii="ARIAL" w:hAnsi="ARIAL"/>
                <w:sz w:val="20"/>
              </w:rPr>
              <w:t>Other</w:t>
            </w:r>
          </w:p>
        </w:tc>
        <w:tc>
          <w:tcPr>
            <w:tcW w:w="1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b/>
              </w:rPr>
            </w:pPr>
            <w:r>
              <w:rPr>
                <w:b/>
              </w:rPr>
              <w:t>3</w:t>
            </w:r>
          </w:p>
        </w:tc>
        <w:tc>
          <w:tcPr>
            <w:tcW w:w="32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pPr>
            <w:r>
              <w:rPr/>
              <w:t>1</w:t>
            </w:r>
          </w:p>
        </w:tc>
        <w:tc>
          <w:tcPr>
            <w:tcW w:w="28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pPr>
            <w:r>
              <w:rPr/>
              <w:t>2</w:t>
            </w:r>
          </w:p>
        </w:tc>
        <w:tc>
          <w:tcPr>
            <w:tcW w:w="28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center"/>
              <w:rPr>
                <w:b/>
              </w:rPr>
            </w:pPr>
            <w:r>
              <w:rPr>
                <w:b/>
              </w:rPr>
              <w:t>n/m</w:t>
            </w:r>
          </w:p>
        </w:tc>
        <w:tc>
          <w:tcPr>
            <w:tcW w:w="143"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spacing w:before="0" w:after="283"/>
              <w:jc w:val="center"/>
              <w:rPr/>
            </w:pPr>
            <w:r>
              <w:rPr/>
              <w:t>n/m</w:t>
            </w:r>
          </w:p>
        </w:tc>
      </w:tr>
      <w:tr>
        <w:trPr/>
        <w:tc>
          <w:tcPr>
            <w:tcW w:w="3926"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18" w:type="dxa"/>
            <w:tcBorders/>
            <w:shd w:fill="auto" w:val="clear"/>
            <w:vAlign w:val="bottom"/>
          </w:tcPr>
          <w:p>
            <w:pPr>
              <w:pStyle w:val="TableContents"/>
              <w:pBdr>
                <w:top w:val="single" w:sz="2" w:space="1" w:color="000000"/>
              </w:pBdr>
              <w:spacing w:before="0" w:after="0"/>
              <w:rPr/>
            </w:pPr>
            <w:r>
              <w:rPr/>
              <w:t> </w:t>
            </w:r>
          </w:p>
        </w:tc>
        <w:tc>
          <w:tcPr>
            <w:tcW w:w="320" w:type="dxa"/>
            <w:tcBorders/>
            <w:shd w:fill="auto" w:val="clear"/>
            <w:vAlign w:val="center"/>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2" w:type="dxa"/>
            <w:tcBorders/>
            <w:shd w:fill="auto" w:val="clear"/>
            <w:vAlign w:val="bottom"/>
          </w:tcPr>
          <w:p>
            <w:pPr>
              <w:pStyle w:val="TableContents"/>
              <w:pBdr>
                <w:top w:val="single" w:sz="2" w:space="1" w:color="000000"/>
              </w:pBdr>
              <w:spacing w:before="0" w:after="0"/>
              <w:rPr/>
            </w:pPr>
            <w:r>
              <w:rPr/>
              <w:t> </w:t>
            </w:r>
          </w:p>
        </w:tc>
        <w:tc>
          <w:tcPr>
            <w:tcW w:w="281" w:type="dxa"/>
            <w:tcBorders/>
            <w:shd w:fill="auto" w:val="clear"/>
            <w:vAlign w:val="center"/>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2" w:type="dxa"/>
            <w:tcBorders/>
            <w:shd w:fill="auto" w:val="clear"/>
            <w:vAlign w:val="bottom"/>
          </w:tcPr>
          <w:p>
            <w:pPr>
              <w:pStyle w:val="TableContents"/>
              <w:pBdr>
                <w:top w:val="single" w:sz="2" w:space="1" w:color="000000"/>
              </w:pBdr>
              <w:spacing w:before="0" w:after="0"/>
              <w:rPr/>
            </w:pPr>
            <w:r>
              <w:rPr/>
              <w:t> </w:t>
            </w:r>
          </w:p>
        </w:tc>
        <w:tc>
          <w:tcPr>
            <w:tcW w:w="281" w:type="dxa"/>
            <w:tcBorders/>
            <w:shd w:fill="auto" w:val="clear"/>
            <w:vAlign w:val="center"/>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pBdr>
                <w:top w:val="single" w:sz="2" w:space="1" w:color="000000"/>
              </w:pBdr>
              <w:spacing w:before="0" w:after="0"/>
              <w:rPr/>
            </w:pPr>
            <w:r>
              <w:rPr/>
              <w:t> </w:t>
            </w:r>
          </w:p>
        </w:tc>
        <w:tc>
          <w:tcPr>
            <w:tcW w:w="143"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pBdr>
                <w:top w:val="single" w:sz="2" w:space="1" w:color="000000"/>
              </w:pBdr>
              <w:spacing w:before="0" w:after="0"/>
              <w:rPr/>
            </w:pPr>
            <w:r>
              <w:rPr/>
              <w:t> </w:t>
            </w:r>
          </w:p>
        </w:tc>
      </w:tr>
      <w:tr>
        <w:trPr/>
        <w:tc>
          <w:tcPr>
            <w:tcW w:w="3926" w:type="dxa"/>
            <w:tcBorders/>
            <w:shd w:fill="CCEEFF" w:val="clear"/>
            <w:vAlign w:val="bottom"/>
          </w:tcPr>
          <w:p>
            <w:pPr>
              <w:pStyle w:val="TableContents"/>
              <w:spacing w:before="0" w:after="283"/>
              <w:rPr>
                <w:sz w:val="4"/>
                <w:szCs w:val="4"/>
              </w:rPr>
            </w:pPr>
            <w:r>
              <w:rPr>
                <w:sz w:val="4"/>
                <w:szCs w:val="4"/>
              </w:rPr>
            </w:r>
          </w:p>
        </w:tc>
        <w:tc>
          <w:tcPr>
            <w:tcW w:w="19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618" w:type="dxa"/>
            <w:tcBorders/>
            <w:shd w:fill="CCEEFF" w:val="clear"/>
            <w:vAlign w:val="bottom"/>
          </w:tcPr>
          <w:p>
            <w:pPr>
              <w:pStyle w:val="TableContents"/>
              <w:spacing w:before="0" w:after="283"/>
              <w:jc w:val="right"/>
              <w:rPr>
                <w:b/>
              </w:rPr>
            </w:pPr>
            <w:r>
              <w:rPr>
                <w:b/>
              </w:rPr>
              <w:t>1,503</w:t>
            </w:r>
          </w:p>
        </w:tc>
        <w:tc>
          <w:tcPr>
            <w:tcW w:w="32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2" w:type="dxa"/>
            <w:tcBorders/>
            <w:shd w:fill="CCEEFF" w:val="clear"/>
            <w:vAlign w:val="bottom"/>
          </w:tcPr>
          <w:p>
            <w:pPr>
              <w:pStyle w:val="TableContents"/>
              <w:spacing w:before="0" w:after="283"/>
              <w:jc w:val="right"/>
              <w:rPr/>
            </w:pPr>
            <w:r>
              <w:rPr/>
              <w:t>1,554</w:t>
            </w:r>
          </w:p>
        </w:tc>
        <w:tc>
          <w:tcPr>
            <w:tcW w:w="28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2" w:type="dxa"/>
            <w:tcBorders/>
            <w:shd w:fill="CCEEFF" w:val="clear"/>
            <w:vAlign w:val="bottom"/>
          </w:tcPr>
          <w:p>
            <w:pPr>
              <w:pStyle w:val="TableContents"/>
              <w:spacing w:before="0" w:after="283"/>
              <w:jc w:val="right"/>
              <w:rPr/>
            </w:pPr>
            <w:r>
              <w:rPr/>
              <w:t>1,210</w:t>
            </w:r>
          </w:p>
        </w:tc>
        <w:tc>
          <w:tcPr>
            <w:tcW w:w="28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center"/>
              <w:rPr>
                <w:b/>
              </w:rPr>
            </w:pPr>
            <w:r>
              <w:rPr>
                <w:b/>
              </w:rPr>
              <w:t>-3%</w:t>
            </w:r>
          </w:p>
        </w:tc>
        <w:tc>
          <w:tcPr>
            <w:tcW w:w="143"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spacing w:before="0" w:after="283"/>
              <w:jc w:val="center"/>
              <w:rPr/>
            </w:pPr>
            <w:r>
              <w:rPr/>
              <w:t>24%</w:t>
            </w:r>
          </w:p>
        </w:tc>
      </w:tr>
      <w:tr>
        <w:trPr/>
        <w:tc>
          <w:tcPr>
            <w:tcW w:w="3926"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18" w:type="dxa"/>
            <w:tcBorders/>
            <w:shd w:fill="auto" w:val="clear"/>
            <w:vAlign w:val="bottom"/>
          </w:tcPr>
          <w:p>
            <w:pPr>
              <w:pStyle w:val="TableContents"/>
              <w:pBdr>
                <w:top w:val="single" w:sz="2" w:space="1" w:color="000000"/>
              </w:pBdr>
              <w:spacing w:before="0" w:after="0"/>
              <w:rPr/>
            </w:pPr>
            <w:r>
              <w:rPr/>
              <w:t> </w:t>
            </w:r>
          </w:p>
        </w:tc>
        <w:tc>
          <w:tcPr>
            <w:tcW w:w="320" w:type="dxa"/>
            <w:tcBorders/>
            <w:shd w:fill="auto" w:val="clear"/>
            <w:vAlign w:val="center"/>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2" w:type="dxa"/>
            <w:tcBorders/>
            <w:shd w:fill="auto" w:val="clear"/>
            <w:vAlign w:val="bottom"/>
          </w:tcPr>
          <w:p>
            <w:pPr>
              <w:pStyle w:val="TableContents"/>
              <w:pBdr>
                <w:top w:val="single" w:sz="2" w:space="1" w:color="000000"/>
              </w:pBdr>
              <w:spacing w:before="0" w:after="0"/>
              <w:rPr/>
            </w:pPr>
            <w:r>
              <w:rPr/>
              <w:t> </w:t>
            </w:r>
          </w:p>
        </w:tc>
        <w:tc>
          <w:tcPr>
            <w:tcW w:w="281" w:type="dxa"/>
            <w:tcBorders/>
            <w:shd w:fill="auto" w:val="clear"/>
            <w:vAlign w:val="center"/>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2" w:type="dxa"/>
            <w:tcBorders/>
            <w:shd w:fill="auto" w:val="clear"/>
            <w:vAlign w:val="bottom"/>
          </w:tcPr>
          <w:p>
            <w:pPr>
              <w:pStyle w:val="TableContents"/>
              <w:pBdr>
                <w:top w:val="single" w:sz="2" w:space="1" w:color="000000"/>
              </w:pBdr>
              <w:spacing w:before="0" w:after="0"/>
              <w:rPr/>
            </w:pPr>
            <w:r>
              <w:rPr/>
              <w:t> </w:t>
            </w:r>
          </w:p>
        </w:tc>
        <w:tc>
          <w:tcPr>
            <w:tcW w:w="281" w:type="dxa"/>
            <w:tcBorders/>
            <w:shd w:fill="auto" w:val="clear"/>
            <w:vAlign w:val="center"/>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pBdr>
                <w:top w:val="single" w:sz="2" w:space="1" w:color="000000"/>
              </w:pBdr>
              <w:spacing w:before="0" w:after="0"/>
              <w:rPr/>
            </w:pPr>
            <w:r>
              <w:rPr/>
              <w:t> </w:t>
            </w:r>
          </w:p>
        </w:tc>
        <w:tc>
          <w:tcPr>
            <w:tcW w:w="143"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pBdr>
                <w:top w:val="single" w:sz="2" w:space="1" w:color="000000"/>
              </w:pBdr>
              <w:spacing w:before="0" w:after="0"/>
              <w:rPr/>
            </w:pPr>
            <w:r>
              <w:rPr/>
              <w:t> </w:t>
            </w:r>
          </w:p>
        </w:tc>
      </w:tr>
      <w:tr>
        <w:trPr/>
        <w:tc>
          <w:tcPr>
            <w:tcW w:w="3926" w:type="dxa"/>
            <w:tcBorders/>
            <w:shd w:fill="auto" w:val="clear"/>
            <w:vAlign w:val="bottom"/>
          </w:tcPr>
          <w:p>
            <w:pPr>
              <w:pStyle w:val="TableContents"/>
              <w:spacing w:before="0" w:after="0"/>
              <w:rPr>
                <w:rFonts w:ascii="ARIAL" w:hAnsi="ARIAL"/>
                <w:sz w:val="20"/>
              </w:rPr>
            </w:pPr>
            <w:r>
              <w:rPr>
                <w:rFonts w:ascii="ARIAL" w:hAnsi="ARIAL"/>
                <w:sz w:val="20"/>
              </w:rPr>
              <w:t>Pretax operating income</w:t>
            </w:r>
          </w:p>
        </w:tc>
        <w:tc>
          <w:tcPr>
            <w:tcW w:w="19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618" w:type="dxa"/>
            <w:tcBorders/>
            <w:shd w:fill="auto" w:val="clear"/>
            <w:vAlign w:val="bottom"/>
          </w:tcPr>
          <w:p>
            <w:pPr>
              <w:pStyle w:val="TableContents"/>
              <w:spacing w:before="0" w:after="283"/>
              <w:jc w:val="right"/>
              <w:rPr>
                <w:b/>
              </w:rPr>
            </w:pPr>
            <w:r>
              <w:rPr>
                <w:b/>
              </w:rPr>
              <w:t>242</w:t>
            </w:r>
          </w:p>
        </w:tc>
        <w:tc>
          <w:tcPr>
            <w:tcW w:w="32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282</w:t>
            </w:r>
          </w:p>
        </w:tc>
        <w:tc>
          <w:tcPr>
            <w:tcW w:w="28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160</w:t>
            </w:r>
          </w:p>
        </w:tc>
        <w:tc>
          <w:tcPr>
            <w:tcW w:w="281"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center"/>
              <w:rPr>
                <w:b/>
              </w:rPr>
            </w:pPr>
            <w:r>
              <w:rPr>
                <w:b/>
              </w:rPr>
              <w:t>-14%</w:t>
            </w:r>
          </w:p>
        </w:tc>
        <w:tc>
          <w:tcPr>
            <w:tcW w:w="143"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spacing w:before="0" w:after="283"/>
              <w:jc w:val="center"/>
              <w:rPr/>
            </w:pPr>
            <w:r>
              <w:rPr/>
              <w:t>52%</w:t>
            </w:r>
          </w:p>
        </w:tc>
      </w:tr>
      <w:tr>
        <w:trPr/>
        <w:tc>
          <w:tcPr>
            <w:tcW w:w="3926" w:type="dxa"/>
            <w:tcBorders/>
            <w:shd w:fill="CCEEFF" w:val="clear"/>
            <w:vAlign w:val="bottom"/>
          </w:tcPr>
          <w:p>
            <w:pPr>
              <w:pStyle w:val="TableContents"/>
              <w:spacing w:before="0" w:after="0"/>
              <w:rPr>
                <w:rFonts w:ascii="ARIAL" w:hAnsi="ARIAL"/>
                <w:sz w:val="20"/>
              </w:rPr>
            </w:pPr>
            <w:r>
              <w:rPr>
                <w:rFonts w:ascii="ARIAL" w:hAnsi="ARIAL"/>
                <w:sz w:val="20"/>
              </w:rPr>
              <w:t>Pretax operating margin</w:t>
            </w:r>
          </w:p>
        </w:tc>
        <w:tc>
          <w:tcPr>
            <w:tcW w:w="19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b/>
              </w:rPr>
            </w:pPr>
            <w:r>
              <w:rPr>
                <w:b/>
              </w:rPr>
              <w:t>16.1</w:t>
            </w:r>
          </w:p>
        </w:tc>
        <w:tc>
          <w:tcPr>
            <w:tcW w:w="320" w:type="dxa"/>
            <w:tcBorders/>
            <w:shd w:fill="CCEEFF" w:val="clear"/>
            <w:vAlign w:val="bottom"/>
          </w:tcPr>
          <w:p>
            <w:pPr>
              <w:pStyle w:val="TableContents"/>
              <w:spacing w:before="0" w:after="283"/>
              <w:rPr>
                <w:b/>
              </w:rPr>
            </w:pPr>
            <w:r>
              <w:rPr>
                <w:b/>
              </w:rPr>
              <w:t>% </w:t>
            </w:r>
          </w:p>
        </w:tc>
        <w:tc>
          <w:tcPr>
            <w:tcW w:w="14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pPr>
            <w:r>
              <w:rPr/>
              <w:t>18.2</w:t>
            </w:r>
          </w:p>
        </w:tc>
        <w:tc>
          <w:tcPr>
            <w:tcW w:w="28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pPr>
            <w:r>
              <w:rPr/>
              <w:t>13.2</w:t>
            </w:r>
          </w:p>
        </w:tc>
        <w:tc>
          <w:tcPr>
            <w:tcW w:w="28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center"/>
              <w:rPr>
                <w:b/>
              </w:rPr>
            </w:pPr>
            <w:r>
              <w:rPr>
                <w:b/>
              </w:rPr>
              <w:t>-207 bps</w:t>
            </w:r>
          </w:p>
        </w:tc>
        <w:tc>
          <w:tcPr>
            <w:tcW w:w="143"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spacing w:before="0" w:after="283"/>
              <w:jc w:val="center"/>
              <w:rPr/>
            </w:pPr>
            <w:r>
              <w:rPr/>
              <w:t>291 bps</w:t>
            </w:r>
          </w:p>
        </w:tc>
      </w:tr>
    </w:tbl>
    <w:p>
      <w:pPr>
        <w:pStyle w:val="TextBody"/>
        <w:spacing w:before="240" w:after="0"/>
        <w:jc w:val="left"/>
        <w:rPr>
          <w:rFonts w:ascii="ARIAL" w:hAnsi="ARIAL"/>
          <w:sz w:val="20"/>
        </w:rPr>
      </w:pPr>
      <w:r>
        <w:rPr>
          <w:rFonts w:ascii="ARIAL" w:hAnsi="ARIAL"/>
          <w:sz w:val="20"/>
        </w:rPr>
        <w:t xml:space="preserve">n/m = not meaningful </w:t>
      </w:r>
    </w:p>
    <w:p>
      <w:pPr>
        <w:pStyle w:val="TextBody"/>
        <w:spacing w:before="240" w:after="0"/>
        <w:jc w:val="left"/>
        <w:rPr>
          <w:rFonts w:ascii="ARIAL" w:hAnsi="ARIAL"/>
          <w:sz w:val="20"/>
        </w:rPr>
      </w:pPr>
      <w:r>
        <w:rPr>
          <w:rFonts w:ascii="ARIAL" w:hAnsi="ARIAL"/>
          <w:sz w:val="20"/>
        </w:rPr>
        <w:t xml:space="preserve">Reservoir Performance revenue of $1.5 billion grew 24% year on year due to increased intervention, evaluation, and stimulation services across all areas on land and offshore and from both exploration and production activity. More than 30% revenue growth was recorded both in Latin America, mainly from higher intervention activity, and in Europe &amp; Africa, largely from new evaluation and stimulation projects. </w:t>
      </w:r>
    </w:p>
    <w:p>
      <w:pPr>
        <w:pStyle w:val="TextBody"/>
        <w:spacing w:before="240" w:after="0"/>
        <w:jc w:val="left"/>
        <w:rPr>
          <w:rFonts w:ascii="ARIAL" w:hAnsi="ARIAL"/>
          <w:sz w:val="20"/>
        </w:rPr>
      </w:pPr>
      <w:r>
        <w:rPr>
          <w:rFonts w:ascii="ARIAL" w:hAnsi="ARIAL"/>
          <w:sz w:val="20"/>
        </w:rPr>
        <w:t xml:space="preserve">Sequentially, revenue decreased 3% due to seasonal activity reductions in Europe and Asia, weather-impacted activity in the Middle East, and lower revenue in Russia. These declines were partially offset by strong evaluation activity in Latin America, while North America revenue was essentially flat. </w:t>
      </w:r>
    </w:p>
    <w:p>
      <w:pPr>
        <w:pStyle w:val="TextBody"/>
        <w:spacing w:before="240" w:after="0"/>
        <w:jc w:val="left"/>
        <w:rPr>
          <w:rFonts w:ascii="ARIAL" w:hAnsi="ARIAL"/>
          <w:sz w:val="20"/>
        </w:rPr>
      </w:pPr>
      <w:r>
        <w:rPr>
          <w:rFonts w:ascii="ARIAL" w:hAnsi="ARIAL"/>
          <w:sz w:val="20"/>
        </w:rPr>
        <w:t xml:space="preserve">Reservoir Performance pretax operating margin of 16% expanded 291 bps year on year with profitability improving across the international market driven by higher activity and improved pricing across evaluation, intervention, and stimulation. </w:t>
      </w:r>
    </w:p>
    <w:p>
      <w:pPr>
        <w:pStyle w:val="TextBody"/>
        <w:spacing w:before="240" w:after="0"/>
        <w:jc w:val="left"/>
        <w:rPr>
          <w:rFonts w:ascii="ARIAL" w:hAnsi="ARIAL"/>
          <w:sz w:val="20"/>
        </w:rPr>
      </w:pPr>
      <w:r>
        <w:rPr>
          <w:rFonts w:ascii="ARIAL" w:hAnsi="ARIAL"/>
          <w:sz w:val="20"/>
        </w:rPr>
        <w:t xml:space="preserve">Sequentially, pretax operating margin decreased 207 bps due to reduced profitability from the seasonal decline in stimulation activity internationally, primarily in the Northern Hemisphere, which more than offset the strong margin expansion in North America. </w:t>
      </w:r>
    </w:p>
    <w:p>
      <w:pPr>
        <w:pStyle w:val="TextBody"/>
        <w:spacing w:before="360" w:after="0"/>
        <w:jc w:val="left"/>
        <w:rPr>
          <w:rFonts w:ascii="ARIAL" w:hAnsi="ARIAL"/>
          <w:b/>
          <w:sz w:val="20"/>
        </w:rPr>
      </w:pPr>
      <w:r>
        <w:rPr>
          <w:rFonts w:ascii="ARIAL" w:hAnsi="ARIAL"/>
          <w:b/>
          <w:sz w:val="20"/>
        </w:rPr>
        <w:t xml:space="preserve">Well Construction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878"/>
        <w:gridCol w:w="192"/>
        <w:gridCol w:w="140"/>
        <w:gridCol w:w="573"/>
        <w:gridCol w:w="321"/>
        <w:gridCol w:w="140"/>
        <w:gridCol w:w="140"/>
        <w:gridCol w:w="573"/>
        <w:gridCol w:w="282"/>
        <w:gridCol w:w="140"/>
        <w:gridCol w:w="140"/>
        <w:gridCol w:w="573"/>
        <w:gridCol w:w="282"/>
        <w:gridCol w:w="140"/>
        <w:gridCol w:w="78"/>
        <w:gridCol w:w="1047"/>
        <w:gridCol w:w="60"/>
        <w:gridCol w:w="140"/>
        <w:gridCol w:w="92"/>
        <w:gridCol w:w="1205"/>
        <w:gridCol w:w="69"/>
      </w:tblGrid>
      <w:tr>
        <w:trPr/>
        <w:tc>
          <w:tcPr>
            <w:tcW w:w="387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r>
      <w:tr>
        <w:trPr/>
        <w:tc>
          <w:tcPr>
            <w:tcW w:w="387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066" w:type="dxa"/>
            <w:gridSpan w:val="18"/>
            <w:tcBorders/>
            <w:shd w:fill="auto" w:val="clear"/>
            <w:vAlign w:val="bottom"/>
          </w:tcPr>
          <w:p>
            <w:pPr>
              <w:pStyle w:val="TableContents"/>
              <w:spacing w:before="0" w:after="283"/>
              <w:jc w:val="right"/>
              <w:rPr/>
            </w:pPr>
            <w:r>
              <w:rPr/>
              <w:t>(Stated in millions)</w:t>
            </w:r>
          </w:p>
        </w:tc>
        <w:tc>
          <w:tcPr>
            <w:tcW w:w="69" w:type="dxa"/>
            <w:tcBorders/>
            <w:shd w:fill="auto" w:val="clear"/>
            <w:vAlign w:val="bottom"/>
          </w:tcPr>
          <w:p>
            <w:pPr>
              <w:pStyle w:val="TableContents"/>
              <w:spacing w:before="0" w:after="283"/>
              <w:rPr/>
            </w:pPr>
            <w:r>
              <w:rPr/>
              <w:t> </w:t>
            </w:r>
          </w:p>
        </w:tc>
      </w:tr>
      <w:tr>
        <w:trPr/>
        <w:tc>
          <w:tcPr>
            <w:tcW w:w="387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3022"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w:t>
            </w:r>
          </w:p>
        </w:tc>
        <w:tc>
          <w:tcPr>
            <w:tcW w:w="2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62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Change</w:t>
            </w:r>
          </w:p>
        </w:tc>
        <w:tc>
          <w:tcPr>
            <w:tcW w:w="69" w:type="dxa"/>
            <w:tcBorders/>
            <w:shd w:fill="auto" w:val="clear"/>
            <w:vAlign w:val="bottom"/>
          </w:tcPr>
          <w:p>
            <w:pPr>
              <w:pStyle w:val="TableContents"/>
              <w:spacing w:before="0" w:after="283"/>
              <w:rPr/>
            </w:pPr>
            <w:r>
              <w:rPr/>
              <w:t> </w:t>
            </w:r>
          </w:p>
        </w:tc>
      </w:tr>
      <w:tr>
        <w:trPr/>
        <w:tc>
          <w:tcPr>
            <w:tcW w:w="387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7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 31,</w:t>
              <w:br/>
              <w:t>2023</w:t>
            </w:r>
          </w:p>
        </w:tc>
        <w:tc>
          <w:tcPr>
            <w:tcW w:w="3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13" w:type="dxa"/>
            <w:gridSpan w:val="2"/>
            <w:tcBorders>
              <w:bottom w:val="single" w:sz="8" w:space="0" w:color="000000"/>
            </w:tcBorders>
            <w:shd w:fill="auto" w:val="clear"/>
            <w:tcMar>
              <w:bottom w:w="28" w:type="dxa"/>
            </w:tcMar>
            <w:vAlign w:val="bottom"/>
          </w:tcPr>
          <w:p>
            <w:pPr>
              <w:pStyle w:val="TableContents"/>
              <w:spacing w:before="0" w:after="283"/>
              <w:jc w:val="center"/>
              <w:rPr/>
            </w:pPr>
            <w:r>
              <w:rPr/>
              <w:t>Dec. 31,</w:t>
              <w:br/>
              <w:t>2022</w:t>
            </w:r>
          </w:p>
        </w:tc>
        <w:tc>
          <w:tcPr>
            <w:tcW w:w="2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13" w:type="dxa"/>
            <w:gridSpan w:val="2"/>
            <w:tcBorders>
              <w:bottom w:val="single" w:sz="8" w:space="0" w:color="000000"/>
            </w:tcBorders>
            <w:shd w:fill="auto" w:val="clear"/>
            <w:tcMar>
              <w:bottom w:w="28" w:type="dxa"/>
            </w:tcMar>
            <w:vAlign w:val="bottom"/>
          </w:tcPr>
          <w:p>
            <w:pPr>
              <w:pStyle w:val="TableContents"/>
              <w:spacing w:before="0" w:after="283"/>
              <w:jc w:val="center"/>
              <w:rPr/>
            </w:pPr>
            <w:r>
              <w:rPr/>
              <w:t>Mar. 31,</w:t>
              <w:br/>
              <w:t>2022</w:t>
            </w:r>
          </w:p>
        </w:tc>
        <w:tc>
          <w:tcPr>
            <w:tcW w:w="2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Sequential</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7" w:type="dxa"/>
            <w:gridSpan w:val="2"/>
            <w:tcBorders>
              <w:bottom w:val="single" w:sz="8" w:space="0" w:color="000000"/>
            </w:tcBorders>
            <w:shd w:fill="auto" w:val="clear"/>
            <w:tcMar>
              <w:bottom w:w="28" w:type="dxa"/>
            </w:tcMar>
            <w:vAlign w:val="bottom"/>
          </w:tcPr>
          <w:p>
            <w:pPr>
              <w:pStyle w:val="TableContents"/>
              <w:spacing w:before="0" w:after="283"/>
              <w:jc w:val="center"/>
              <w:rPr/>
            </w:pPr>
            <w:r>
              <w:rPr/>
              <w:t>Year-on-year</w:t>
            </w:r>
          </w:p>
        </w:tc>
        <w:tc>
          <w:tcPr>
            <w:tcW w:w="69" w:type="dxa"/>
            <w:tcBorders/>
            <w:shd w:fill="auto" w:val="clear"/>
            <w:vAlign w:val="bottom"/>
          </w:tcPr>
          <w:p>
            <w:pPr>
              <w:pStyle w:val="TableContents"/>
              <w:spacing w:before="0" w:after="283"/>
              <w:rPr/>
            </w:pPr>
            <w:r>
              <w:rPr/>
              <w:t> </w:t>
            </w:r>
          </w:p>
        </w:tc>
      </w:tr>
      <w:tr>
        <w:trPr/>
        <w:tc>
          <w:tcPr>
            <w:tcW w:w="3878" w:type="dxa"/>
            <w:tcBorders/>
            <w:shd w:fill="CCEEFF" w:val="clear"/>
          </w:tcPr>
          <w:p>
            <w:pPr>
              <w:pStyle w:val="TableContents"/>
              <w:spacing w:before="0" w:after="0"/>
              <w:rPr>
                <w:rFonts w:ascii="ARIAL" w:hAnsi="ARIAL"/>
                <w:sz w:val="20"/>
              </w:rPr>
            </w:pPr>
            <w:r>
              <w:rPr>
                <w:rFonts w:ascii="ARIAL" w:hAnsi="ARIAL"/>
                <w:sz w:val="20"/>
              </w:rPr>
              <w:t>Revenue</w:t>
            </w:r>
          </w:p>
        </w:tc>
        <w:tc>
          <w:tcPr>
            <w:tcW w:w="1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321" w:type="dxa"/>
            <w:tcBorders/>
            <w:shd w:fill="CCEEFF" w:val="clear"/>
            <w:vAlign w:val="bottom"/>
          </w:tcPr>
          <w:p>
            <w:pPr>
              <w:pStyle w:val="TableContents"/>
              <w:spacing w:before="0" w:after="283"/>
              <w:rPr>
                <w:sz w:val="4"/>
                <w:szCs w:val="4"/>
              </w:rPr>
            </w:pPr>
            <w:r>
              <w:rPr>
                <w:sz w:val="4"/>
                <w:szCs w:val="4"/>
              </w:rPr>
            </w:r>
          </w:p>
        </w:tc>
        <w:tc>
          <w:tcPr>
            <w:tcW w:w="1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282" w:type="dxa"/>
            <w:tcBorders/>
            <w:shd w:fill="CCEEFF" w:val="clear"/>
            <w:vAlign w:val="bottom"/>
          </w:tcPr>
          <w:p>
            <w:pPr>
              <w:pStyle w:val="TableContents"/>
              <w:spacing w:before="0" w:after="283"/>
              <w:rPr>
                <w:sz w:val="4"/>
                <w:szCs w:val="4"/>
              </w:rPr>
            </w:pPr>
            <w:r>
              <w:rPr>
                <w:sz w:val="4"/>
                <w:szCs w:val="4"/>
              </w:rPr>
            </w:r>
          </w:p>
        </w:tc>
        <w:tc>
          <w:tcPr>
            <w:tcW w:w="1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282" w:type="dxa"/>
            <w:tcBorders/>
            <w:shd w:fill="CCEEFF" w:val="clear"/>
            <w:vAlign w:val="bottom"/>
          </w:tcPr>
          <w:p>
            <w:pPr>
              <w:pStyle w:val="TableContents"/>
              <w:spacing w:before="0" w:after="283"/>
              <w:rPr>
                <w:sz w:val="4"/>
                <w:szCs w:val="4"/>
              </w:rPr>
            </w:pPr>
            <w:r>
              <w:rPr>
                <w:sz w:val="4"/>
                <w:szCs w:val="4"/>
              </w:rPr>
            </w:r>
          </w:p>
        </w:tc>
        <w:tc>
          <w:tcPr>
            <w:tcW w:w="14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104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sz w:val="4"/>
                <w:szCs w:val="4"/>
              </w:rPr>
            </w:pPr>
            <w:r>
              <w:rPr>
                <w:sz w:val="4"/>
                <w:szCs w:val="4"/>
              </w:rPr>
            </w:r>
          </w:p>
        </w:tc>
        <w:tc>
          <w:tcPr>
            <w:tcW w:w="1205"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rPr/>
        <w:tc>
          <w:tcPr>
            <w:tcW w:w="3878" w:type="dxa"/>
            <w:tcBorders/>
            <w:shd w:fill="auto" w:val="clear"/>
            <w:vAlign w:val="bottom"/>
          </w:tcPr>
          <w:p>
            <w:pPr>
              <w:pStyle w:val="TableContents"/>
              <w:spacing w:before="0" w:after="0"/>
              <w:rPr>
                <w:rFonts w:ascii="ARIAL" w:hAnsi="ARIAL"/>
                <w:sz w:val="20"/>
              </w:rPr>
            </w:pPr>
            <w:r>
              <w:rPr>
                <w:rFonts w:ascii="ARIAL" w:hAnsi="ARIAL"/>
                <w:sz w:val="20"/>
              </w:rPr>
              <w:t>International</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573" w:type="dxa"/>
            <w:tcBorders/>
            <w:shd w:fill="auto" w:val="clear"/>
            <w:vAlign w:val="bottom"/>
          </w:tcPr>
          <w:p>
            <w:pPr>
              <w:pStyle w:val="TableContents"/>
              <w:spacing w:before="0" w:after="283"/>
              <w:jc w:val="right"/>
              <w:rPr>
                <w:b/>
              </w:rPr>
            </w:pPr>
            <w:r>
              <w:rPr>
                <w:b/>
              </w:rPr>
              <w:t>2,493</w:t>
            </w:r>
          </w:p>
        </w:tc>
        <w:tc>
          <w:tcPr>
            <w:tcW w:w="3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2,522</w:t>
            </w:r>
          </w:p>
        </w:tc>
        <w:tc>
          <w:tcPr>
            <w:tcW w:w="2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1,865</w:t>
            </w:r>
          </w:p>
        </w:tc>
        <w:tc>
          <w:tcPr>
            <w:tcW w:w="2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center"/>
              <w:rPr>
                <w:b/>
              </w:rPr>
            </w:pPr>
            <w:r>
              <w:rPr>
                <w:b/>
              </w:rPr>
              <w:t>-1%</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center"/>
              <w:rPr/>
            </w:pPr>
            <w:r>
              <w:rPr/>
              <w:t>34%</w:t>
            </w:r>
          </w:p>
        </w:tc>
        <w:tc>
          <w:tcPr>
            <w:tcW w:w="69" w:type="dxa"/>
            <w:tcBorders/>
            <w:shd w:fill="auto" w:val="clear"/>
            <w:vAlign w:val="bottom"/>
          </w:tcPr>
          <w:p>
            <w:pPr>
              <w:pStyle w:val="TableContents"/>
              <w:spacing w:before="0" w:after="283"/>
              <w:rPr/>
            </w:pPr>
            <w:r>
              <w:rPr/>
              <w:t> </w:t>
            </w:r>
          </w:p>
        </w:tc>
      </w:tr>
      <w:tr>
        <w:trPr/>
        <w:tc>
          <w:tcPr>
            <w:tcW w:w="3878" w:type="dxa"/>
            <w:tcBorders/>
            <w:shd w:fill="CCEEFF" w:val="clear"/>
            <w:vAlign w:val="bottom"/>
          </w:tcPr>
          <w:p>
            <w:pPr>
              <w:pStyle w:val="TableContents"/>
              <w:spacing w:before="0" w:after="0"/>
              <w:rPr>
                <w:rFonts w:ascii="ARIAL" w:hAnsi="ARIAL"/>
                <w:sz w:val="20"/>
              </w:rPr>
            </w:pPr>
            <w:r>
              <w:rPr>
                <w:rFonts w:ascii="ARIAL" w:hAnsi="ARIAL"/>
                <w:sz w:val="20"/>
              </w:rPr>
              <w:t>North America</w:t>
            </w:r>
          </w:p>
        </w:tc>
        <w:tc>
          <w:tcPr>
            <w:tcW w:w="1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b/>
              </w:rPr>
            </w:pPr>
            <w:r>
              <w:rPr>
                <w:b/>
              </w:rPr>
              <w:t>711</w:t>
            </w:r>
          </w:p>
        </w:tc>
        <w:tc>
          <w:tcPr>
            <w:tcW w:w="32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pPr>
            <w:r>
              <w:rPr/>
              <w:t>652</w:t>
            </w:r>
          </w:p>
        </w:tc>
        <w:tc>
          <w:tcPr>
            <w:tcW w:w="28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pPr>
            <w:r>
              <w:rPr/>
              <w:t>485</w:t>
            </w:r>
          </w:p>
        </w:tc>
        <w:tc>
          <w:tcPr>
            <w:tcW w:w="28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center"/>
              <w:rPr>
                <w:b/>
              </w:rPr>
            </w:pPr>
            <w:r>
              <w:rPr>
                <w:b/>
              </w:rPr>
              <w:t>9%</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center"/>
              <w:rPr/>
            </w:pPr>
            <w:r>
              <w:rPr/>
              <w:t>47%</w:t>
            </w:r>
          </w:p>
        </w:tc>
        <w:tc>
          <w:tcPr>
            <w:tcW w:w="69" w:type="dxa"/>
            <w:tcBorders/>
            <w:shd w:fill="CCEEFF" w:val="clear"/>
            <w:vAlign w:val="bottom"/>
          </w:tcPr>
          <w:p>
            <w:pPr>
              <w:pStyle w:val="TableContents"/>
              <w:spacing w:before="0" w:after="283"/>
              <w:rPr/>
            </w:pPr>
            <w:r>
              <w:rPr/>
              <w:t> </w:t>
            </w:r>
          </w:p>
        </w:tc>
      </w:tr>
      <w:tr>
        <w:trPr/>
        <w:tc>
          <w:tcPr>
            <w:tcW w:w="3878" w:type="dxa"/>
            <w:tcBorders/>
            <w:shd w:fill="auto" w:val="clear"/>
            <w:vAlign w:val="bottom"/>
          </w:tcPr>
          <w:p>
            <w:pPr>
              <w:pStyle w:val="TableContents"/>
              <w:spacing w:before="0" w:after="0"/>
              <w:rPr>
                <w:rFonts w:ascii="ARIAL" w:hAnsi="ARIAL"/>
                <w:sz w:val="20"/>
              </w:rPr>
            </w:pPr>
            <w:r>
              <w:rPr>
                <w:rFonts w:ascii="ARIAL" w:hAnsi="ARIAL"/>
                <w:sz w:val="20"/>
              </w:rPr>
              <w:t>Other</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jc w:val="right"/>
              <w:rPr>
                <w:b/>
              </w:rPr>
            </w:pPr>
            <w:r>
              <w:rPr>
                <w:b/>
              </w:rPr>
              <w:t>57</w:t>
            </w:r>
          </w:p>
        </w:tc>
        <w:tc>
          <w:tcPr>
            <w:tcW w:w="3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jc w:val="right"/>
              <w:rPr/>
            </w:pPr>
            <w:r>
              <w:rPr/>
              <w:t>55</w:t>
            </w:r>
          </w:p>
        </w:tc>
        <w:tc>
          <w:tcPr>
            <w:tcW w:w="2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jc w:val="right"/>
              <w:rPr/>
            </w:pPr>
            <w:r>
              <w:rPr/>
              <w:t>48</w:t>
            </w:r>
          </w:p>
        </w:tc>
        <w:tc>
          <w:tcPr>
            <w:tcW w:w="2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center"/>
              <w:rPr>
                <w:b/>
              </w:rPr>
            </w:pPr>
            <w:r>
              <w:rPr>
                <w:b/>
              </w:rPr>
              <w:t>n/m</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center"/>
              <w:rPr/>
            </w:pPr>
            <w:r>
              <w:rPr/>
              <w:t>n/m</w:t>
            </w:r>
          </w:p>
        </w:tc>
        <w:tc>
          <w:tcPr>
            <w:tcW w:w="69" w:type="dxa"/>
            <w:tcBorders/>
            <w:shd w:fill="auto" w:val="clear"/>
            <w:vAlign w:val="bottom"/>
          </w:tcPr>
          <w:p>
            <w:pPr>
              <w:pStyle w:val="TableContents"/>
              <w:spacing w:before="0" w:after="283"/>
              <w:rPr/>
            </w:pPr>
            <w:r>
              <w:rPr/>
              <w:t> </w:t>
            </w:r>
          </w:p>
        </w:tc>
      </w:tr>
      <w:tr>
        <w:trPr/>
        <w:tc>
          <w:tcPr>
            <w:tcW w:w="3878"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3" w:type="dxa"/>
            <w:tcBorders/>
            <w:shd w:fill="auto" w:val="clear"/>
            <w:vAlign w:val="bottom"/>
          </w:tcPr>
          <w:p>
            <w:pPr>
              <w:pStyle w:val="TableContents"/>
              <w:pBdr>
                <w:top w:val="single" w:sz="2" w:space="1" w:color="000000"/>
              </w:pBdr>
              <w:spacing w:before="0" w:after="0"/>
              <w:rPr/>
            </w:pPr>
            <w:r>
              <w:rPr/>
              <w:t> </w:t>
            </w:r>
          </w:p>
        </w:tc>
        <w:tc>
          <w:tcPr>
            <w:tcW w:w="321" w:type="dxa"/>
            <w:tcBorders/>
            <w:shd w:fill="auto" w:val="clear"/>
            <w:vAlign w:val="cente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3"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cente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3"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cente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0"/>
              <w:rPr/>
            </w:pPr>
            <w:r>
              <w:rPr/>
              <w:t> </w:t>
            </w:r>
          </w:p>
        </w:tc>
        <w:tc>
          <w:tcPr>
            <w:tcW w:w="104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pBdr>
                <w:top w:val="single" w:sz="2" w:space="1" w:color="000000"/>
              </w:pBdr>
              <w:spacing w:before="0" w:after="0"/>
              <w:rPr/>
            </w:pPr>
            <w:r>
              <w:rPr/>
              <w:t> </w:t>
            </w:r>
          </w:p>
        </w:tc>
        <w:tc>
          <w:tcPr>
            <w:tcW w:w="1205" w:type="dxa"/>
            <w:tcBorders/>
            <w:shd w:fill="auto" w:val="clear"/>
            <w:vAlign w:val="bottom"/>
          </w:tcPr>
          <w:p>
            <w:pPr>
              <w:pStyle w:val="TableContents"/>
              <w:pBdr>
                <w:top w:val="single" w:sz="2" w:space="1" w:color="000000"/>
              </w:pBdr>
              <w:spacing w:before="0" w:after="0"/>
              <w:rPr/>
            </w:pPr>
            <w:r>
              <w:rPr/>
              <w:t> </w:t>
            </w:r>
          </w:p>
        </w:tc>
        <w:tc>
          <w:tcPr>
            <w:tcW w:w="69" w:type="dxa"/>
            <w:tcBorders/>
            <w:shd w:fill="auto" w:val="clear"/>
            <w:vAlign w:val="center"/>
          </w:tcPr>
          <w:p>
            <w:pPr>
              <w:pStyle w:val="TableContents"/>
              <w:spacing w:before="0" w:after="283"/>
              <w:rPr/>
            </w:pPr>
            <w:r>
              <w:rPr/>
              <w:t> </w:t>
            </w:r>
          </w:p>
        </w:tc>
      </w:tr>
      <w:tr>
        <w:trPr/>
        <w:tc>
          <w:tcPr>
            <w:tcW w:w="3878" w:type="dxa"/>
            <w:tcBorders/>
            <w:shd w:fill="CCEEFF" w:val="clear"/>
          </w:tcPr>
          <w:p>
            <w:pPr>
              <w:pStyle w:val="TableContents"/>
              <w:spacing w:before="0" w:after="283"/>
              <w:rPr>
                <w:sz w:val="4"/>
                <w:szCs w:val="4"/>
              </w:rPr>
            </w:pPr>
            <w:r>
              <w:rPr>
                <w:sz w:val="4"/>
                <w:szCs w:val="4"/>
              </w:rPr>
            </w:r>
          </w:p>
        </w:tc>
        <w:tc>
          <w:tcPr>
            <w:tcW w:w="1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573" w:type="dxa"/>
            <w:tcBorders/>
            <w:shd w:fill="CCEEFF" w:val="clear"/>
            <w:vAlign w:val="bottom"/>
          </w:tcPr>
          <w:p>
            <w:pPr>
              <w:pStyle w:val="TableContents"/>
              <w:spacing w:before="0" w:after="283"/>
              <w:jc w:val="right"/>
              <w:rPr>
                <w:b/>
              </w:rPr>
            </w:pPr>
            <w:r>
              <w:rPr>
                <w:b/>
              </w:rPr>
              <w:t>3,261</w:t>
            </w:r>
          </w:p>
        </w:tc>
        <w:tc>
          <w:tcPr>
            <w:tcW w:w="32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3,229</w:t>
            </w:r>
          </w:p>
        </w:tc>
        <w:tc>
          <w:tcPr>
            <w:tcW w:w="28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2,398</w:t>
            </w:r>
          </w:p>
        </w:tc>
        <w:tc>
          <w:tcPr>
            <w:tcW w:w="28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center"/>
              <w:rPr>
                <w:b/>
              </w:rPr>
            </w:pPr>
            <w:r>
              <w:rPr>
                <w:b/>
              </w:rPr>
              <w:t>1%</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center"/>
              <w:rPr/>
            </w:pPr>
            <w:r>
              <w:rPr/>
              <w:t>36%</w:t>
            </w:r>
          </w:p>
        </w:tc>
        <w:tc>
          <w:tcPr>
            <w:tcW w:w="69" w:type="dxa"/>
            <w:tcBorders/>
            <w:shd w:fill="CCEEFF" w:val="clear"/>
            <w:vAlign w:val="bottom"/>
          </w:tcPr>
          <w:p>
            <w:pPr>
              <w:pStyle w:val="TableContents"/>
              <w:spacing w:before="0" w:after="283"/>
              <w:rPr/>
            </w:pPr>
            <w:r>
              <w:rPr/>
              <w:t> </w:t>
            </w:r>
          </w:p>
        </w:tc>
      </w:tr>
      <w:tr>
        <w:trPr/>
        <w:tc>
          <w:tcPr>
            <w:tcW w:w="3878"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3" w:type="dxa"/>
            <w:tcBorders/>
            <w:shd w:fill="auto" w:val="clear"/>
            <w:vAlign w:val="bottom"/>
          </w:tcPr>
          <w:p>
            <w:pPr>
              <w:pStyle w:val="TableContents"/>
              <w:pBdr>
                <w:top w:val="single" w:sz="2" w:space="1" w:color="000000"/>
              </w:pBdr>
              <w:spacing w:before="0" w:after="0"/>
              <w:rPr/>
            </w:pPr>
            <w:r>
              <w:rPr/>
              <w:t> </w:t>
            </w:r>
          </w:p>
        </w:tc>
        <w:tc>
          <w:tcPr>
            <w:tcW w:w="321" w:type="dxa"/>
            <w:tcBorders/>
            <w:shd w:fill="auto" w:val="clear"/>
            <w:vAlign w:val="cente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3"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cente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3"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cente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0"/>
              <w:rPr/>
            </w:pPr>
            <w:r>
              <w:rPr/>
              <w:t> </w:t>
            </w:r>
          </w:p>
        </w:tc>
        <w:tc>
          <w:tcPr>
            <w:tcW w:w="104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pBdr>
                <w:top w:val="single" w:sz="2" w:space="1" w:color="000000"/>
              </w:pBdr>
              <w:spacing w:before="0" w:after="0"/>
              <w:rPr/>
            </w:pPr>
            <w:r>
              <w:rPr/>
              <w:t> </w:t>
            </w:r>
          </w:p>
        </w:tc>
        <w:tc>
          <w:tcPr>
            <w:tcW w:w="1205" w:type="dxa"/>
            <w:tcBorders/>
            <w:shd w:fill="auto" w:val="clear"/>
            <w:vAlign w:val="bottom"/>
          </w:tcPr>
          <w:p>
            <w:pPr>
              <w:pStyle w:val="TableContents"/>
              <w:pBdr>
                <w:top w:val="single" w:sz="2" w:space="1" w:color="000000"/>
              </w:pBdr>
              <w:spacing w:before="0" w:after="0"/>
              <w:rPr/>
            </w:pPr>
            <w:r>
              <w:rPr/>
              <w:t> </w:t>
            </w:r>
          </w:p>
        </w:tc>
        <w:tc>
          <w:tcPr>
            <w:tcW w:w="69" w:type="dxa"/>
            <w:tcBorders/>
            <w:shd w:fill="auto" w:val="clear"/>
            <w:vAlign w:val="center"/>
          </w:tcPr>
          <w:p>
            <w:pPr>
              <w:pStyle w:val="TableContents"/>
              <w:spacing w:before="0" w:after="283"/>
              <w:rPr/>
            </w:pPr>
            <w:r>
              <w:rPr/>
              <w:t> </w:t>
            </w:r>
          </w:p>
        </w:tc>
      </w:tr>
      <w:tr>
        <w:trPr/>
        <w:tc>
          <w:tcPr>
            <w:tcW w:w="3878" w:type="dxa"/>
            <w:tcBorders/>
            <w:shd w:fill="auto" w:val="clear"/>
            <w:vAlign w:val="bottom"/>
          </w:tcPr>
          <w:p>
            <w:pPr>
              <w:pStyle w:val="TableContents"/>
              <w:spacing w:before="0" w:after="0"/>
              <w:rPr>
                <w:rFonts w:ascii="ARIAL" w:hAnsi="ARIAL"/>
                <w:sz w:val="20"/>
              </w:rPr>
            </w:pPr>
            <w:r>
              <w:rPr>
                <w:rFonts w:ascii="ARIAL" w:hAnsi="ARIAL"/>
                <w:sz w:val="20"/>
              </w:rPr>
              <w:t>Pretax operating income</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573" w:type="dxa"/>
            <w:tcBorders/>
            <w:shd w:fill="auto" w:val="clear"/>
            <w:vAlign w:val="bottom"/>
          </w:tcPr>
          <w:p>
            <w:pPr>
              <w:pStyle w:val="TableContents"/>
              <w:spacing w:before="0" w:after="283"/>
              <w:jc w:val="right"/>
              <w:rPr>
                <w:b/>
              </w:rPr>
            </w:pPr>
            <w:r>
              <w:rPr>
                <w:b/>
              </w:rPr>
              <w:t>672</w:t>
            </w:r>
          </w:p>
        </w:tc>
        <w:tc>
          <w:tcPr>
            <w:tcW w:w="32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679</w:t>
            </w:r>
          </w:p>
        </w:tc>
        <w:tc>
          <w:tcPr>
            <w:tcW w:w="2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388</w:t>
            </w:r>
          </w:p>
        </w:tc>
        <w:tc>
          <w:tcPr>
            <w:tcW w:w="28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center"/>
              <w:rPr>
                <w:b/>
              </w:rPr>
            </w:pPr>
            <w:r>
              <w:rPr>
                <w:b/>
              </w:rPr>
              <w:t>-1%</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center"/>
              <w:rPr/>
            </w:pPr>
            <w:r>
              <w:rPr/>
              <w:t>73%</w:t>
            </w:r>
          </w:p>
        </w:tc>
        <w:tc>
          <w:tcPr>
            <w:tcW w:w="69" w:type="dxa"/>
            <w:tcBorders/>
            <w:shd w:fill="auto" w:val="clear"/>
            <w:vAlign w:val="bottom"/>
          </w:tcPr>
          <w:p>
            <w:pPr>
              <w:pStyle w:val="TableContents"/>
              <w:spacing w:before="0" w:after="283"/>
              <w:rPr/>
            </w:pPr>
            <w:r>
              <w:rPr/>
              <w:t> </w:t>
            </w:r>
          </w:p>
        </w:tc>
      </w:tr>
      <w:tr>
        <w:trPr/>
        <w:tc>
          <w:tcPr>
            <w:tcW w:w="3878" w:type="dxa"/>
            <w:tcBorders/>
            <w:shd w:fill="CCEEFF" w:val="clear"/>
            <w:vAlign w:val="bottom"/>
          </w:tcPr>
          <w:p>
            <w:pPr>
              <w:pStyle w:val="TableContents"/>
              <w:spacing w:before="0" w:after="0"/>
              <w:rPr>
                <w:rFonts w:ascii="ARIAL" w:hAnsi="ARIAL"/>
                <w:sz w:val="20"/>
              </w:rPr>
            </w:pPr>
            <w:r>
              <w:rPr>
                <w:rFonts w:ascii="ARIAL" w:hAnsi="ARIAL"/>
                <w:sz w:val="20"/>
              </w:rPr>
              <w:t>Pretax operating margin</w:t>
            </w:r>
          </w:p>
        </w:tc>
        <w:tc>
          <w:tcPr>
            <w:tcW w:w="1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b/>
              </w:rPr>
            </w:pPr>
            <w:r>
              <w:rPr>
                <w:b/>
              </w:rPr>
              <w:t>20.6</w:t>
            </w:r>
          </w:p>
        </w:tc>
        <w:tc>
          <w:tcPr>
            <w:tcW w:w="321" w:type="dxa"/>
            <w:tcBorders/>
            <w:shd w:fill="CCEEFF" w:val="clear"/>
            <w:vAlign w:val="bottom"/>
          </w:tcPr>
          <w:p>
            <w:pPr>
              <w:pStyle w:val="TableContents"/>
              <w:spacing w:before="0" w:after="283"/>
              <w:rPr>
                <w:b/>
              </w:rPr>
            </w:pPr>
            <w:r>
              <w:rPr>
                <w:b/>
              </w:rPr>
              <w:t>% </w:t>
            </w:r>
          </w:p>
        </w:tc>
        <w:tc>
          <w:tcPr>
            <w:tcW w:w="1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pPr>
            <w:r>
              <w:rPr/>
              <w:t>21.0</w:t>
            </w:r>
          </w:p>
        </w:tc>
        <w:tc>
          <w:tcPr>
            <w:tcW w:w="28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pPr>
            <w:r>
              <w:rPr/>
              <w:t>16.2</w:t>
            </w:r>
          </w:p>
        </w:tc>
        <w:tc>
          <w:tcPr>
            <w:tcW w:w="28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center"/>
              <w:rPr>
                <w:b/>
              </w:rPr>
            </w:pPr>
            <w:r>
              <w:rPr>
                <w:b/>
              </w:rPr>
              <w:t>-44 bps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center"/>
              <w:rPr/>
            </w:pPr>
            <w:r>
              <w:rPr/>
              <w:t>444 bps</w:t>
            </w:r>
          </w:p>
        </w:tc>
        <w:tc>
          <w:tcPr>
            <w:tcW w:w="69" w:type="dxa"/>
            <w:tcBorders/>
            <w:shd w:fill="CCEEFF" w:val="clear"/>
            <w:vAlign w:val="bottom"/>
          </w:tcPr>
          <w:p>
            <w:pPr>
              <w:pStyle w:val="TableContents"/>
              <w:spacing w:before="0" w:after="283"/>
              <w:rPr/>
            </w:pPr>
            <w:r>
              <w:rPr/>
              <w:t> </w:t>
            </w:r>
          </w:p>
        </w:tc>
      </w:tr>
    </w:tbl>
    <w:p>
      <w:pPr>
        <w:pStyle w:val="TextBody"/>
        <w:spacing w:before="240" w:after="0"/>
        <w:jc w:val="left"/>
        <w:rPr>
          <w:rFonts w:ascii="ARIAL" w:hAnsi="ARIAL"/>
          <w:sz w:val="20"/>
        </w:rPr>
      </w:pPr>
      <w:r>
        <w:rPr>
          <w:rFonts w:ascii="ARIAL" w:hAnsi="ARIAL"/>
          <w:sz w:val="20"/>
        </w:rPr>
        <w:t xml:space="preserve">n/m = not meaningful </w:t>
      </w:r>
    </w:p>
    <w:p>
      <w:pPr>
        <w:pStyle w:val="TextBody"/>
        <w:spacing w:before="240" w:after="0"/>
        <w:jc w:val="left"/>
        <w:rPr>
          <w:rFonts w:ascii="ARIAL" w:hAnsi="ARIAL"/>
          <w:sz w:val="20"/>
        </w:rPr>
      </w:pPr>
      <w:r>
        <w:rPr>
          <w:rFonts w:ascii="ARIAL" w:hAnsi="ARIAL"/>
          <w:sz w:val="20"/>
        </w:rPr>
        <w:t xml:space="preserve">Well Construction revenue of $3.3 billion increased 36% year on year driven by strong activity and solid pricing improvements led by North America and Latin America, both of which grew more than 45%. Europe &amp; Africa revenue increased 38% while Middle East &amp; Asia revenue grew 24% year on year.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Double-digit revenue growth was recorded both on land and offshore in fluids, measurements, integrated well construction, drilling, and equipment sales. </w:t>
      </w:r>
    </w:p>
    <w:p>
      <w:pPr>
        <w:pStyle w:val="TextBody"/>
        <w:spacing w:before="240" w:after="0"/>
        <w:jc w:val="left"/>
        <w:rPr>
          <w:rFonts w:ascii="ARIAL" w:hAnsi="ARIAL"/>
          <w:sz w:val="20"/>
        </w:rPr>
      </w:pPr>
      <w:r>
        <w:rPr>
          <w:rFonts w:ascii="ARIAL" w:hAnsi="ARIAL"/>
          <w:sz w:val="20"/>
        </w:rPr>
        <w:t xml:space="preserve">Sequentially, revenue was slightly higher, driven by increased drilling, measurements, and integrated well construction activity, mainly on land and offshore North America; in Latin America, primarily in Mexico and Brazil; and offshore Africa. These increases were partially offset by lower revenue in Russia and seasonal reductions in Asia. </w:t>
      </w:r>
    </w:p>
    <w:p>
      <w:pPr>
        <w:pStyle w:val="TextBody"/>
        <w:spacing w:before="240" w:after="0"/>
        <w:jc w:val="left"/>
        <w:rPr>
          <w:rFonts w:ascii="ARIAL" w:hAnsi="ARIAL"/>
          <w:sz w:val="20"/>
        </w:rPr>
      </w:pPr>
      <w:r>
        <w:rPr>
          <w:rFonts w:ascii="ARIAL" w:hAnsi="ARIAL"/>
          <w:sz w:val="20"/>
        </w:rPr>
        <w:t xml:space="preserve">Well Construction pretax operating margin of 21% expanded 444 bps year on year with profitability improving in measurements, integrated drilling, equipment sales, and fluids across most areas driven by higher activity and improved pricing. </w:t>
      </w:r>
    </w:p>
    <w:p>
      <w:pPr>
        <w:pStyle w:val="TextBody"/>
        <w:spacing w:before="240" w:after="0"/>
        <w:jc w:val="left"/>
        <w:rPr>
          <w:rFonts w:ascii="ARIAL" w:hAnsi="ARIAL"/>
          <w:sz w:val="20"/>
        </w:rPr>
      </w:pPr>
      <w:r>
        <w:rPr>
          <w:rFonts w:ascii="ARIAL" w:hAnsi="ARIAL"/>
          <w:sz w:val="20"/>
        </w:rPr>
        <w:t xml:space="preserve">Sequentially, pretax operating margin was essentially flat as improved profitability in Latin America was offset by reduced margin in the Northern Hemisphere due to seasonality. </w:t>
      </w:r>
    </w:p>
    <w:p>
      <w:pPr>
        <w:pStyle w:val="TextBody"/>
        <w:spacing w:before="360" w:after="0"/>
        <w:jc w:val="left"/>
        <w:rPr>
          <w:rFonts w:ascii="ARIAL" w:hAnsi="ARIAL"/>
          <w:b/>
          <w:sz w:val="20"/>
        </w:rPr>
      </w:pPr>
      <w:r>
        <w:rPr>
          <w:rFonts w:ascii="ARIAL" w:hAnsi="ARIAL"/>
          <w:b/>
          <w:sz w:val="20"/>
        </w:rPr>
        <w:t xml:space="preserve">Production Systems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798"/>
        <w:gridCol w:w="191"/>
        <w:gridCol w:w="140"/>
        <w:gridCol w:w="616"/>
        <w:gridCol w:w="321"/>
        <w:gridCol w:w="139"/>
        <w:gridCol w:w="140"/>
        <w:gridCol w:w="572"/>
        <w:gridCol w:w="282"/>
        <w:gridCol w:w="139"/>
        <w:gridCol w:w="140"/>
        <w:gridCol w:w="572"/>
        <w:gridCol w:w="281"/>
        <w:gridCol w:w="139"/>
        <w:gridCol w:w="69"/>
        <w:gridCol w:w="1055"/>
        <w:gridCol w:w="60"/>
        <w:gridCol w:w="139"/>
        <w:gridCol w:w="92"/>
        <w:gridCol w:w="1248"/>
        <w:gridCol w:w="72"/>
      </w:tblGrid>
      <w:tr>
        <w:trPr/>
        <w:tc>
          <w:tcPr>
            <w:tcW w:w="379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r>
      <w:tr>
        <w:trPr/>
        <w:tc>
          <w:tcPr>
            <w:tcW w:w="379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6144" w:type="dxa"/>
            <w:gridSpan w:val="18"/>
            <w:tcBorders/>
            <w:shd w:fill="auto" w:val="clear"/>
            <w:vAlign w:val="bottom"/>
          </w:tcPr>
          <w:p>
            <w:pPr>
              <w:pStyle w:val="TableContents"/>
              <w:spacing w:before="0" w:after="283"/>
              <w:jc w:val="right"/>
              <w:rPr/>
            </w:pPr>
            <w:r>
              <w:rPr/>
              <w:t>(Stated in millions)</w:t>
            </w:r>
          </w:p>
        </w:tc>
        <w:tc>
          <w:tcPr>
            <w:tcW w:w="72" w:type="dxa"/>
            <w:tcBorders/>
            <w:shd w:fill="auto" w:val="clear"/>
            <w:vAlign w:val="bottom"/>
          </w:tcPr>
          <w:p>
            <w:pPr>
              <w:pStyle w:val="TableContents"/>
              <w:spacing w:before="0" w:after="283"/>
              <w:rPr/>
            </w:pPr>
            <w:r>
              <w:rPr/>
              <w:t> </w:t>
            </w:r>
          </w:p>
        </w:tc>
      </w:tr>
      <w:tr>
        <w:trPr/>
        <w:tc>
          <w:tcPr>
            <w:tcW w:w="379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3061"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w:t>
            </w:r>
          </w:p>
        </w:tc>
        <w:tc>
          <w:tcPr>
            <w:tcW w:w="28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266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Change</w:t>
            </w:r>
          </w:p>
        </w:tc>
        <w:tc>
          <w:tcPr>
            <w:tcW w:w="72" w:type="dxa"/>
            <w:tcBorders/>
            <w:shd w:fill="auto" w:val="clear"/>
            <w:vAlign w:val="bottom"/>
          </w:tcPr>
          <w:p>
            <w:pPr>
              <w:pStyle w:val="TableContents"/>
              <w:spacing w:before="0" w:after="283"/>
              <w:rPr/>
            </w:pPr>
            <w:r>
              <w:rPr/>
              <w:t> </w:t>
            </w:r>
          </w:p>
        </w:tc>
      </w:tr>
      <w:tr>
        <w:trPr/>
        <w:tc>
          <w:tcPr>
            <w:tcW w:w="3798"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75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 31,</w:t>
              <w:br/>
              <w:t>2023</w:t>
            </w:r>
          </w:p>
        </w:tc>
        <w:tc>
          <w:tcPr>
            <w:tcW w:w="32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12" w:type="dxa"/>
            <w:gridSpan w:val="2"/>
            <w:tcBorders>
              <w:bottom w:val="single" w:sz="8" w:space="0" w:color="000000"/>
            </w:tcBorders>
            <w:shd w:fill="auto" w:val="clear"/>
            <w:tcMar>
              <w:bottom w:w="28" w:type="dxa"/>
            </w:tcMar>
            <w:vAlign w:val="bottom"/>
          </w:tcPr>
          <w:p>
            <w:pPr>
              <w:pStyle w:val="TableContents"/>
              <w:spacing w:before="0" w:after="283"/>
              <w:jc w:val="center"/>
              <w:rPr/>
            </w:pPr>
            <w:r>
              <w:rPr/>
              <w:t>Dec. 31,</w:t>
              <w:br/>
              <w:t>2022</w:t>
            </w:r>
          </w:p>
        </w:tc>
        <w:tc>
          <w:tcPr>
            <w:tcW w:w="282"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12" w:type="dxa"/>
            <w:gridSpan w:val="2"/>
            <w:tcBorders>
              <w:bottom w:val="single" w:sz="8" w:space="0" w:color="000000"/>
            </w:tcBorders>
            <w:shd w:fill="auto" w:val="clear"/>
            <w:tcMar>
              <w:bottom w:w="28" w:type="dxa"/>
            </w:tcMar>
            <w:vAlign w:val="bottom"/>
          </w:tcPr>
          <w:p>
            <w:pPr>
              <w:pStyle w:val="TableContents"/>
              <w:spacing w:before="0" w:after="283"/>
              <w:jc w:val="center"/>
              <w:rPr/>
            </w:pPr>
            <w:r>
              <w:rPr/>
              <w:t>Mar. 31,</w:t>
              <w:br/>
              <w:t>2022</w:t>
            </w:r>
          </w:p>
        </w:tc>
        <w:tc>
          <w:tcPr>
            <w:tcW w:w="28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12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Sequential</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340" w:type="dxa"/>
            <w:gridSpan w:val="2"/>
            <w:tcBorders>
              <w:bottom w:val="single" w:sz="8" w:space="0" w:color="000000"/>
            </w:tcBorders>
            <w:shd w:fill="auto" w:val="clear"/>
            <w:tcMar>
              <w:bottom w:w="28" w:type="dxa"/>
            </w:tcMar>
            <w:vAlign w:val="bottom"/>
          </w:tcPr>
          <w:p>
            <w:pPr>
              <w:pStyle w:val="TableContents"/>
              <w:spacing w:before="0" w:after="283"/>
              <w:jc w:val="center"/>
              <w:rPr/>
            </w:pPr>
            <w:r>
              <w:rPr/>
              <w:t>Year-on-year</w:t>
            </w:r>
          </w:p>
        </w:tc>
        <w:tc>
          <w:tcPr>
            <w:tcW w:w="72" w:type="dxa"/>
            <w:tcBorders/>
            <w:shd w:fill="auto" w:val="clear"/>
            <w:vAlign w:val="bottom"/>
          </w:tcPr>
          <w:p>
            <w:pPr>
              <w:pStyle w:val="TableContents"/>
              <w:spacing w:before="0" w:after="283"/>
              <w:rPr/>
            </w:pPr>
            <w:r>
              <w:rPr/>
              <w:t> </w:t>
            </w:r>
          </w:p>
        </w:tc>
      </w:tr>
      <w:tr>
        <w:trPr/>
        <w:tc>
          <w:tcPr>
            <w:tcW w:w="3798" w:type="dxa"/>
            <w:tcBorders/>
            <w:shd w:fill="CCEEFF" w:val="clear"/>
          </w:tcPr>
          <w:p>
            <w:pPr>
              <w:pStyle w:val="TableContents"/>
              <w:spacing w:before="0" w:after="0"/>
              <w:rPr>
                <w:rFonts w:ascii="ARIAL" w:hAnsi="ARIAL"/>
                <w:sz w:val="20"/>
              </w:rPr>
            </w:pPr>
            <w:r>
              <w:rPr>
                <w:rFonts w:ascii="ARIAL" w:hAnsi="ARIAL"/>
                <w:sz w:val="20"/>
              </w:rPr>
              <w:t>Revenue</w:t>
            </w:r>
          </w:p>
        </w:tc>
        <w:tc>
          <w:tcPr>
            <w:tcW w:w="1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16" w:type="dxa"/>
            <w:tcBorders/>
            <w:shd w:fill="CCEEFF" w:val="clear"/>
            <w:vAlign w:val="bottom"/>
          </w:tcPr>
          <w:p>
            <w:pPr>
              <w:pStyle w:val="TableContents"/>
              <w:spacing w:before="0" w:after="283"/>
              <w:rPr>
                <w:sz w:val="4"/>
                <w:szCs w:val="4"/>
              </w:rPr>
            </w:pPr>
            <w:r>
              <w:rPr>
                <w:sz w:val="4"/>
                <w:szCs w:val="4"/>
              </w:rPr>
            </w:r>
          </w:p>
        </w:tc>
        <w:tc>
          <w:tcPr>
            <w:tcW w:w="321" w:type="dxa"/>
            <w:tcBorders/>
            <w:shd w:fill="CCEEFF" w:val="clear"/>
            <w:vAlign w:val="bottom"/>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2" w:type="dxa"/>
            <w:tcBorders/>
            <w:shd w:fill="CCEEFF" w:val="clear"/>
            <w:vAlign w:val="bottom"/>
          </w:tcPr>
          <w:p>
            <w:pPr>
              <w:pStyle w:val="TableContents"/>
              <w:spacing w:before="0" w:after="283"/>
              <w:rPr>
                <w:sz w:val="4"/>
                <w:szCs w:val="4"/>
              </w:rPr>
            </w:pPr>
            <w:r>
              <w:rPr>
                <w:sz w:val="4"/>
                <w:szCs w:val="4"/>
              </w:rPr>
            </w:r>
          </w:p>
        </w:tc>
        <w:tc>
          <w:tcPr>
            <w:tcW w:w="282" w:type="dxa"/>
            <w:tcBorders/>
            <w:shd w:fill="CCEEFF" w:val="clear"/>
            <w:vAlign w:val="bottom"/>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2"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sz w:val="4"/>
                <w:szCs w:val="4"/>
              </w:rPr>
            </w:pPr>
            <w:r>
              <w:rPr>
                <w:sz w:val="4"/>
                <w:szCs w:val="4"/>
              </w:rPr>
            </w:r>
          </w:p>
        </w:tc>
        <w:tc>
          <w:tcPr>
            <w:tcW w:w="10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9"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sz w:val="4"/>
                <w:szCs w:val="4"/>
              </w:rPr>
            </w:pPr>
            <w:r>
              <w:rPr>
                <w:sz w:val="4"/>
                <w:szCs w:val="4"/>
              </w:rPr>
            </w:r>
          </w:p>
        </w:tc>
        <w:tc>
          <w:tcPr>
            <w:tcW w:w="1248" w:type="dxa"/>
            <w:tcBorders/>
            <w:shd w:fill="CCEEFF" w:val="clear"/>
            <w:vAlign w:val="bottom"/>
          </w:tcPr>
          <w:p>
            <w:pPr>
              <w:pStyle w:val="TableContents"/>
              <w:spacing w:before="0" w:after="283"/>
              <w:rPr>
                <w:sz w:val="4"/>
                <w:szCs w:val="4"/>
              </w:rPr>
            </w:pPr>
            <w:r>
              <w:rPr>
                <w:sz w:val="4"/>
                <w:szCs w:val="4"/>
              </w:rPr>
            </w:r>
          </w:p>
        </w:tc>
        <w:tc>
          <w:tcPr>
            <w:tcW w:w="72" w:type="dxa"/>
            <w:tcBorders/>
            <w:shd w:fill="CCEEFF" w:val="clear"/>
            <w:vAlign w:val="bottom"/>
          </w:tcPr>
          <w:p>
            <w:pPr>
              <w:pStyle w:val="TableContents"/>
              <w:spacing w:before="0" w:after="283"/>
              <w:rPr>
                <w:sz w:val="4"/>
                <w:szCs w:val="4"/>
              </w:rPr>
            </w:pPr>
            <w:r>
              <w:rPr>
                <w:sz w:val="4"/>
                <w:szCs w:val="4"/>
              </w:rPr>
            </w:r>
          </w:p>
        </w:tc>
      </w:tr>
      <w:tr>
        <w:trPr/>
        <w:tc>
          <w:tcPr>
            <w:tcW w:w="3798" w:type="dxa"/>
            <w:tcBorders/>
            <w:shd w:fill="auto" w:val="clear"/>
            <w:vAlign w:val="bottom"/>
          </w:tcPr>
          <w:p>
            <w:pPr>
              <w:pStyle w:val="TableContents"/>
              <w:spacing w:before="0" w:after="0"/>
              <w:rPr>
                <w:rFonts w:ascii="ARIAL" w:hAnsi="ARIAL"/>
                <w:sz w:val="20"/>
              </w:rPr>
            </w:pPr>
            <w:r>
              <w:rPr>
                <w:rFonts w:ascii="ARIAL" w:hAnsi="ARIAL"/>
                <w:sz w:val="20"/>
              </w:rPr>
              <w:t>International</w:t>
            </w:r>
          </w:p>
        </w:tc>
        <w:tc>
          <w:tcPr>
            <w:tcW w:w="1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616" w:type="dxa"/>
            <w:tcBorders/>
            <w:shd w:fill="auto" w:val="clear"/>
            <w:vAlign w:val="bottom"/>
          </w:tcPr>
          <w:p>
            <w:pPr>
              <w:pStyle w:val="TableContents"/>
              <w:spacing w:before="0" w:after="283"/>
              <w:jc w:val="right"/>
              <w:rPr>
                <w:b/>
              </w:rPr>
            </w:pPr>
            <w:r>
              <w:rPr>
                <w:b/>
              </w:rPr>
              <w:t>1,574</w:t>
            </w:r>
          </w:p>
        </w:tc>
        <w:tc>
          <w:tcPr>
            <w:tcW w:w="32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1,638</w:t>
            </w:r>
          </w:p>
        </w:tc>
        <w:tc>
          <w:tcPr>
            <w:tcW w:w="282"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1,127</w:t>
            </w:r>
          </w:p>
        </w:tc>
        <w:tc>
          <w:tcPr>
            <w:tcW w:w="28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center"/>
              <w:rPr>
                <w:b/>
              </w:rPr>
            </w:pPr>
            <w:r>
              <w:rPr>
                <w:b/>
              </w:rPr>
              <w:t>-4%</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jc w:val="center"/>
              <w:rPr/>
            </w:pPr>
            <w:r>
              <w:rPr/>
              <w:t>40%</w:t>
            </w:r>
          </w:p>
        </w:tc>
        <w:tc>
          <w:tcPr>
            <w:tcW w:w="72" w:type="dxa"/>
            <w:tcBorders/>
            <w:shd w:fill="auto" w:val="clear"/>
            <w:vAlign w:val="bottom"/>
          </w:tcPr>
          <w:p>
            <w:pPr>
              <w:pStyle w:val="TableContents"/>
              <w:spacing w:before="0" w:after="283"/>
              <w:rPr/>
            </w:pPr>
            <w:r>
              <w:rPr/>
              <w:t> </w:t>
            </w:r>
          </w:p>
        </w:tc>
      </w:tr>
      <w:tr>
        <w:trPr/>
        <w:tc>
          <w:tcPr>
            <w:tcW w:w="3798" w:type="dxa"/>
            <w:tcBorders/>
            <w:shd w:fill="CCEEFF" w:val="clear"/>
            <w:vAlign w:val="bottom"/>
          </w:tcPr>
          <w:p>
            <w:pPr>
              <w:pStyle w:val="TableContents"/>
              <w:spacing w:before="0" w:after="0"/>
              <w:rPr>
                <w:rFonts w:ascii="ARIAL" w:hAnsi="ARIAL"/>
                <w:sz w:val="20"/>
              </w:rPr>
            </w:pPr>
            <w:r>
              <w:rPr>
                <w:rFonts w:ascii="ARIAL" w:hAnsi="ARIAL"/>
                <w:sz w:val="20"/>
              </w:rPr>
              <w:t>North America</w:t>
            </w:r>
          </w:p>
        </w:tc>
        <w:tc>
          <w:tcPr>
            <w:tcW w:w="1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b/>
              </w:rPr>
            </w:pPr>
            <w:r>
              <w:rPr>
                <w:b/>
              </w:rPr>
              <w:t>626</w:t>
            </w:r>
          </w:p>
        </w:tc>
        <w:tc>
          <w:tcPr>
            <w:tcW w:w="32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pPr>
            <w:r>
              <w:rPr/>
              <w:t>575</w:t>
            </w:r>
          </w:p>
        </w:tc>
        <w:tc>
          <w:tcPr>
            <w:tcW w:w="282"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pPr>
            <w:r>
              <w:rPr/>
              <w:t>473</w:t>
            </w:r>
          </w:p>
        </w:tc>
        <w:tc>
          <w:tcPr>
            <w:tcW w:w="2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center"/>
              <w:rPr>
                <w:b/>
              </w:rPr>
            </w:pPr>
            <w:r>
              <w:rPr>
                <w:b/>
              </w:rPr>
              <w:t>9%</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center"/>
              <w:rPr/>
            </w:pPr>
            <w:r>
              <w:rPr/>
              <w:t>32%</w:t>
            </w:r>
          </w:p>
        </w:tc>
        <w:tc>
          <w:tcPr>
            <w:tcW w:w="72" w:type="dxa"/>
            <w:tcBorders/>
            <w:shd w:fill="CCEEFF" w:val="clear"/>
            <w:vAlign w:val="bottom"/>
          </w:tcPr>
          <w:p>
            <w:pPr>
              <w:pStyle w:val="TableContents"/>
              <w:spacing w:before="0" w:after="283"/>
              <w:rPr/>
            </w:pPr>
            <w:r>
              <w:rPr/>
              <w:t> </w:t>
            </w:r>
          </w:p>
        </w:tc>
      </w:tr>
      <w:tr>
        <w:trPr/>
        <w:tc>
          <w:tcPr>
            <w:tcW w:w="3798" w:type="dxa"/>
            <w:tcBorders/>
            <w:shd w:fill="auto" w:val="clear"/>
            <w:vAlign w:val="bottom"/>
          </w:tcPr>
          <w:p>
            <w:pPr>
              <w:pStyle w:val="TableContents"/>
              <w:spacing w:before="0" w:after="0"/>
              <w:rPr>
                <w:rFonts w:ascii="ARIAL" w:hAnsi="ARIAL"/>
                <w:sz w:val="20"/>
              </w:rPr>
            </w:pPr>
            <w:r>
              <w:rPr>
                <w:rFonts w:ascii="ARIAL" w:hAnsi="ARIAL"/>
                <w:sz w:val="20"/>
              </w:rPr>
              <w:t>Other</w:t>
            </w:r>
          </w:p>
        </w:tc>
        <w:tc>
          <w:tcPr>
            <w:tcW w:w="1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b/>
              </w:rPr>
            </w:pPr>
            <w:r>
              <w:rPr>
                <w:b/>
              </w:rPr>
              <w:t>7</w:t>
            </w:r>
          </w:p>
        </w:tc>
        <w:tc>
          <w:tcPr>
            <w:tcW w:w="32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pPr>
            <w:r>
              <w:rPr/>
              <w:t>2</w:t>
            </w:r>
          </w:p>
        </w:tc>
        <w:tc>
          <w:tcPr>
            <w:tcW w:w="282"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2" w:type="dxa"/>
            <w:tcBorders/>
            <w:shd w:fill="auto" w:val="clear"/>
            <w:vAlign w:val="bottom"/>
          </w:tcPr>
          <w:p>
            <w:pPr>
              <w:pStyle w:val="TableContents"/>
              <w:spacing w:before="0" w:after="283"/>
              <w:jc w:val="right"/>
              <w:rPr/>
            </w:pPr>
            <w:r>
              <w:rPr/>
              <w:t>4</w:t>
            </w:r>
          </w:p>
        </w:tc>
        <w:tc>
          <w:tcPr>
            <w:tcW w:w="28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center"/>
              <w:rPr>
                <w:b/>
              </w:rPr>
            </w:pPr>
            <w:r>
              <w:rPr>
                <w:b/>
              </w:rPr>
              <w:t>n/m</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jc w:val="center"/>
              <w:rPr/>
            </w:pPr>
            <w:r>
              <w:rPr/>
              <w:t>n/m</w:t>
            </w:r>
          </w:p>
        </w:tc>
        <w:tc>
          <w:tcPr>
            <w:tcW w:w="72" w:type="dxa"/>
            <w:tcBorders/>
            <w:shd w:fill="auto" w:val="clear"/>
            <w:vAlign w:val="bottom"/>
          </w:tcPr>
          <w:p>
            <w:pPr>
              <w:pStyle w:val="TableContents"/>
              <w:spacing w:before="0" w:after="283"/>
              <w:rPr/>
            </w:pPr>
            <w:r>
              <w:rPr/>
              <w:t> </w:t>
            </w:r>
          </w:p>
        </w:tc>
      </w:tr>
      <w:tr>
        <w:trPr/>
        <w:tc>
          <w:tcPr>
            <w:tcW w:w="3798" w:type="dxa"/>
            <w:tcBorders/>
            <w:shd w:fill="auto" w:val="clear"/>
            <w:vAlign w:val="bottom"/>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16" w:type="dxa"/>
            <w:tcBorders/>
            <w:shd w:fill="auto" w:val="clear"/>
            <w:vAlign w:val="bottom"/>
          </w:tcPr>
          <w:p>
            <w:pPr>
              <w:pStyle w:val="TableContents"/>
              <w:pBdr>
                <w:top w:val="single" w:sz="2" w:space="1" w:color="000000"/>
              </w:pBdr>
              <w:spacing w:before="0" w:after="0"/>
              <w:rPr/>
            </w:pPr>
            <w:r>
              <w:rPr/>
              <w:t> </w:t>
            </w:r>
          </w:p>
        </w:tc>
        <w:tc>
          <w:tcPr>
            <w:tcW w:w="321" w:type="dxa"/>
            <w:tcBorders/>
            <w:shd w:fill="auto" w:val="clear"/>
            <w:vAlign w:val="cente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2"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cente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2" w:type="dxa"/>
            <w:tcBorders/>
            <w:shd w:fill="auto" w:val="clear"/>
            <w:vAlign w:val="bottom"/>
          </w:tcPr>
          <w:p>
            <w:pPr>
              <w:pStyle w:val="TableContents"/>
              <w:pBdr>
                <w:top w:val="single" w:sz="2" w:space="1" w:color="000000"/>
              </w:pBdr>
              <w:spacing w:before="0" w:after="0"/>
              <w:rPr/>
            </w:pPr>
            <w:r>
              <w:rPr/>
              <w:t> </w:t>
            </w:r>
          </w:p>
        </w:tc>
        <w:tc>
          <w:tcPr>
            <w:tcW w:w="281" w:type="dxa"/>
            <w:tcBorders/>
            <w:shd w:fill="auto" w:val="clear"/>
            <w:vAlign w:val="cente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05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pBdr>
                <w:top w:val="single" w:sz="2" w:space="1" w:color="000000"/>
              </w:pBdr>
              <w:spacing w:before="0" w:after="0"/>
              <w:rPr/>
            </w:pPr>
            <w:r>
              <w:rPr/>
              <w:t> </w:t>
            </w:r>
          </w:p>
        </w:tc>
        <w:tc>
          <w:tcPr>
            <w:tcW w:w="1248" w:type="dxa"/>
            <w:tcBorders/>
            <w:shd w:fill="auto" w:val="clear"/>
            <w:vAlign w:val="bottom"/>
          </w:tcPr>
          <w:p>
            <w:pPr>
              <w:pStyle w:val="TableContents"/>
              <w:pBdr>
                <w:top w:val="single" w:sz="2" w:space="1" w:color="000000"/>
              </w:pBdr>
              <w:spacing w:before="0" w:after="0"/>
              <w:rPr/>
            </w:pPr>
            <w:r>
              <w:rPr/>
              <w:t> </w:t>
            </w:r>
          </w:p>
        </w:tc>
        <w:tc>
          <w:tcPr>
            <w:tcW w:w="72" w:type="dxa"/>
            <w:tcBorders/>
            <w:shd w:fill="auto" w:val="clear"/>
            <w:vAlign w:val="center"/>
          </w:tcPr>
          <w:p>
            <w:pPr>
              <w:pStyle w:val="TableContents"/>
              <w:spacing w:before="0" w:after="283"/>
              <w:rPr/>
            </w:pPr>
            <w:r>
              <w:rPr/>
              <w:t> </w:t>
            </w:r>
          </w:p>
        </w:tc>
      </w:tr>
      <w:tr>
        <w:trPr/>
        <w:tc>
          <w:tcPr>
            <w:tcW w:w="3798" w:type="dxa"/>
            <w:tcBorders/>
            <w:shd w:fill="CCEEFF" w:val="clear"/>
            <w:vAlign w:val="bottom"/>
          </w:tcPr>
          <w:p>
            <w:pPr>
              <w:pStyle w:val="TableContents"/>
              <w:spacing w:before="0" w:after="283"/>
              <w:rPr>
                <w:sz w:val="4"/>
                <w:szCs w:val="4"/>
              </w:rPr>
            </w:pPr>
            <w:r>
              <w:rPr>
                <w:sz w:val="4"/>
                <w:szCs w:val="4"/>
              </w:rPr>
            </w:r>
          </w:p>
        </w:tc>
        <w:tc>
          <w:tcPr>
            <w:tcW w:w="1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616" w:type="dxa"/>
            <w:tcBorders/>
            <w:shd w:fill="CCEEFF" w:val="clear"/>
            <w:vAlign w:val="bottom"/>
          </w:tcPr>
          <w:p>
            <w:pPr>
              <w:pStyle w:val="TableContents"/>
              <w:spacing w:before="0" w:after="283"/>
              <w:jc w:val="right"/>
              <w:rPr>
                <w:b/>
              </w:rPr>
            </w:pPr>
            <w:r>
              <w:rPr>
                <w:b/>
              </w:rPr>
              <w:t>2,207</w:t>
            </w:r>
          </w:p>
        </w:tc>
        <w:tc>
          <w:tcPr>
            <w:tcW w:w="32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2" w:type="dxa"/>
            <w:tcBorders/>
            <w:shd w:fill="CCEEFF" w:val="clear"/>
            <w:vAlign w:val="bottom"/>
          </w:tcPr>
          <w:p>
            <w:pPr>
              <w:pStyle w:val="TableContents"/>
              <w:spacing w:before="0" w:after="283"/>
              <w:jc w:val="right"/>
              <w:rPr/>
            </w:pPr>
            <w:r>
              <w:rPr/>
              <w:t>2,215</w:t>
            </w:r>
          </w:p>
        </w:tc>
        <w:tc>
          <w:tcPr>
            <w:tcW w:w="282"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2" w:type="dxa"/>
            <w:tcBorders/>
            <w:shd w:fill="CCEEFF" w:val="clear"/>
            <w:vAlign w:val="bottom"/>
          </w:tcPr>
          <w:p>
            <w:pPr>
              <w:pStyle w:val="TableContents"/>
              <w:spacing w:before="0" w:after="283"/>
              <w:jc w:val="right"/>
              <w:rPr/>
            </w:pPr>
            <w:r>
              <w:rPr/>
              <w:t>1,604</w:t>
            </w:r>
          </w:p>
        </w:tc>
        <w:tc>
          <w:tcPr>
            <w:tcW w:w="2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center"/>
              <w:rPr>
                <w:b/>
              </w:rPr>
            </w:pPr>
            <w:r>
              <w:rPr>
                <w:b/>
              </w:rPr>
              <w:t>  </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center"/>
              <w:rPr/>
            </w:pPr>
            <w:r>
              <w:rPr/>
              <w:t>38%</w:t>
            </w:r>
          </w:p>
        </w:tc>
        <w:tc>
          <w:tcPr>
            <w:tcW w:w="72" w:type="dxa"/>
            <w:tcBorders/>
            <w:shd w:fill="CCEEFF" w:val="clear"/>
            <w:vAlign w:val="bottom"/>
          </w:tcPr>
          <w:p>
            <w:pPr>
              <w:pStyle w:val="TableContents"/>
              <w:spacing w:before="0" w:after="283"/>
              <w:rPr/>
            </w:pPr>
            <w:r>
              <w:rPr/>
              <w:t> </w:t>
            </w:r>
          </w:p>
        </w:tc>
      </w:tr>
      <w:tr>
        <w:trPr/>
        <w:tc>
          <w:tcPr>
            <w:tcW w:w="3798" w:type="dxa"/>
            <w:tcBorders/>
            <w:shd w:fill="auto" w:val="clear"/>
            <w:vAlign w:val="bottom"/>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16" w:type="dxa"/>
            <w:tcBorders/>
            <w:shd w:fill="auto" w:val="clear"/>
            <w:vAlign w:val="bottom"/>
          </w:tcPr>
          <w:p>
            <w:pPr>
              <w:pStyle w:val="TableContents"/>
              <w:pBdr>
                <w:top w:val="single" w:sz="2" w:space="1" w:color="000000"/>
              </w:pBdr>
              <w:spacing w:before="0" w:after="0"/>
              <w:rPr/>
            </w:pPr>
            <w:r>
              <w:rPr/>
              <w:t> </w:t>
            </w:r>
          </w:p>
        </w:tc>
        <w:tc>
          <w:tcPr>
            <w:tcW w:w="321" w:type="dxa"/>
            <w:tcBorders/>
            <w:shd w:fill="auto" w:val="clear"/>
            <w:vAlign w:val="cente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2"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cente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72" w:type="dxa"/>
            <w:tcBorders/>
            <w:shd w:fill="auto" w:val="clear"/>
            <w:vAlign w:val="bottom"/>
          </w:tcPr>
          <w:p>
            <w:pPr>
              <w:pStyle w:val="TableContents"/>
              <w:pBdr>
                <w:top w:val="single" w:sz="2" w:space="1" w:color="000000"/>
              </w:pBdr>
              <w:spacing w:before="0" w:after="0"/>
              <w:rPr/>
            </w:pPr>
            <w:r>
              <w:rPr/>
              <w:t> </w:t>
            </w:r>
          </w:p>
        </w:tc>
        <w:tc>
          <w:tcPr>
            <w:tcW w:w="281" w:type="dxa"/>
            <w:tcBorders/>
            <w:shd w:fill="auto" w:val="clear"/>
            <w:vAlign w:val="cente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pBdr>
                <w:top w:val="single" w:sz="2" w:space="1" w:color="000000"/>
              </w:pBdr>
              <w:spacing w:before="0" w:after="0"/>
              <w:rPr/>
            </w:pPr>
            <w:r>
              <w:rPr/>
              <w:t> </w:t>
            </w:r>
          </w:p>
        </w:tc>
        <w:tc>
          <w:tcPr>
            <w:tcW w:w="105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pBdr>
                <w:top w:val="single" w:sz="2" w:space="1" w:color="000000"/>
              </w:pBdr>
              <w:spacing w:before="0" w:after="0"/>
              <w:rPr/>
            </w:pPr>
            <w:r>
              <w:rPr/>
              <w:t> </w:t>
            </w:r>
          </w:p>
        </w:tc>
        <w:tc>
          <w:tcPr>
            <w:tcW w:w="1248" w:type="dxa"/>
            <w:tcBorders/>
            <w:shd w:fill="auto" w:val="clear"/>
            <w:vAlign w:val="bottom"/>
          </w:tcPr>
          <w:p>
            <w:pPr>
              <w:pStyle w:val="TableContents"/>
              <w:pBdr>
                <w:top w:val="single" w:sz="2" w:space="1" w:color="000000"/>
              </w:pBdr>
              <w:spacing w:before="0" w:after="0"/>
              <w:rPr/>
            </w:pPr>
            <w:r>
              <w:rPr/>
              <w:t> </w:t>
            </w:r>
          </w:p>
        </w:tc>
        <w:tc>
          <w:tcPr>
            <w:tcW w:w="72" w:type="dxa"/>
            <w:tcBorders/>
            <w:shd w:fill="auto" w:val="clear"/>
            <w:vAlign w:val="center"/>
          </w:tcPr>
          <w:p>
            <w:pPr>
              <w:pStyle w:val="TableContents"/>
              <w:spacing w:before="0" w:after="283"/>
              <w:rPr/>
            </w:pPr>
            <w:r>
              <w:rPr/>
              <w:t> </w:t>
            </w:r>
          </w:p>
        </w:tc>
      </w:tr>
      <w:tr>
        <w:trPr/>
        <w:tc>
          <w:tcPr>
            <w:tcW w:w="3798" w:type="dxa"/>
            <w:tcBorders/>
            <w:shd w:fill="auto" w:val="clear"/>
            <w:vAlign w:val="bottom"/>
          </w:tcPr>
          <w:p>
            <w:pPr>
              <w:pStyle w:val="TableContents"/>
              <w:spacing w:before="0" w:after="0"/>
              <w:rPr>
                <w:rFonts w:ascii="ARIAL" w:hAnsi="ARIAL"/>
                <w:sz w:val="20"/>
              </w:rPr>
            </w:pPr>
            <w:r>
              <w:rPr>
                <w:rFonts w:ascii="ARIAL" w:hAnsi="ARIAL"/>
                <w:sz w:val="20"/>
              </w:rPr>
              <w:t>Pretax operating income</w:t>
            </w:r>
          </w:p>
        </w:tc>
        <w:tc>
          <w:tcPr>
            <w:tcW w:w="1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616" w:type="dxa"/>
            <w:tcBorders/>
            <w:shd w:fill="auto" w:val="clear"/>
            <w:vAlign w:val="bottom"/>
          </w:tcPr>
          <w:p>
            <w:pPr>
              <w:pStyle w:val="TableContents"/>
              <w:spacing w:before="0" w:after="283"/>
              <w:jc w:val="right"/>
              <w:rPr>
                <w:b/>
              </w:rPr>
            </w:pPr>
            <w:r>
              <w:rPr>
                <w:b/>
              </w:rPr>
              <w:t>205</w:t>
            </w:r>
          </w:p>
        </w:tc>
        <w:tc>
          <w:tcPr>
            <w:tcW w:w="32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238</w:t>
            </w:r>
          </w:p>
        </w:tc>
        <w:tc>
          <w:tcPr>
            <w:tcW w:w="282"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2" w:type="dxa"/>
            <w:tcBorders/>
            <w:shd w:fill="auto" w:val="clear"/>
            <w:vAlign w:val="bottom"/>
          </w:tcPr>
          <w:p>
            <w:pPr>
              <w:pStyle w:val="TableContents"/>
              <w:spacing w:before="0" w:after="283"/>
              <w:jc w:val="right"/>
              <w:rPr/>
            </w:pPr>
            <w:r>
              <w:rPr/>
              <w:t>114</w:t>
            </w:r>
          </w:p>
        </w:tc>
        <w:tc>
          <w:tcPr>
            <w:tcW w:w="28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center"/>
              <w:rPr>
                <w:b/>
              </w:rPr>
            </w:pPr>
            <w:r>
              <w:rPr>
                <w:b/>
              </w:rPr>
              <w:t>-14%</w:t>
            </w:r>
          </w:p>
        </w:tc>
        <w:tc>
          <w:tcPr>
            <w:tcW w:w="6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48" w:type="dxa"/>
            <w:tcBorders/>
            <w:shd w:fill="auto" w:val="clear"/>
            <w:vAlign w:val="bottom"/>
          </w:tcPr>
          <w:p>
            <w:pPr>
              <w:pStyle w:val="TableContents"/>
              <w:spacing w:before="0" w:after="283"/>
              <w:jc w:val="center"/>
              <w:rPr/>
            </w:pPr>
            <w:r>
              <w:rPr/>
              <w:t>80%</w:t>
            </w:r>
          </w:p>
        </w:tc>
        <w:tc>
          <w:tcPr>
            <w:tcW w:w="72" w:type="dxa"/>
            <w:tcBorders/>
            <w:shd w:fill="auto" w:val="clear"/>
            <w:vAlign w:val="bottom"/>
          </w:tcPr>
          <w:p>
            <w:pPr>
              <w:pStyle w:val="TableContents"/>
              <w:spacing w:before="0" w:after="283"/>
              <w:rPr/>
            </w:pPr>
            <w:r>
              <w:rPr/>
              <w:t> </w:t>
            </w:r>
          </w:p>
        </w:tc>
      </w:tr>
      <w:tr>
        <w:trPr/>
        <w:tc>
          <w:tcPr>
            <w:tcW w:w="3798" w:type="dxa"/>
            <w:tcBorders/>
            <w:shd w:fill="CCEEFF" w:val="clear"/>
            <w:vAlign w:val="bottom"/>
          </w:tcPr>
          <w:p>
            <w:pPr>
              <w:pStyle w:val="TableContents"/>
              <w:spacing w:before="0" w:after="0"/>
              <w:rPr>
                <w:rFonts w:ascii="ARIAL" w:hAnsi="ARIAL"/>
                <w:sz w:val="20"/>
              </w:rPr>
            </w:pPr>
            <w:r>
              <w:rPr>
                <w:rFonts w:ascii="ARIAL" w:hAnsi="ARIAL"/>
                <w:sz w:val="20"/>
              </w:rPr>
              <w:t>Pretax operating margin</w:t>
            </w:r>
          </w:p>
        </w:tc>
        <w:tc>
          <w:tcPr>
            <w:tcW w:w="1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b/>
              </w:rPr>
            </w:pPr>
            <w:r>
              <w:rPr>
                <w:b/>
              </w:rPr>
              <w:t>9.3</w:t>
            </w:r>
          </w:p>
        </w:tc>
        <w:tc>
          <w:tcPr>
            <w:tcW w:w="321" w:type="dxa"/>
            <w:tcBorders/>
            <w:shd w:fill="CCEEFF" w:val="clear"/>
            <w:vAlign w:val="bottom"/>
          </w:tcPr>
          <w:p>
            <w:pPr>
              <w:pStyle w:val="TableContents"/>
              <w:spacing w:before="0" w:after="283"/>
              <w:rPr>
                <w:b/>
              </w:rPr>
            </w:pPr>
            <w:r>
              <w:rPr>
                <w:b/>
              </w:rPr>
              <w:t>% </w:t>
            </w:r>
          </w:p>
        </w:tc>
        <w:tc>
          <w:tcPr>
            <w:tcW w:w="13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pPr>
            <w:r>
              <w:rPr/>
              <w:t>10.8</w:t>
            </w:r>
          </w:p>
        </w:tc>
        <w:tc>
          <w:tcPr>
            <w:tcW w:w="282"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jc w:val="right"/>
              <w:rPr/>
            </w:pPr>
            <w:r>
              <w:rPr/>
              <w:t>7.1</w:t>
            </w:r>
          </w:p>
        </w:tc>
        <w:tc>
          <w:tcPr>
            <w:tcW w:w="28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center"/>
              <w:rPr>
                <w:b/>
              </w:rPr>
            </w:pPr>
            <w:r>
              <w:rPr>
                <w:b/>
              </w:rPr>
              <w:t>-148 bps</w:t>
            </w:r>
          </w:p>
        </w:tc>
        <w:tc>
          <w:tcPr>
            <w:tcW w:w="60"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248" w:type="dxa"/>
            <w:tcBorders/>
            <w:shd w:fill="CCEEFF" w:val="clear"/>
            <w:vAlign w:val="bottom"/>
          </w:tcPr>
          <w:p>
            <w:pPr>
              <w:pStyle w:val="TableContents"/>
              <w:spacing w:before="0" w:after="283"/>
              <w:jc w:val="center"/>
              <w:rPr/>
            </w:pPr>
            <w:r>
              <w:rPr/>
              <w:t>217 bps</w:t>
            </w:r>
          </w:p>
        </w:tc>
        <w:tc>
          <w:tcPr>
            <w:tcW w:w="72" w:type="dxa"/>
            <w:tcBorders/>
            <w:shd w:fill="CCEEFF" w:val="clear"/>
            <w:vAlign w:val="bottom"/>
          </w:tcPr>
          <w:p>
            <w:pPr>
              <w:pStyle w:val="TableContents"/>
              <w:spacing w:before="0" w:after="283"/>
              <w:rPr/>
            </w:pPr>
            <w:r>
              <w:rPr/>
              <w:t> </w:t>
            </w:r>
          </w:p>
        </w:tc>
      </w:tr>
    </w:tbl>
    <w:p>
      <w:pPr>
        <w:pStyle w:val="TextBody"/>
        <w:spacing w:before="240" w:after="0"/>
        <w:jc w:val="left"/>
        <w:rPr>
          <w:rFonts w:ascii="ARIAL" w:hAnsi="ARIAL"/>
          <w:sz w:val="20"/>
        </w:rPr>
      </w:pPr>
      <w:r>
        <w:rPr>
          <w:rFonts w:ascii="ARIAL" w:hAnsi="ARIAL"/>
          <w:sz w:val="20"/>
        </w:rPr>
        <w:t xml:space="preserve">n/m  =  not meaningful </w:t>
      </w:r>
    </w:p>
    <w:p>
      <w:pPr>
        <w:pStyle w:val="TextBody"/>
        <w:spacing w:before="240" w:after="0"/>
        <w:jc w:val="left"/>
        <w:rPr>
          <w:rFonts w:ascii="ARIAL" w:hAnsi="ARIAL"/>
          <w:sz w:val="20"/>
        </w:rPr>
      </w:pPr>
      <w:r>
        <w:rPr>
          <w:rFonts w:ascii="ARIAL" w:hAnsi="ARIAL"/>
          <w:sz w:val="20"/>
        </w:rPr>
        <w:t xml:space="preserve">Production Systems revenue of $2.2 billion increased 38% year on year driven by strong activity across all areas led by Europe &amp; Africa and Latin America, which grew 63% and 50%, respectively. North America revenue increased 32% while Middle East &amp; Asia revenue grew 11% year on year. Midstream, subsea, artificial lift sales, completions, and valves each recorded double-digit growth across North America and internationally. </w:t>
      </w:r>
    </w:p>
    <w:p>
      <w:pPr>
        <w:pStyle w:val="TextBody"/>
        <w:spacing w:before="240" w:after="0"/>
        <w:jc w:val="left"/>
        <w:rPr>
          <w:rFonts w:ascii="ARIAL" w:hAnsi="ARIAL"/>
          <w:sz w:val="20"/>
        </w:rPr>
      </w:pPr>
      <w:r>
        <w:rPr>
          <w:rFonts w:ascii="ARIAL" w:hAnsi="ARIAL"/>
          <w:sz w:val="20"/>
        </w:rPr>
        <w:t xml:space="preserve">Sequentially, revenue was flat. Strong sales of subsea production systems offshore North America and Trinidad, higher sales of valves in US land, and robust sales of midstream production systems in Europe were offset by lower revenue in the Middle East &amp; Asia and Russia following the strong year-end sales of the previous quarter. </w:t>
      </w:r>
    </w:p>
    <w:p>
      <w:pPr>
        <w:pStyle w:val="TextBody"/>
        <w:spacing w:before="240" w:after="0"/>
        <w:jc w:val="left"/>
        <w:rPr>
          <w:rFonts w:ascii="ARIAL" w:hAnsi="ARIAL"/>
          <w:sz w:val="20"/>
        </w:rPr>
      </w:pPr>
      <w:r>
        <w:rPr>
          <w:rFonts w:ascii="ARIAL" w:hAnsi="ARIAL"/>
          <w:sz w:val="20"/>
        </w:rPr>
        <w:t xml:space="preserve">Production Systems pretax operating margin of 9% expanded 217 bps year on year mainly driven by higher artificial lift, surface, and subsea sales and execution efficiency as supply chain and logistics constraints continued to ease. </w:t>
      </w:r>
    </w:p>
    <w:p>
      <w:pPr>
        <w:pStyle w:val="TextBody"/>
        <w:spacing w:before="240" w:after="0"/>
        <w:jc w:val="left"/>
        <w:rPr>
          <w:rFonts w:ascii="ARIAL" w:hAnsi="ARIAL"/>
          <w:sz w:val="20"/>
        </w:rPr>
      </w:pPr>
      <w:r>
        <w:rPr>
          <w:rFonts w:ascii="ARIAL" w:hAnsi="ARIAL"/>
          <w:sz w:val="20"/>
        </w:rPr>
        <w:t xml:space="preserve">Sequentially, pretax operating margin contracted 148 bps as improved profitability from increasing activity, coupled with execution efficiency in North America, was more than offset by reduced margins in Europe &amp; Africa and Asia due to seasonality and activity mix.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rPr/>
      </w:pPr>
      <w:r>
        <w:rPr/>
      </w:r>
    </w:p>
    <w:p>
      <w:pPr>
        <w:pStyle w:val="TextBody"/>
        <w:spacing w:before="0" w:after="0"/>
        <w:jc w:val="left"/>
        <w:rPr>
          <w:rFonts w:ascii="ARIAL" w:hAnsi="ARIAL"/>
          <w:b/>
          <w:sz w:val="20"/>
        </w:rPr>
      </w:pPr>
      <w:r>
        <w:rPr>
          <w:rFonts w:ascii="ARIAL" w:hAnsi="ARIAL"/>
          <w:b/>
          <w:sz w:val="20"/>
        </w:rPr>
        <w:t xml:space="preserve">Quarterly Highlights </w:t>
      </w:r>
    </w:p>
    <w:p>
      <w:pPr>
        <w:pStyle w:val="TextBody"/>
        <w:spacing w:before="120" w:after="0"/>
        <w:jc w:val="left"/>
        <w:rPr>
          <w:rFonts w:ascii="ARIAL" w:hAnsi="ARIAL"/>
          <w:b/>
          <w:sz w:val="20"/>
        </w:rPr>
      </w:pPr>
      <w:r>
        <w:rPr>
          <w:rFonts w:ascii="ARIAL" w:hAnsi="ARIAL"/>
          <w:b/>
          <w:sz w:val="20"/>
        </w:rPr>
        <w:t xml:space="preserve">CORE </w:t>
      </w:r>
    </w:p>
    <w:p>
      <w:pPr>
        <w:pStyle w:val="TextBody"/>
        <w:spacing w:before="120" w:after="0"/>
        <w:jc w:val="left"/>
        <w:rPr>
          <w:rFonts w:ascii="ARIAL" w:hAnsi="ARIAL"/>
          <w:b/>
          <w:sz w:val="20"/>
        </w:rPr>
      </w:pPr>
      <w:r>
        <w:rPr>
          <w:rFonts w:ascii="ARIAL" w:hAnsi="ARIAL"/>
          <w:b/>
          <w:sz w:val="20"/>
        </w:rPr>
        <w:t xml:space="preserve">Contract Awards </w:t>
      </w:r>
    </w:p>
    <w:p>
      <w:pPr>
        <w:pStyle w:val="TextBody"/>
        <w:spacing w:before="120" w:after="0"/>
        <w:jc w:val="left"/>
        <w:rPr>
          <w:rFonts w:ascii="ARIAL" w:hAnsi="ARIAL"/>
          <w:sz w:val="20"/>
        </w:rPr>
      </w:pPr>
      <w:r>
        <w:rPr>
          <w:rFonts w:ascii="ARIAL" w:hAnsi="ARIAL"/>
          <w:sz w:val="20"/>
        </w:rPr>
        <w:t xml:space="preserve">SLB continues to win new long-cycle contracts for the Core Divisions, particularly in the Middle East and offshore basins. Notable highlights include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Aramco and SLB signed a nine-year master services agreement in January 2023 for wireline and mud logging services, committing to a long-term partnership in energy innovation with a strong interest in technology development. Multiple unique SLB technologies will be deployed during the execution of the contract, including the Ora intelligent wireline formation testing platform, the ThruBit through-the-bit logging services, and the ReSOLVE instrumented wireline intervention service.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0"/>
        <w:gridCol w:w="204"/>
        <w:gridCol w:w="101"/>
        <w:gridCol w:w="9800"/>
      </w:tblGrid>
      <w:tr>
        <w:trPr/>
        <w:tc>
          <w:tcPr>
            <w:tcW w:w="10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0"/>
              <w:jc w:val="left"/>
              <w:rPr>
                <w:rFonts w:ascii="ARIAL" w:hAnsi="ARIAL"/>
                <w:sz w:val="20"/>
              </w:rPr>
            </w:pPr>
            <w:r>
              <w:rPr>
                <w:rFonts w:ascii="ARIAL" w:hAnsi="ARIAL"/>
                <w:sz w:val="20"/>
              </w:rPr>
              <w:t xml:space="preserve">Petrobras and OneSubsea® entered into an agreement for Búzios 10 engineering, procurement, construction, and installation subsea production system scope. OneSubsea will provide subsea production systems equipment and associated services for four development phases of the deepwater Búzios Field offshore Brazil. The project scope includes 16 fit-for-purpose vertical subsea trees, control systems, and five subsea distribution units, as well as installation, commissioning, and services for the life of the field. The project will be supported by the OneSubsea Brazil Center of Excellence on Subsea Production Systems, which will drive in-country value across both equipment and service scopes. Located in the pre-salt area of the Santos Basin, Búzios is one of the worlds largest deepwater oil fields.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8"/>
        <w:gridCol w:w="102"/>
        <w:gridCol w:w="9794"/>
      </w:tblGrid>
      <w:tr>
        <w:trPr/>
        <w:tc>
          <w:tcPr>
            <w:tcW w:w="101"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4" w:type="dxa"/>
            <w:tcBorders/>
            <w:shd w:fill="auto" w:val="clear"/>
          </w:tcPr>
          <w:p>
            <w:pPr>
              <w:pStyle w:val="TableContents"/>
              <w:spacing w:before="0" w:after="0"/>
              <w:jc w:val="left"/>
              <w:rPr>
                <w:rFonts w:ascii="ARIAL" w:hAnsi="ARIAL"/>
                <w:sz w:val="20"/>
              </w:rPr>
            </w:pPr>
            <w:r>
              <w:rPr>
                <w:rFonts w:ascii="ARIAL" w:hAnsi="ARIAL"/>
                <w:sz w:val="20"/>
              </w:rPr>
              <w:t xml:space="preserve">In a global tender exercise, Shell awarded all three deepwater outcome-based well services scopes of work for bundled well construction and reservoir evaluation services in Brazil, Egypt, and the Crux project in Australia to SLB. The individual scopes of work are planned to commence sequentially between May 2023 and the end of the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In Brazil, PRIO, one of the countrys largest independent oil producers, has awarded OneSubsea the engineering, procurement, and construction contract for a multiphase boosting system to support and accelerate production from the Wahoo-Frade floating production, storage, and offloading tieback, which will be the longest tieback in Brazil. The OneSubsea multiphase pump system was selected based on its proven performance delivering standardized subsea components with a TRL-7 technical readiness level that offer high system reliability and operational flexibility to support reservoir performance for the life of the field. OneSubseas selection was also due to its ability to expedite delivery to meet project deadlines.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6"/>
        <w:gridCol w:w="102"/>
        <w:gridCol w:w="9796"/>
      </w:tblGrid>
      <w:tr>
        <w:trPr/>
        <w:tc>
          <w:tcPr>
            <w:tcW w:w="101"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6" w:type="dxa"/>
            <w:tcBorders/>
            <w:shd w:fill="auto" w:val="clear"/>
          </w:tcPr>
          <w:p>
            <w:pPr>
              <w:pStyle w:val="TableContents"/>
              <w:spacing w:before="0" w:after="0"/>
              <w:jc w:val="left"/>
              <w:rPr>
                <w:rFonts w:ascii="ARIAL" w:hAnsi="ARIAL"/>
                <w:sz w:val="20"/>
              </w:rPr>
            </w:pPr>
            <w:r>
              <w:rPr>
                <w:rFonts w:ascii="ARIAL" w:hAnsi="ARIAL"/>
                <w:sz w:val="20"/>
              </w:rPr>
              <w:t xml:space="preserve">Also in Brazil, Enauta has exercised a contract option with OneSubsea for a third multiphase boosting system to be integrated in its Atlanta full-field development. The expansion of the project leveraged the standardization of manufacturing and the project delivery process for both parties, resulting in an earlier delivery, improved logistics, and further consolidation of field activities to lower the overall field lifecycle cost. </w:t>
            </w:r>
          </w:p>
        </w:tc>
      </w:tr>
    </w:tbl>
    <w:p>
      <w:pPr>
        <w:pStyle w:val="TextBody"/>
        <w:spacing w:before="360" w:after="0"/>
        <w:jc w:val="left"/>
        <w:rPr>
          <w:rFonts w:ascii="ARIAL" w:hAnsi="ARIAL"/>
          <w:b/>
          <w:sz w:val="20"/>
        </w:rPr>
      </w:pPr>
      <w:r>
        <w:rPr>
          <w:rFonts w:ascii="ARIAL" w:hAnsi="ARIAL"/>
          <w:b/>
          <w:sz w:val="20"/>
        </w:rPr>
        <w:t xml:space="preserve">Oil &amp; Gas Decarbonization, New Technology, and Performance </w:t>
      </w:r>
    </w:p>
    <w:p>
      <w:pPr>
        <w:pStyle w:val="TextBody"/>
        <w:spacing w:before="120" w:after="0"/>
        <w:jc w:val="left"/>
        <w:rPr>
          <w:rFonts w:ascii="ARIAL" w:hAnsi="ARIAL"/>
          <w:sz w:val="20"/>
        </w:rPr>
      </w:pPr>
      <w:r>
        <w:rPr>
          <w:rFonts w:ascii="ARIAL" w:hAnsi="ARIAL"/>
          <w:sz w:val="20"/>
        </w:rPr>
        <w:t xml:space="preserve">SLB remains focused on developing and implementing technology solutions to deliver higher value with lower carbon emissions. Customers continue to make SLB the partner of choice for maximizing performance across reservoir evaluation, well construction, production, and integrated operations, all while operating more sustainably. Notable highlights include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8"/>
        <w:gridCol w:w="102"/>
        <w:gridCol w:w="9794"/>
      </w:tblGrid>
      <w:tr>
        <w:trPr/>
        <w:tc>
          <w:tcPr>
            <w:tcW w:w="101"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4" w:type="dxa"/>
            <w:tcBorders/>
            <w:shd w:fill="auto" w:val="clear"/>
          </w:tcPr>
          <w:p>
            <w:pPr>
              <w:pStyle w:val="TableContents"/>
              <w:spacing w:before="0" w:after="0"/>
              <w:jc w:val="left"/>
              <w:rPr>
                <w:rFonts w:ascii="ARIAL" w:hAnsi="ARIAL"/>
                <w:sz w:val="20"/>
              </w:rPr>
            </w:pPr>
            <w:r>
              <w:rPr>
                <w:rFonts w:ascii="ARIAL" w:hAnsi="ARIAL"/>
                <w:sz w:val="20"/>
              </w:rPr>
              <w:t xml:space="preserve">In the US, intelligent power management, one of the SLB Transition Technologies to decarbonize engine-generator (genset) operations, was deployed on a Unit Drilling Company super-spec BOSS rig with three gensets. During 56 consecutive days of rig operation, this automated software leveraged a rapid-response battery energy storage system to reduce total genset runtime by 1,186 hours, conserving 14,332 gallons of diesel fuel consumption while eliminating an associated 147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0"/>
              <w:rPr>
                <w:rFonts w:ascii="ARIAL" w:hAnsi="ARIAL"/>
                <w:sz w:val="20"/>
              </w:rPr>
            </w:pPr>
            <w:r>
              <w:rPr>
                <w:rFonts w:ascii="ARIAL" w:hAnsi="ARIAL"/>
                <w:sz w:val="20"/>
              </w:rPr>
              <w:t xml:space="preserve">metric tons of CO2e emissions. The rig provided sufficient power from one genset during tophole drilling, tubular tripping, and various surface activities. This direct digital system runs the active genset at its optimal rating to increase energy efficiency, and the battery safely absorbs harsh transient power spikes, thereby extending genset reliability, all without the need for rig crew intervention.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8"/>
        <w:gridCol w:w="102"/>
        <w:gridCol w:w="9794"/>
      </w:tblGrid>
      <w:tr>
        <w:trPr/>
        <w:tc>
          <w:tcPr>
            <w:tcW w:w="101"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4" w:type="dxa"/>
            <w:tcBorders/>
            <w:shd w:fill="auto" w:val="clear"/>
          </w:tcPr>
          <w:p>
            <w:pPr>
              <w:pStyle w:val="TableContents"/>
              <w:spacing w:before="0" w:after="0"/>
              <w:jc w:val="left"/>
              <w:rPr>
                <w:rFonts w:ascii="ARIAL" w:hAnsi="ARIAL"/>
                <w:sz w:val="20"/>
              </w:rPr>
            </w:pPr>
            <w:r>
              <w:rPr>
                <w:rFonts w:ascii="ARIAL" w:hAnsi="ARIAL"/>
                <w:sz w:val="20"/>
              </w:rPr>
              <w:t xml:space="preserve">During the quarter, SLB introduced the EcoShield geopolymer cement-free system that minimizes the CO2 footprint of a wells construction. This innovative technology eliminates up to 85% of embodied CO2 emissions compared with conventional well cementing systems. The EcoShield system has the potential to avoid up to 5 million metric tons of CO2 emissions annually, the equivalent of removing 1.1 million cars from the road each year. The EcoShield system uses locally sourced natural materials and industrial waste streams in its composition, making it a far more sustainable well integrity method. The cement-free system can be deployed throughout various phases of the well life cycle, including abandonment, and across a range of field applications, including in corrosive environments.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Aker BP in Norway collaborated with SLB to deploy the Epilogue dual-string barrier evaluation on multiple wells to avoid excessive cement remediation. The results from the Epilogue dual-string barrier evaluation and a pressure test validated the presence of a barrier that complied with NORSOK regulations. The Epilogue dual-string barrier evaluation eliminated the need for removing the production tubing before the bond evaluation, thereby saving rig time and providing operational flexibility.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0"/>
        <w:gridCol w:w="103"/>
        <w:gridCol w:w="9790"/>
      </w:tblGrid>
      <w:tr>
        <w:trPr/>
        <w:tc>
          <w:tcPr>
            <w:tcW w:w="102"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90" w:type="dxa"/>
            <w:tcBorders/>
            <w:shd w:fill="auto" w:val="clear"/>
          </w:tcPr>
          <w:p>
            <w:pPr>
              <w:pStyle w:val="TableContents"/>
              <w:spacing w:before="0" w:after="0"/>
              <w:jc w:val="left"/>
              <w:rPr>
                <w:rFonts w:ascii="ARIAL" w:hAnsi="ARIAL"/>
                <w:sz w:val="20"/>
              </w:rPr>
            </w:pPr>
            <w:r>
              <w:rPr>
                <w:rFonts w:ascii="ARIAL" w:hAnsi="ARIAL"/>
                <w:sz w:val="20"/>
              </w:rPr>
              <w:t xml:space="preserve">In Libya, SLB technology and processes enhanced production from the first six wells of a 25-well project for Sarir Oil Operations (SOO). The production enhancement workflow included project assessment, intelligent candidate selection, data processing, hypothesis validation, technology selection, and production enhancement execution. An integrated suite of production logging and pulsed-neutron technologies was deployed to identify sources of water. High-resistance through-tubing bridge plugs and specialized ultra-shear cement were used to shut off the water source in the high-pressure wells. The intervention campaign on these wells resulted in a 400% increase in oil production and reduction in water cut by 60%. The campaign allowed SOO to achieve its production increase objectives and to de-bottleneck produced water, thereby increasing overall field production.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ARIAL" w:hAnsi="ARIAL"/>
                <w:sz w:val="20"/>
              </w:rPr>
            </w:pPr>
            <w:r>
              <w:rPr>
                <w:rFonts w:ascii="ARIAL" w:hAnsi="ARIAL"/>
                <w:sz w:val="20"/>
              </w:rPr>
              <w:t>Tailwind Energy Chinook Ltd deployed the worlds first dual MaxFORTE electric submersible pumps (ESPs) on their Orlando Field, North Sea, development well 3/03b-13Y. High-reliability and dual ESP completions are key enablers of production assurance offshore, where workover costs are high and scheduling ESP replacements is limited by rig availability and weather windows in the North Sea. Following commissioning, the MaxFORTE high-reliability ESP system operated at oil production rates greater than 4,000 barrels per day and continues its strong performance. This successful first application creates more opportunities for dual MaxFORTE ESP system installations offshore and subsea worldwide as countries aim to align energy delivery with domestic needs.</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rPr/>
      </w:pPr>
      <w:r>
        <w:rPr/>
      </w:r>
    </w:p>
    <w:p>
      <w:pPr>
        <w:pStyle w:val="TextBody"/>
        <w:spacing w:before="0" w:after="0"/>
        <w:jc w:val="left"/>
        <w:rPr>
          <w:rFonts w:ascii="ARIAL" w:hAnsi="ARIAL"/>
          <w:b/>
          <w:sz w:val="20"/>
        </w:rPr>
      </w:pPr>
      <w:r>
        <w:rPr>
          <w:rFonts w:ascii="ARIAL" w:hAnsi="ARIAL"/>
          <w:b/>
          <w:sz w:val="20"/>
        </w:rPr>
        <w:t xml:space="preserve">DIGITAL </w:t>
      </w:r>
    </w:p>
    <w:p>
      <w:pPr>
        <w:pStyle w:val="TextBody"/>
        <w:spacing w:before="120" w:after="0"/>
        <w:jc w:val="left"/>
        <w:rPr>
          <w:rFonts w:ascii="ARIAL" w:hAnsi="ARIAL"/>
          <w:sz w:val="20"/>
        </w:rPr>
      </w:pPr>
      <w:r>
        <w:rPr>
          <w:rFonts w:ascii="ARIAL" w:hAnsi="ARIAL"/>
          <w:sz w:val="20"/>
        </w:rPr>
        <w:t xml:space="preserve">SLB is deploying digital technology at scale, helping customers to measure and understand their data and leverage insights to drive innovation and elevate performance. Notable highlights include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8"/>
        <w:gridCol w:w="102"/>
        <w:gridCol w:w="9794"/>
      </w:tblGrid>
      <w:tr>
        <w:trPr/>
        <w:tc>
          <w:tcPr>
            <w:tcW w:w="101"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4" w:type="dxa"/>
            <w:tcBorders/>
            <w:shd w:fill="auto" w:val="clear"/>
          </w:tcPr>
          <w:p>
            <w:pPr>
              <w:pStyle w:val="TableContents"/>
              <w:spacing w:before="0" w:after="0"/>
              <w:jc w:val="left"/>
              <w:rPr>
                <w:rFonts w:ascii="ARIAL" w:hAnsi="ARIAL"/>
                <w:sz w:val="20"/>
              </w:rPr>
            </w:pPr>
            <w:r>
              <w:rPr>
                <w:rFonts w:ascii="ARIAL" w:hAnsi="ARIAL"/>
                <w:sz w:val="20"/>
              </w:rPr>
              <w:t xml:space="preserve">SLB was awarded a contract to develop and implement a control system and dynamic process simulation solution for Petrobras. This strategic multipurpose dynamic simulation (MPDS) solution is being developed in partnership with Inprocess Technology and Consulting Group, a worldwide leader in MPDS, and Sensia, the leading control system and automation specialist in oil and gas. The MPDS solution will leverage SLBs leadership in original equipment manufacturing and offshore construction and operations. Moreover, it will exhibit SLBs expertise and ability to provide an immersive digital twin environment to dynamically simulate operational processes and their control and automation systems, train personnel, and strengthen safety elements at five new floating production, storage, and offloading units to be installed in Búzios Field in the Santos Basin.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In Kuwait, Saudi Arabia Chevron (SAC) awarded SLB a two-year software-as-a-service (SaaS) contract for deployment of the Delfi digital platform. Delfi digitalizes petrotechnical operations with AI and machine-learning applications running in the high-performance computing environment of the cloud. It will enable SAC to streamline its workflows for exploration, production, engineering, and agile reservoir modeling to lower costs and unlock new levels of efficiency. The contract builds on an existing agreement between SLB and Chevron.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0"/>
        <w:gridCol w:w="204"/>
        <w:gridCol w:w="101"/>
        <w:gridCol w:w="9800"/>
      </w:tblGrid>
      <w:tr>
        <w:trPr/>
        <w:tc>
          <w:tcPr>
            <w:tcW w:w="10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0"/>
              <w:jc w:val="left"/>
              <w:rPr>
                <w:rFonts w:ascii="ARIAL" w:hAnsi="ARIAL"/>
                <w:sz w:val="20"/>
              </w:rPr>
            </w:pPr>
            <w:r>
              <w:rPr>
                <w:rFonts w:ascii="ARIAL" w:hAnsi="ARIAL"/>
                <w:sz w:val="20"/>
              </w:rPr>
              <w:t xml:space="preserve">CPC Corporation, Taiwan (CPC) has signed a global strategic cooperation framework agreement with SLB to collaborate on digital transformation, including the deployment of a cloud-based cognitive E&amp;P platform; carbon capture, utilization, and sequestration (CCUS); and the assessment of geothermal prospects. These technologies align with Taiwans drive towards a 2050 net-zero economy and CPCs actions in pivoting to a low carbon future. Leveraging the long-term cooperation between the two companies in oil and gas E&amp;P in Taiwan and elsewhere, the expansion of the strategic cooperation will support CPC in accelerating its energy transition pathway.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8"/>
        <w:gridCol w:w="102"/>
        <w:gridCol w:w="9794"/>
      </w:tblGrid>
      <w:tr>
        <w:trPr/>
        <w:tc>
          <w:tcPr>
            <w:tcW w:w="101"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4" w:type="dxa"/>
            <w:tcBorders/>
            <w:shd w:fill="auto" w:val="clear"/>
          </w:tcPr>
          <w:p>
            <w:pPr>
              <w:pStyle w:val="TableContents"/>
              <w:spacing w:before="0" w:after="0"/>
              <w:jc w:val="left"/>
              <w:rPr>
                <w:rFonts w:ascii="ARIAL" w:hAnsi="ARIAL"/>
                <w:sz w:val="20"/>
              </w:rPr>
            </w:pPr>
            <w:r>
              <w:rPr>
                <w:rFonts w:ascii="ARIAL" w:hAnsi="ARIAL"/>
                <w:sz w:val="20"/>
              </w:rPr>
              <w:t xml:space="preserve">In Pakistan, Mari Petroleum Company Limited signed a contract with SLB for integrated digital drilling services to increase their efficiency in the planning and execution of an upcoming strategic well. The contract will introduce the DrillPlan coherent well construction planning solution and the DrillOps on-target well delivery solution. The SLB solutions will include integrated well planning, performance monitoring, and predictive analytics in the Delfi digital platform. These SLB digital drilling solutions will enable agile decisions by both headquarters and wellsite operation teams.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6"/>
        <w:gridCol w:w="102"/>
        <w:gridCol w:w="9796"/>
      </w:tblGrid>
      <w:tr>
        <w:trPr/>
        <w:tc>
          <w:tcPr>
            <w:tcW w:w="101"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6" w:type="dxa"/>
            <w:tcBorders/>
            <w:shd w:fill="auto" w:val="clear"/>
          </w:tcPr>
          <w:p>
            <w:pPr>
              <w:pStyle w:val="TableContents"/>
              <w:spacing w:before="0" w:after="0"/>
              <w:jc w:val="left"/>
              <w:rPr>
                <w:rFonts w:ascii="ARIAL" w:hAnsi="ARIAL"/>
                <w:sz w:val="20"/>
              </w:rPr>
            </w:pPr>
            <w:r>
              <w:rPr>
                <w:rFonts w:ascii="ARIAL" w:hAnsi="ARIAL"/>
                <w:sz w:val="20"/>
              </w:rPr>
              <w:t xml:space="preserve">SLB and the national agency for the valorization of hydrocarbon resources in Algeria (ALNAFT) launched the EXplore ALgeria Today (EXALT) upstream gateway, a fully integrated digital platform developed by SLB that enables seamless global access to a required portfolio of Algerian subsurface data and evergreening products. The multiyear agreement will be enabled by SLB digital subsurface platform and domain expertise. A joint team of ALNAFT and SLB experts will upgrade subsurface understanding with new data to evaluate onshore and offshore hydrocarbon potential for new and existing operators.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SLB has entered into a strategic partnership with Cognite to integrate the SLB Enterprise Data Solution for subsurface data with Cognite Data Fusion®, Cognites leading open industrial DataOps platformcreating the first offering in the market with access to contextualized operational data in an interoperable platform. Through this partnership, customers can integrate data from reservoirs, wells, and facilities in a single, open platform and leverage embedded AI and advanced analytics tools to optimize production and reduce costs, while decreasing their operational footprint to help achieve sustainability goals.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rPr/>
      </w:pPr>
      <w:r>
        <w:rPr/>
      </w:r>
    </w:p>
    <w:p>
      <w:pPr>
        <w:pStyle w:val="TextBody"/>
        <w:spacing w:before="0" w:after="0"/>
        <w:jc w:val="left"/>
        <w:rPr>
          <w:rFonts w:ascii="ARIAL" w:hAnsi="ARIAL"/>
          <w:b/>
          <w:sz w:val="20"/>
        </w:rPr>
      </w:pPr>
      <w:r>
        <w:rPr>
          <w:rFonts w:ascii="ARIAL" w:hAnsi="ARIAL"/>
          <w:b/>
          <w:sz w:val="20"/>
        </w:rPr>
        <w:t xml:space="preserve">NEW ENERGY </w:t>
      </w:r>
    </w:p>
    <w:p>
      <w:pPr>
        <w:pStyle w:val="TextBody"/>
        <w:spacing w:before="120" w:after="0"/>
        <w:jc w:val="left"/>
        <w:rPr>
          <w:rFonts w:ascii="ARIAL" w:hAnsi="ARIAL"/>
          <w:sz w:val="20"/>
        </w:rPr>
      </w:pPr>
      <w:r>
        <w:rPr>
          <w:rFonts w:ascii="ARIAL" w:hAnsi="ARIAL"/>
          <w:sz w:val="20"/>
        </w:rPr>
        <w:t xml:space="preserve">Customers are increasingly focused on reducing their carbon equivalent emissions throughout the value chain. SLB is applying its scale and expertise to new energy systems, accelerating the path to net zero and beyond. Notable highlights include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6"/>
        <w:gridCol w:w="102"/>
        <w:gridCol w:w="9796"/>
      </w:tblGrid>
      <w:tr>
        <w:trPr/>
        <w:tc>
          <w:tcPr>
            <w:tcW w:w="101"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6" w:type="dxa"/>
            <w:tcBorders/>
            <w:shd w:fill="auto" w:val="clear"/>
          </w:tcPr>
          <w:p>
            <w:pPr>
              <w:pStyle w:val="TableContents"/>
              <w:spacing w:before="0" w:after="0"/>
              <w:jc w:val="left"/>
              <w:rPr>
                <w:rFonts w:ascii="ARIAL" w:hAnsi="ARIAL"/>
                <w:sz w:val="20"/>
              </w:rPr>
            </w:pPr>
            <w:r>
              <w:rPr>
                <w:rFonts w:ascii="ARIAL" w:hAnsi="ARIAL"/>
                <w:sz w:val="20"/>
              </w:rPr>
              <w:t xml:space="preserve">As part of Chevron Australias commitment to exploring carbon capture and storage (CCS) potential in the Carnarvon Basin, offshore Western Australia, SLB will perform a three-dimensional seismic and storage assessment to identify new CCS opportunities in the Barrow and Dampier sub-basins. A global team of multidisciplinary experts will integrate decades of subsurface knowledge to screen and evaluate potential CCS sites at the regional scale.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Also in Australia, SLB has supported Mitsui in its CO2 sequestration assessment, which contemplates the injection of up to 50 metric tons of industry grade CO2 into a depleted gas reservoir. SLB has successfully completed phase 1 of the project, which involves flow assurance and engineering. Although detailed engineering for phases 2 and 3 is ongoing, the partners intend to proceed with the activity upon receipt of all necessary regulatory approvals. This will be the first CCS project on land in the Perth Basin, and SLB will support Mitsui in executing the full CCS workflow, including flow assurance, CO2 supply, injection system design, wellsite services, and third-party project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6"/>
        <w:gridCol w:w="102"/>
        <w:gridCol w:w="9796"/>
      </w:tblGrid>
      <w:tr>
        <w:trPr/>
        <w:tc>
          <w:tcPr>
            <w:tcW w:w="101"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6" w:type="dxa"/>
            <w:tcBorders/>
            <w:shd w:fill="auto" w:val="clear"/>
          </w:tcPr>
          <w:p>
            <w:pPr>
              <w:pStyle w:val="TableContents"/>
              <w:spacing w:before="0" w:after="0"/>
              <w:jc w:val="left"/>
              <w:rPr>
                <w:rFonts w:ascii="ARIAL" w:hAnsi="ARIAL"/>
                <w:sz w:val="20"/>
              </w:rPr>
            </w:pPr>
            <w:r>
              <w:rPr>
                <w:rFonts w:ascii="ARIAL" w:hAnsi="ARIAL"/>
                <w:sz w:val="20"/>
              </w:rPr>
              <w:t xml:space="preserve">Eni awarded SLB a contract to supply CO2 injection trees and wellheads for the HyNet Northwest CCS project. The contract includes 14 Cameron tubing spools and trees, three new Cameron wellheads, installation and plug-and-abandon services, and rental tooling. The HyNet project is a significant part of the UK governments strategy to achieve net zero by 2050. CO2 emissions from the project will be stored for the long term in a depleted field in the East Irish Sea through the repurposing of existing offshore infrastructure.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0"/>
        <w:gridCol w:w="103"/>
        <w:gridCol w:w="9790"/>
      </w:tblGrid>
      <w:tr>
        <w:trPr/>
        <w:tc>
          <w:tcPr>
            <w:tcW w:w="102"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90" w:type="dxa"/>
            <w:tcBorders/>
            <w:shd w:fill="auto" w:val="clear"/>
          </w:tcPr>
          <w:p>
            <w:pPr>
              <w:pStyle w:val="TableContents"/>
              <w:spacing w:before="0" w:after="0"/>
              <w:jc w:val="left"/>
              <w:rPr>
                <w:rFonts w:ascii="ARIAL" w:hAnsi="ARIAL"/>
                <w:sz w:val="20"/>
              </w:rPr>
            </w:pPr>
            <w:r>
              <w:rPr>
                <w:rFonts w:ascii="ARIAL" w:hAnsi="ARIAL"/>
                <w:sz w:val="20"/>
              </w:rPr>
              <w:t xml:space="preserve">In Malaysia, SLB was awarded a contract by Malaysia Marine and Heavy Engineering Sdn Bhd, for work on the project of PETRONAS, namely its Kasawari CCS project in Block SK316, offshore Sarawak. The scope of work is the design and supply of equipment to treat up to 256.3 MMscfd of inlet gas with 57.9 to 71.7 mol% CO2.The project is expected to reduce CO2 emitted by flaring by 3.3 metric tons of CO2e annually, making it one of the largest offshore CCS projects in the world.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In Canada, SLB is providing seismic processing and reservoir modeling software to support a shallow carbon storage project for Carbon Management Canadas Newell County Facility. Research at the 200-hectare site demonstrates best practices for CO2 storage monitoring protocols and helps governments, industries, and the public understand that CO2 can be stored securely underground. Access to seven years worth of operations research and data from the project will enable SLB to validate its CO2 monitoring, modeling, and imaging technologies, expanding its capabilities to deliver CCS solutions at scale.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8"/>
        <w:gridCol w:w="102"/>
        <w:gridCol w:w="9794"/>
      </w:tblGrid>
      <w:tr>
        <w:trPr/>
        <w:tc>
          <w:tcPr>
            <w:tcW w:w="101"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4" w:type="dxa"/>
            <w:tcBorders/>
            <w:shd w:fill="auto" w:val="clear"/>
          </w:tcPr>
          <w:p>
            <w:pPr>
              <w:pStyle w:val="TableContents"/>
              <w:spacing w:before="0" w:after="0"/>
              <w:jc w:val="left"/>
              <w:rPr>
                <w:rFonts w:ascii="ARIAL" w:hAnsi="ARIAL"/>
                <w:sz w:val="20"/>
              </w:rPr>
            </w:pPr>
            <w:r>
              <w:rPr>
                <w:rFonts w:ascii="ARIAL" w:hAnsi="ARIAL"/>
                <w:sz w:val="20"/>
              </w:rPr>
              <w:t xml:space="preserve">In upstate New York, United States, Cornell University awarded SLB a contract for integrated services to construct and characterize a stratigraphic well on the university campus. The goal of the project is to evaluate the feasibility of sustainably heating the campus with Earth Source Heat. The well was successfully completed with several new technologies suited for the stringent environmental and technical requirements of the project, including, among others, the DrillPlan well construction planning solution, DrillOps well delivery solution, HydraGlyde high-performance water-based drilling fluid, and MDT modular formation dynamics tester deployed with a new 10K dual-packer system for state-of-the art sampling and characterization. The well was drilled to the target zone with no fluid performance issues and was successfully tested and characterized as per project specifications. This geothermal project is key to Cornell Universitys carbon neutrality goal by 2035.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FINANCIAL TABLES </w:t>
      </w:r>
    </w:p>
    <w:p>
      <w:pPr>
        <w:pStyle w:val="TextBody"/>
        <w:spacing w:before="240" w:after="0"/>
        <w:jc w:val="left"/>
        <w:rPr>
          <w:rFonts w:ascii="ARIAL" w:hAnsi="ARIAL"/>
          <w:b/>
          <w:sz w:val="20"/>
        </w:rPr>
      </w:pPr>
      <w:r>
        <w:rPr>
          <w:rFonts w:ascii="ARIAL" w:hAnsi="ARIAL"/>
          <w:b/>
          <w:sz w:val="20"/>
        </w:rPr>
        <w:t xml:space="preserve">Condensed Consolidated Statement of Income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499"/>
        <w:gridCol w:w="379"/>
        <w:gridCol w:w="266"/>
        <w:gridCol w:w="1073"/>
        <w:gridCol w:w="114"/>
        <w:gridCol w:w="471"/>
        <w:gridCol w:w="266"/>
        <w:gridCol w:w="1074"/>
        <w:gridCol w:w="63"/>
      </w:tblGrid>
      <w:tr>
        <w:trPr/>
        <w:tc>
          <w:tcPr>
            <w:tcW w:w="649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6499"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3264" w:type="dxa"/>
            <w:gridSpan w:val="6"/>
            <w:tcBorders/>
            <w:shd w:fill="auto" w:val="clear"/>
            <w:vAlign w:val="bottom"/>
          </w:tcPr>
          <w:p>
            <w:pPr>
              <w:pStyle w:val="TableContents"/>
              <w:spacing w:before="0" w:after="283"/>
              <w:jc w:val="center"/>
              <w:rPr>
                <w:b/>
              </w:rPr>
            </w:pPr>
            <w:r>
              <w:rPr>
                <w:b/>
              </w:rPr>
              <w:t>(Stated in millions, except per</w:t>
              <w:br/>
              <w:t>share amounts)</w:t>
            </w:r>
          </w:p>
        </w:tc>
        <w:tc>
          <w:tcPr>
            <w:tcW w:w="63" w:type="dxa"/>
            <w:tcBorders/>
            <w:shd w:fill="auto" w:val="clear"/>
            <w:vAlign w:val="bottom"/>
          </w:tcPr>
          <w:p>
            <w:pPr>
              <w:pStyle w:val="TableContents"/>
              <w:spacing w:before="0" w:after="283"/>
              <w:rPr/>
            </w:pPr>
            <w:r>
              <w:rPr/>
              <w:t> </w:t>
            </w:r>
          </w:p>
        </w:tc>
      </w:tr>
      <w:tr>
        <w:trPr/>
        <w:tc>
          <w:tcPr>
            <w:tcW w:w="6499"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326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Three Months</w:t>
            </w:r>
          </w:p>
        </w:tc>
        <w:tc>
          <w:tcPr>
            <w:tcW w:w="63" w:type="dxa"/>
            <w:tcBorders/>
            <w:shd w:fill="auto" w:val="clear"/>
            <w:vAlign w:val="bottom"/>
          </w:tcPr>
          <w:p>
            <w:pPr>
              <w:pStyle w:val="TableContents"/>
              <w:spacing w:before="0" w:after="283"/>
              <w:rPr/>
            </w:pPr>
            <w:r>
              <w:rPr/>
              <w:t> </w:t>
            </w:r>
          </w:p>
        </w:tc>
      </w:tr>
      <w:tr>
        <w:trPr/>
        <w:tc>
          <w:tcPr>
            <w:tcW w:w="6499" w:type="dxa"/>
            <w:tcBorders/>
            <w:shd w:fill="auto" w:val="clear"/>
            <w:vAlign w:val="bottom"/>
          </w:tcPr>
          <w:p>
            <w:pPr>
              <w:pStyle w:val="TableContents"/>
              <w:pBdr>
                <w:bottom w:val="single" w:sz="8" w:space="1" w:color="000000"/>
              </w:pBdr>
              <w:spacing w:before="0" w:after="0"/>
              <w:rPr>
                <w:rFonts w:ascii="ARIAL" w:hAnsi="ARIAL"/>
                <w:b/>
                <w:sz w:val="16"/>
              </w:rPr>
            </w:pPr>
            <w:r>
              <w:rPr>
                <w:rFonts w:ascii="ARIAL" w:hAnsi="ARIAL"/>
                <w:b/>
                <w:sz w:val="16"/>
              </w:rPr>
              <w:t>Periods Ended March 31,</w:t>
            </w:r>
          </w:p>
        </w:tc>
        <w:tc>
          <w:tcPr>
            <w:tcW w:w="379" w:type="dxa"/>
            <w:tcBorders/>
            <w:shd w:fill="auto" w:val="clear"/>
            <w:vAlign w:val="bottom"/>
          </w:tcPr>
          <w:p>
            <w:pPr>
              <w:pStyle w:val="TableContents"/>
              <w:spacing w:before="0" w:after="283"/>
              <w:rPr/>
            </w:pPr>
            <w:r>
              <w:rPr/>
              <w:t>  </w:t>
            </w:r>
          </w:p>
        </w:tc>
        <w:tc>
          <w:tcPr>
            <w:tcW w:w="133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14"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13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3" w:type="dxa"/>
            <w:tcBorders/>
            <w:shd w:fill="auto" w:val="clear"/>
            <w:vAlign w:val="bottom"/>
          </w:tcPr>
          <w:p>
            <w:pPr>
              <w:pStyle w:val="TableContents"/>
              <w:spacing w:before="0" w:after="283"/>
              <w:rPr/>
            </w:pPr>
            <w:r>
              <w:rPr/>
              <w:t> </w:t>
            </w:r>
          </w:p>
        </w:tc>
      </w:tr>
      <w:tr>
        <w:trPr/>
        <w:tc>
          <w:tcPr>
            <w:tcW w:w="6499" w:type="dxa"/>
            <w:tcBorders/>
            <w:shd w:fill="CCEEFF" w:val="clear"/>
            <w:vAlign w:val="bottom"/>
          </w:tcPr>
          <w:p>
            <w:pPr>
              <w:pStyle w:val="TableContents"/>
              <w:spacing w:before="0" w:after="0"/>
              <w:rPr>
                <w:rFonts w:ascii="ARIAL" w:hAnsi="ARIAL"/>
                <w:sz w:val="20"/>
              </w:rPr>
            </w:pPr>
            <w:r>
              <w:rPr>
                <w:rFonts w:ascii="ARIAL" w:hAnsi="ARIAL"/>
                <w:sz w:val="20"/>
              </w:rPr>
              <w:t>Revenue</w:t>
            </w:r>
          </w:p>
        </w:tc>
        <w:tc>
          <w:tcPr>
            <w:tcW w:w="37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b/>
              </w:rPr>
            </w:pPr>
            <w:r>
              <w:rPr>
                <w:b/>
              </w:rPr>
              <w:t>$</w:t>
            </w:r>
          </w:p>
        </w:tc>
        <w:tc>
          <w:tcPr>
            <w:tcW w:w="1073" w:type="dxa"/>
            <w:tcBorders/>
            <w:shd w:fill="CCEEFF" w:val="clear"/>
            <w:vAlign w:val="bottom"/>
          </w:tcPr>
          <w:p>
            <w:pPr>
              <w:pStyle w:val="TableContents"/>
              <w:spacing w:before="0" w:after="283"/>
              <w:jc w:val="right"/>
              <w:rPr>
                <w:b/>
              </w:rPr>
            </w:pPr>
            <w:r>
              <w:rPr>
                <w:b/>
              </w:rPr>
              <w:t>7,736</w:t>
            </w:r>
          </w:p>
        </w:tc>
        <w:tc>
          <w:tcPr>
            <w:tcW w:w="114"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w:t>
            </w:r>
          </w:p>
        </w:tc>
        <w:tc>
          <w:tcPr>
            <w:tcW w:w="1074" w:type="dxa"/>
            <w:tcBorders/>
            <w:shd w:fill="CCEEFF" w:val="clear"/>
            <w:vAlign w:val="bottom"/>
          </w:tcPr>
          <w:p>
            <w:pPr>
              <w:pStyle w:val="TableContents"/>
              <w:spacing w:before="0" w:after="283"/>
              <w:jc w:val="right"/>
              <w:rPr/>
            </w:pPr>
            <w:r>
              <w:rPr/>
              <w:t>5,962</w:t>
            </w:r>
          </w:p>
        </w:tc>
        <w:tc>
          <w:tcPr>
            <w:tcW w:w="63" w:type="dxa"/>
            <w:tcBorders/>
            <w:shd w:fill="CCEEFF" w:val="clear"/>
            <w:vAlign w:val="bottom"/>
          </w:tcPr>
          <w:p>
            <w:pPr>
              <w:pStyle w:val="TableContents"/>
              <w:spacing w:before="0" w:after="283"/>
              <w:rPr/>
            </w:pPr>
            <w:r>
              <w:rPr/>
              <w:t> </w:t>
            </w:r>
          </w:p>
        </w:tc>
      </w:tr>
      <w:tr>
        <w:trPr/>
        <w:tc>
          <w:tcPr>
            <w:tcW w:w="6499" w:type="dxa"/>
            <w:tcBorders/>
            <w:shd w:fill="auto" w:val="clear"/>
            <w:vAlign w:val="bottom"/>
          </w:tcPr>
          <w:p>
            <w:pPr>
              <w:pStyle w:val="TableContents"/>
              <w:spacing w:before="0" w:after="0"/>
              <w:rPr>
                <w:rFonts w:ascii="ARIAL" w:hAnsi="ARIAL"/>
                <w:sz w:val="20"/>
              </w:rPr>
            </w:pPr>
            <w:r>
              <w:rPr>
                <w:rFonts w:ascii="ARIAL" w:hAnsi="ARIAL"/>
                <w:sz w:val="20"/>
              </w:rPr>
              <w:t>Interest &amp; other income, net (1)</w:t>
            </w:r>
          </w:p>
        </w:tc>
        <w:tc>
          <w:tcPr>
            <w:tcW w:w="37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b/>
              </w:rPr>
            </w:pPr>
            <w:r>
              <w:rPr>
                <w:b/>
              </w:rPr>
              <w:t>92</w:t>
            </w:r>
          </w:p>
        </w:tc>
        <w:tc>
          <w:tcPr>
            <w:tcW w:w="114"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50</w:t>
            </w:r>
          </w:p>
        </w:tc>
        <w:tc>
          <w:tcPr>
            <w:tcW w:w="63" w:type="dxa"/>
            <w:tcBorders/>
            <w:shd w:fill="auto" w:val="clear"/>
            <w:vAlign w:val="bottom"/>
          </w:tcPr>
          <w:p>
            <w:pPr>
              <w:pStyle w:val="TableContents"/>
              <w:spacing w:before="0" w:after="283"/>
              <w:rPr/>
            </w:pPr>
            <w:r>
              <w:rPr/>
              <w:t> </w:t>
            </w:r>
          </w:p>
        </w:tc>
      </w:tr>
      <w:tr>
        <w:trPr/>
        <w:tc>
          <w:tcPr>
            <w:tcW w:w="6499" w:type="dxa"/>
            <w:tcBorders/>
            <w:shd w:fill="CCEEFF" w:val="clear"/>
          </w:tcPr>
          <w:p>
            <w:pPr>
              <w:pStyle w:val="TableContents"/>
              <w:spacing w:before="0" w:after="0"/>
              <w:rPr>
                <w:rFonts w:ascii="ARIAL" w:hAnsi="ARIAL"/>
                <w:sz w:val="20"/>
              </w:rPr>
            </w:pPr>
            <w:r>
              <w:rPr>
                <w:rFonts w:ascii="ARIAL" w:hAnsi="ARIAL"/>
                <w:sz w:val="20"/>
              </w:rPr>
              <w:t>Expenses</w:t>
            </w:r>
          </w:p>
        </w:tc>
        <w:tc>
          <w:tcPr>
            <w:tcW w:w="37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sz w:val="4"/>
                <w:szCs w:val="4"/>
              </w:rPr>
            </w:pPr>
            <w:r>
              <w:rPr>
                <w:sz w:val="4"/>
                <w:szCs w:val="4"/>
              </w:rPr>
            </w:r>
          </w:p>
        </w:tc>
        <w:tc>
          <w:tcPr>
            <w:tcW w:w="1073" w:type="dxa"/>
            <w:tcBorders/>
            <w:shd w:fill="CCEEFF" w:val="clear"/>
            <w:vAlign w:val="bottom"/>
          </w:tcPr>
          <w:p>
            <w:pPr>
              <w:pStyle w:val="TableContents"/>
              <w:spacing w:before="0" w:after="283"/>
              <w:rPr>
                <w:sz w:val="4"/>
                <w:szCs w:val="4"/>
              </w:rPr>
            </w:pPr>
            <w:r>
              <w:rPr>
                <w:sz w:val="4"/>
                <w:szCs w:val="4"/>
              </w:rPr>
            </w:r>
          </w:p>
        </w:tc>
        <w:tc>
          <w:tcPr>
            <w:tcW w:w="114" w:type="dxa"/>
            <w:tcBorders/>
            <w:shd w:fill="CCEEFF" w:val="clear"/>
            <w:vAlign w:val="bottom"/>
          </w:tcPr>
          <w:p>
            <w:pPr>
              <w:pStyle w:val="TableContents"/>
              <w:spacing w:before="0" w:after="283"/>
              <w:rPr>
                <w:sz w:val="4"/>
                <w:szCs w:val="4"/>
              </w:rPr>
            </w:pPr>
            <w:r>
              <w:rPr>
                <w:sz w:val="4"/>
                <w:szCs w:val="4"/>
              </w:rPr>
            </w:r>
          </w:p>
        </w:tc>
        <w:tc>
          <w:tcPr>
            <w:tcW w:w="47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sz w:val="4"/>
                <w:szCs w:val="4"/>
              </w:rPr>
            </w:pPr>
            <w:r>
              <w:rPr>
                <w:sz w:val="4"/>
                <w:szCs w:val="4"/>
              </w:rPr>
            </w:r>
          </w:p>
        </w:tc>
        <w:tc>
          <w:tcPr>
            <w:tcW w:w="1074"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6499" w:type="dxa"/>
            <w:tcBorders/>
            <w:shd w:fill="auto" w:val="clear"/>
            <w:vAlign w:val="bottom"/>
          </w:tcPr>
          <w:p>
            <w:pPr>
              <w:pStyle w:val="TableContents"/>
              <w:spacing w:before="0" w:after="0"/>
              <w:rPr>
                <w:rFonts w:ascii="ARIAL" w:hAnsi="ARIAL"/>
                <w:sz w:val="20"/>
              </w:rPr>
            </w:pPr>
            <w:r>
              <w:rPr>
                <w:rFonts w:ascii="ARIAL" w:hAnsi="ARIAL"/>
                <w:sz w:val="20"/>
              </w:rPr>
              <w:t>Cost of revenue</w:t>
            </w:r>
          </w:p>
        </w:tc>
        <w:tc>
          <w:tcPr>
            <w:tcW w:w="37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b/>
              </w:rPr>
            </w:pPr>
            <w:r>
              <w:rPr>
                <w:b/>
              </w:rPr>
              <w:t>6,285</w:t>
            </w:r>
          </w:p>
        </w:tc>
        <w:tc>
          <w:tcPr>
            <w:tcW w:w="114"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5,013</w:t>
            </w:r>
          </w:p>
        </w:tc>
        <w:tc>
          <w:tcPr>
            <w:tcW w:w="63" w:type="dxa"/>
            <w:tcBorders/>
            <w:shd w:fill="auto" w:val="clear"/>
            <w:vAlign w:val="bottom"/>
          </w:tcPr>
          <w:p>
            <w:pPr>
              <w:pStyle w:val="TableContents"/>
              <w:spacing w:before="0" w:after="283"/>
              <w:rPr/>
            </w:pPr>
            <w:r>
              <w:rPr/>
              <w:t> </w:t>
            </w:r>
          </w:p>
        </w:tc>
      </w:tr>
      <w:tr>
        <w:trPr/>
        <w:tc>
          <w:tcPr>
            <w:tcW w:w="6499" w:type="dxa"/>
            <w:tcBorders/>
            <w:shd w:fill="CCEEFF" w:val="clear"/>
            <w:vAlign w:val="bottom"/>
          </w:tcPr>
          <w:p>
            <w:pPr>
              <w:pStyle w:val="TableContents"/>
              <w:spacing w:before="0" w:after="0"/>
              <w:rPr>
                <w:rFonts w:ascii="ARIAL" w:hAnsi="ARIAL"/>
                <w:sz w:val="20"/>
              </w:rPr>
            </w:pPr>
            <w:r>
              <w:rPr>
                <w:rFonts w:ascii="ARIAL" w:hAnsi="ARIAL"/>
                <w:sz w:val="20"/>
              </w:rPr>
              <w:t>Research &amp; engineering</w:t>
            </w:r>
          </w:p>
        </w:tc>
        <w:tc>
          <w:tcPr>
            <w:tcW w:w="37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b/>
              </w:rPr>
            </w:pPr>
            <w:r>
              <w:rPr>
                <w:b/>
              </w:rPr>
              <w:t>174</w:t>
            </w:r>
          </w:p>
        </w:tc>
        <w:tc>
          <w:tcPr>
            <w:tcW w:w="114"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141</w:t>
            </w:r>
          </w:p>
        </w:tc>
        <w:tc>
          <w:tcPr>
            <w:tcW w:w="63" w:type="dxa"/>
            <w:tcBorders/>
            <w:shd w:fill="CCEEFF" w:val="clear"/>
            <w:vAlign w:val="bottom"/>
          </w:tcPr>
          <w:p>
            <w:pPr>
              <w:pStyle w:val="TableContents"/>
              <w:spacing w:before="0" w:after="283"/>
              <w:rPr/>
            </w:pPr>
            <w:r>
              <w:rPr/>
              <w:t> </w:t>
            </w:r>
          </w:p>
        </w:tc>
      </w:tr>
      <w:tr>
        <w:trPr/>
        <w:tc>
          <w:tcPr>
            <w:tcW w:w="6499" w:type="dxa"/>
            <w:tcBorders/>
            <w:shd w:fill="auto" w:val="clear"/>
            <w:vAlign w:val="bottom"/>
          </w:tcPr>
          <w:p>
            <w:pPr>
              <w:pStyle w:val="TableContents"/>
              <w:spacing w:before="0" w:after="0"/>
              <w:rPr>
                <w:rFonts w:ascii="ARIAL" w:hAnsi="ARIAL"/>
                <w:sz w:val="20"/>
              </w:rPr>
            </w:pPr>
            <w:r>
              <w:rPr>
                <w:rFonts w:ascii="ARIAL" w:hAnsi="ARIAL"/>
                <w:sz w:val="20"/>
              </w:rPr>
              <w:t>General &amp; administrative</w:t>
            </w:r>
          </w:p>
        </w:tc>
        <w:tc>
          <w:tcPr>
            <w:tcW w:w="37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b/>
              </w:rPr>
            </w:pPr>
            <w:r>
              <w:rPr>
                <w:b/>
              </w:rPr>
              <w:t>91</w:t>
            </w:r>
          </w:p>
        </w:tc>
        <w:tc>
          <w:tcPr>
            <w:tcW w:w="114"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97</w:t>
            </w:r>
          </w:p>
        </w:tc>
        <w:tc>
          <w:tcPr>
            <w:tcW w:w="63" w:type="dxa"/>
            <w:tcBorders/>
            <w:shd w:fill="auto" w:val="clear"/>
            <w:vAlign w:val="bottom"/>
          </w:tcPr>
          <w:p>
            <w:pPr>
              <w:pStyle w:val="TableContents"/>
              <w:spacing w:before="0" w:after="283"/>
              <w:rPr/>
            </w:pPr>
            <w:r>
              <w:rPr/>
              <w:t> </w:t>
            </w:r>
          </w:p>
        </w:tc>
      </w:tr>
      <w:tr>
        <w:trPr/>
        <w:tc>
          <w:tcPr>
            <w:tcW w:w="6499" w:type="dxa"/>
            <w:tcBorders/>
            <w:shd w:fill="CCEEFF" w:val="clear"/>
            <w:vAlign w:val="bottom"/>
          </w:tcPr>
          <w:p>
            <w:pPr>
              <w:pStyle w:val="TableContents"/>
              <w:spacing w:before="0" w:after="0"/>
              <w:rPr>
                <w:rFonts w:ascii="ARIAL" w:hAnsi="ARIAL"/>
                <w:sz w:val="20"/>
              </w:rPr>
            </w:pPr>
            <w:r>
              <w:rPr>
                <w:rFonts w:ascii="ARIAL" w:hAnsi="ARIAL"/>
                <w:sz w:val="20"/>
              </w:rPr>
              <w:t>Interest</w:t>
            </w:r>
          </w:p>
        </w:tc>
        <w:tc>
          <w:tcPr>
            <w:tcW w:w="37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b/>
              </w:rPr>
            </w:pPr>
            <w:r>
              <w:rPr>
                <w:b/>
              </w:rPr>
              <w:t>117</w:t>
            </w:r>
          </w:p>
        </w:tc>
        <w:tc>
          <w:tcPr>
            <w:tcW w:w="114"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123</w:t>
            </w:r>
          </w:p>
        </w:tc>
        <w:tc>
          <w:tcPr>
            <w:tcW w:w="63" w:type="dxa"/>
            <w:tcBorders/>
            <w:shd w:fill="CCEEFF" w:val="clear"/>
            <w:vAlign w:val="bottom"/>
          </w:tcPr>
          <w:p>
            <w:pPr>
              <w:pStyle w:val="TableContents"/>
              <w:spacing w:before="0" w:after="283"/>
              <w:rPr/>
            </w:pPr>
            <w:r>
              <w:rPr/>
              <w:t> </w:t>
            </w:r>
          </w:p>
        </w:tc>
      </w:tr>
      <w:tr>
        <w:trPr/>
        <w:tc>
          <w:tcPr>
            <w:tcW w:w="6499" w:type="dxa"/>
            <w:tcBorders/>
            <w:shd w:fill="auto" w:val="clear"/>
            <w:vAlign w:val="bottom"/>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pBdr>
                <w:top w:val="single" w:sz="2" w:space="1" w:color="000000"/>
              </w:pBdr>
              <w:spacing w:before="0" w:after="0"/>
              <w:rPr/>
            </w:pPr>
            <w:r>
              <w:rPr/>
              <w:t> </w:t>
            </w:r>
          </w:p>
        </w:tc>
        <w:tc>
          <w:tcPr>
            <w:tcW w:w="1073" w:type="dxa"/>
            <w:tcBorders/>
            <w:shd w:fill="auto" w:val="clear"/>
            <w:vAlign w:val="bottom"/>
          </w:tcPr>
          <w:p>
            <w:pPr>
              <w:pStyle w:val="TableContents"/>
              <w:pBdr>
                <w:top w:val="single" w:sz="2" w:space="1" w:color="000000"/>
              </w:pBdr>
              <w:spacing w:before="0" w:after="0"/>
              <w:rPr/>
            </w:pPr>
            <w:r>
              <w:rPr/>
              <w:t> </w:t>
            </w:r>
          </w:p>
        </w:tc>
        <w:tc>
          <w:tcPr>
            <w:tcW w:w="114" w:type="dxa"/>
            <w:tcBorders/>
            <w:shd w:fill="auto" w:val="clear"/>
            <w:vAlign w:val="center"/>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pBdr>
                <w:top w:val="single" w:sz="2" w:space="1" w:color="000000"/>
              </w:pBdr>
              <w:spacing w:before="0" w:after="0"/>
              <w:rPr/>
            </w:pPr>
            <w:r>
              <w:rPr/>
              <w:t> </w:t>
            </w:r>
          </w:p>
        </w:tc>
        <w:tc>
          <w:tcPr>
            <w:tcW w:w="1074"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6499" w:type="dxa"/>
            <w:tcBorders/>
            <w:shd w:fill="auto" w:val="clear"/>
          </w:tcPr>
          <w:p>
            <w:pPr>
              <w:pStyle w:val="TableContents"/>
              <w:spacing w:before="0" w:after="0"/>
              <w:rPr>
                <w:rFonts w:ascii="ARIAL" w:hAnsi="ARIAL"/>
                <w:sz w:val="20"/>
              </w:rPr>
            </w:pPr>
            <w:r>
              <w:rPr>
                <w:rFonts w:ascii="ARIAL" w:hAnsi="ARIAL"/>
                <w:sz w:val="20"/>
              </w:rPr>
              <w:t>Income before taxes (1)</w:t>
            </w:r>
          </w:p>
        </w:tc>
        <w:tc>
          <w:tcPr>
            <w:tcW w:w="37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b/>
              </w:rPr>
            </w:pPr>
            <w:r>
              <w:rPr>
                <w:b/>
              </w:rPr>
              <w:t>$</w:t>
            </w:r>
          </w:p>
        </w:tc>
        <w:tc>
          <w:tcPr>
            <w:tcW w:w="1073" w:type="dxa"/>
            <w:tcBorders/>
            <w:shd w:fill="auto" w:val="clear"/>
            <w:vAlign w:val="bottom"/>
          </w:tcPr>
          <w:p>
            <w:pPr>
              <w:pStyle w:val="TableContents"/>
              <w:spacing w:before="0" w:after="283"/>
              <w:jc w:val="right"/>
              <w:rPr>
                <w:b/>
              </w:rPr>
            </w:pPr>
            <w:r>
              <w:rPr>
                <w:b/>
              </w:rPr>
              <w:t>1,161</w:t>
            </w:r>
          </w:p>
        </w:tc>
        <w:tc>
          <w:tcPr>
            <w:tcW w:w="114"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w:t>
            </w:r>
          </w:p>
        </w:tc>
        <w:tc>
          <w:tcPr>
            <w:tcW w:w="1074" w:type="dxa"/>
            <w:tcBorders/>
            <w:shd w:fill="auto" w:val="clear"/>
            <w:vAlign w:val="bottom"/>
          </w:tcPr>
          <w:p>
            <w:pPr>
              <w:pStyle w:val="TableContents"/>
              <w:spacing w:before="0" w:after="283"/>
              <w:jc w:val="right"/>
              <w:rPr/>
            </w:pPr>
            <w:r>
              <w:rPr/>
              <w:t>638</w:t>
            </w:r>
          </w:p>
        </w:tc>
        <w:tc>
          <w:tcPr>
            <w:tcW w:w="63" w:type="dxa"/>
            <w:tcBorders/>
            <w:shd w:fill="auto" w:val="clear"/>
            <w:vAlign w:val="bottom"/>
          </w:tcPr>
          <w:p>
            <w:pPr>
              <w:pStyle w:val="TableContents"/>
              <w:spacing w:before="0" w:after="283"/>
              <w:rPr/>
            </w:pPr>
            <w:r>
              <w:rPr/>
              <w:t> </w:t>
            </w:r>
          </w:p>
        </w:tc>
      </w:tr>
      <w:tr>
        <w:trPr/>
        <w:tc>
          <w:tcPr>
            <w:tcW w:w="6499" w:type="dxa"/>
            <w:tcBorders/>
            <w:shd w:fill="CCEEFF" w:val="clear"/>
          </w:tcPr>
          <w:p>
            <w:pPr>
              <w:pStyle w:val="TableContents"/>
              <w:spacing w:before="0" w:after="0"/>
              <w:rPr>
                <w:rFonts w:ascii="ARIAL" w:hAnsi="ARIAL"/>
                <w:sz w:val="20"/>
              </w:rPr>
            </w:pPr>
            <w:r>
              <w:rPr>
                <w:rFonts w:ascii="ARIAL" w:hAnsi="ARIAL"/>
                <w:sz w:val="20"/>
              </w:rPr>
              <w:t>Tax expense (1)</w:t>
            </w:r>
          </w:p>
        </w:tc>
        <w:tc>
          <w:tcPr>
            <w:tcW w:w="37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b/>
              </w:rPr>
            </w:pPr>
            <w:r>
              <w:rPr>
                <w:b/>
              </w:rPr>
              <w:t>217</w:t>
            </w:r>
          </w:p>
        </w:tc>
        <w:tc>
          <w:tcPr>
            <w:tcW w:w="114"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118</w:t>
            </w:r>
          </w:p>
        </w:tc>
        <w:tc>
          <w:tcPr>
            <w:tcW w:w="63" w:type="dxa"/>
            <w:tcBorders/>
            <w:shd w:fill="CCEEFF" w:val="clear"/>
            <w:vAlign w:val="bottom"/>
          </w:tcPr>
          <w:p>
            <w:pPr>
              <w:pStyle w:val="TableContents"/>
              <w:spacing w:before="0" w:after="283"/>
              <w:rPr/>
            </w:pPr>
            <w:r>
              <w:rPr/>
              <w:t> </w:t>
            </w:r>
          </w:p>
        </w:tc>
      </w:tr>
      <w:tr>
        <w:trPr/>
        <w:tc>
          <w:tcPr>
            <w:tcW w:w="6499" w:type="dxa"/>
            <w:tcBorders/>
            <w:shd w:fill="auto" w:val="clear"/>
            <w:vAlign w:val="bottom"/>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pBdr>
                <w:top w:val="single" w:sz="2" w:space="1" w:color="000000"/>
              </w:pBdr>
              <w:spacing w:before="0" w:after="0"/>
              <w:rPr/>
            </w:pPr>
            <w:r>
              <w:rPr/>
              <w:t> </w:t>
            </w:r>
          </w:p>
        </w:tc>
        <w:tc>
          <w:tcPr>
            <w:tcW w:w="1073" w:type="dxa"/>
            <w:tcBorders/>
            <w:shd w:fill="auto" w:val="clear"/>
            <w:vAlign w:val="bottom"/>
          </w:tcPr>
          <w:p>
            <w:pPr>
              <w:pStyle w:val="TableContents"/>
              <w:pBdr>
                <w:top w:val="single" w:sz="2" w:space="1" w:color="000000"/>
              </w:pBdr>
              <w:spacing w:before="0" w:after="0"/>
              <w:rPr/>
            </w:pPr>
            <w:r>
              <w:rPr/>
              <w:t> </w:t>
            </w:r>
          </w:p>
        </w:tc>
        <w:tc>
          <w:tcPr>
            <w:tcW w:w="114" w:type="dxa"/>
            <w:tcBorders/>
            <w:shd w:fill="auto" w:val="clear"/>
            <w:vAlign w:val="center"/>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pBdr>
                <w:top w:val="single" w:sz="2" w:space="1" w:color="000000"/>
              </w:pBdr>
              <w:spacing w:before="0" w:after="0"/>
              <w:rPr/>
            </w:pPr>
            <w:r>
              <w:rPr/>
              <w:t> </w:t>
            </w:r>
          </w:p>
        </w:tc>
        <w:tc>
          <w:tcPr>
            <w:tcW w:w="1074"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6499" w:type="dxa"/>
            <w:tcBorders/>
            <w:shd w:fill="auto" w:val="clear"/>
          </w:tcPr>
          <w:p>
            <w:pPr>
              <w:pStyle w:val="TableContents"/>
              <w:spacing w:before="0" w:after="0"/>
              <w:rPr>
                <w:rFonts w:ascii="ARIAL" w:hAnsi="ARIAL"/>
                <w:sz w:val="20"/>
              </w:rPr>
            </w:pPr>
            <w:r>
              <w:rPr>
                <w:rFonts w:ascii="ARIAL" w:hAnsi="ARIAL"/>
                <w:sz w:val="20"/>
              </w:rPr>
              <w:t>Net income (1)</w:t>
            </w:r>
          </w:p>
        </w:tc>
        <w:tc>
          <w:tcPr>
            <w:tcW w:w="37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b/>
              </w:rPr>
            </w:pPr>
            <w:r>
              <w:rPr>
                <w:b/>
              </w:rPr>
              <w:t>$</w:t>
            </w:r>
          </w:p>
        </w:tc>
        <w:tc>
          <w:tcPr>
            <w:tcW w:w="1073" w:type="dxa"/>
            <w:tcBorders/>
            <w:shd w:fill="auto" w:val="clear"/>
            <w:vAlign w:val="bottom"/>
          </w:tcPr>
          <w:p>
            <w:pPr>
              <w:pStyle w:val="TableContents"/>
              <w:spacing w:before="0" w:after="283"/>
              <w:jc w:val="right"/>
              <w:rPr>
                <w:b/>
              </w:rPr>
            </w:pPr>
            <w:r>
              <w:rPr>
                <w:b/>
              </w:rPr>
              <w:t>944</w:t>
            </w:r>
          </w:p>
        </w:tc>
        <w:tc>
          <w:tcPr>
            <w:tcW w:w="114"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w:t>
            </w:r>
          </w:p>
        </w:tc>
        <w:tc>
          <w:tcPr>
            <w:tcW w:w="1074" w:type="dxa"/>
            <w:tcBorders/>
            <w:shd w:fill="auto" w:val="clear"/>
            <w:vAlign w:val="bottom"/>
          </w:tcPr>
          <w:p>
            <w:pPr>
              <w:pStyle w:val="TableContents"/>
              <w:spacing w:before="0" w:after="283"/>
              <w:jc w:val="right"/>
              <w:rPr/>
            </w:pPr>
            <w:r>
              <w:rPr/>
              <w:t>520</w:t>
            </w:r>
          </w:p>
        </w:tc>
        <w:tc>
          <w:tcPr>
            <w:tcW w:w="63" w:type="dxa"/>
            <w:tcBorders/>
            <w:shd w:fill="auto" w:val="clear"/>
            <w:vAlign w:val="bottom"/>
          </w:tcPr>
          <w:p>
            <w:pPr>
              <w:pStyle w:val="TableContents"/>
              <w:spacing w:before="0" w:after="283"/>
              <w:rPr/>
            </w:pPr>
            <w:r>
              <w:rPr/>
              <w:t> </w:t>
            </w:r>
          </w:p>
        </w:tc>
      </w:tr>
      <w:tr>
        <w:trPr/>
        <w:tc>
          <w:tcPr>
            <w:tcW w:w="6499" w:type="dxa"/>
            <w:tcBorders/>
            <w:shd w:fill="CCEEFF" w:val="clear"/>
          </w:tcPr>
          <w:p>
            <w:pPr>
              <w:pStyle w:val="TableContents"/>
              <w:spacing w:before="0" w:after="0"/>
              <w:rPr>
                <w:rFonts w:ascii="ARIAL" w:hAnsi="ARIAL"/>
                <w:sz w:val="20"/>
              </w:rPr>
            </w:pPr>
            <w:r>
              <w:rPr>
                <w:rFonts w:ascii="ARIAL" w:hAnsi="ARIAL"/>
                <w:sz w:val="20"/>
              </w:rPr>
              <w:t>Net income attributable to noncontrolling interest</w:t>
            </w:r>
          </w:p>
        </w:tc>
        <w:tc>
          <w:tcPr>
            <w:tcW w:w="37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b/>
              </w:rPr>
            </w:pPr>
            <w:r>
              <w:rPr>
                <w:b/>
              </w:rPr>
              <w:t>10</w:t>
            </w:r>
          </w:p>
        </w:tc>
        <w:tc>
          <w:tcPr>
            <w:tcW w:w="114"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10</w:t>
            </w:r>
          </w:p>
        </w:tc>
        <w:tc>
          <w:tcPr>
            <w:tcW w:w="63" w:type="dxa"/>
            <w:tcBorders/>
            <w:shd w:fill="CCEEFF" w:val="clear"/>
            <w:vAlign w:val="bottom"/>
          </w:tcPr>
          <w:p>
            <w:pPr>
              <w:pStyle w:val="TableContents"/>
              <w:spacing w:before="0" w:after="283"/>
              <w:rPr/>
            </w:pPr>
            <w:r>
              <w:rPr/>
              <w:t> </w:t>
            </w:r>
          </w:p>
        </w:tc>
      </w:tr>
      <w:tr>
        <w:trPr/>
        <w:tc>
          <w:tcPr>
            <w:tcW w:w="6499" w:type="dxa"/>
            <w:tcBorders/>
            <w:shd w:fill="auto" w:val="clear"/>
            <w:vAlign w:val="bottom"/>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pBdr>
                <w:top w:val="single" w:sz="2" w:space="1" w:color="000000"/>
              </w:pBdr>
              <w:spacing w:before="0" w:after="0"/>
              <w:rPr/>
            </w:pPr>
            <w:r>
              <w:rPr/>
              <w:t> </w:t>
            </w:r>
          </w:p>
        </w:tc>
        <w:tc>
          <w:tcPr>
            <w:tcW w:w="1073" w:type="dxa"/>
            <w:tcBorders/>
            <w:shd w:fill="auto" w:val="clear"/>
            <w:vAlign w:val="bottom"/>
          </w:tcPr>
          <w:p>
            <w:pPr>
              <w:pStyle w:val="TableContents"/>
              <w:pBdr>
                <w:top w:val="single" w:sz="2" w:space="1" w:color="000000"/>
              </w:pBdr>
              <w:spacing w:before="0" w:after="0"/>
              <w:rPr/>
            </w:pPr>
            <w:r>
              <w:rPr/>
              <w:t> </w:t>
            </w:r>
          </w:p>
        </w:tc>
        <w:tc>
          <w:tcPr>
            <w:tcW w:w="114" w:type="dxa"/>
            <w:tcBorders/>
            <w:shd w:fill="auto" w:val="clear"/>
            <w:vAlign w:val="center"/>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pBdr>
                <w:top w:val="single" w:sz="2" w:space="1" w:color="000000"/>
              </w:pBdr>
              <w:spacing w:before="0" w:after="0"/>
              <w:rPr/>
            </w:pPr>
            <w:r>
              <w:rPr/>
              <w:t> </w:t>
            </w:r>
          </w:p>
        </w:tc>
        <w:tc>
          <w:tcPr>
            <w:tcW w:w="1074"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6499" w:type="dxa"/>
            <w:tcBorders/>
            <w:shd w:fill="auto" w:val="clear"/>
          </w:tcPr>
          <w:p>
            <w:pPr>
              <w:pStyle w:val="TableContents"/>
              <w:spacing w:before="0" w:after="0"/>
              <w:rPr>
                <w:rFonts w:ascii="ARIAL" w:hAnsi="ARIAL"/>
                <w:sz w:val="20"/>
              </w:rPr>
            </w:pPr>
            <w:r>
              <w:rPr>
                <w:rFonts w:ascii="ARIAL" w:hAnsi="ARIAL"/>
                <w:sz w:val="20"/>
              </w:rPr>
              <w:t>Net income attributable to SLB (1)</w:t>
            </w:r>
          </w:p>
        </w:tc>
        <w:tc>
          <w:tcPr>
            <w:tcW w:w="37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b/>
              </w:rPr>
            </w:pPr>
            <w:r>
              <w:rPr>
                <w:b/>
              </w:rPr>
              <w:t>$</w:t>
            </w:r>
          </w:p>
        </w:tc>
        <w:tc>
          <w:tcPr>
            <w:tcW w:w="1073" w:type="dxa"/>
            <w:tcBorders/>
            <w:shd w:fill="auto" w:val="clear"/>
            <w:vAlign w:val="bottom"/>
          </w:tcPr>
          <w:p>
            <w:pPr>
              <w:pStyle w:val="TableContents"/>
              <w:spacing w:before="0" w:after="283"/>
              <w:jc w:val="right"/>
              <w:rPr>
                <w:b/>
              </w:rPr>
            </w:pPr>
            <w:r>
              <w:rPr>
                <w:b/>
              </w:rPr>
              <w:t>934</w:t>
            </w:r>
          </w:p>
        </w:tc>
        <w:tc>
          <w:tcPr>
            <w:tcW w:w="114"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w:t>
            </w:r>
          </w:p>
        </w:tc>
        <w:tc>
          <w:tcPr>
            <w:tcW w:w="1074" w:type="dxa"/>
            <w:tcBorders/>
            <w:shd w:fill="auto" w:val="clear"/>
            <w:vAlign w:val="bottom"/>
          </w:tcPr>
          <w:p>
            <w:pPr>
              <w:pStyle w:val="TableContents"/>
              <w:spacing w:before="0" w:after="283"/>
              <w:jc w:val="right"/>
              <w:rPr/>
            </w:pPr>
            <w:r>
              <w:rPr/>
              <w:t>510</w:t>
            </w:r>
          </w:p>
        </w:tc>
        <w:tc>
          <w:tcPr>
            <w:tcW w:w="63" w:type="dxa"/>
            <w:tcBorders/>
            <w:shd w:fill="auto" w:val="clear"/>
            <w:vAlign w:val="bottom"/>
          </w:tcPr>
          <w:p>
            <w:pPr>
              <w:pStyle w:val="TableContents"/>
              <w:spacing w:before="0" w:after="283"/>
              <w:rPr/>
            </w:pPr>
            <w:r>
              <w:rPr/>
              <w:t> </w:t>
            </w:r>
          </w:p>
        </w:tc>
      </w:tr>
      <w:tr>
        <w:trPr/>
        <w:tc>
          <w:tcPr>
            <w:tcW w:w="6499" w:type="dxa"/>
            <w:tcBorders/>
            <w:shd w:fill="auto" w:val="clear"/>
            <w:vAlign w:val="bottom"/>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pBdr>
                <w:top w:val="single" w:sz="2" w:space="1" w:color="000000"/>
              </w:pBdr>
              <w:spacing w:before="0" w:after="0"/>
              <w:rPr/>
            </w:pPr>
            <w:r>
              <w:rPr/>
              <w:t> </w:t>
            </w:r>
          </w:p>
        </w:tc>
        <w:tc>
          <w:tcPr>
            <w:tcW w:w="1073" w:type="dxa"/>
            <w:tcBorders/>
            <w:shd w:fill="auto" w:val="clear"/>
            <w:vAlign w:val="bottom"/>
          </w:tcPr>
          <w:p>
            <w:pPr>
              <w:pStyle w:val="TableContents"/>
              <w:pBdr>
                <w:top w:val="single" w:sz="2" w:space="1" w:color="000000"/>
              </w:pBdr>
              <w:spacing w:before="0" w:after="0"/>
              <w:rPr/>
            </w:pPr>
            <w:r>
              <w:rPr/>
              <w:t> </w:t>
            </w:r>
          </w:p>
        </w:tc>
        <w:tc>
          <w:tcPr>
            <w:tcW w:w="114" w:type="dxa"/>
            <w:tcBorders/>
            <w:shd w:fill="auto" w:val="clear"/>
            <w:vAlign w:val="center"/>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pBdr>
                <w:top w:val="single" w:sz="2" w:space="1" w:color="000000"/>
              </w:pBdr>
              <w:spacing w:before="0" w:after="0"/>
              <w:rPr/>
            </w:pPr>
            <w:r>
              <w:rPr/>
              <w:t> </w:t>
            </w:r>
          </w:p>
        </w:tc>
        <w:tc>
          <w:tcPr>
            <w:tcW w:w="1074"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6499" w:type="dxa"/>
            <w:tcBorders/>
            <w:shd w:fill="CCEEFF" w:val="clear"/>
          </w:tcPr>
          <w:p>
            <w:pPr>
              <w:pStyle w:val="TableContents"/>
              <w:spacing w:before="0" w:after="0"/>
              <w:rPr>
                <w:rFonts w:ascii="ARIAL" w:hAnsi="ARIAL"/>
                <w:sz w:val="20"/>
              </w:rPr>
            </w:pPr>
            <w:r>
              <w:rPr>
                <w:rFonts w:ascii="ARIAL" w:hAnsi="ARIAL"/>
                <w:sz w:val="20"/>
              </w:rPr>
              <w:t>Diluted earnings per share of SLB (1)</w:t>
            </w:r>
          </w:p>
        </w:tc>
        <w:tc>
          <w:tcPr>
            <w:tcW w:w="37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b/>
              </w:rPr>
            </w:pPr>
            <w:r>
              <w:rPr>
                <w:b/>
              </w:rPr>
              <w:t>$</w:t>
            </w:r>
          </w:p>
        </w:tc>
        <w:tc>
          <w:tcPr>
            <w:tcW w:w="1073" w:type="dxa"/>
            <w:tcBorders/>
            <w:shd w:fill="CCEEFF" w:val="clear"/>
            <w:vAlign w:val="bottom"/>
          </w:tcPr>
          <w:p>
            <w:pPr>
              <w:pStyle w:val="TableContents"/>
              <w:spacing w:before="0" w:after="283"/>
              <w:jc w:val="right"/>
              <w:rPr>
                <w:b/>
              </w:rPr>
            </w:pPr>
            <w:r>
              <w:rPr>
                <w:b/>
              </w:rPr>
              <w:t>0.65</w:t>
            </w:r>
          </w:p>
        </w:tc>
        <w:tc>
          <w:tcPr>
            <w:tcW w:w="114"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w:t>
            </w:r>
          </w:p>
        </w:tc>
        <w:tc>
          <w:tcPr>
            <w:tcW w:w="1074" w:type="dxa"/>
            <w:tcBorders/>
            <w:shd w:fill="CCEEFF" w:val="clear"/>
            <w:vAlign w:val="bottom"/>
          </w:tcPr>
          <w:p>
            <w:pPr>
              <w:pStyle w:val="TableContents"/>
              <w:spacing w:before="0" w:after="283"/>
              <w:jc w:val="right"/>
              <w:rPr/>
            </w:pPr>
            <w:r>
              <w:rPr/>
              <w:t>0.36</w:t>
            </w:r>
          </w:p>
        </w:tc>
        <w:tc>
          <w:tcPr>
            <w:tcW w:w="63" w:type="dxa"/>
            <w:tcBorders/>
            <w:shd w:fill="CCEEFF" w:val="clear"/>
            <w:vAlign w:val="bottom"/>
          </w:tcPr>
          <w:p>
            <w:pPr>
              <w:pStyle w:val="TableContents"/>
              <w:spacing w:before="0" w:after="283"/>
              <w:rPr/>
            </w:pPr>
            <w:r>
              <w:rPr/>
              <w:t> </w:t>
            </w:r>
          </w:p>
        </w:tc>
      </w:tr>
      <w:tr>
        <w:trPr/>
        <w:tc>
          <w:tcPr>
            <w:tcW w:w="6499" w:type="dxa"/>
            <w:tcBorders/>
            <w:shd w:fill="auto" w:val="clear"/>
            <w:vAlign w:val="bottom"/>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pBdr>
                <w:top w:val="single" w:sz="2" w:space="1" w:color="000000"/>
              </w:pBdr>
              <w:spacing w:before="0" w:after="0"/>
              <w:rPr/>
            </w:pPr>
            <w:r>
              <w:rPr/>
              <w:t> </w:t>
            </w:r>
          </w:p>
        </w:tc>
        <w:tc>
          <w:tcPr>
            <w:tcW w:w="1073" w:type="dxa"/>
            <w:tcBorders/>
            <w:shd w:fill="auto" w:val="clear"/>
            <w:vAlign w:val="bottom"/>
          </w:tcPr>
          <w:p>
            <w:pPr>
              <w:pStyle w:val="TableContents"/>
              <w:pBdr>
                <w:top w:val="single" w:sz="2" w:space="1" w:color="000000"/>
              </w:pBdr>
              <w:spacing w:before="0" w:after="0"/>
              <w:rPr/>
            </w:pPr>
            <w:r>
              <w:rPr/>
              <w:t> </w:t>
            </w:r>
          </w:p>
        </w:tc>
        <w:tc>
          <w:tcPr>
            <w:tcW w:w="114" w:type="dxa"/>
            <w:tcBorders/>
            <w:shd w:fill="auto" w:val="clear"/>
            <w:vAlign w:val="center"/>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pBdr>
                <w:top w:val="single" w:sz="2" w:space="1" w:color="000000"/>
              </w:pBdr>
              <w:spacing w:before="0" w:after="0"/>
              <w:rPr/>
            </w:pPr>
            <w:r>
              <w:rPr/>
              <w:t> </w:t>
            </w:r>
          </w:p>
        </w:tc>
        <w:tc>
          <w:tcPr>
            <w:tcW w:w="1074"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6499" w:type="dxa"/>
            <w:tcBorders/>
            <w:shd w:fill="auto" w:val="clear"/>
            <w:vAlign w:val="bottom"/>
          </w:tcPr>
          <w:p>
            <w:pPr>
              <w:pStyle w:val="TableContents"/>
              <w:spacing w:before="0" w:after="0"/>
              <w:rPr>
                <w:rFonts w:ascii="ARIAL" w:hAnsi="ARIAL"/>
                <w:sz w:val="20"/>
              </w:rPr>
            </w:pPr>
            <w:r>
              <w:rPr>
                <w:rFonts w:ascii="ARIAL" w:hAnsi="ARIAL"/>
                <w:sz w:val="20"/>
              </w:rPr>
              <w:t>Average shares outstanding</w:t>
            </w:r>
          </w:p>
        </w:tc>
        <w:tc>
          <w:tcPr>
            <w:tcW w:w="37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b/>
              </w:rPr>
            </w:pPr>
            <w:r>
              <w:rPr>
                <w:b/>
              </w:rPr>
              <w:t>1,426</w:t>
            </w:r>
          </w:p>
        </w:tc>
        <w:tc>
          <w:tcPr>
            <w:tcW w:w="114"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1,412</w:t>
            </w:r>
          </w:p>
        </w:tc>
        <w:tc>
          <w:tcPr>
            <w:tcW w:w="63" w:type="dxa"/>
            <w:tcBorders/>
            <w:shd w:fill="auto" w:val="clear"/>
            <w:vAlign w:val="bottom"/>
          </w:tcPr>
          <w:p>
            <w:pPr>
              <w:pStyle w:val="TableContents"/>
              <w:spacing w:before="0" w:after="283"/>
              <w:rPr/>
            </w:pPr>
            <w:r>
              <w:rPr/>
              <w:t> </w:t>
            </w:r>
          </w:p>
        </w:tc>
      </w:tr>
      <w:tr>
        <w:trPr/>
        <w:tc>
          <w:tcPr>
            <w:tcW w:w="6499" w:type="dxa"/>
            <w:tcBorders/>
            <w:shd w:fill="CCEEFF" w:val="clear"/>
          </w:tcPr>
          <w:p>
            <w:pPr>
              <w:pStyle w:val="TableContents"/>
              <w:spacing w:before="0" w:after="0"/>
              <w:rPr>
                <w:rFonts w:ascii="ARIAL" w:hAnsi="ARIAL"/>
                <w:sz w:val="20"/>
              </w:rPr>
            </w:pPr>
            <w:r>
              <w:rPr>
                <w:rFonts w:ascii="ARIAL" w:hAnsi="ARIAL"/>
                <w:sz w:val="20"/>
              </w:rPr>
              <w:t>Average shares outstanding assuming dilution</w:t>
            </w:r>
          </w:p>
        </w:tc>
        <w:tc>
          <w:tcPr>
            <w:tcW w:w="379"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b/>
              </w:rPr>
            </w:pPr>
            <w:r>
              <w:rPr>
                <w:b/>
              </w:rPr>
              <w:t>1,446</w:t>
            </w:r>
          </w:p>
        </w:tc>
        <w:tc>
          <w:tcPr>
            <w:tcW w:w="114"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1,434</w:t>
            </w:r>
          </w:p>
        </w:tc>
        <w:tc>
          <w:tcPr>
            <w:tcW w:w="63" w:type="dxa"/>
            <w:tcBorders/>
            <w:shd w:fill="CCEEFF" w:val="clear"/>
            <w:vAlign w:val="bottom"/>
          </w:tcPr>
          <w:p>
            <w:pPr>
              <w:pStyle w:val="TableContents"/>
              <w:spacing w:before="0" w:after="283"/>
              <w:rPr/>
            </w:pPr>
            <w:r>
              <w:rPr/>
              <w:t> </w:t>
            </w:r>
          </w:p>
        </w:tc>
      </w:tr>
      <w:tr>
        <w:trPr/>
        <w:tc>
          <w:tcPr>
            <w:tcW w:w="6499" w:type="dxa"/>
            <w:tcBorders/>
            <w:shd w:fill="auto" w:val="clear"/>
            <w:vAlign w:val="bottom"/>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pBdr>
                <w:top w:val="single" w:sz="2" w:space="1" w:color="000000"/>
              </w:pBdr>
              <w:spacing w:before="0" w:after="0"/>
              <w:rPr/>
            </w:pPr>
            <w:r>
              <w:rPr/>
              <w:t> </w:t>
            </w:r>
          </w:p>
        </w:tc>
        <w:tc>
          <w:tcPr>
            <w:tcW w:w="1073" w:type="dxa"/>
            <w:tcBorders/>
            <w:shd w:fill="auto" w:val="clear"/>
            <w:vAlign w:val="bottom"/>
          </w:tcPr>
          <w:p>
            <w:pPr>
              <w:pStyle w:val="TableContents"/>
              <w:pBdr>
                <w:top w:val="single" w:sz="2" w:space="1" w:color="000000"/>
              </w:pBdr>
              <w:spacing w:before="0" w:after="0"/>
              <w:rPr/>
            </w:pPr>
            <w:r>
              <w:rPr/>
              <w:t> </w:t>
            </w:r>
          </w:p>
        </w:tc>
        <w:tc>
          <w:tcPr>
            <w:tcW w:w="114" w:type="dxa"/>
            <w:tcBorders/>
            <w:shd w:fill="auto" w:val="clear"/>
            <w:vAlign w:val="center"/>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pBdr>
                <w:top w:val="single" w:sz="2" w:space="1" w:color="000000"/>
              </w:pBdr>
              <w:spacing w:before="0" w:after="0"/>
              <w:rPr/>
            </w:pPr>
            <w:r>
              <w:rPr/>
              <w:t> </w:t>
            </w:r>
          </w:p>
        </w:tc>
        <w:tc>
          <w:tcPr>
            <w:tcW w:w="1074"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6499" w:type="dxa"/>
            <w:tcBorders/>
            <w:shd w:fill="auto" w:val="clear"/>
          </w:tcPr>
          <w:p>
            <w:pPr>
              <w:pStyle w:val="TableContents"/>
              <w:spacing w:before="0" w:after="0"/>
              <w:rPr>
                <w:rFonts w:ascii="ARIAL" w:hAnsi="ARIAL"/>
                <w:sz w:val="20"/>
              </w:rPr>
            </w:pPr>
            <w:r>
              <w:rPr>
                <w:rFonts w:ascii="ARIAL" w:hAnsi="ARIAL"/>
                <w:sz w:val="20"/>
              </w:rPr>
              <w:t>Depreciation &amp; amortization included in expenses (2)</w:t>
            </w:r>
          </w:p>
        </w:tc>
        <w:tc>
          <w:tcPr>
            <w:tcW w:w="37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b/>
              </w:rPr>
            </w:pPr>
            <w:r>
              <w:rPr>
                <w:b/>
              </w:rPr>
              <w:t>$</w:t>
            </w:r>
          </w:p>
        </w:tc>
        <w:tc>
          <w:tcPr>
            <w:tcW w:w="1073" w:type="dxa"/>
            <w:tcBorders/>
            <w:shd w:fill="auto" w:val="clear"/>
            <w:vAlign w:val="bottom"/>
          </w:tcPr>
          <w:p>
            <w:pPr>
              <w:pStyle w:val="TableContents"/>
              <w:spacing w:before="0" w:after="283"/>
              <w:jc w:val="right"/>
              <w:rPr>
                <w:b/>
              </w:rPr>
            </w:pPr>
            <w:r>
              <w:rPr>
                <w:b/>
              </w:rPr>
              <w:t>563</w:t>
            </w:r>
          </w:p>
        </w:tc>
        <w:tc>
          <w:tcPr>
            <w:tcW w:w="114"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w:t>
            </w:r>
          </w:p>
        </w:tc>
        <w:tc>
          <w:tcPr>
            <w:tcW w:w="1074" w:type="dxa"/>
            <w:tcBorders/>
            <w:shd w:fill="auto" w:val="clear"/>
            <w:vAlign w:val="bottom"/>
          </w:tcPr>
          <w:p>
            <w:pPr>
              <w:pStyle w:val="TableContents"/>
              <w:spacing w:before="0" w:after="283"/>
              <w:jc w:val="right"/>
              <w:rPr/>
            </w:pPr>
            <w:r>
              <w:rPr/>
              <w:t>533</w:t>
            </w:r>
          </w:p>
        </w:tc>
        <w:tc>
          <w:tcPr>
            <w:tcW w:w="63" w:type="dxa"/>
            <w:tcBorders/>
            <w:shd w:fill="auto" w:val="clear"/>
            <w:vAlign w:val="bottom"/>
          </w:tcPr>
          <w:p>
            <w:pPr>
              <w:pStyle w:val="TableContents"/>
              <w:spacing w:before="0" w:after="283"/>
              <w:rPr/>
            </w:pPr>
            <w:r>
              <w:rPr/>
              <w:t> </w:t>
            </w:r>
          </w:p>
        </w:tc>
      </w:tr>
      <w:tr>
        <w:trPr/>
        <w:tc>
          <w:tcPr>
            <w:tcW w:w="6499" w:type="dxa"/>
            <w:tcBorders/>
            <w:shd w:fill="auto" w:val="clear"/>
            <w:vAlign w:val="bottom"/>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pBdr>
                <w:top w:val="single" w:sz="2" w:space="1" w:color="000000"/>
              </w:pBdr>
              <w:spacing w:before="0" w:after="0"/>
              <w:rPr/>
            </w:pPr>
            <w:r>
              <w:rPr/>
              <w:t> </w:t>
            </w:r>
          </w:p>
        </w:tc>
        <w:tc>
          <w:tcPr>
            <w:tcW w:w="1073" w:type="dxa"/>
            <w:tcBorders/>
            <w:shd w:fill="auto" w:val="clear"/>
            <w:vAlign w:val="bottom"/>
          </w:tcPr>
          <w:p>
            <w:pPr>
              <w:pStyle w:val="TableContents"/>
              <w:pBdr>
                <w:top w:val="single" w:sz="2" w:space="1" w:color="000000"/>
              </w:pBdr>
              <w:spacing w:before="0" w:after="0"/>
              <w:rPr/>
            </w:pPr>
            <w:r>
              <w:rPr/>
              <w:t> </w:t>
            </w:r>
          </w:p>
        </w:tc>
        <w:tc>
          <w:tcPr>
            <w:tcW w:w="114" w:type="dxa"/>
            <w:tcBorders/>
            <w:shd w:fill="auto" w:val="clear"/>
            <w:vAlign w:val="center"/>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pBdr>
                <w:top w:val="single" w:sz="2" w:space="1" w:color="000000"/>
              </w:pBdr>
              <w:spacing w:before="0" w:after="0"/>
              <w:rPr/>
            </w:pPr>
            <w:r>
              <w:rPr/>
              <w:t> </w:t>
            </w:r>
          </w:p>
        </w:tc>
        <w:tc>
          <w:tcPr>
            <w:tcW w:w="1074"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See section entitled Charges &amp; Credits for details.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Includes depreciation of fixed assets and amortization of intangible assets, exploration data costs, and APS investments.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rPr/>
      </w:pPr>
      <w:r>
        <w:rPr/>
      </w:r>
    </w:p>
    <w:p>
      <w:pPr>
        <w:pStyle w:val="TextBody"/>
        <w:spacing w:before="0" w:after="0"/>
        <w:jc w:val="left"/>
        <w:rPr>
          <w:rFonts w:ascii="ARIAL" w:hAnsi="ARIAL"/>
          <w:b/>
          <w:sz w:val="20"/>
        </w:rPr>
      </w:pPr>
      <w:r>
        <w:rPr>
          <w:rFonts w:ascii="ARIAL" w:hAnsi="ARIAL"/>
          <w:b/>
          <w:sz w:val="20"/>
        </w:rPr>
        <w:t xml:space="preserve">Condensed Consolidated Balance Sheet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068"/>
        <w:gridCol w:w="390"/>
        <w:gridCol w:w="140"/>
        <w:gridCol w:w="816"/>
        <w:gridCol w:w="60"/>
        <w:gridCol w:w="390"/>
        <w:gridCol w:w="296"/>
        <w:gridCol w:w="1531"/>
        <w:gridCol w:w="64"/>
      </w:tblGrid>
      <w:tr>
        <w:trPr/>
        <w:tc>
          <w:tcPr>
            <w:tcW w:w="4068"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068"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956"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827" w:type="dxa"/>
            <w:gridSpan w:val="2"/>
            <w:tcBorders/>
            <w:shd w:fill="auto" w:val="clear"/>
            <w:vAlign w:val="bottom"/>
          </w:tcPr>
          <w:p>
            <w:pPr>
              <w:pStyle w:val="TableContents"/>
              <w:spacing w:before="0" w:after="283"/>
              <w:jc w:val="center"/>
              <w:rPr/>
            </w:pPr>
            <w:r>
              <w:rPr/>
              <w:t>(Stated in millions)</w:t>
            </w:r>
          </w:p>
        </w:tc>
        <w:tc>
          <w:tcPr>
            <w:tcW w:w="64" w:type="dxa"/>
            <w:tcBorders/>
            <w:shd w:fill="auto" w:val="clear"/>
            <w:vAlign w:val="bottom"/>
          </w:tcPr>
          <w:p>
            <w:pPr>
              <w:pStyle w:val="TableContents"/>
              <w:spacing w:before="0" w:after="283"/>
              <w:rPr/>
            </w:pPr>
            <w:r>
              <w:rPr/>
              <w:t> </w:t>
            </w:r>
          </w:p>
        </w:tc>
      </w:tr>
      <w:tr>
        <w:trPr>
          <w:trHeight w:val="240" w:hRule="atLeast"/>
        </w:trPr>
        <w:tc>
          <w:tcPr>
            <w:tcW w:w="4068" w:type="dxa"/>
            <w:tcBorders/>
            <w:shd w:fill="auto" w:val="clear"/>
            <w:vAlign w:val="center"/>
          </w:tcPr>
          <w:p>
            <w:pPr>
              <w:pStyle w:val="TableContents"/>
              <w:spacing w:before="0" w:after="283"/>
              <w:rPr>
                <w:sz w:val="4"/>
                <w:szCs w:val="4"/>
              </w:rPr>
            </w:pPr>
            <w:r>
              <w:rPr>
                <w:sz w:val="4"/>
                <w:szCs w:val="4"/>
              </w:rPr>
            </w:r>
          </w:p>
        </w:tc>
        <w:tc>
          <w:tcPr>
            <w:tcW w:w="1406" w:type="dxa"/>
            <w:gridSpan w:val="4"/>
            <w:tcBorders/>
            <w:shd w:fill="auto" w:val="clear"/>
            <w:vAlign w:val="center"/>
          </w:tcPr>
          <w:p>
            <w:pPr>
              <w:pStyle w:val="TableContents"/>
              <w:spacing w:before="0" w:after="283"/>
              <w:rPr>
                <w:sz w:val="4"/>
                <w:szCs w:val="4"/>
              </w:rPr>
            </w:pPr>
            <w:r>
              <w:rPr>
                <w:sz w:val="4"/>
                <w:szCs w:val="4"/>
              </w:rPr>
            </w:r>
          </w:p>
        </w:tc>
        <w:tc>
          <w:tcPr>
            <w:tcW w:w="2281" w:type="dxa"/>
            <w:gridSpan w:val="4"/>
            <w:tcBorders/>
            <w:shd w:fill="auto" w:val="clear"/>
            <w:vAlign w:val="center"/>
          </w:tcPr>
          <w:p>
            <w:pPr>
              <w:pStyle w:val="TableContents"/>
              <w:spacing w:before="0" w:after="283"/>
              <w:rPr>
                <w:sz w:val="4"/>
                <w:szCs w:val="4"/>
              </w:rPr>
            </w:pPr>
            <w:r>
              <w:rPr>
                <w:sz w:val="4"/>
                <w:szCs w:val="4"/>
              </w:rPr>
            </w:r>
          </w:p>
        </w:tc>
      </w:tr>
      <w:tr>
        <w:trPr/>
        <w:tc>
          <w:tcPr>
            <w:tcW w:w="4068"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956" w:type="dxa"/>
            <w:gridSpan w:val="2"/>
            <w:tcBorders/>
            <w:shd w:fill="auto" w:val="clear"/>
            <w:vAlign w:val="bottom"/>
          </w:tcPr>
          <w:p>
            <w:pPr>
              <w:pStyle w:val="TableContents"/>
              <w:spacing w:before="0" w:after="283"/>
              <w:jc w:val="center"/>
              <w:rPr>
                <w:b/>
              </w:rPr>
            </w:pPr>
            <w:r>
              <w:rPr>
                <w:b/>
              </w:rPr>
              <w:t>Mar. 31,</w:t>
            </w:r>
          </w:p>
        </w:tc>
        <w:tc>
          <w:tcPr>
            <w:tcW w:w="6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827" w:type="dxa"/>
            <w:gridSpan w:val="2"/>
            <w:tcBorders/>
            <w:shd w:fill="auto" w:val="clear"/>
            <w:vAlign w:val="bottom"/>
          </w:tcPr>
          <w:p>
            <w:pPr>
              <w:pStyle w:val="TableContents"/>
              <w:spacing w:before="0" w:after="283"/>
              <w:jc w:val="center"/>
              <w:rPr/>
            </w:pPr>
            <w:r>
              <w:rPr/>
              <w:t>Dec. 31,</w:t>
            </w:r>
          </w:p>
        </w:tc>
        <w:tc>
          <w:tcPr>
            <w:tcW w:w="64" w:type="dxa"/>
            <w:tcBorders/>
            <w:shd w:fill="auto" w:val="clear"/>
            <w:vAlign w:val="bottom"/>
          </w:tcPr>
          <w:p>
            <w:pPr>
              <w:pStyle w:val="TableContents"/>
              <w:spacing w:before="0" w:after="283"/>
              <w:rPr/>
            </w:pPr>
            <w:r>
              <w:rPr/>
              <w:t> </w:t>
            </w:r>
          </w:p>
        </w:tc>
      </w:tr>
      <w:tr>
        <w:trPr/>
        <w:tc>
          <w:tcPr>
            <w:tcW w:w="4068" w:type="dxa"/>
            <w:tcBorders/>
            <w:shd w:fill="auto" w:val="clear"/>
            <w:vAlign w:val="bottom"/>
          </w:tcPr>
          <w:p>
            <w:pPr>
              <w:pStyle w:val="TableContents"/>
              <w:pBdr>
                <w:bottom w:val="single" w:sz="8" w:space="1" w:color="000000"/>
              </w:pBdr>
              <w:spacing w:before="0" w:after="0"/>
              <w:rPr>
                <w:rFonts w:ascii="ARIAL" w:hAnsi="ARIAL"/>
                <w:sz w:val="16"/>
              </w:rPr>
            </w:pPr>
            <w:r>
              <w:rPr>
                <w:rFonts w:ascii="ARIAL" w:hAnsi="ARIAL"/>
                <w:sz w:val="16"/>
              </w:rPr>
              <w:t>Assets</w:t>
            </w:r>
          </w:p>
        </w:tc>
        <w:tc>
          <w:tcPr>
            <w:tcW w:w="390" w:type="dxa"/>
            <w:tcBorders/>
            <w:shd w:fill="auto" w:val="clear"/>
            <w:vAlign w:val="bottom"/>
          </w:tcPr>
          <w:p>
            <w:pPr>
              <w:pStyle w:val="TableContents"/>
              <w:spacing w:before="0" w:after="283"/>
              <w:rPr/>
            </w:pPr>
            <w:r>
              <w:rPr/>
              <w:t>  </w:t>
            </w:r>
          </w:p>
        </w:tc>
        <w:tc>
          <w:tcPr>
            <w:tcW w:w="95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6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827" w:type="dxa"/>
            <w:gridSpan w:val="2"/>
            <w:tcBorders>
              <w:bottom w:val="single" w:sz="8" w:space="0" w:color="000000"/>
            </w:tcBorders>
            <w:shd w:fill="auto" w:val="clear"/>
            <w:tcMar>
              <w:bottom w:w="28" w:type="dxa"/>
            </w:tcMar>
            <w:vAlign w:val="bottom"/>
          </w:tcPr>
          <w:p>
            <w:pPr>
              <w:pStyle w:val="TableContents"/>
              <w:spacing w:before="0" w:after="283"/>
              <w:jc w:val="center"/>
              <w:rPr/>
            </w:pPr>
            <w:r>
              <w:rPr/>
              <w:t>2022</w:t>
            </w:r>
          </w:p>
        </w:tc>
        <w:tc>
          <w:tcPr>
            <w:tcW w:w="64" w:type="dxa"/>
            <w:tcBorders/>
            <w:shd w:fill="auto" w:val="clear"/>
            <w:vAlign w:val="bottom"/>
          </w:tcPr>
          <w:p>
            <w:pPr>
              <w:pStyle w:val="TableContents"/>
              <w:spacing w:before="0" w:after="283"/>
              <w:rPr/>
            </w:pPr>
            <w:r>
              <w:rPr/>
              <w:t> </w:t>
            </w:r>
          </w:p>
        </w:tc>
      </w:tr>
      <w:tr>
        <w:trPr/>
        <w:tc>
          <w:tcPr>
            <w:tcW w:w="4068" w:type="dxa"/>
            <w:tcBorders/>
            <w:shd w:fill="CCEEFF" w:val="clear"/>
          </w:tcPr>
          <w:p>
            <w:pPr>
              <w:pStyle w:val="TableContents"/>
              <w:spacing w:before="0" w:after="0"/>
              <w:rPr>
                <w:rFonts w:ascii="ARIAL" w:hAnsi="ARIAL"/>
                <w:sz w:val="20"/>
              </w:rPr>
            </w:pPr>
            <w:r>
              <w:rPr>
                <w:rFonts w:ascii="ARIAL" w:hAnsi="ARIAL"/>
                <w:sz w:val="20"/>
              </w:rPr>
              <w:t>Current Assets</w:t>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1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9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sz w:val="4"/>
                <w:szCs w:val="4"/>
              </w:rPr>
            </w:pPr>
            <w:r>
              <w:rPr>
                <w:sz w:val="4"/>
                <w:szCs w:val="4"/>
              </w:rPr>
            </w:r>
          </w:p>
        </w:tc>
        <w:tc>
          <w:tcPr>
            <w:tcW w:w="1531"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4068" w:type="dxa"/>
            <w:tcBorders/>
            <w:shd w:fill="auto" w:val="clear"/>
          </w:tcPr>
          <w:p>
            <w:pPr>
              <w:pStyle w:val="TableContents"/>
              <w:spacing w:before="0" w:after="0"/>
              <w:rPr>
                <w:rFonts w:ascii="ARIAL" w:hAnsi="ARIAL"/>
                <w:sz w:val="20"/>
              </w:rPr>
            </w:pPr>
            <w:r>
              <w:rPr>
                <w:rFonts w:ascii="ARIAL" w:hAnsi="ARIAL"/>
                <w:sz w:val="20"/>
              </w:rPr>
              <w:t>Cash and short-term investments</w:t>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center"/>
              <w:rPr>
                <w:b/>
              </w:rPr>
            </w:pPr>
            <w:r>
              <w:rPr>
                <w:b/>
              </w:rPr>
              <w:t>$2,504</w:t>
            </w:r>
          </w:p>
        </w:tc>
        <w:tc>
          <w:tcPr>
            <w:tcW w:w="6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sz w:val="20"/>
              </w:rPr>
            </w:pPr>
            <w:r>
              <w:rPr>
                <w:sz w:val="20"/>
              </w:rPr>
              <w:t>$</w:t>
            </w:r>
          </w:p>
        </w:tc>
        <w:tc>
          <w:tcPr>
            <w:tcW w:w="1531" w:type="dxa"/>
            <w:tcBorders/>
            <w:shd w:fill="auto" w:val="clear"/>
            <w:vAlign w:val="bottom"/>
          </w:tcPr>
          <w:p>
            <w:pPr>
              <w:pStyle w:val="TableContents"/>
              <w:spacing w:before="0" w:after="283"/>
              <w:jc w:val="right"/>
              <w:rPr>
                <w:sz w:val="20"/>
              </w:rPr>
            </w:pPr>
            <w:r>
              <w:rPr>
                <w:sz w:val="20"/>
              </w:rPr>
              <w:t>2,894</w:t>
            </w:r>
          </w:p>
        </w:tc>
        <w:tc>
          <w:tcPr>
            <w:tcW w:w="64" w:type="dxa"/>
            <w:tcBorders/>
            <w:shd w:fill="auto" w:val="clear"/>
            <w:vAlign w:val="bottom"/>
          </w:tcPr>
          <w:p>
            <w:pPr>
              <w:pStyle w:val="TableContents"/>
              <w:spacing w:before="0" w:after="283"/>
              <w:rPr/>
            </w:pPr>
            <w:r>
              <w:rPr/>
              <w:t> </w:t>
            </w:r>
          </w:p>
        </w:tc>
      </w:tr>
      <w:tr>
        <w:trPr/>
        <w:tc>
          <w:tcPr>
            <w:tcW w:w="4068" w:type="dxa"/>
            <w:tcBorders/>
            <w:shd w:fill="CCEEFF" w:val="clear"/>
          </w:tcPr>
          <w:p>
            <w:pPr>
              <w:pStyle w:val="TableContents"/>
              <w:spacing w:before="0" w:after="0"/>
              <w:rPr>
                <w:rFonts w:ascii="ARIAL" w:hAnsi="ARIAL"/>
                <w:sz w:val="20"/>
              </w:rPr>
            </w:pPr>
            <w:r>
              <w:rPr>
                <w:rFonts w:ascii="ARIAL" w:hAnsi="ARIAL"/>
                <w:sz w:val="20"/>
              </w:rPr>
              <w:t>Receivables</w:t>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center"/>
              <w:rPr>
                <w:b/>
              </w:rPr>
            </w:pPr>
            <w:r>
              <w:rPr>
                <w:b/>
              </w:rPr>
              <w:t>7,578</w:t>
            </w:r>
          </w:p>
        </w:tc>
        <w:tc>
          <w:tcPr>
            <w:tcW w:w="6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31" w:type="dxa"/>
            <w:tcBorders/>
            <w:shd w:fill="CCEEFF" w:val="clear"/>
            <w:vAlign w:val="bottom"/>
          </w:tcPr>
          <w:p>
            <w:pPr>
              <w:pStyle w:val="TableContents"/>
              <w:spacing w:before="0" w:after="283"/>
              <w:jc w:val="right"/>
              <w:rPr>
                <w:sz w:val="20"/>
              </w:rPr>
            </w:pPr>
            <w:r>
              <w:rPr>
                <w:sz w:val="20"/>
              </w:rPr>
              <w:t>7,032</w:t>
            </w:r>
          </w:p>
        </w:tc>
        <w:tc>
          <w:tcPr>
            <w:tcW w:w="64" w:type="dxa"/>
            <w:tcBorders/>
            <w:shd w:fill="CCEEFF" w:val="clear"/>
            <w:vAlign w:val="bottom"/>
          </w:tcPr>
          <w:p>
            <w:pPr>
              <w:pStyle w:val="TableContents"/>
              <w:spacing w:before="0" w:after="283"/>
              <w:rPr/>
            </w:pPr>
            <w:r>
              <w:rPr/>
              <w:t> </w:t>
            </w:r>
          </w:p>
        </w:tc>
      </w:tr>
      <w:tr>
        <w:trPr/>
        <w:tc>
          <w:tcPr>
            <w:tcW w:w="4068" w:type="dxa"/>
            <w:tcBorders/>
            <w:shd w:fill="auto" w:val="clear"/>
          </w:tcPr>
          <w:p>
            <w:pPr>
              <w:pStyle w:val="TableContents"/>
              <w:spacing w:before="0" w:after="0"/>
              <w:rPr>
                <w:rFonts w:ascii="ARIAL" w:hAnsi="ARIAL"/>
                <w:sz w:val="20"/>
              </w:rPr>
            </w:pPr>
            <w:r>
              <w:rPr>
                <w:rFonts w:ascii="ARIAL" w:hAnsi="ARIAL"/>
                <w:sz w:val="20"/>
              </w:rPr>
              <w:t>Inventories</w:t>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center"/>
              <w:rPr>
                <w:b/>
              </w:rPr>
            </w:pPr>
            <w:r>
              <w:rPr>
                <w:b/>
              </w:rPr>
              <w:t>4,286</w:t>
            </w:r>
          </w:p>
        </w:tc>
        <w:tc>
          <w:tcPr>
            <w:tcW w:w="6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31" w:type="dxa"/>
            <w:tcBorders/>
            <w:shd w:fill="auto" w:val="clear"/>
            <w:vAlign w:val="bottom"/>
          </w:tcPr>
          <w:p>
            <w:pPr>
              <w:pStyle w:val="TableContents"/>
              <w:spacing w:before="0" w:after="283"/>
              <w:jc w:val="right"/>
              <w:rPr>
                <w:sz w:val="20"/>
              </w:rPr>
            </w:pPr>
            <w:r>
              <w:rPr>
                <w:sz w:val="20"/>
              </w:rPr>
              <w:t>3,999</w:t>
            </w:r>
          </w:p>
        </w:tc>
        <w:tc>
          <w:tcPr>
            <w:tcW w:w="64" w:type="dxa"/>
            <w:tcBorders/>
            <w:shd w:fill="auto" w:val="clear"/>
            <w:vAlign w:val="bottom"/>
          </w:tcPr>
          <w:p>
            <w:pPr>
              <w:pStyle w:val="TableContents"/>
              <w:spacing w:before="0" w:after="283"/>
              <w:rPr/>
            </w:pPr>
            <w:r>
              <w:rPr/>
              <w:t> </w:t>
            </w:r>
          </w:p>
        </w:tc>
      </w:tr>
      <w:tr>
        <w:trPr/>
        <w:tc>
          <w:tcPr>
            <w:tcW w:w="4068" w:type="dxa"/>
            <w:tcBorders/>
            <w:shd w:fill="CCEEFF" w:val="clear"/>
          </w:tcPr>
          <w:p>
            <w:pPr>
              <w:pStyle w:val="TableContents"/>
              <w:spacing w:before="0" w:after="0"/>
              <w:rPr>
                <w:rFonts w:ascii="ARIAL" w:hAnsi="ARIAL"/>
                <w:sz w:val="20"/>
              </w:rPr>
            </w:pPr>
            <w:r>
              <w:rPr>
                <w:rFonts w:ascii="ARIAL" w:hAnsi="ARIAL"/>
                <w:sz w:val="20"/>
              </w:rPr>
              <w:t>Other current assets</w:t>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center"/>
              <w:rPr>
                <w:b/>
              </w:rPr>
            </w:pPr>
            <w:r>
              <w:rPr>
                <w:b/>
              </w:rPr>
              <w:t>1,032</w:t>
            </w:r>
          </w:p>
        </w:tc>
        <w:tc>
          <w:tcPr>
            <w:tcW w:w="6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31" w:type="dxa"/>
            <w:tcBorders/>
            <w:shd w:fill="CCEEFF" w:val="clear"/>
            <w:vAlign w:val="bottom"/>
          </w:tcPr>
          <w:p>
            <w:pPr>
              <w:pStyle w:val="TableContents"/>
              <w:spacing w:before="0" w:after="283"/>
              <w:jc w:val="right"/>
              <w:rPr>
                <w:sz w:val="20"/>
              </w:rPr>
            </w:pPr>
            <w:r>
              <w:rPr>
                <w:sz w:val="20"/>
              </w:rPr>
              <w:t>1,078</w:t>
            </w:r>
          </w:p>
        </w:tc>
        <w:tc>
          <w:tcPr>
            <w:tcW w:w="64" w:type="dxa"/>
            <w:tcBorders/>
            <w:shd w:fill="CCEEFF" w:val="clear"/>
            <w:vAlign w:val="bottom"/>
          </w:tcPr>
          <w:p>
            <w:pPr>
              <w:pStyle w:val="TableContents"/>
              <w:spacing w:before="0" w:after="283"/>
              <w:rPr/>
            </w:pPr>
            <w:r>
              <w:rPr/>
              <w:t> </w:t>
            </w:r>
          </w:p>
        </w:tc>
      </w:tr>
      <w:tr>
        <w:trPr/>
        <w:tc>
          <w:tcPr>
            <w:tcW w:w="4068"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1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pBdr>
                <w:top w:val="single" w:sz="2" w:space="1" w:color="000000"/>
              </w:pBdr>
              <w:spacing w:before="0" w:after="0"/>
              <w:rPr/>
            </w:pPr>
            <w:r>
              <w:rPr/>
              <w:t> </w:t>
            </w:r>
          </w:p>
        </w:tc>
        <w:tc>
          <w:tcPr>
            <w:tcW w:w="1531"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068" w:type="dxa"/>
            <w:tcBorders/>
            <w:shd w:fill="auto" w:val="clear"/>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center"/>
              <w:rPr>
                <w:b/>
              </w:rPr>
            </w:pPr>
            <w:r>
              <w:rPr>
                <w:b/>
              </w:rPr>
              <w:t>15,400</w:t>
            </w:r>
          </w:p>
        </w:tc>
        <w:tc>
          <w:tcPr>
            <w:tcW w:w="6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31" w:type="dxa"/>
            <w:tcBorders/>
            <w:shd w:fill="auto" w:val="clear"/>
            <w:vAlign w:val="bottom"/>
          </w:tcPr>
          <w:p>
            <w:pPr>
              <w:pStyle w:val="TableContents"/>
              <w:spacing w:before="0" w:after="283"/>
              <w:jc w:val="right"/>
              <w:rPr>
                <w:sz w:val="20"/>
              </w:rPr>
            </w:pPr>
            <w:r>
              <w:rPr>
                <w:sz w:val="20"/>
              </w:rPr>
              <w:t>15,003</w:t>
            </w:r>
          </w:p>
        </w:tc>
        <w:tc>
          <w:tcPr>
            <w:tcW w:w="64" w:type="dxa"/>
            <w:tcBorders/>
            <w:shd w:fill="auto" w:val="clear"/>
            <w:vAlign w:val="bottom"/>
          </w:tcPr>
          <w:p>
            <w:pPr>
              <w:pStyle w:val="TableContents"/>
              <w:spacing w:before="0" w:after="283"/>
              <w:rPr/>
            </w:pPr>
            <w:r>
              <w:rPr/>
              <w:t> </w:t>
            </w:r>
          </w:p>
        </w:tc>
      </w:tr>
      <w:tr>
        <w:trPr/>
        <w:tc>
          <w:tcPr>
            <w:tcW w:w="4068" w:type="dxa"/>
            <w:tcBorders/>
            <w:shd w:fill="CCEEFF" w:val="clear"/>
            <w:vAlign w:val="bottom"/>
          </w:tcPr>
          <w:p>
            <w:pPr>
              <w:pStyle w:val="TableContents"/>
              <w:spacing w:before="0" w:after="0"/>
              <w:rPr>
                <w:rFonts w:ascii="ARIAL" w:hAnsi="ARIAL"/>
                <w:sz w:val="20"/>
              </w:rPr>
            </w:pPr>
            <w:r>
              <w:rPr>
                <w:rFonts w:ascii="ARIAL" w:hAnsi="ARIAL"/>
                <w:sz w:val="20"/>
              </w:rPr>
              <w:t>Investment in affiliated companies</w:t>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center"/>
              <w:rPr>
                <w:b/>
              </w:rPr>
            </w:pPr>
            <w:r>
              <w:rPr>
                <w:b/>
              </w:rPr>
              <w:t>1,554</w:t>
            </w:r>
          </w:p>
        </w:tc>
        <w:tc>
          <w:tcPr>
            <w:tcW w:w="6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31" w:type="dxa"/>
            <w:tcBorders/>
            <w:shd w:fill="CCEEFF" w:val="clear"/>
            <w:vAlign w:val="bottom"/>
          </w:tcPr>
          <w:p>
            <w:pPr>
              <w:pStyle w:val="TableContents"/>
              <w:spacing w:before="0" w:after="283"/>
              <w:jc w:val="right"/>
              <w:rPr>
                <w:sz w:val="20"/>
              </w:rPr>
            </w:pPr>
            <w:r>
              <w:rPr>
                <w:sz w:val="20"/>
              </w:rPr>
              <w:t>1,581</w:t>
            </w:r>
          </w:p>
        </w:tc>
        <w:tc>
          <w:tcPr>
            <w:tcW w:w="64" w:type="dxa"/>
            <w:tcBorders/>
            <w:shd w:fill="CCEEFF" w:val="clear"/>
            <w:vAlign w:val="bottom"/>
          </w:tcPr>
          <w:p>
            <w:pPr>
              <w:pStyle w:val="TableContents"/>
              <w:spacing w:before="0" w:after="283"/>
              <w:rPr/>
            </w:pPr>
            <w:r>
              <w:rPr/>
              <w:t> </w:t>
            </w:r>
          </w:p>
        </w:tc>
      </w:tr>
      <w:tr>
        <w:trPr/>
        <w:tc>
          <w:tcPr>
            <w:tcW w:w="4068" w:type="dxa"/>
            <w:tcBorders/>
            <w:shd w:fill="auto" w:val="clear"/>
            <w:vAlign w:val="bottom"/>
          </w:tcPr>
          <w:p>
            <w:pPr>
              <w:pStyle w:val="TableContents"/>
              <w:spacing w:before="0" w:after="0"/>
              <w:rPr>
                <w:rFonts w:ascii="ARIAL" w:hAnsi="ARIAL"/>
                <w:sz w:val="20"/>
              </w:rPr>
            </w:pPr>
            <w:r>
              <w:rPr>
                <w:rFonts w:ascii="ARIAL" w:hAnsi="ARIAL"/>
                <w:sz w:val="20"/>
              </w:rPr>
              <w:t>Fixed assets</w:t>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center"/>
              <w:rPr>
                <w:b/>
              </w:rPr>
            </w:pPr>
            <w:r>
              <w:rPr>
                <w:b/>
              </w:rPr>
              <w:t>6,691</w:t>
            </w:r>
          </w:p>
        </w:tc>
        <w:tc>
          <w:tcPr>
            <w:tcW w:w="6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31" w:type="dxa"/>
            <w:tcBorders/>
            <w:shd w:fill="auto" w:val="clear"/>
            <w:vAlign w:val="bottom"/>
          </w:tcPr>
          <w:p>
            <w:pPr>
              <w:pStyle w:val="TableContents"/>
              <w:spacing w:before="0" w:after="283"/>
              <w:jc w:val="right"/>
              <w:rPr>
                <w:sz w:val="20"/>
              </w:rPr>
            </w:pPr>
            <w:r>
              <w:rPr>
                <w:sz w:val="20"/>
              </w:rPr>
              <w:t>6,607</w:t>
            </w:r>
          </w:p>
        </w:tc>
        <w:tc>
          <w:tcPr>
            <w:tcW w:w="64" w:type="dxa"/>
            <w:tcBorders/>
            <w:shd w:fill="auto" w:val="clear"/>
            <w:vAlign w:val="bottom"/>
          </w:tcPr>
          <w:p>
            <w:pPr>
              <w:pStyle w:val="TableContents"/>
              <w:spacing w:before="0" w:after="283"/>
              <w:rPr/>
            </w:pPr>
            <w:r>
              <w:rPr/>
              <w:t> </w:t>
            </w:r>
          </w:p>
        </w:tc>
      </w:tr>
      <w:tr>
        <w:trPr/>
        <w:tc>
          <w:tcPr>
            <w:tcW w:w="4068" w:type="dxa"/>
            <w:tcBorders/>
            <w:shd w:fill="CCEEFF" w:val="clear"/>
            <w:vAlign w:val="bottom"/>
          </w:tcPr>
          <w:p>
            <w:pPr>
              <w:pStyle w:val="TableContents"/>
              <w:spacing w:before="0" w:after="0"/>
              <w:rPr>
                <w:rFonts w:ascii="ARIAL" w:hAnsi="ARIAL"/>
                <w:sz w:val="20"/>
              </w:rPr>
            </w:pPr>
            <w:r>
              <w:rPr>
                <w:rFonts w:ascii="ARIAL" w:hAnsi="ARIAL"/>
                <w:sz w:val="20"/>
              </w:rPr>
              <w:t>Goodwill</w:t>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center"/>
              <w:rPr>
                <w:b/>
              </w:rPr>
            </w:pPr>
            <w:r>
              <w:rPr>
                <w:b/>
              </w:rPr>
              <w:t>13,113</w:t>
            </w:r>
          </w:p>
        </w:tc>
        <w:tc>
          <w:tcPr>
            <w:tcW w:w="6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31" w:type="dxa"/>
            <w:tcBorders/>
            <w:shd w:fill="CCEEFF" w:val="clear"/>
            <w:vAlign w:val="bottom"/>
          </w:tcPr>
          <w:p>
            <w:pPr>
              <w:pStyle w:val="TableContents"/>
              <w:spacing w:before="0" w:after="283"/>
              <w:jc w:val="right"/>
              <w:rPr>
                <w:sz w:val="20"/>
              </w:rPr>
            </w:pPr>
            <w:r>
              <w:rPr>
                <w:sz w:val="20"/>
              </w:rPr>
              <w:t>12,982</w:t>
            </w:r>
          </w:p>
        </w:tc>
        <w:tc>
          <w:tcPr>
            <w:tcW w:w="64" w:type="dxa"/>
            <w:tcBorders/>
            <w:shd w:fill="CCEEFF" w:val="clear"/>
            <w:vAlign w:val="bottom"/>
          </w:tcPr>
          <w:p>
            <w:pPr>
              <w:pStyle w:val="TableContents"/>
              <w:spacing w:before="0" w:after="283"/>
              <w:rPr/>
            </w:pPr>
            <w:r>
              <w:rPr/>
              <w:t> </w:t>
            </w:r>
          </w:p>
        </w:tc>
      </w:tr>
      <w:tr>
        <w:trPr/>
        <w:tc>
          <w:tcPr>
            <w:tcW w:w="4068" w:type="dxa"/>
            <w:tcBorders/>
            <w:shd w:fill="auto" w:val="clear"/>
            <w:vAlign w:val="bottom"/>
          </w:tcPr>
          <w:p>
            <w:pPr>
              <w:pStyle w:val="TableContents"/>
              <w:spacing w:before="0" w:after="0"/>
              <w:rPr>
                <w:rFonts w:ascii="ARIAL" w:hAnsi="ARIAL"/>
                <w:sz w:val="20"/>
              </w:rPr>
            </w:pPr>
            <w:r>
              <w:rPr>
                <w:rFonts w:ascii="ARIAL" w:hAnsi="ARIAL"/>
                <w:sz w:val="20"/>
              </w:rPr>
              <w:t>Intangible assets</w:t>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center"/>
              <w:rPr>
                <w:b/>
              </w:rPr>
            </w:pPr>
            <w:r>
              <w:rPr>
                <w:b/>
              </w:rPr>
              <w:t>3,021</w:t>
            </w:r>
          </w:p>
        </w:tc>
        <w:tc>
          <w:tcPr>
            <w:tcW w:w="6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31" w:type="dxa"/>
            <w:tcBorders/>
            <w:shd w:fill="auto" w:val="clear"/>
            <w:vAlign w:val="bottom"/>
          </w:tcPr>
          <w:p>
            <w:pPr>
              <w:pStyle w:val="TableContents"/>
              <w:spacing w:before="0" w:after="283"/>
              <w:jc w:val="right"/>
              <w:rPr>
                <w:sz w:val="20"/>
              </w:rPr>
            </w:pPr>
            <w:r>
              <w:rPr>
                <w:sz w:val="20"/>
              </w:rPr>
              <w:t>2,992</w:t>
            </w:r>
          </w:p>
        </w:tc>
        <w:tc>
          <w:tcPr>
            <w:tcW w:w="64" w:type="dxa"/>
            <w:tcBorders/>
            <w:shd w:fill="auto" w:val="clear"/>
            <w:vAlign w:val="bottom"/>
          </w:tcPr>
          <w:p>
            <w:pPr>
              <w:pStyle w:val="TableContents"/>
              <w:spacing w:before="0" w:after="283"/>
              <w:rPr/>
            </w:pPr>
            <w:r>
              <w:rPr/>
              <w:t> </w:t>
            </w:r>
          </w:p>
        </w:tc>
      </w:tr>
      <w:tr>
        <w:trPr/>
        <w:tc>
          <w:tcPr>
            <w:tcW w:w="4068" w:type="dxa"/>
            <w:tcBorders/>
            <w:shd w:fill="CCEEFF" w:val="clear"/>
            <w:vAlign w:val="bottom"/>
          </w:tcPr>
          <w:p>
            <w:pPr>
              <w:pStyle w:val="TableContents"/>
              <w:spacing w:before="0" w:after="0"/>
              <w:rPr>
                <w:rFonts w:ascii="ARIAL" w:hAnsi="ARIAL"/>
                <w:sz w:val="20"/>
              </w:rPr>
            </w:pPr>
            <w:r>
              <w:rPr>
                <w:rFonts w:ascii="ARIAL" w:hAnsi="ARIAL"/>
                <w:sz w:val="20"/>
              </w:rPr>
              <w:t>Other assets</w:t>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center"/>
              <w:rPr>
                <w:b/>
              </w:rPr>
            </w:pPr>
            <w:r>
              <w:rPr>
                <w:b/>
              </w:rPr>
              <w:t>4,076</w:t>
            </w:r>
          </w:p>
        </w:tc>
        <w:tc>
          <w:tcPr>
            <w:tcW w:w="6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31" w:type="dxa"/>
            <w:tcBorders/>
            <w:shd w:fill="CCEEFF" w:val="clear"/>
            <w:vAlign w:val="bottom"/>
          </w:tcPr>
          <w:p>
            <w:pPr>
              <w:pStyle w:val="TableContents"/>
              <w:spacing w:before="0" w:after="283"/>
              <w:jc w:val="right"/>
              <w:rPr>
                <w:sz w:val="20"/>
              </w:rPr>
            </w:pPr>
            <w:r>
              <w:rPr>
                <w:sz w:val="20"/>
              </w:rPr>
              <w:t>3,970</w:t>
            </w:r>
          </w:p>
        </w:tc>
        <w:tc>
          <w:tcPr>
            <w:tcW w:w="64" w:type="dxa"/>
            <w:tcBorders/>
            <w:shd w:fill="CCEEFF" w:val="clear"/>
            <w:vAlign w:val="bottom"/>
          </w:tcPr>
          <w:p>
            <w:pPr>
              <w:pStyle w:val="TableContents"/>
              <w:spacing w:before="0" w:after="283"/>
              <w:rPr/>
            </w:pPr>
            <w:r>
              <w:rPr/>
              <w:t> </w:t>
            </w:r>
          </w:p>
        </w:tc>
      </w:tr>
      <w:tr>
        <w:trPr/>
        <w:tc>
          <w:tcPr>
            <w:tcW w:w="4068"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1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pBdr>
                <w:top w:val="single" w:sz="2" w:space="1" w:color="000000"/>
              </w:pBdr>
              <w:spacing w:before="0" w:after="0"/>
              <w:rPr/>
            </w:pPr>
            <w:r>
              <w:rPr/>
              <w:t> </w:t>
            </w:r>
          </w:p>
        </w:tc>
        <w:tc>
          <w:tcPr>
            <w:tcW w:w="1531"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068"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center"/>
              <w:rPr>
                <w:b/>
              </w:rPr>
            </w:pPr>
            <w:r>
              <w:rPr>
                <w:b/>
              </w:rPr>
              <w:t>$43,855</w:t>
            </w:r>
          </w:p>
        </w:tc>
        <w:tc>
          <w:tcPr>
            <w:tcW w:w="6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sz w:val="20"/>
              </w:rPr>
            </w:pPr>
            <w:r>
              <w:rPr>
                <w:sz w:val="20"/>
              </w:rPr>
              <w:t>$</w:t>
            </w:r>
          </w:p>
        </w:tc>
        <w:tc>
          <w:tcPr>
            <w:tcW w:w="1531" w:type="dxa"/>
            <w:tcBorders/>
            <w:shd w:fill="auto" w:val="clear"/>
            <w:vAlign w:val="bottom"/>
          </w:tcPr>
          <w:p>
            <w:pPr>
              <w:pStyle w:val="TableContents"/>
              <w:spacing w:before="0" w:after="283"/>
              <w:jc w:val="right"/>
              <w:rPr>
                <w:sz w:val="20"/>
              </w:rPr>
            </w:pPr>
            <w:r>
              <w:rPr>
                <w:sz w:val="20"/>
              </w:rPr>
              <w:t>43,135</w:t>
            </w:r>
          </w:p>
        </w:tc>
        <w:tc>
          <w:tcPr>
            <w:tcW w:w="64" w:type="dxa"/>
            <w:tcBorders/>
            <w:shd w:fill="auto" w:val="clear"/>
            <w:vAlign w:val="bottom"/>
          </w:tcPr>
          <w:p>
            <w:pPr>
              <w:pStyle w:val="TableContents"/>
              <w:spacing w:before="0" w:after="283"/>
              <w:rPr/>
            </w:pPr>
            <w:r>
              <w:rPr/>
              <w:t> </w:t>
            </w:r>
          </w:p>
        </w:tc>
      </w:tr>
      <w:tr>
        <w:trPr/>
        <w:tc>
          <w:tcPr>
            <w:tcW w:w="4068"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1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pBdr>
                <w:top w:val="double" w:sz="6" w:space="1" w:color="000000"/>
              </w:pBdr>
              <w:spacing w:before="0" w:after="0"/>
              <w:rPr/>
            </w:pPr>
            <w:r>
              <w:rPr/>
              <w:t> </w:t>
            </w:r>
          </w:p>
        </w:tc>
        <w:tc>
          <w:tcPr>
            <w:tcW w:w="1531" w:type="dxa"/>
            <w:tcBorders/>
            <w:shd w:fill="auto" w:val="clear"/>
            <w:vAlign w:val="bottom"/>
          </w:tcPr>
          <w:p>
            <w:pPr>
              <w:pStyle w:val="TableContents"/>
              <w:pBdr>
                <w:top w:val="double" w:sz="6"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068" w:type="dxa"/>
            <w:tcBorders/>
            <w:shd w:fill="CCEEFF" w:val="clear"/>
          </w:tcPr>
          <w:p>
            <w:pPr>
              <w:pStyle w:val="TableContents"/>
              <w:spacing w:before="0" w:after="0"/>
              <w:rPr>
                <w:rFonts w:ascii="ARIAL" w:hAnsi="ARIAL"/>
                <w:sz w:val="20"/>
              </w:rPr>
            </w:pPr>
            <w:r>
              <w:rPr>
                <w:rFonts w:ascii="ARIAL" w:hAnsi="ARIAL"/>
                <w:sz w:val="20"/>
              </w:rPr>
              <w:t>Liabilities and Equity</w:t>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1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9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sz w:val="4"/>
                <w:szCs w:val="4"/>
              </w:rPr>
            </w:pPr>
            <w:r>
              <w:rPr>
                <w:sz w:val="4"/>
                <w:szCs w:val="4"/>
              </w:rPr>
            </w:r>
          </w:p>
        </w:tc>
        <w:tc>
          <w:tcPr>
            <w:tcW w:w="1531"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4068" w:type="dxa"/>
            <w:tcBorders/>
            <w:shd w:fill="auto" w:val="clear"/>
          </w:tcPr>
          <w:p>
            <w:pPr>
              <w:pStyle w:val="TableContents"/>
              <w:spacing w:before="0" w:after="0"/>
              <w:rPr>
                <w:rFonts w:ascii="ARIAL" w:hAnsi="ARIAL"/>
                <w:sz w:val="20"/>
              </w:rPr>
            </w:pPr>
            <w:r>
              <w:rPr>
                <w:rFonts w:ascii="ARIAL" w:hAnsi="ARIAL"/>
                <w:sz w:val="20"/>
              </w:rPr>
              <w:t>Current Liabilities</w:t>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1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sz w:val="4"/>
                <w:szCs w:val="4"/>
              </w:rPr>
            </w:pPr>
            <w:r>
              <w:rPr>
                <w:sz w:val="4"/>
                <w:szCs w:val="4"/>
              </w:rPr>
            </w:r>
          </w:p>
        </w:tc>
        <w:tc>
          <w:tcPr>
            <w:tcW w:w="1531"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c>
          <w:tcPr>
            <w:tcW w:w="4068" w:type="dxa"/>
            <w:tcBorders/>
            <w:shd w:fill="CCEEFF" w:val="clear"/>
          </w:tcPr>
          <w:p>
            <w:pPr>
              <w:pStyle w:val="TableContents"/>
              <w:spacing w:before="0" w:after="0"/>
              <w:rPr>
                <w:rFonts w:ascii="ARIAL" w:hAnsi="ARIAL"/>
                <w:sz w:val="20"/>
              </w:rPr>
            </w:pPr>
            <w:r>
              <w:rPr>
                <w:rFonts w:ascii="ARIAL" w:hAnsi="ARIAL"/>
                <w:sz w:val="20"/>
              </w:rPr>
              <w:t>Accounts payable and accrued liabilities</w:t>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center"/>
              <w:rPr>
                <w:b/>
              </w:rPr>
            </w:pPr>
            <w:r>
              <w:rPr>
                <w:b/>
              </w:rPr>
              <w:t>$8,700</w:t>
            </w:r>
          </w:p>
        </w:tc>
        <w:tc>
          <w:tcPr>
            <w:tcW w:w="6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sz w:val="20"/>
              </w:rPr>
            </w:pPr>
            <w:r>
              <w:rPr>
                <w:sz w:val="20"/>
              </w:rPr>
              <w:t>$</w:t>
            </w:r>
          </w:p>
        </w:tc>
        <w:tc>
          <w:tcPr>
            <w:tcW w:w="1531" w:type="dxa"/>
            <w:tcBorders/>
            <w:shd w:fill="CCEEFF" w:val="clear"/>
            <w:vAlign w:val="bottom"/>
          </w:tcPr>
          <w:p>
            <w:pPr>
              <w:pStyle w:val="TableContents"/>
              <w:spacing w:before="0" w:after="283"/>
              <w:jc w:val="right"/>
              <w:rPr>
                <w:sz w:val="20"/>
              </w:rPr>
            </w:pPr>
            <w:r>
              <w:rPr>
                <w:sz w:val="20"/>
              </w:rPr>
              <w:t>9,121</w:t>
            </w:r>
          </w:p>
        </w:tc>
        <w:tc>
          <w:tcPr>
            <w:tcW w:w="64" w:type="dxa"/>
            <w:tcBorders/>
            <w:shd w:fill="CCEEFF" w:val="clear"/>
            <w:vAlign w:val="bottom"/>
          </w:tcPr>
          <w:p>
            <w:pPr>
              <w:pStyle w:val="TableContents"/>
              <w:spacing w:before="0" w:after="283"/>
              <w:rPr/>
            </w:pPr>
            <w:r>
              <w:rPr/>
              <w:t> </w:t>
            </w:r>
          </w:p>
        </w:tc>
      </w:tr>
      <w:tr>
        <w:trPr/>
        <w:tc>
          <w:tcPr>
            <w:tcW w:w="4068" w:type="dxa"/>
            <w:tcBorders/>
            <w:shd w:fill="auto" w:val="clear"/>
          </w:tcPr>
          <w:p>
            <w:pPr>
              <w:pStyle w:val="TableContents"/>
              <w:spacing w:before="0" w:after="0"/>
              <w:rPr>
                <w:rFonts w:ascii="ARIAL" w:hAnsi="ARIAL"/>
                <w:sz w:val="20"/>
              </w:rPr>
            </w:pPr>
            <w:r>
              <w:rPr>
                <w:rFonts w:ascii="ARIAL" w:hAnsi="ARIAL"/>
                <w:sz w:val="20"/>
              </w:rPr>
              <w:t>Estimated liability for taxes on income</w:t>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center"/>
              <w:rPr>
                <w:b/>
              </w:rPr>
            </w:pPr>
            <w:r>
              <w:rPr>
                <w:b/>
              </w:rPr>
              <w:t>1,038</w:t>
            </w:r>
          </w:p>
        </w:tc>
        <w:tc>
          <w:tcPr>
            <w:tcW w:w="6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31" w:type="dxa"/>
            <w:tcBorders/>
            <w:shd w:fill="auto" w:val="clear"/>
            <w:vAlign w:val="bottom"/>
          </w:tcPr>
          <w:p>
            <w:pPr>
              <w:pStyle w:val="TableContents"/>
              <w:spacing w:before="0" w:after="283"/>
              <w:jc w:val="right"/>
              <w:rPr>
                <w:sz w:val="20"/>
              </w:rPr>
            </w:pPr>
            <w:r>
              <w:rPr>
                <w:sz w:val="20"/>
              </w:rPr>
              <w:t>1,002</w:t>
            </w:r>
          </w:p>
        </w:tc>
        <w:tc>
          <w:tcPr>
            <w:tcW w:w="64" w:type="dxa"/>
            <w:tcBorders/>
            <w:shd w:fill="auto" w:val="clear"/>
            <w:vAlign w:val="bottom"/>
          </w:tcPr>
          <w:p>
            <w:pPr>
              <w:pStyle w:val="TableContents"/>
              <w:spacing w:before="0" w:after="283"/>
              <w:rPr/>
            </w:pPr>
            <w:r>
              <w:rPr/>
              <w:t> </w:t>
            </w:r>
          </w:p>
        </w:tc>
      </w:tr>
      <w:tr>
        <w:trPr/>
        <w:tc>
          <w:tcPr>
            <w:tcW w:w="4068" w:type="dxa"/>
            <w:tcBorders/>
            <w:shd w:fill="CCEEFF" w:val="clear"/>
          </w:tcPr>
          <w:p>
            <w:pPr>
              <w:pStyle w:val="TableContents"/>
              <w:spacing w:before="0" w:after="0"/>
              <w:rPr>
                <w:rFonts w:ascii="ARIAL" w:hAnsi="ARIAL"/>
                <w:sz w:val="20"/>
              </w:rPr>
            </w:pPr>
            <w:r>
              <w:rPr>
                <w:rFonts w:ascii="ARIAL" w:hAnsi="ARIAL"/>
                <w:sz w:val="20"/>
              </w:rPr>
              <w:t>Short-term borrowings and current portion of long-term debt</w:t>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center"/>
              <w:rPr>
                <w:b/>
              </w:rPr>
            </w:pPr>
            <w:r>
              <w:rPr>
                <w:b/>
              </w:rPr>
              <w:t>2,140</w:t>
            </w:r>
          </w:p>
        </w:tc>
        <w:tc>
          <w:tcPr>
            <w:tcW w:w="6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31" w:type="dxa"/>
            <w:tcBorders/>
            <w:shd w:fill="CCEEFF" w:val="clear"/>
            <w:vAlign w:val="bottom"/>
          </w:tcPr>
          <w:p>
            <w:pPr>
              <w:pStyle w:val="TableContents"/>
              <w:spacing w:before="0" w:after="283"/>
              <w:jc w:val="right"/>
              <w:rPr>
                <w:sz w:val="20"/>
              </w:rPr>
            </w:pPr>
            <w:r>
              <w:rPr>
                <w:sz w:val="20"/>
              </w:rPr>
              <w:t>1,632</w:t>
            </w:r>
          </w:p>
        </w:tc>
        <w:tc>
          <w:tcPr>
            <w:tcW w:w="64" w:type="dxa"/>
            <w:tcBorders/>
            <w:shd w:fill="CCEEFF" w:val="clear"/>
            <w:vAlign w:val="bottom"/>
          </w:tcPr>
          <w:p>
            <w:pPr>
              <w:pStyle w:val="TableContents"/>
              <w:spacing w:before="0" w:after="283"/>
              <w:rPr/>
            </w:pPr>
            <w:r>
              <w:rPr/>
              <w:t> </w:t>
            </w:r>
          </w:p>
        </w:tc>
      </w:tr>
      <w:tr>
        <w:trPr/>
        <w:tc>
          <w:tcPr>
            <w:tcW w:w="4068" w:type="dxa"/>
            <w:tcBorders/>
            <w:shd w:fill="auto" w:val="clear"/>
          </w:tcPr>
          <w:p>
            <w:pPr>
              <w:pStyle w:val="TableContents"/>
              <w:spacing w:before="0" w:after="0"/>
              <w:rPr>
                <w:rFonts w:ascii="ARIAL" w:hAnsi="ARIAL"/>
                <w:sz w:val="20"/>
              </w:rPr>
            </w:pPr>
            <w:r>
              <w:rPr>
                <w:rFonts w:ascii="ARIAL" w:hAnsi="ARIAL"/>
                <w:sz w:val="20"/>
              </w:rPr>
              <w:t>Dividends payable</w:t>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center"/>
              <w:rPr>
                <w:b/>
              </w:rPr>
            </w:pPr>
            <w:r>
              <w:rPr>
                <w:b/>
              </w:rPr>
              <w:t>374</w:t>
            </w:r>
          </w:p>
        </w:tc>
        <w:tc>
          <w:tcPr>
            <w:tcW w:w="6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31" w:type="dxa"/>
            <w:tcBorders/>
            <w:shd w:fill="auto" w:val="clear"/>
            <w:vAlign w:val="bottom"/>
          </w:tcPr>
          <w:p>
            <w:pPr>
              <w:pStyle w:val="TableContents"/>
              <w:spacing w:before="0" w:after="283"/>
              <w:jc w:val="right"/>
              <w:rPr>
                <w:sz w:val="20"/>
              </w:rPr>
            </w:pPr>
            <w:r>
              <w:rPr>
                <w:sz w:val="20"/>
              </w:rPr>
              <w:t>263</w:t>
            </w:r>
          </w:p>
        </w:tc>
        <w:tc>
          <w:tcPr>
            <w:tcW w:w="64" w:type="dxa"/>
            <w:tcBorders/>
            <w:shd w:fill="auto" w:val="clear"/>
            <w:vAlign w:val="bottom"/>
          </w:tcPr>
          <w:p>
            <w:pPr>
              <w:pStyle w:val="TableContents"/>
              <w:spacing w:before="0" w:after="283"/>
              <w:rPr/>
            </w:pPr>
            <w:r>
              <w:rPr/>
              <w:t> </w:t>
            </w:r>
          </w:p>
        </w:tc>
      </w:tr>
      <w:tr>
        <w:trPr/>
        <w:tc>
          <w:tcPr>
            <w:tcW w:w="4068"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1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pBdr>
                <w:top w:val="single" w:sz="2" w:space="1" w:color="000000"/>
              </w:pBdr>
              <w:spacing w:before="0" w:after="0"/>
              <w:rPr/>
            </w:pPr>
            <w:r>
              <w:rPr/>
              <w:t> </w:t>
            </w:r>
          </w:p>
        </w:tc>
        <w:tc>
          <w:tcPr>
            <w:tcW w:w="1531"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068" w:type="dxa"/>
            <w:tcBorders/>
            <w:shd w:fill="CCEEFF" w:val="clear"/>
          </w:tcPr>
          <w:p>
            <w:pPr>
              <w:pStyle w:val="TableContents"/>
              <w:spacing w:before="0" w:after="283"/>
              <w:rPr>
                <w:sz w:val="4"/>
                <w:szCs w:val="4"/>
              </w:rPr>
            </w:pPr>
            <w:r>
              <w:rPr>
                <w:sz w:val="4"/>
                <w:szCs w:val="4"/>
              </w:rPr>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center"/>
              <w:rPr>
                <w:b/>
              </w:rPr>
            </w:pPr>
            <w:r>
              <w:rPr>
                <w:b/>
              </w:rPr>
              <w:t>12,252</w:t>
            </w:r>
          </w:p>
        </w:tc>
        <w:tc>
          <w:tcPr>
            <w:tcW w:w="6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31" w:type="dxa"/>
            <w:tcBorders/>
            <w:shd w:fill="CCEEFF" w:val="clear"/>
            <w:vAlign w:val="bottom"/>
          </w:tcPr>
          <w:p>
            <w:pPr>
              <w:pStyle w:val="TableContents"/>
              <w:spacing w:before="0" w:after="283"/>
              <w:jc w:val="right"/>
              <w:rPr>
                <w:sz w:val="20"/>
              </w:rPr>
            </w:pPr>
            <w:r>
              <w:rPr>
                <w:sz w:val="20"/>
              </w:rPr>
              <w:t>12,018</w:t>
            </w:r>
          </w:p>
        </w:tc>
        <w:tc>
          <w:tcPr>
            <w:tcW w:w="64" w:type="dxa"/>
            <w:tcBorders/>
            <w:shd w:fill="CCEEFF" w:val="clear"/>
            <w:vAlign w:val="bottom"/>
          </w:tcPr>
          <w:p>
            <w:pPr>
              <w:pStyle w:val="TableContents"/>
              <w:spacing w:before="0" w:after="283"/>
              <w:rPr/>
            </w:pPr>
            <w:r>
              <w:rPr/>
              <w:t> </w:t>
            </w:r>
          </w:p>
        </w:tc>
      </w:tr>
      <w:tr>
        <w:trPr/>
        <w:tc>
          <w:tcPr>
            <w:tcW w:w="4068" w:type="dxa"/>
            <w:tcBorders/>
            <w:shd w:fill="auto" w:val="clear"/>
            <w:vAlign w:val="bottom"/>
          </w:tcPr>
          <w:p>
            <w:pPr>
              <w:pStyle w:val="TableContents"/>
              <w:spacing w:before="0" w:after="0"/>
              <w:rPr>
                <w:rFonts w:ascii="ARIAL" w:hAnsi="ARIAL"/>
                <w:sz w:val="20"/>
              </w:rPr>
            </w:pPr>
            <w:r>
              <w:rPr>
                <w:rFonts w:ascii="ARIAL" w:hAnsi="ARIAL"/>
                <w:sz w:val="20"/>
              </w:rPr>
              <w:t>Long-term debt</w:t>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center"/>
              <w:rPr>
                <w:b/>
              </w:rPr>
            </w:pPr>
            <w:r>
              <w:rPr>
                <w:b/>
              </w:rPr>
              <w:t>10,698</w:t>
            </w:r>
          </w:p>
        </w:tc>
        <w:tc>
          <w:tcPr>
            <w:tcW w:w="6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31" w:type="dxa"/>
            <w:tcBorders/>
            <w:shd w:fill="auto" w:val="clear"/>
            <w:vAlign w:val="bottom"/>
          </w:tcPr>
          <w:p>
            <w:pPr>
              <w:pStyle w:val="TableContents"/>
              <w:spacing w:before="0" w:after="283"/>
              <w:jc w:val="right"/>
              <w:rPr>
                <w:sz w:val="20"/>
              </w:rPr>
            </w:pPr>
            <w:r>
              <w:rPr>
                <w:sz w:val="20"/>
              </w:rPr>
              <w:t>10,594</w:t>
            </w:r>
          </w:p>
        </w:tc>
        <w:tc>
          <w:tcPr>
            <w:tcW w:w="64" w:type="dxa"/>
            <w:tcBorders/>
            <w:shd w:fill="auto" w:val="clear"/>
            <w:vAlign w:val="bottom"/>
          </w:tcPr>
          <w:p>
            <w:pPr>
              <w:pStyle w:val="TableContents"/>
              <w:spacing w:before="0" w:after="283"/>
              <w:rPr/>
            </w:pPr>
            <w:r>
              <w:rPr/>
              <w:t> </w:t>
            </w:r>
          </w:p>
        </w:tc>
      </w:tr>
      <w:tr>
        <w:trPr/>
        <w:tc>
          <w:tcPr>
            <w:tcW w:w="4068" w:type="dxa"/>
            <w:tcBorders/>
            <w:shd w:fill="CCEEFF" w:val="clear"/>
            <w:vAlign w:val="bottom"/>
          </w:tcPr>
          <w:p>
            <w:pPr>
              <w:pStyle w:val="TableContents"/>
              <w:spacing w:before="0" w:after="0"/>
              <w:rPr>
                <w:rFonts w:ascii="ARIAL" w:hAnsi="ARIAL"/>
                <w:sz w:val="20"/>
              </w:rPr>
            </w:pPr>
            <w:r>
              <w:rPr>
                <w:rFonts w:ascii="ARIAL" w:hAnsi="ARIAL"/>
                <w:sz w:val="20"/>
              </w:rPr>
              <w:t>Postretirement benefits</w:t>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center"/>
              <w:rPr>
                <w:b/>
              </w:rPr>
            </w:pPr>
            <w:r>
              <w:rPr>
                <w:b/>
              </w:rPr>
              <w:t>168</w:t>
            </w:r>
          </w:p>
        </w:tc>
        <w:tc>
          <w:tcPr>
            <w:tcW w:w="6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31" w:type="dxa"/>
            <w:tcBorders/>
            <w:shd w:fill="CCEEFF" w:val="clear"/>
            <w:vAlign w:val="bottom"/>
          </w:tcPr>
          <w:p>
            <w:pPr>
              <w:pStyle w:val="TableContents"/>
              <w:spacing w:before="0" w:after="283"/>
              <w:jc w:val="right"/>
              <w:rPr>
                <w:sz w:val="20"/>
              </w:rPr>
            </w:pPr>
            <w:r>
              <w:rPr>
                <w:sz w:val="20"/>
              </w:rPr>
              <w:t>165</w:t>
            </w:r>
          </w:p>
        </w:tc>
        <w:tc>
          <w:tcPr>
            <w:tcW w:w="64" w:type="dxa"/>
            <w:tcBorders/>
            <w:shd w:fill="CCEEFF" w:val="clear"/>
            <w:vAlign w:val="bottom"/>
          </w:tcPr>
          <w:p>
            <w:pPr>
              <w:pStyle w:val="TableContents"/>
              <w:spacing w:before="0" w:after="283"/>
              <w:rPr/>
            </w:pPr>
            <w:r>
              <w:rPr/>
              <w:t> </w:t>
            </w:r>
          </w:p>
        </w:tc>
      </w:tr>
      <w:tr>
        <w:trPr/>
        <w:tc>
          <w:tcPr>
            <w:tcW w:w="4068" w:type="dxa"/>
            <w:tcBorders/>
            <w:shd w:fill="auto" w:val="clear"/>
            <w:vAlign w:val="bottom"/>
          </w:tcPr>
          <w:p>
            <w:pPr>
              <w:pStyle w:val="TableContents"/>
              <w:spacing w:before="0" w:after="0"/>
              <w:rPr>
                <w:rFonts w:ascii="ARIAL" w:hAnsi="ARIAL"/>
                <w:sz w:val="20"/>
              </w:rPr>
            </w:pPr>
            <w:r>
              <w:rPr>
                <w:rFonts w:ascii="ARIAL" w:hAnsi="ARIAL"/>
                <w:sz w:val="20"/>
              </w:rPr>
              <w:t>Other liabilities</w:t>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center"/>
              <w:rPr>
                <w:b/>
              </w:rPr>
            </w:pPr>
            <w:r>
              <w:rPr>
                <w:b/>
              </w:rPr>
              <w:t>2,357</w:t>
            </w:r>
          </w:p>
        </w:tc>
        <w:tc>
          <w:tcPr>
            <w:tcW w:w="6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31" w:type="dxa"/>
            <w:tcBorders/>
            <w:shd w:fill="auto" w:val="clear"/>
            <w:vAlign w:val="bottom"/>
          </w:tcPr>
          <w:p>
            <w:pPr>
              <w:pStyle w:val="TableContents"/>
              <w:spacing w:before="0" w:after="283"/>
              <w:jc w:val="right"/>
              <w:rPr>
                <w:sz w:val="20"/>
              </w:rPr>
            </w:pPr>
            <w:r>
              <w:rPr>
                <w:sz w:val="20"/>
              </w:rPr>
              <w:t>2,369</w:t>
            </w:r>
          </w:p>
        </w:tc>
        <w:tc>
          <w:tcPr>
            <w:tcW w:w="64" w:type="dxa"/>
            <w:tcBorders/>
            <w:shd w:fill="auto" w:val="clear"/>
            <w:vAlign w:val="bottom"/>
          </w:tcPr>
          <w:p>
            <w:pPr>
              <w:pStyle w:val="TableContents"/>
              <w:spacing w:before="0" w:after="283"/>
              <w:rPr/>
            </w:pPr>
            <w:r>
              <w:rPr/>
              <w:t> </w:t>
            </w:r>
          </w:p>
        </w:tc>
      </w:tr>
      <w:tr>
        <w:trPr/>
        <w:tc>
          <w:tcPr>
            <w:tcW w:w="4068"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1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pBdr>
                <w:top w:val="single" w:sz="2" w:space="1" w:color="000000"/>
              </w:pBdr>
              <w:spacing w:before="0" w:after="0"/>
              <w:rPr/>
            </w:pPr>
            <w:r>
              <w:rPr/>
              <w:t> </w:t>
            </w:r>
          </w:p>
        </w:tc>
        <w:tc>
          <w:tcPr>
            <w:tcW w:w="1531"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068" w:type="dxa"/>
            <w:tcBorders/>
            <w:shd w:fill="CCEEFF" w:val="clear"/>
          </w:tcPr>
          <w:p>
            <w:pPr>
              <w:pStyle w:val="TableContents"/>
              <w:spacing w:before="0" w:after="283"/>
              <w:rPr>
                <w:sz w:val="4"/>
                <w:szCs w:val="4"/>
              </w:rPr>
            </w:pPr>
            <w:r>
              <w:rPr>
                <w:sz w:val="4"/>
                <w:szCs w:val="4"/>
              </w:rPr>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center"/>
              <w:rPr>
                <w:b/>
              </w:rPr>
            </w:pPr>
            <w:r>
              <w:rPr>
                <w:b/>
              </w:rPr>
              <w:t>25,475</w:t>
            </w:r>
          </w:p>
        </w:tc>
        <w:tc>
          <w:tcPr>
            <w:tcW w:w="6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531" w:type="dxa"/>
            <w:tcBorders/>
            <w:shd w:fill="CCEEFF" w:val="clear"/>
            <w:vAlign w:val="bottom"/>
          </w:tcPr>
          <w:p>
            <w:pPr>
              <w:pStyle w:val="TableContents"/>
              <w:spacing w:before="0" w:after="283"/>
              <w:jc w:val="right"/>
              <w:rPr>
                <w:sz w:val="20"/>
              </w:rPr>
            </w:pPr>
            <w:r>
              <w:rPr>
                <w:sz w:val="20"/>
              </w:rPr>
              <w:t>25,146</w:t>
            </w:r>
          </w:p>
        </w:tc>
        <w:tc>
          <w:tcPr>
            <w:tcW w:w="64" w:type="dxa"/>
            <w:tcBorders/>
            <w:shd w:fill="CCEEFF" w:val="clear"/>
            <w:vAlign w:val="bottom"/>
          </w:tcPr>
          <w:p>
            <w:pPr>
              <w:pStyle w:val="TableContents"/>
              <w:spacing w:before="0" w:after="283"/>
              <w:rPr/>
            </w:pPr>
            <w:r>
              <w:rPr/>
              <w:t> </w:t>
            </w:r>
          </w:p>
        </w:tc>
      </w:tr>
      <w:tr>
        <w:trPr/>
        <w:tc>
          <w:tcPr>
            <w:tcW w:w="4068" w:type="dxa"/>
            <w:tcBorders/>
            <w:shd w:fill="auto" w:val="clear"/>
            <w:vAlign w:val="bottom"/>
          </w:tcPr>
          <w:p>
            <w:pPr>
              <w:pStyle w:val="TableContents"/>
              <w:spacing w:before="0" w:after="0"/>
              <w:rPr>
                <w:rFonts w:ascii="ARIAL" w:hAnsi="ARIAL"/>
                <w:sz w:val="20"/>
              </w:rPr>
            </w:pPr>
            <w:r>
              <w:rPr>
                <w:rFonts w:ascii="ARIAL" w:hAnsi="ARIAL"/>
                <w:sz w:val="20"/>
              </w:rPr>
              <w:t>Equity</w:t>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center"/>
              <w:rPr>
                <w:b/>
              </w:rPr>
            </w:pPr>
            <w:r>
              <w:rPr>
                <w:b/>
              </w:rPr>
              <w:t>18,380</w:t>
            </w:r>
          </w:p>
        </w:tc>
        <w:tc>
          <w:tcPr>
            <w:tcW w:w="60"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531" w:type="dxa"/>
            <w:tcBorders/>
            <w:shd w:fill="auto" w:val="clear"/>
            <w:vAlign w:val="bottom"/>
          </w:tcPr>
          <w:p>
            <w:pPr>
              <w:pStyle w:val="TableContents"/>
              <w:spacing w:before="0" w:after="283"/>
              <w:jc w:val="right"/>
              <w:rPr>
                <w:sz w:val="20"/>
              </w:rPr>
            </w:pPr>
            <w:r>
              <w:rPr>
                <w:sz w:val="20"/>
              </w:rPr>
              <w:t>17,989</w:t>
            </w:r>
          </w:p>
        </w:tc>
        <w:tc>
          <w:tcPr>
            <w:tcW w:w="64" w:type="dxa"/>
            <w:tcBorders/>
            <w:shd w:fill="auto" w:val="clear"/>
            <w:vAlign w:val="bottom"/>
          </w:tcPr>
          <w:p>
            <w:pPr>
              <w:pStyle w:val="TableContents"/>
              <w:spacing w:before="0" w:after="283"/>
              <w:rPr/>
            </w:pPr>
            <w:r>
              <w:rPr/>
              <w:t> </w:t>
            </w:r>
          </w:p>
        </w:tc>
      </w:tr>
      <w:tr>
        <w:trPr/>
        <w:tc>
          <w:tcPr>
            <w:tcW w:w="4068"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1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pBdr>
                <w:top w:val="single" w:sz="2" w:space="1" w:color="000000"/>
              </w:pBdr>
              <w:spacing w:before="0" w:after="0"/>
              <w:rPr/>
            </w:pPr>
            <w:r>
              <w:rPr/>
              <w:t> </w:t>
            </w:r>
          </w:p>
        </w:tc>
        <w:tc>
          <w:tcPr>
            <w:tcW w:w="1531"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068" w:type="dxa"/>
            <w:tcBorders/>
            <w:shd w:fill="CCEEFF" w:val="clear"/>
            <w:vAlign w:val="bottom"/>
          </w:tcPr>
          <w:p>
            <w:pPr>
              <w:pStyle w:val="TableContents"/>
              <w:spacing w:before="0" w:after="283"/>
              <w:rPr>
                <w:sz w:val="4"/>
                <w:szCs w:val="4"/>
              </w:rPr>
            </w:pPr>
            <w:r>
              <w:rPr>
                <w:sz w:val="4"/>
                <w:szCs w:val="4"/>
              </w:rPr>
            </w:r>
          </w:p>
        </w:tc>
        <w:tc>
          <w:tcPr>
            <w:tcW w:w="3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816" w:type="dxa"/>
            <w:tcBorders/>
            <w:shd w:fill="CCEEFF" w:val="clear"/>
            <w:vAlign w:val="bottom"/>
          </w:tcPr>
          <w:p>
            <w:pPr>
              <w:pStyle w:val="TableContents"/>
              <w:spacing w:before="0" w:after="283"/>
              <w:jc w:val="right"/>
              <w:rPr>
                <w:b/>
              </w:rPr>
            </w:pPr>
            <w:r>
              <w:rPr>
                <w:b/>
              </w:rPr>
              <w:t>43,855</w:t>
            </w:r>
          </w:p>
        </w:tc>
        <w:tc>
          <w:tcPr>
            <w:tcW w:w="60"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w:t>
            </w:r>
          </w:p>
        </w:tc>
        <w:tc>
          <w:tcPr>
            <w:tcW w:w="1531" w:type="dxa"/>
            <w:tcBorders/>
            <w:shd w:fill="CCEEFF" w:val="clear"/>
            <w:vAlign w:val="bottom"/>
          </w:tcPr>
          <w:p>
            <w:pPr>
              <w:pStyle w:val="TableContents"/>
              <w:spacing w:before="0" w:after="283"/>
              <w:jc w:val="right"/>
              <w:rPr/>
            </w:pPr>
            <w:r>
              <w:rPr/>
              <w:t>43,135</w:t>
            </w:r>
          </w:p>
        </w:tc>
        <w:tc>
          <w:tcPr>
            <w:tcW w:w="64" w:type="dxa"/>
            <w:tcBorders/>
            <w:shd w:fill="CCEEFF" w:val="clear"/>
            <w:vAlign w:val="bottom"/>
          </w:tcPr>
          <w:p>
            <w:pPr>
              <w:pStyle w:val="TableContents"/>
              <w:spacing w:before="0" w:after="283"/>
              <w:rPr/>
            </w:pPr>
            <w:r>
              <w:rPr/>
              <w:t> </w:t>
            </w:r>
          </w:p>
        </w:tc>
      </w:tr>
      <w:tr>
        <w:trPr/>
        <w:tc>
          <w:tcPr>
            <w:tcW w:w="4068"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1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pBdr>
                <w:top w:val="double" w:sz="6" w:space="1" w:color="000000"/>
              </w:pBdr>
              <w:spacing w:before="0" w:after="0"/>
              <w:rPr/>
            </w:pPr>
            <w:r>
              <w:rPr/>
              <w:t> </w:t>
            </w:r>
          </w:p>
        </w:tc>
        <w:tc>
          <w:tcPr>
            <w:tcW w:w="1531" w:type="dxa"/>
            <w:tcBorders/>
            <w:shd w:fill="auto" w:val="clear"/>
            <w:vAlign w:val="bottom"/>
          </w:tcPr>
          <w:p>
            <w:pPr>
              <w:pStyle w:val="TableContents"/>
              <w:pBdr>
                <w:top w:val="double" w:sz="6"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rPr/>
      </w:pPr>
      <w:r>
        <w:rPr/>
      </w:r>
    </w:p>
    <w:p>
      <w:pPr>
        <w:pStyle w:val="TextBody"/>
        <w:spacing w:before="0" w:after="0"/>
        <w:jc w:val="left"/>
        <w:rPr>
          <w:rFonts w:ascii="ARIAL" w:hAnsi="ARIAL"/>
          <w:b/>
          <w:sz w:val="20"/>
        </w:rPr>
      </w:pPr>
      <w:r>
        <w:rPr>
          <w:rFonts w:ascii="ARIAL" w:hAnsi="ARIAL"/>
          <w:b/>
          <w:sz w:val="20"/>
        </w:rPr>
        <w:t xml:space="preserve">Liquidity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776"/>
        <w:gridCol w:w="268"/>
        <w:gridCol w:w="223"/>
        <w:gridCol w:w="1208"/>
        <w:gridCol w:w="155"/>
        <w:gridCol w:w="248"/>
        <w:gridCol w:w="214"/>
        <w:gridCol w:w="1161"/>
        <w:gridCol w:w="155"/>
        <w:gridCol w:w="248"/>
        <w:gridCol w:w="272"/>
        <w:gridCol w:w="1484"/>
        <w:gridCol w:w="160"/>
      </w:tblGrid>
      <w:tr>
        <w:trPr/>
        <w:tc>
          <w:tcPr>
            <w:tcW w:w="277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48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776"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431"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37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756" w:type="dxa"/>
            <w:gridSpan w:val="2"/>
            <w:tcBorders/>
            <w:shd w:fill="auto" w:val="clear"/>
            <w:vAlign w:val="bottom"/>
          </w:tcPr>
          <w:p>
            <w:pPr>
              <w:pStyle w:val="TableContents"/>
              <w:spacing w:before="0" w:after="283"/>
              <w:jc w:val="center"/>
              <w:rPr/>
            </w:pPr>
            <w:r>
              <w:rPr/>
              <w:t>(Stated in millions)</w:t>
            </w:r>
          </w:p>
        </w:tc>
        <w:tc>
          <w:tcPr>
            <w:tcW w:w="160" w:type="dxa"/>
            <w:tcBorders/>
            <w:shd w:fill="auto" w:val="clear"/>
            <w:vAlign w:val="bottom"/>
          </w:tcPr>
          <w:p>
            <w:pPr>
              <w:pStyle w:val="TableContents"/>
              <w:spacing w:before="0" w:after="283"/>
              <w:rPr/>
            </w:pPr>
            <w:r>
              <w:rPr/>
              <w:t> </w:t>
            </w:r>
          </w:p>
        </w:tc>
      </w:tr>
      <w:tr>
        <w:trPr/>
        <w:tc>
          <w:tcPr>
            <w:tcW w:w="2776" w:type="dxa"/>
            <w:tcBorders/>
            <w:shd w:fill="auto" w:val="clear"/>
            <w:vAlign w:val="bottom"/>
          </w:tcPr>
          <w:p>
            <w:pPr>
              <w:pStyle w:val="TableContents"/>
              <w:pBdr>
                <w:bottom w:val="single" w:sz="8" w:space="1" w:color="000000"/>
              </w:pBdr>
              <w:spacing w:before="0" w:after="0"/>
              <w:rPr>
                <w:rFonts w:ascii="ARIAL" w:hAnsi="ARIAL"/>
                <w:sz w:val="16"/>
              </w:rPr>
            </w:pPr>
            <w:r>
              <w:rPr>
                <w:rFonts w:ascii="ARIAL" w:hAnsi="ARIAL"/>
                <w:sz w:val="16"/>
              </w:rPr>
              <w:t>Components of Liquidity</w:t>
            </w:r>
          </w:p>
        </w:tc>
        <w:tc>
          <w:tcPr>
            <w:tcW w:w="268" w:type="dxa"/>
            <w:tcBorders/>
            <w:shd w:fill="auto" w:val="clear"/>
            <w:vAlign w:val="bottom"/>
          </w:tcPr>
          <w:p>
            <w:pPr>
              <w:pStyle w:val="TableContents"/>
              <w:spacing w:before="0" w:after="283"/>
              <w:rPr/>
            </w:pPr>
            <w:r>
              <w:rPr/>
              <w:t>  </w:t>
            </w:r>
          </w:p>
        </w:tc>
        <w:tc>
          <w:tcPr>
            <w:tcW w:w="143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 31, 2023</w:t>
            </w:r>
          </w:p>
        </w:tc>
        <w:tc>
          <w:tcPr>
            <w:tcW w:w="155"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375" w:type="dxa"/>
            <w:gridSpan w:val="2"/>
            <w:tcBorders>
              <w:bottom w:val="single" w:sz="8" w:space="0" w:color="000000"/>
            </w:tcBorders>
            <w:shd w:fill="auto" w:val="clear"/>
            <w:tcMar>
              <w:bottom w:w="28" w:type="dxa"/>
            </w:tcMar>
            <w:vAlign w:val="bottom"/>
          </w:tcPr>
          <w:p>
            <w:pPr>
              <w:pStyle w:val="TableContents"/>
              <w:spacing w:before="0" w:after="283"/>
              <w:jc w:val="center"/>
              <w:rPr/>
            </w:pPr>
            <w:r>
              <w:rPr/>
              <w:t>Dec. 31, 2022</w:t>
            </w:r>
          </w:p>
        </w:tc>
        <w:tc>
          <w:tcPr>
            <w:tcW w:w="155"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756" w:type="dxa"/>
            <w:gridSpan w:val="2"/>
            <w:tcBorders>
              <w:bottom w:val="single" w:sz="8" w:space="0" w:color="000000"/>
            </w:tcBorders>
            <w:shd w:fill="auto" w:val="clear"/>
            <w:tcMar>
              <w:bottom w:w="28" w:type="dxa"/>
            </w:tcMar>
            <w:vAlign w:val="bottom"/>
          </w:tcPr>
          <w:p>
            <w:pPr>
              <w:pStyle w:val="TableContents"/>
              <w:spacing w:before="0" w:after="283"/>
              <w:jc w:val="center"/>
              <w:rPr/>
            </w:pPr>
            <w:r>
              <w:rPr/>
              <w:t>Mar. 31, 2022</w:t>
            </w:r>
          </w:p>
        </w:tc>
        <w:tc>
          <w:tcPr>
            <w:tcW w:w="160" w:type="dxa"/>
            <w:tcBorders/>
            <w:shd w:fill="auto" w:val="clear"/>
            <w:vAlign w:val="bottom"/>
          </w:tcPr>
          <w:p>
            <w:pPr>
              <w:pStyle w:val="TableContents"/>
              <w:spacing w:before="0" w:after="283"/>
              <w:rPr/>
            </w:pPr>
            <w:r>
              <w:rPr/>
              <w:t> </w:t>
            </w:r>
          </w:p>
        </w:tc>
      </w:tr>
      <w:tr>
        <w:trPr/>
        <w:tc>
          <w:tcPr>
            <w:tcW w:w="2776" w:type="dxa"/>
            <w:tcBorders/>
            <w:shd w:fill="CCEEFF" w:val="clear"/>
          </w:tcPr>
          <w:p>
            <w:pPr>
              <w:pStyle w:val="TableContents"/>
              <w:spacing w:before="0" w:after="0"/>
              <w:rPr>
                <w:rFonts w:ascii="ARIAL" w:hAnsi="ARIAL"/>
                <w:sz w:val="20"/>
              </w:rPr>
            </w:pPr>
            <w:r>
              <w:rPr>
                <w:rFonts w:ascii="ARIAL" w:hAnsi="ARIAL"/>
                <w:sz w:val="20"/>
              </w:rPr>
              <w:t>Cash and short-term investments</w:t>
            </w:r>
          </w:p>
        </w:tc>
        <w:tc>
          <w:tcPr>
            <w:tcW w:w="26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b/>
              </w:rPr>
            </w:pPr>
            <w:r>
              <w:rPr>
                <w:b/>
              </w:rPr>
              <w:t>$</w:t>
            </w:r>
          </w:p>
        </w:tc>
        <w:tc>
          <w:tcPr>
            <w:tcW w:w="1208" w:type="dxa"/>
            <w:tcBorders/>
            <w:shd w:fill="CCEEFF" w:val="clear"/>
            <w:vAlign w:val="bottom"/>
          </w:tcPr>
          <w:p>
            <w:pPr>
              <w:pStyle w:val="TableContents"/>
              <w:spacing w:before="0" w:after="283"/>
              <w:jc w:val="right"/>
              <w:rPr>
                <w:b/>
              </w:rPr>
            </w:pPr>
            <w:r>
              <w:rPr>
                <w:b/>
              </w:rPr>
              <w:t>2,504</w:t>
            </w:r>
          </w:p>
        </w:tc>
        <w:tc>
          <w:tcPr>
            <w:tcW w:w="155"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w:t>
            </w:r>
          </w:p>
        </w:tc>
        <w:tc>
          <w:tcPr>
            <w:tcW w:w="1161" w:type="dxa"/>
            <w:tcBorders/>
            <w:shd w:fill="CCEEFF" w:val="clear"/>
            <w:vAlign w:val="bottom"/>
          </w:tcPr>
          <w:p>
            <w:pPr>
              <w:pStyle w:val="TableContents"/>
              <w:spacing w:before="0" w:after="283"/>
              <w:jc w:val="right"/>
              <w:rPr/>
            </w:pPr>
            <w:r>
              <w:rPr/>
              <w:t>2,894</w:t>
            </w:r>
          </w:p>
        </w:tc>
        <w:tc>
          <w:tcPr>
            <w:tcW w:w="155"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w:t>
            </w:r>
          </w:p>
        </w:tc>
        <w:tc>
          <w:tcPr>
            <w:tcW w:w="1484" w:type="dxa"/>
            <w:tcBorders/>
            <w:shd w:fill="CCEEFF" w:val="clear"/>
            <w:vAlign w:val="bottom"/>
          </w:tcPr>
          <w:p>
            <w:pPr>
              <w:pStyle w:val="TableContents"/>
              <w:spacing w:before="0" w:after="283"/>
              <w:jc w:val="right"/>
              <w:rPr/>
            </w:pPr>
            <w:r>
              <w:rPr/>
              <w:t>2,649</w:t>
            </w:r>
          </w:p>
        </w:tc>
        <w:tc>
          <w:tcPr>
            <w:tcW w:w="160" w:type="dxa"/>
            <w:tcBorders/>
            <w:shd w:fill="CCEEFF" w:val="clear"/>
            <w:vAlign w:val="bottom"/>
          </w:tcPr>
          <w:p>
            <w:pPr>
              <w:pStyle w:val="TableContents"/>
              <w:spacing w:before="0" w:after="283"/>
              <w:rPr/>
            </w:pPr>
            <w:r>
              <w:rPr/>
              <w:t> </w:t>
            </w:r>
          </w:p>
        </w:tc>
      </w:tr>
      <w:tr>
        <w:trPr/>
        <w:tc>
          <w:tcPr>
            <w:tcW w:w="2776" w:type="dxa"/>
            <w:tcBorders/>
            <w:shd w:fill="auto" w:val="clear"/>
          </w:tcPr>
          <w:p>
            <w:pPr>
              <w:pStyle w:val="TableContents"/>
              <w:spacing w:before="0" w:after="0"/>
              <w:rPr>
                <w:rFonts w:ascii="ARIAL" w:hAnsi="ARIAL"/>
                <w:sz w:val="20"/>
              </w:rPr>
            </w:pPr>
            <w:r>
              <w:rPr>
                <w:rFonts w:ascii="ARIAL" w:hAnsi="ARIAL"/>
                <w:sz w:val="20"/>
              </w:rPr>
              <w:t>Short-term borrowings and current portion of long-term debt</w:t>
            </w:r>
          </w:p>
        </w:tc>
        <w:tc>
          <w:tcPr>
            <w:tcW w:w="26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08" w:type="dxa"/>
            <w:tcBorders/>
            <w:shd w:fill="auto" w:val="clear"/>
            <w:vAlign w:val="bottom"/>
          </w:tcPr>
          <w:p>
            <w:pPr>
              <w:pStyle w:val="TableContents"/>
              <w:spacing w:before="0" w:after="283"/>
              <w:jc w:val="right"/>
              <w:rPr>
                <w:b/>
              </w:rPr>
            </w:pPr>
            <w:r>
              <w:rPr>
                <w:b/>
              </w:rPr>
              <w:t>(2,140</w:t>
            </w:r>
          </w:p>
        </w:tc>
        <w:tc>
          <w:tcPr>
            <w:tcW w:w="155" w:type="dxa"/>
            <w:tcBorders/>
            <w:shd w:fill="auto" w:val="clear"/>
            <w:vAlign w:val="bottom"/>
          </w:tcPr>
          <w:p>
            <w:pPr>
              <w:pStyle w:val="TableContents"/>
              <w:spacing w:before="0" w:after="283"/>
              <w:rPr>
                <w:b/>
              </w:rPr>
            </w:pPr>
            <w:r>
              <w:rPr>
                <w:b/>
              </w:rPr>
              <w:t>) </w:t>
            </w:r>
          </w:p>
        </w:tc>
        <w:tc>
          <w:tcPr>
            <w:tcW w:w="248"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(1,632</w:t>
            </w:r>
          </w:p>
        </w:tc>
        <w:tc>
          <w:tcPr>
            <w:tcW w:w="155"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484" w:type="dxa"/>
            <w:tcBorders/>
            <w:shd w:fill="auto" w:val="clear"/>
            <w:vAlign w:val="bottom"/>
          </w:tcPr>
          <w:p>
            <w:pPr>
              <w:pStyle w:val="TableContents"/>
              <w:spacing w:before="0" w:after="283"/>
              <w:jc w:val="right"/>
              <w:rPr/>
            </w:pPr>
            <w:r>
              <w:rPr/>
              <w:t>(923</w:t>
            </w:r>
          </w:p>
        </w:tc>
        <w:tc>
          <w:tcPr>
            <w:tcW w:w="160" w:type="dxa"/>
            <w:tcBorders/>
            <w:shd w:fill="auto" w:val="clear"/>
            <w:vAlign w:val="bottom"/>
          </w:tcPr>
          <w:p>
            <w:pPr>
              <w:pStyle w:val="TableContents"/>
              <w:spacing w:before="0" w:after="283"/>
              <w:rPr/>
            </w:pPr>
            <w:r>
              <w:rPr/>
              <w:t>) </w:t>
            </w:r>
          </w:p>
        </w:tc>
      </w:tr>
      <w:tr>
        <w:trPr/>
        <w:tc>
          <w:tcPr>
            <w:tcW w:w="2776" w:type="dxa"/>
            <w:tcBorders/>
            <w:shd w:fill="CCEEFF" w:val="clear"/>
          </w:tcPr>
          <w:p>
            <w:pPr>
              <w:pStyle w:val="TableContents"/>
              <w:spacing w:before="0" w:after="0"/>
              <w:rPr>
                <w:rFonts w:ascii="ARIAL" w:hAnsi="ARIAL"/>
                <w:sz w:val="20"/>
              </w:rPr>
            </w:pPr>
            <w:r>
              <w:rPr>
                <w:rFonts w:ascii="ARIAL" w:hAnsi="ARIAL"/>
                <w:sz w:val="20"/>
              </w:rPr>
              <w:t>Long-term debt</w:t>
            </w:r>
          </w:p>
        </w:tc>
        <w:tc>
          <w:tcPr>
            <w:tcW w:w="26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08" w:type="dxa"/>
            <w:tcBorders/>
            <w:shd w:fill="CCEEFF" w:val="clear"/>
            <w:vAlign w:val="bottom"/>
          </w:tcPr>
          <w:p>
            <w:pPr>
              <w:pStyle w:val="TableContents"/>
              <w:spacing w:before="0" w:after="283"/>
              <w:jc w:val="right"/>
              <w:rPr>
                <w:b/>
              </w:rPr>
            </w:pPr>
            <w:r>
              <w:rPr>
                <w:b/>
              </w:rPr>
              <w:t>(10,698</w:t>
            </w:r>
          </w:p>
        </w:tc>
        <w:tc>
          <w:tcPr>
            <w:tcW w:w="155" w:type="dxa"/>
            <w:tcBorders/>
            <w:shd w:fill="CCEEFF" w:val="clear"/>
            <w:vAlign w:val="bottom"/>
          </w:tcPr>
          <w:p>
            <w:pPr>
              <w:pStyle w:val="TableContents"/>
              <w:spacing w:before="0" w:after="283"/>
              <w:rPr>
                <w:b/>
              </w:rPr>
            </w:pPr>
            <w:r>
              <w:rPr>
                <w:b/>
              </w:rPr>
              <w:t>) </w:t>
            </w:r>
          </w:p>
        </w:tc>
        <w:tc>
          <w:tcPr>
            <w:tcW w:w="248"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(10,594</w:t>
            </w:r>
          </w:p>
        </w:tc>
        <w:tc>
          <w:tcPr>
            <w:tcW w:w="155"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484" w:type="dxa"/>
            <w:tcBorders/>
            <w:shd w:fill="CCEEFF" w:val="clear"/>
            <w:vAlign w:val="bottom"/>
          </w:tcPr>
          <w:p>
            <w:pPr>
              <w:pStyle w:val="TableContents"/>
              <w:spacing w:before="0" w:after="283"/>
              <w:jc w:val="right"/>
              <w:rPr/>
            </w:pPr>
            <w:r>
              <w:rPr/>
              <w:t>(13,163</w:t>
            </w:r>
          </w:p>
        </w:tc>
        <w:tc>
          <w:tcPr>
            <w:tcW w:w="160" w:type="dxa"/>
            <w:tcBorders/>
            <w:shd w:fill="CCEEFF" w:val="clear"/>
            <w:vAlign w:val="bottom"/>
          </w:tcPr>
          <w:p>
            <w:pPr>
              <w:pStyle w:val="TableContents"/>
              <w:spacing w:before="0" w:after="283"/>
              <w:rPr/>
            </w:pPr>
            <w:r>
              <w:rPr/>
              <w:t>) </w:t>
            </w:r>
          </w:p>
        </w:tc>
      </w:tr>
      <w:tr>
        <w:trPr/>
        <w:tc>
          <w:tcPr>
            <w:tcW w:w="2776"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pBdr>
                <w:top w:val="single" w:sz="2" w:space="1" w:color="000000"/>
              </w:pBdr>
              <w:spacing w:before="0" w:after="0"/>
              <w:rPr/>
            </w:pPr>
            <w:r>
              <w:rPr/>
              <w:t> </w:t>
            </w:r>
          </w:p>
        </w:tc>
        <w:tc>
          <w:tcPr>
            <w:tcW w:w="120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pBdr>
                <w:top w:val="single" w:sz="2" w:space="1" w:color="000000"/>
              </w:pBdr>
              <w:spacing w:before="0" w:after="0"/>
              <w:rPr/>
            </w:pPr>
            <w:r>
              <w:rPr/>
              <w:t> </w:t>
            </w:r>
          </w:p>
        </w:tc>
        <w:tc>
          <w:tcPr>
            <w:tcW w:w="116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pBdr>
                <w:top w:val="single" w:sz="2" w:space="1" w:color="000000"/>
              </w:pBdr>
              <w:spacing w:before="0" w:after="0"/>
              <w:rPr/>
            </w:pPr>
            <w:r>
              <w:rPr/>
              <w:t> </w:t>
            </w:r>
          </w:p>
        </w:tc>
        <w:tc>
          <w:tcPr>
            <w:tcW w:w="148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776" w:type="dxa"/>
            <w:tcBorders/>
            <w:shd w:fill="auto" w:val="clear"/>
          </w:tcPr>
          <w:p>
            <w:pPr>
              <w:pStyle w:val="TableContents"/>
              <w:spacing w:before="0" w:after="0"/>
              <w:rPr>
                <w:rFonts w:ascii="ARIAL" w:hAnsi="ARIAL"/>
                <w:sz w:val="20"/>
              </w:rPr>
            </w:pPr>
            <w:r>
              <w:rPr>
                <w:rFonts w:ascii="ARIAL" w:hAnsi="ARIAL"/>
                <w:sz w:val="20"/>
              </w:rPr>
              <w:t>Net Debt (1)</w:t>
            </w:r>
          </w:p>
        </w:tc>
        <w:tc>
          <w:tcPr>
            <w:tcW w:w="26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b/>
              </w:rPr>
            </w:pPr>
            <w:r>
              <w:rPr>
                <w:b/>
              </w:rPr>
              <w:t>$</w:t>
            </w:r>
          </w:p>
        </w:tc>
        <w:tc>
          <w:tcPr>
            <w:tcW w:w="1208" w:type="dxa"/>
            <w:tcBorders/>
            <w:shd w:fill="auto" w:val="clear"/>
            <w:vAlign w:val="bottom"/>
          </w:tcPr>
          <w:p>
            <w:pPr>
              <w:pStyle w:val="TableContents"/>
              <w:spacing w:before="0" w:after="283"/>
              <w:jc w:val="right"/>
              <w:rPr>
                <w:b/>
              </w:rPr>
            </w:pPr>
            <w:r>
              <w:rPr>
                <w:b/>
              </w:rPr>
              <w:t>(10,334</w:t>
            </w:r>
          </w:p>
        </w:tc>
        <w:tc>
          <w:tcPr>
            <w:tcW w:w="155" w:type="dxa"/>
            <w:tcBorders/>
            <w:shd w:fill="auto" w:val="clear"/>
            <w:vAlign w:val="bottom"/>
          </w:tcPr>
          <w:p>
            <w:pPr>
              <w:pStyle w:val="TableContents"/>
              <w:spacing w:before="0" w:after="283"/>
              <w:rPr>
                <w:b/>
              </w:rPr>
            </w:pPr>
            <w:r>
              <w:rPr>
                <w:b/>
              </w:rPr>
              <w:t>) </w:t>
            </w:r>
          </w:p>
        </w:tc>
        <w:tc>
          <w:tcPr>
            <w:tcW w:w="248"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w:t>
            </w:r>
          </w:p>
        </w:tc>
        <w:tc>
          <w:tcPr>
            <w:tcW w:w="1161" w:type="dxa"/>
            <w:tcBorders/>
            <w:shd w:fill="auto" w:val="clear"/>
            <w:vAlign w:val="bottom"/>
          </w:tcPr>
          <w:p>
            <w:pPr>
              <w:pStyle w:val="TableContents"/>
              <w:spacing w:before="0" w:after="283"/>
              <w:jc w:val="right"/>
              <w:rPr/>
            </w:pPr>
            <w:r>
              <w:rPr/>
              <w:t>(9,332</w:t>
            </w:r>
          </w:p>
        </w:tc>
        <w:tc>
          <w:tcPr>
            <w:tcW w:w="155"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w:t>
            </w:r>
          </w:p>
        </w:tc>
        <w:tc>
          <w:tcPr>
            <w:tcW w:w="1484" w:type="dxa"/>
            <w:tcBorders/>
            <w:shd w:fill="auto" w:val="clear"/>
            <w:vAlign w:val="bottom"/>
          </w:tcPr>
          <w:p>
            <w:pPr>
              <w:pStyle w:val="TableContents"/>
              <w:spacing w:before="0" w:after="283"/>
              <w:jc w:val="right"/>
              <w:rPr/>
            </w:pPr>
            <w:r>
              <w:rPr/>
              <w:t>(11,437</w:t>
            </w:r>
          </w:p>
        </w:tc>
        <w:tc>
          <w:tcPr>
            <w:tcW w:w="160" w:type="dxa"/>
            <w:tcBorders/>
            <w:shd w:fill="auto" w:val="clear"/>
            <w:vAlign w:val="bottom"/>
          </w:tcPr>
          <w:p>
            <w:pPr>
              <w:pStyle w:val="TableContents"/>
              <w:spacing w:before="0" w:after="283"/>
              <w:rPr/>
            </w:pPr>
            <w:r>
              <w:rPr/>
              <w:t>) </w:t>
            </w:r>
          </w:p>
        </w:tc>
      </w:tr>
      <w:tr>
        <w:trPr/>
        <w:tc>
          <w:tcPr>
            <w:tcW w:w="2776"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pBdr>
                <w:top w:val="double" w:sz="6" w:space="1" w:color="000000"/>
              </w:pBdr>
              <w:spacing w:before="0" w:after="0"/>
              <w:rPr/>
            </w:pPr>
            <w:r>
              <w:rPr/>
              <w:t> </w:t>
            </w:r>
          </w:p>
        </w:tc>
        <w:tc>
          <w:tcPr>
            <w:tcW w:w="120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pBdr>
                <w:top w:val="double" w:sz="6" w:space="1" w:color="000000"/>
              </w:pBdr>
              <w:spacing w:before="0" w:after="0"/>
              <w:rPr/>
            </w:pPr>
            <w:r>
              <w:rPr/>
              <w:t> </w:t>
            </w:r>
          </w:p>
        </w:tc>
        <w:tc>
          <w:tcPr>
            <w:tcW w:w="1161"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pBdr>
                <w:top w:val="double" w:sz="6" w:space="1" w:color="000000"/>
              </w:pBdr>
              <w:spacing w:before="0" w:after="0"/>
              <w:rPr/>
            </w:pPr>
            <w:r>
              <w:rPr/>
              <w:t> </w:t>
            </w:r>
          </w:p>
        </w:tc>
        <w:tc>
          <w:tcPr>
            <w:tcW w:w="1484"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rHeight w:val="240" w:hRule="atLeast"/>
        </w:trPr>
        <w:tc>
          <w:tcPr>
            <w:tcW w:w="2776" w:type="dxa"/>
            <w:tcBorders/>
            <w:shd w:fill="auto" w:val="clear"/>
            <w:vAlign w:val="center"/>
          </w:tcPr>
          <w:p>
            <w:pPr>
              <w:pStyle w:val="TableContents"/>
              <w:spacing w:before="0" w:after="283"/>
              <w:rPr>
                <w:sz w:val="4"/>
                <w:szCs w:val="4"/>
              </w:rPr>
            </w:pPr>
            <w:r>
              <w:rPr>
                <w:sz w:val="4"/>
                <w:szCs w:val="4"/>
              </w:rPr>
            </w:r>
          </w:p>
        </w:tc>
        <w:tc>
          <w:tcPr>
            <w:tcW w:w="1854" w:type="dxa"/>
            <w:gridSpan w:val="4"/>
            <w:tcBorders/>
            <w:shd w:fill="auto" w:val="clear"/>
            <w:vAlign w:val="center"/>
          </w:tcPr>
          <w:p>
            <w:pPr>
              <w:pStyle w:val="TableContents"/>
              <w:spacing w:before="0" w:after="283"/>
              <w:rPr>
                <w:sz w:val="4"/>
                <w:szCs w:val="4"/>
              </w:rPr>
            </w:pPr>
            <w:r>
              <w:rPr>
                <w:sz w:val="4"/>
                <w:szCs w:val="4"/>
              </w:rPr>
            </w:r>
          </w:p>
        </w:tc>
        <w:tc>
          <w:tcPr>
            <w:tcW w:w="1778" w:type="dxa"/>
            <w:gridSpan w:val="4"/>
            <w:tcBorders/>
            <w:shd w:fill="auto" w:val="clear"/>
            <w:vAlign w:val="center"/>
          </w:tcPr>
          <w:p>
            <w:pPr>
              <w:pStyle w:val="TableContents"/>
              <w:spacing w:before="0" w:after="283"/>
              <w:rPr>
                <w:sz w:val="4"/>
                <w:szCs w:val="4"/>
              </w:rPr>
            </w:pPr>
            <w:r>
              <w:rPr>
                <w:sz w:val="4"/>
                <w:szCs w:val="4"/>
              </w:rPr>
            </w:r>
          </w:p>
        </w:tc>
        <w:tc>
          <w:tcPr>
            <w:tcW w:w="2164" w:type="dxa"/>
            <w:gridSpan w:val="4"/>
            <w:tcBorders/>
            <w:shd w:fill="auto" w:val="clear"/>
            <w:vAlign w:val="center"/>
          </w:tcPr>
          <w:p>
            <w:pPr>
              <w:pStyle w:val="TableContents"/>
              <w:spacing w:before="0" w:after="283"/>
              <w:rPr>
                <w:sz w:val="4"/>
                <w:szCs w:val="4"/>
              </w:rPr>
            </w:pPr>
            <w:r>
              <w:rPr>
                <w:sz w:val="4"/>
                <w:szCs w:val="4"/>
              </w:rPr>
            </w:r>
          </w:p>
        </w:tc>
      </w:tr>
      <w:tr>
        <w:trPr/>
        <w:tc>
          <w:tcPr>
            <w:tcW w:w="2776" w:type="dxa"/>
            <w:tcBorders/>
            <w:shd w:fill="CCEEFF" w:val="clear"/>
          </w:tcPr>
          <w:p>
            <w:pPr>
              <w:pStyle w:val="TableContents"/>
              <w:spacing w:before="0" w:after="0"/>
              <w:rPr>
                <w:rFonts w:ascii="ARIAL" w:hAnsi="ARIAL"/>
                <w:sz w:val="20"/>
              </w:rPr>
            </w:pPr>
            <w:r>
              <w:rPr>
                <w:rFonts w:ascii="ARIAL" w:hAnsi="ARIAL"/>
                <w:sz w:val="20"/>
              </w:rPr>
              <w:t>Details of changes in liquidity follow:</w:t>
            </w:r>
          </w:p>
        </w:tc>
        <w:tc>
          <w:tcPr>
            <w:tcW w:w="26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sz w:val="4"/>
                <w:szCs w:val="4"/>
              </w:rPr>
            </w:pPr>
            <w:r>
              <w:rPr>
                <w:sz w:val="4"/>
                <w:szCs w:val="4"/>
              </w:rPr>
            </w:r>
          </w:p>
        </w:tc>
        <w:tc>
          <w:tcPr>
            <w:tcW w:w="120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48"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sz w:val="4"/>
                <w:szCs w:val="4"/>
              </w:rPr>
            </w:pPr>
            <w:r>
              <w:rPr>
                <w:sz w:val="4"/>
                <w:szCs w:val="4"/>
              </w:rPr>
            </w:r>
          </w:p>
        </w:tc>
        <w:tc>
          <w:tcPr>
            <w:tcW w:w="116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48"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sz w:val="4"/>
                <w:szCs w:val="4"/>
              </w:rPr>
            </w:pPr>
            <w:r>
              <w:rPr>
                <w:sz w:val="4"/>
                <w:szCs w:val="4"/>
              </w:rPr>
            </w:r>
          </w:p>
        </w:tc>
        <w:tc>
          <w:tcPr>
            <w:tcW w:w="1484"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116"/>
        <w:gridCol w:w="281"/>
        <w:gridCol w:w="144"/>
        <w:gridCol w:w="762"/>
        <w:gridCol w:w="155"/>
        <w:gridCol w:w="231"/>
        <w:gridCol w:w="144"/>
        <w:gridCol w:w="762"/>
        <w:gridCol w:w="160"/>
      </w:tblGrid>
      <w:tr>
        <w:trPr/>
        <w:tc>
          <w:tcPr>
            <w:tcW w:w="5116"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116" w:type="dxa"/>
            <w:tcBorders/>
            <w:shd w:fill="auto" w:val="clear"/>
            <w:vAlign w:val="bottom"/>
          </w:tcPr>
          <w:p>
            <w:pPr>
              <w:pStyle w:val="TableContents"/>
              <w:pBdr>
                <w:bottom w:val="single" w:sz="8" w:space="1" w:color="000000"/>
              </w:pBdr>
              <w:spacing w:before="0" w:after="0"/>
              <w:rPr>
                <w:rFonts w:ascii="ARIAL" w:hAnsi="ARIAL"/>
                <w:sz w:val="16"/>
              </w:rPr>
            </w:pPr>
            <w:r>
              <w:rPr>
                <w:rFonts w:ascii="ARIAL" w:hAnsi="ARIAL"/>
                <w:sz w:val="16"/>
              </w:rPr>
              <w:t>Periods Ended March 31,</w:t>
            </w:r>
          </w:p>
        </w:tc>
        <w:tc>
          <w:tcPr>
            <w:tcW w:w="281" w:type="dxa"/>
            <w:tcBorders/>
            <w:shd w:fill="auto" w:val="clear"/>
            <w:vAlign w:val="bottom"/>
          </w:tcPr>
          <w:p>
            <w:pPr>
              <w:pStyle w:val="TableContents"/>
              <w:spacing w:before="0" w:after="283"/>
              <w:rPr/>
            </w:pPr>
            <w:r>
              <w:rPr/>
              <w:t>  </w:t>
            </w:r>
          </w:p>
        </w:tc>
        <w:tc>
          <w:tcPr>
            <w:tcW w:w="90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Three</w:t>
              <w:br/>
              <w:t>Months</w:t>
              <w:br/>
              <w:t>2023</w:t>
            </w:r>
          </w:p>
        </w:tc>
        <w:tc>
          <w:tcPr>
            <w:tcW w:w="155"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906" w:type="dxa"/>
            <w:gridSpan w:val="2"/>
            <w:tcBorders>
              <w:bottom w:val="single" w:sz="8" w:space="0" w:color="000000"/>
            </w:tcBorders>
            <w:shd w:fill="auto" w:val="clear"/>
            <w:tcMar>
              <w:bottom w:w="28" w:type="dxa"/>
            </w:tcMar>
            <w:vAlign w:val="bottom"/>
          </w:tcPr>
          <w:p>
            <w:pPr>
              <w:pStyle w:val="TableContents"/>
              <w:spacing w:before="0" w:after="283"/>
              <w:jc w:val="center"/>
              <w:rPr/>
            </w:pPr>
            <w:r>
              <w:rPr/>
              <w:t>Three</w:t>
              <w:br/>
              <w:t>Months</w:t>
              <w:br/>
              <w:t>2022</w:t>
            </w:r>
          </w:p>
        </w:tc>
        <w:tc>
          <w:tcPr>
            <w:tcW w:w="160" w:type="dxa"/>
            <w:tcBorders/>
            <w:shd w:fill="auto" w:val="clear"/>
            <w:vAlign w:val="bottom"/>
          </w:tcPr>
          <w:p>
            <w:pPr>
              <w:pStyle w:val="TableContents"/>
              <w:spacing w:before="0" w:after="283"/>
              <w:rPr/>
            </w:pPr>
            <w:r>
              <w:rPr/>
              <w:t> </w:t>
            </w:r>
          </w:p>
        </w:tc>
      </w:tr>
      <w:tr>
        <w:trPr/>
        <w:tc>
          <w:tcPr>
            <w:tcW w:w="5116" w:type="dxa"/>
            <w:tcBorders/>
            <w:shd w:fill="CCEEFF" w:val="clear"/>
          </w:tcPr>
          <w:p>
            <w:pPr>
              <w:pStyle w:val="TableContents"/>
              <w:spacing w:before="0" w:after="0"/>
              <w:rPr>
                <w:rFonts w:ascii="ARIAL" w:hAnsi="ARIAL"/>
                <w:sz w:val="20"/>
              </w:rPr>
            </w:pPr>
            <w:r>
              <w:rPr>
                <w:rFonts w:ascii="ARIAL" w:hAnsi="ARIAL"/>
                <w:sz w:val="20"/>
              </w:rPr>
              <w:t>Net income</w:t>
            </w:r>
          </w:p>
        </w:tc>
        <w:tc>
          <w:tcPr>
            <w:tcW w:w="28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b/>
              </w:rPr>
            </w:pPr>
            <w:r>
              <w:rPr>
                <w:b/>
              </w:rPr>
              <w:t>$</w:t>
            </w:r>
          </w:p>
        </w:tc>
        <w:tc>
          <w:tcPr>
            <w:tcW w:w="762" w:type="dxa"/>
            <w:tcBorders/>
            <w:shd w:fill="CCEEFF" w:val="clear"/>
            <w:vAlign w:val="bottom"/>
          </w:tcPr>
          <w:p>
            <w:pPr>
              <w:pStyle w:val="TableContents"/>
              <w:spacing w:before="0" w:after="283"/>
              <w:jc w:val="right"/>
              <w:rPr>
                <w:b/>
              </w:rPr>
            </w:pPr>
            <w:r>
              <w:rPr>
                <w:b/>
              </w:rPr>
              <w:t>944</w:t>
            </w:r>
          </w:p>
        </w:tc>
        <w:tc>
          <w:tcPr>
            <w:tcW w:w="155"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w:t>
            </w:r>
          </w:p>
        </w:tc>
        <w:tc>
          <w:tcPr>
            <w:tcW w:w="762" w:type="dxa"/>
            <w:tcBorders/>
            <w:shd w:fill="CCEEFF" w:val="clear"/>
            <w:vAlign w:val="bottom"/>
          </w:tcPr>
          <w:p>
            <w:pPr>
              <w:pStyle w:val="TableContents"/>
              <w:spacing w:before="0" w:after="283"/>
              <w:jc w:val="right"/>
              <w:rPr/>
            </w:pPr>
            <w:r>
              <w:rPr/>
              <w:t>520</w:t>
            </w:r>
          </w:p>
        </w:tc>
        <w:tc>
          <w:tcPr>
            <w:tcW w:w="160" w:type="dxa"/>
            <w:tcBorders/>
            <w:shd w:fill="CCEEFF" w:val="clear"/>
            <w:vAlign w:val="bottom"/>
          </w:tcPr>
          <w:p>
            <w:pPr>
              <w:pStyle w:val="TableContents"/>
              <w:spacing w:before="0" w:after="283"/>
              <w:rPr/>
            </w:pPr>
            <w:r>
              <w:rPr/>
              <w:t> </w:t>
            </w:r>
          </w:p>
        </w:tc>
      </w:tr>
      <w:tr>
        <w:trPr/>
        <w:tc>
          <w:tcPr>
            <w:tcW w:w="5116" w:type="dxa"/>
            <w:tcBorders/>
            <w:shd w:fill="auto" w:val="clear"/>
          </w:tcPr>
          <w:p>
            <w:pPr>
              <w:pStyle w:val="TableContents"/>
              <w:spacing w:before="0" w:after="0"/>
              <w:rPr>
                <w:rFonts w:ascii="ARIAL" w:hAnsi="ARIAL"/>
                <w:sz w:val="20"/>
              </w:rPr>
            </w:pPr>
            <w:r>
              <w:rPr>
                <w:rFonts w:ascii="ARIAL" w:hAnsi="ARIAL"/>
                <w:sz w:val="20"/>
              </w:rPr>
              <w:t>Charges and credits, net of tax (2)</w:t>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b/>
              </w:rPr>
            </w:pPr>
            <w:r>
              <w:rPr>
                <w:b/>
              </w:rPr>
              <w:t>(28</w:t>
            </w:r>
          </w:p>
        </w:tc>
        <w:tc>
          <w:tcPr>
            <w:tcW w:w="155" w:type="dxa"/>
            <w:tcBorders/>
            <w:shd w:fill="auto" w:val="clear"/>
            <w:vAlign w:val="bottom"/>
          </w:tcPr>
          <w:p>
            <w:pPr>
              <w:pStyle w:val="TableContents"/>
              <w:spacing w:before="0" w:after="283"/>
              <w:rPr>
                <w:b/>
              </w:rPr>
            </w:pPr>
            <w:r>
              <w:rPr>
                <w:b/>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(22</w:t>
            </w:r>
          </w:p>
        </w:tc>
        <w:tc>
          <w:tcPr>
            <w:tcW w:w="160" w:type="dxa"/>
            <w:tcBorders/>
            <w:shd w:fill="auto" w:val="clear"/>
            <w:vAlign w:val="bottom"/>
          </w:tcPr>
          <w:p>
            <w:pPr>
              <w:pStyle w:val="TableContents"/>
              <w:spacing w:before="0" w:after="283"/>
              <w:rPr/>
            </w:pPr>
            <w:r>
              <w:rPr/>
              <w:t>) </w:t>
            </w:r>
          </w:p>
        </w:tc>
      </w:tr>
      <w:tr>
        <w:trPr/>
        <w:tc>
          <w:tcPr>
            <w:tcW w:w="5116"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0"/>
              <w:rPr/>
            </w:pPr>
            <w:r>
              <w:rPr/>
              <w:t> </w:t>
            </w:r>
          </w:p>
        </w:tc>
        <w:tc>
          <w:tcPr>
            <w:tcW w:w="76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0"/>
              <w:rPr/>
            </w:pPr>
            <w:r>
              <w:rPr/>
              <w:t> </w:t>
            </w:r>
          </w:p>
        </w:tc>
        <w:tc>
          <w:tcPr>
            <w:tcW w:w="76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116" w:type="dxa"/>
            <w:tcBorders/>
            <w:shd w:fill="CCEEFF" w:val="clear"/>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b/>
              </w:rPr>
            </w:pPr>
            <w:r>
              <w:rPr>
                <w:b/>
              </w:rPr>
              <w:t>916</w:t>
            </w:r>
          </w:p>
        </w:tc>
        <w:tc>
          <w:tcPr>
            <w:tcW w:w="155"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498</w:t>
            </w:r>
          </w:p>
        </w:tc>
        <w:tc>
          <w:tcPr>
            <w:tcW w:w="160" w:type="dxa"/>
            <w:tcBorders/>
            <w:shd w:fill="CCEEFF" w:val="clear"/>
            <w:vAlign w:val="bottom"/>
          </w:tcPr>
          <w:p>
            <w:pPr>
              <w:pStyle w:val="TableContents"/>
              <w:spacing w:before="0" w:after="283"/>
              <w:rPr/>
            </w:pPr>
            <w:r>
              <w:rPr/>
              <w:t> </w:t>
            </w:r>
          </w:p>
        </w:tc>
      </w:tr>
      <w:tr>
        <w:trPr/>
        <w:tc>
          <w:tcPr>
            <w:tcW w:w="5116" w:type="dxa"/>
            <w:tcBorders/>
            <w:shd w:fill="auto" w:val="clear"/>
          </w:tcPr>
          <w:p>
            <w:pPr>
              <w:pStyle w:val="TableContents"/>
              <w:spacing w:before="0" w:after="0"/>
              <w:rPr>
                <w:rFonts w:ascii="ARIAL" w:hAnsi="ARIAL"/>
                <w:sz w:val="20"/>
              </w:rPr>
            </w:pPr>
            <w:r>
              <w:rPr>
                <w:rFonts w:ascii="ARIAL" w:hAnsi="ARIAL"/>
                <w:sz w:val="20"/>
              </w:rPr>
              <w:t>Depreciation and amortization (3)</w:t>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b/>
              </w:rPr>
            </w:pPr>
            <w:r>
              <w:rPr>
                <w:b/>
              </w:rPr>
              <w:t>563</w:t>
            </w:r>
          </w:p>
        </w:tc>
        <w:tc>
          <w:tcPr>
            <w:tcW w:w="155"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533</w:t>
            </w:r>
          </w:p>
        </w:tc>
        <w:tc>
          <w:tcPr>
            <w:tcW w:w="160" w:type="dxa"/>
            <w:tcBorders/>
            <w:shd w:fill="auto" w:val="clear"/>
            <w:vAlign w:val="bottom"/>
          </w:tcPr>
          <w:p>
            <w:pPr>
              <w:pStyle w:val="TableContents"/>
              <w:spacing w:before="0" w:after="283"/>
              <w:rPr/>
            </w:pPr>
            <w:r>
              <w:rPr/>
              <w:t> </w:t>
            </w:r>
          </w:p>
        </w:tc>
      </w:tr>
      <w:tr>
        <w:trPr/>
        <w:tc>
          <w:tcPr>
            <w:tcW w:w="5116" w:type="dxa"/>
            <w:tcBorders/>
            <w:shd w:fill="CCEEFF" w:val="clear"/>
          </w:tcPr>
          <w:p>
            <w:pPr>
              <w:pStyle w:val="TableContents"/>
              <w:spacing w:before="0" w:after="0"/>
              <w:rPr>
                <w:rFonts w:ascii="ARIAL" w:hAnsi="ARIAL"/>
                <w:sz w:val="20"/>
              </w:rPr>
            </w:pPr>
            <w:r>
              <w:rPr>
                <w:rFonts w:ascii="ARIAL" w:hAnsi="ARIAL"/>
                <w:sz w:val="20"/>
              </w:rPr>
              <w:t>Stock-based compensation expense</w:t>
            </w:r>
          </w:p>
        </w:tc>
        <w:tc>
          <w:tcPr>
            <w:tcW w:w="28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b/>
              </w:rPr>
            </w:pPr>
            <w:r>
              <w:rPr>
                <w:b/>
              </w:rPr>
              <w:t>81</w:t>
            </w:r>
          </w:p>
        </w:tc>
        <w:tc>
          <w:tcPr>
            <w:tcW w:w="155"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89</w:t>
            </w:r>
          </w:p>
        </w:tc>
        <w:tc>
          <w:tcPr>
            <w:tcW w:w="160" w:type="dxa"/>
            <w:tcBorders/>
            <w:shd w:fill="CCEEFF" w:val="clear"/>
            <w:vAlign w:val="bottom"/>
          </w:tcPr>
          <w:p>
            <w:pPr>
              <w:pStyle w:val="TableContents"/>
              <w:spacing w:before="0" w:after="283"/>
              <w:rPr/>
            </w:pPr>
            <w:r>
              <w:rPr/>
              <w:t> </w:t>
            </w:r>
          </w:p>
        </w:tc>
      </w:tr>
      <w:tr>
        <w:trPr/>
        <w:tc>
          <w:tcPr>
            <w:tcW w:w="5116" w:type="dxa"/>
            <w:tcBorders/>
            <w:shd w:fill="auto" w:val="clear"/>
          </w:tcPr>
          <w:p>
            <w:pPr>
              <w:pStyle w:val="TableContents"/>
              <w:spacing w:before="0" w:after="0"/>
              <w:rPr>
                <w:rFonts w:ascii="ARIAL" w:hAnsi="ARIAL"/>
                <w:sz w:val="20"/>
              </w:rPr>
            </w:pPr>
            <w:r>
              <w:rPr>
                <w:rFonts w:ascii="ARIAL" w:hAnsi="ARIAL"/>
                <w:sz w:val="20"/>
              </w:rPr>
              <w:t>Change in working capital</w:t>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b/>
              </w:rPr>
            </w:pPr>
            <w:r>
              <w:rPr>
                <w:b/>
              </w:rPr>
              <w:t>(1,230</w:t>
            </w:r>
          </w:p>
        </w:tc>
        <w:tc>
          <w:tcPr>
            <w:tcW w:w="155" w:type="dxa"/>
            <w:tcBorders/>
            <w:shd w:fill="auto" w:val="clear"/>
            <w:vAlign w:val="bottom"/>
          </w:tcPr>
          <w:p>
            <w:pPr>
              <w:pStyle w:val="TableContents"/>
              <w:spacing w:before="0" w:after="283"/>
              <w:rPr>
                <w:b/>
              </w:rPr>
            </w:pPr>
            <w:r>
              <w:rPr>
                <w:b/>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(948</w:t>
            </w:r>
          </w:p>
        </w:tc>
        <w:tc>
          <w:tcPr>
            <w:tcW w:w="160" w:type="dxa"/>
            <w:tcBorders/>
            <w:shd w:fill="auto" w:val="clear"/>
            <w:vAlign w:val="bottom"/>
          </w:tcPr>
          <w:p>
            <w:pPr>
              <w:pStyle w:val="TableContents"/>
              <w:spacing w:before="0" w:after="283"/>
              <w:rPr/>
            </w:pPr>
            <w:r>
              <w:rPr/>
              <w:t>) </w:t>
            </w:r>
          </w:p>
        </w:tc>
      </w:tr>
      <w:tr>
        <w:trPr/>
        <w:tc>
          <w:tcPr>
            <w:tcW w:w="5116" w:type="dxa"/>
            <w:tcBorders/>
            <w:shd w:fill="CCEEFF" w:val="clear"/>
          </w:tcPr>
          <w:p>
            <w:pPr>
              <w:pStyle w:val="TableContents"/>
              <w:spacing w:before="0" w:after="0"/>
              <w:rPr>
                <w:rFonts w:ascii="ARIAL" w:hAnsi="ARIAL"/>
                <w:sz w:val="20"/>
              </w:rPr>
            </w:pPr>
            <w:r>
              <w:rPr>
                <w:rFonts w:ascii="ARIAL" w:hAnsi="ARIAL"/>
                <w:sz w:val="20"/>
              </w:rPr>
              <w:t>Other</w:t>
            </w:r>
          </w:p>
        </w:tc>
        <w:tc>
          <w:tcPr>
            <w:tcW w:w="28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(41</w:t>
            </w:r>
          </w:p>
        </w:tc>
        <w:tc>
          <w:tcPr>
            <w:tcW w:w="160" w:type="dxa"/>
            <w:tcBorders/>
            <w:shd w:fill="CCEEFF" w:val="clear"/>
            <w:vAlign w:val="bottom"/>
          </w:tcPr>
          <w:p>
            <w:pPr>
              <w:pStyle w:val="TableContents"/>
              <w:spacing w:before="0" w:after="283"/>
              <w:rPr/>
            </w:pPr>
            <w:r>
              <w:rPr/>
              <w:t>) </w:t>
            </w:r>
          </w:p>
        </w:tc>
      </w:tr>
      <w:tr>
        <w:trPr/>
        <w:tc>
          <w:tcPr>
            <w:tcW w:w="5116"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0"/>
              <w:rPr/>
            </w:pPr>
            <w:r>
              <w:rPr/>
              <w:t> </w:t>
            </w:r>
          </w:p>
        </w:tc>
        <w:tc>
          <w:tcPr>
            <w:tcW w:w="76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0"/>
              <w:rPr/>
            </w:pPr>
            <w:r>
              <w:rPr/>
              <w:t> </w:t>
            </w:r>
          </w:p>
        </w:tc>
        <w:tc>
          <w:tcPr>
            <w:tcW w:w="76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116" w:type="dxa"/>
            <w:tcBorders/>
            <w:shd w:fill="auto" w:val="clear"/>
          </w:tcPr>
          <w:p>
            <w:pPr>
              <w:pStyle w:val="TableContents"/>
              <w:spacing w:before="0" w:after="0"/>
              <w:rPr>
                <w:rFonts w:ascii="ARIAL" w:hAnsi="ARIAL"/>
                <w:b/>
                <w:sz w:val="20"/>
              </w:rPr>
            </w:pPr>
            <w:r>
              <w:rPr>
                <w:rFonts w:ascii="ARIAL" w:hAnsi="ARIAL"/>
                <w:b/>
                <w:sz w:val="20"/>
              </w:rPr>
              <w:t xml:space="preserve">Cash flow from operations </w:t>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b/>
              </w:rPr>
            </w:pPr>
            <w:r>
              <w:rPr>
                <w:b/>
              </w:rPr>
              <w:t>330</w:t>
            </w:r>
          </w:p>
        </w:tc>
        <w:tc>
          <w:tcPr>
            <w:tcW w:w="155"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131</w:t>
            </w:r>
          </w:p>
        </w:tc>
        <w:tc>
          <w:tcPr>
            <w:tcW w:w="160" w:type="dxa"/>
            <w:tcBorders/>
            <w:shd w:fill="auto" w:val="clear"/>
            <w:vAlign w:val="bottom"/>
          </w:tcPr>
          <w:p>
            <w:pPr>
              <w:pStyle w:val="TableContents"/>
              <w:spacing w:before="0" w:after="283"/>
              <w:rPr/>
            </w:pPr>
            <w:r>
              <w:rPr/>
              <w:t> </w:t>
            </w:r>
          </w:p>
        </w:tc>
      </w:tr>
      <w:tr>
        <w:trPr/>
        <w:tc>
          <w:tcPr>
            <w:tcW w:w="5116"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0"/>
              <w:rPr/>
            </w:pPr>
            <w:r>
              <w:rPr/>
              <w:t> </w:t>
            </w:r>
          </w:p>
        </w:tc>
        <w:tc>
          <w:tcPr>
            <w:tcW w:w="76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0"/>
              <w:rPr/>
            </w:pPr>
            <w:r>
              <w:rPr/>
              <w:t> </w:t>
            </w:r>
          </w:p>
        </w:tc>
        <w:tc>
          <w:tcPr>
            <w:tcW w:w="76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116" w:type="dxa"/>
            <w:tcBorders/>
            <w:shd w:fill="CCEEFF" w:val="clear"/>
          </w:tcPr>
          <w:p>
            <w:pPr>
              <w:pStyle w:val="TableContents"/>
              <w:spacing w:before="0" w:after="0"/>
              <w:rPr>
                <w:rFonts w:ascii="ARIAL" w:hAnsi="ARIAL"/>
                <w:sz w:val="20"/>
              </w:rPr>
            </w:pPr>
            <w:r>
              <w:rPr>
                <w:rFonts w:ascii="ARIAL" w:hAnsi="ARIAL"/>
                <w:sz w:val="20"/>
              </w:rPr>
              <w:t>Capital expenditures</w:t>
            </w:r>
          </w:p>
        </w:tc>
        <w:tc>
          <w:tcPr>
            <w:tcW w:w="28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b/>
              </w:rPr>
            </w:pPr>
            <w:r>
              <w:rPr>
                <w:b/>
              </w:rPr>
              <w:t>(410</w:t>
            </w:r>
          </w:p>
        </w:tc>
        <w:tc>
          <w:tcPr>
            <w:tcW w:w="155" w:type="dxa"/>
            <w:tcBorders/>
            <w:shd w:fill="CCEEFF" w:val="clear"/>
            <w:vAlign w:val="bottom"/>
          </w:tcPr>
          <w:p>
            <w:pPr>
              <w:pStyle w:val="TableContents"/>
              <w:spacing w:before="0" w:after="283"/>
              <w:rPr>
                <w:b/>
              </w:rPr>
            </w:pPr>
            <w:r>
              <w:rPr>
                <w:b/>
              </w:rPr>
              <w:t>) </w:t>
            </w:r>
          </w:p>
        </w:tc>
        <w:tc>
          <w:tcPr>
            <w:tcW w:w="23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(304</w:t>
            </w:r>
          </w:p>
        </w:tc>
        <w:tc>
          <w:tcPr>
            <w:tcW w:w="160" w:type="dxa"/>
            <w:tcBorders/>
            <w:shd w:fill="CCEEFF" w:val="clear"/>
            <w:vAlign w:val="bottom"/>
          </w:tcPr>
          <w:p>
            <w:pPr>
              <w:pStyle w:val="TableContents"/>
              <w:spacing w:before="0" w:after="283"/>
              <w:rPr/>
            </w:pPr>
            <w:r>
              <w:rPr/>
              <w:t>) </w:t>
            </w:r>
          </w:p>
        </w:tc>
      </w:tr>
      <w:tr>
        <w:trPr/>
        <w:tc>
          <w:tcPr>
            <w:tcW w:w="5116" w:type="dxa"/>
            <w:tcBorders/>
            <w:shd w:fill="auto" w:val="clear"/>
          </w:tcPr>
          <w:p>
            <w:pPr>
              <w:pStyle w:val="TableContents"/>
              <w:spacing w:before="0" w:after="0"/>
              <w:rPr>
                <w:rFonts w:ascii="ARIAL" w:hAnsi="ARIAL"/>
                <w:sz w:val="20"/>
              </w:rPr>
            </w:pPr>
            <w:r>
              <w:rPr>
                <w:rFonts w:ascii="ARIAL" w:hAnsi="ARIAL"/>
                <w:sz w:val="20"/>
              </w:rPr>
              <w:t>APS investments</w:t>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b/>
              </w:rPr>
            </w:pPr>
            <w:r>
              <w:rPr>
                <w:b/>
              </w:rPr>
              <w:t>(133</w:t>
            </w:r>
          </w:p>
        </w:tc>
        <w:tc>
          <w:tcPr>
            <w:tcW w:w="155" w:type="dxa"/>
            <w:tcBorders/>
            <w:shd w:fill="auto" w:val="clear"/>
            <w:vAlign w:val="bottom"/>
          </w:tcPr>
          <w:p>
            <w:pPr>
              <w:pStyle w:val="TableContents"/>
              <w:spacing w:before="0" w:after="283"/>
              <w:rPr>
                <w:b/>
              </w:rPr>
            </w:pPr>
            <w:r>
              <w:rPr>
                <w:b/>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(168</w:t>
            </w:r>
          </w:p>
        </w:tc>
        <w:tc>
          <w:tcPr>
            <w:tcW w:w="160" w:type="dxa"/>
            <w:tcBorders/>
            <w:shd w:fill="auto" w:val="clear"/>
            <w:vAlign w:val="bottom"/>
          </w:tcPr>
          <w:p>
            <w:pPr>
              <w:pStyle w:val="TableContents"/>
              <w:spacing w:before="0" w:after="283"/>
              <w:rPr/>
            </w:pPr>
            <w:r>
              <w:rPr/>
              <w:t>) </w:t>
            </w:r>
          </w:p>
        </w:tc>
      </w:tr>
      <w:tr>
        <w:trPr/>
        <w:tc>
          <w:tcPr>
            <w:tcW w:w="5116" w:type="dxa"/>
            <w:tcBorders/>
            <w:shd w:fill="CCEEFF" w:val="clear"/>
          </w:tcPr>
          <w:p>
            <w:pPr>
              <w:pStyle w:val="TableContents"/>
              <w:spacing w:before="0" w:after="0"/>
              <w:rPr>
                <w:rFonts w:ascii="ARIAL" w:hAnsi="ARIAL"/>
                <w:sz w:val="20"/>
              </w:rPr>
            </w:pPr>
            <w:r>
              <w:rPr>
                <w:rFonts w:ascii="ARIAL" w:hAnsi="ARIAL"/>
                <w:sz w:val="20"/>
              </w:rPr>
              <w:t>Exploration data capitalized</w:t>
            </w:r>
          </w:p>
        </w:tc>
        <w:tc>
          <w:tcPr>
            <w:tcW w:w="28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b/>
              </w:rPr>
            </w:pPr>
            <w:r>
              <w:rPr>
                <w:b/>
              </w:rPr>
              <w:t>(52</w:t>
            </w:r>
          </w:p>
        </w:tc>
        <w:tc>
          <w:tcPr>
            <w:tcW w:w="155" w:type="dxa"/>
            <w:tcBorders/>
            <w:shd w:fill="CCEEFF" w:val="clear"/>
            <w:vAlign w:val="bottom"/>
          </w:tcPr>
          <w:p>
            <w:pPr>
              <w:pStyle w:val="TableContents"/>
              <w:spacing w:before="0" w:after="283"/>
              <w:rPr>
                <w:b/>
              </w:rPr>
            </w:pPr>
            <w:r>
              <w:rPr>
                <w:b/>
              </w:rPr>
              <w:t>) </w:t>
            </w:r>
          </w:p>
        </w:tc>
        <w:tc>
          <w:tcPr>
            <w:tcW w:w="23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(40</w:t>
            </w:r>
          </w:p>
        </w:tc>
        <w:tc>
          <w:tcPr>
            <w:tcW w:w="160" w:type="dxa"/>
            <w:tcBorders/>
            <w:shd w:fill="CCEEFF" w:val="clear"/>
            <w:vAlign w:val="bottom"/>
          </w:tcPr>
          <w:p>
            <w:pPr>
              <w:pStyle w:val="TableContents"/>
              <w:spacing w:before="0" w:after="283"/>
              <w:rPr/>
            </w:pPr>
            <w:r>
              <w:rPr/>
              <w:t>) </w:t>
            </w:r>
          </w:p>
        </w:tc>
      </w:tr>
      <w:tr>
        <w:trPr/>
        <w:tc>
          <w:tcPr>
            <w:tcW w:w="5116"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0"/>
              <w:rPr/>
            </w:pPr>
            <w:r>
              <w:rPr/>
              <w:t> </w:t>
            </w:r>
          </w:p>
        </w:tc>
        <w:tc>
          <w:tcPr>
            <w:tcW w:w="76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0"/>
              <w:rPr/>
            </w:pPr>
            <w:r>
              <w:rPr/>
              <w:t> </w:t>
            </w:r>
          </w:p>
        </w:tc>
        <w:tc>
          <w:tcPr>
            <w:tcW w:w="76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116" w:type="dxa"/>
            <w:tcBorders/>
            <w:shd w:fill="auto" w:val="clear"/>
          </w:tcPr>
          <w:p>
            <w:pPr>
              <w:pStyle w:val="TableContents"/>
              <w:spacing w:before="0" w:after="0"/>
              <w:rPr>
                <w:rFonts w:ascii="ARIAL" w:hAnsi="ARIAL"/>
                <w:sz w:val="20"/>
              </w:rPr>
            </w:pPr>
            <w:r>
              <w:rPr>
                <w:rFonts w:ascii="ARIAL" w:hAnsi="ARIAL"/>
                <w:b/>
                <w:sz w:val="20"/>
              </w:rPr>
              <w:t xml:space="preserve">Free cash flow </w:t>
            </w:r>
            <w:r>
              <w:rPr>
                <w:rFonts w:ascii="ARIAL" w:hAnsi="ARIAL"/>
                <w:sz w:val="20"/>
              </w:rPr>
              <w:t>(4)</w:t>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b/>
              </w:rPr>
            </w:pPr>
            <w:r>
              <w:rPr>
                <w:b/>
              </w:rPr>
              <w:t>(265</w:t>
            </w:r>
          </w:p>
        </w:tc>
        <w:tc>
          <w:tcPr>
            <w:tcW w:w="155" w:type="dxa"/>
            <w:tcBorders/>
            <w:shd w:fill="auto" w:val="clear"/>
            <w:vAlign w:val="bottom"/>
          </w:tcPr>
          <w:p>
            <w:pPr>
              <w:pStyle w:val="TableContents"/>
              <w:spacing w:before="0" w:after="283"/>
              <w:rPr>
                <w:b/>
              </w:rPr>
            </w:pPr>
            <w:r>
              <w:rPr>
                <w:b/>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(381</w:t>
            </w:r>
          </w:p>
        </w:tc>
        <w:tc>
          <w:tcPr>
            <w:tcW w:w="160" w:type="dxa"/>
            <w:tcBorders/>
            <w:shd w:fill="auto" w:val="clear"/>
            <w:vAlign w:val="bottom"/>
          </w:tcPr>
          <w:p>
            <w:pPr>
              <w:pStyle w:val="TableContents"/>
              <w:spacing w:before="0" w:after="283"/>
              <w:rPr/>
            </w:pPr>
            <w:r>
              <w:rPr/>
              <w:t>) </w:t>
            </w:r>
          </w:p>
        </w:tc>
      </w:tr>
      <w:tr>
        <w:trPr/>
        <w:tc>
          <w:tcPr>
            <w:tcW w:w="5116"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0"/>
              <w:rPr/>
            </w:pPr>
            <w:r>
              <w:rPr/>
              <w:t> </w:t>
            </w:r>
          </w:p>
        </w:tc>
        <w:tc>
          <w:tcPr>
            <w:tcW w:w="76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0"/>
              <w:rPr/>
            </w:pPr>
            <w:r>
              <w:rPr/>
              <w:t> </w:t>
            </w:r>
          </w:p>
        </w:tc>
        <w:tc>
          <w:tcPr>
            <w:tcW w:w="76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116" w:type="dxa"/>
            <w:tcBorders/>
            <w:shd w:fill="CCEEFF" w:val="clear"/>
          </w:tcPr>
          <w:p>
            <w:pPr>
              <w:pStyle w:val="TableContents"/>
              <w:spacing w:before="0" w:after="0"/>
              <w:rPr>
                <w:rFonts w:ascii="ARIAL" w:hAnsi="ARIAL"/>
                <w:sz w:val="20"/>
              </w:rPr>
            </w:pPr>
            <w:r>
              <w:rPr>
                <w:rFonts w:ascii="ARIAL" w:hAnsi="ARIAL"/>
                <w:sz w:val="20"/>
              </w:rPr>
              <w:t>Dividends paid</w:t>
            </w:r>
          </w:p>
        </w:tc>
        <w:tc>
          <w:tcPr>
            <w:tcW w:w="28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b/>
              </w:rPr>
            </w:pPr>
            <w:r>
              <w:rPr>
                <w:b/>
              </w:rPr>
              <w:t>(249</w:t>
            </w:r>
          </w:p>
        </w:tc>
        <w:tc>
          <w:tcPr>
            <w:tcW w:w="155" w:type="dxa"/>
            <w:tcBorders/>
            <w:shd w:fill="CCEEFF" w:val="clear"/>
            <w:vAlign w:val="bottom"/>
          </w:tcPr>
          <w:p>
            <w:pPr>
              <w:pStyle w:val="TableContents"/>
              <w:spacing w:before="0" w:after="283"/>
              <w:rPr>
                <w:b/>
              </w:rPr>
            </w:pPr>
            <w:r>
              <w:rPr>
                <w:b/>
              </w:rPr>
              <w:t>) </w:t>
            </w:r>
          </w:p>
        </w:tc>
        <w:tc>
          <w:tcPr>
            <w:tcW w:w="23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(175</w:t>
            </w:r>
          </w:p>
        </w:tc>
        <w:tc>
          <w:tcPr>
            <w:tcW w:w="160" w:type="dxa"/>
            <w:tcBorders/>
            <w:shd w:fill="CCEEFF" w:val="clear"/>
            <w:vAlign w:val="bottom"/>
          </w:tcPr>
          <w:p>
            <w:pPr>
              <w:pStyle w:val="TableContents"/>
              <w:spacing w:before="0" w:after="283"/>
              <w:rPr/>
            </w:pPr>
            <w:r>
              <w:rPr/>
              <w:t>) </w:t>
            </w:r>
          </w:p>
        </w:tc>
      </w:tr>
      <w:tr>
        <w:trPr/>
        <w:tc>
          <w:tcPr>
            <w:tcW w:w="5116" w:type="dxa"/>
            <w:tcBorders/>
            <w:shd w:fill="auto" w:val="clear"/>
          </w:tcPr>
          <w:p>
            <w:pPr>
              <w:pStyle w:val="TableContents"/>
              <w:spacing w:before="0" w:after="0"/>
              <w:rPr>
                <w:rFonts w:ascii="ARIAL" w:hAnsi="ARIAL"/>
                <w:sz w:val="20"/>
              </w:rPr>
            </w:pPr>
            <w:r>
              <w:rPr>
                <w:rFonts w:ascii="ARIAL" w:hAnsi="ARIAL"/>
                <w:sz w:val="20"/>
              </w:rPr>
              <w:t>Stock repurchase program</w:t>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b/>
              </w:rPr>
            </w:pPr>
            <w:r>
              <w:rPr>
                <w:b/>
              </w:rPr>
              <w:t>(230</w:t>
            </w:r>
          </w:p>
        </w:tc>
        <w:tc>
          <w:tcPr>
            <w:tcW w:w="155" w:type="dxa"/>
            <w:tcBorders/>
            <w:shd w:fill="auto" w:val="clear"/>
            <w:vAlign w:val="bottom"/>
          </w:tcPr>
          <w:p>
            <w:pPr>
              <w:pStyle w:val="TableContents"/>
              <w:spacing w:before="0" w:after="283"/>
              <w:rPr>
                <w:b/>
              </w:rPr>
            </w:pPr>
            <w:r>
              <w:rPr>
                <w:b/>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r>
      <w:tr>
        <w:trPr/>
        <w:tc>
          <w:tcPr>
            <w:tcW w:w="5116" w:type="dxa"/>
            <w:tcBorders/>
            <w:shd w:fill="CCEEFF" w:val="clear"/>
          </w:tcPr>
          <w:p>
            <w:pPr>
              <w:pStyle w:val="TableContents"/>
              <w:spacing w:before="0" w:after="0"/>
              <w:rPr>
                <w:rFonts w:ascii="ARIAL" w:hAnsi="ARIAL"/>
                <w:sz w:val="20"/>
              </w:rPr>
            </w:pPr>
            <w:r>
              <w:rPr>
                <w:rFonts w:ascii="ARIAL" w:hAnsi="ARIAL"/>
                <w:sz w:val="20"/>
              </w:rPr>
              <w:t>Proceeds from employee stock plans</w:t>
            </w:r>
          </w:p>
        </w:tc>
        <w:tc>
          <w:tcPr>
            <w:tcW w:w="28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b/>
              </w:rPr>
            </w:pPr>
            <w:r>
              <w:rPr>
                <w:b/>
              </w:rPr>
              <w:t>121</w:t>
            </w:r>
          </w:p>
        </w:tc>
        <w:tc>
          <w:tcPr>
            <w:tcW w:w="155"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71</w:t>
            </w:r>
          </w:p>
        </w:tc>
        <w:tc>
          <w:tcPr>
            <w:tcW w:w="160" w:type="dxa"/>
            <w:tcBorders/>
            <w:shd w:fill="CCEEFF" w:val="clear"/>
            <w:vAlign w:val="bottom"/>
          </w:tcPr>
          <w:p>
            <w:pPr>
              <w:pStyle w:val="TableContents"/>
              <w:spacing w:before="0" w:after="283"/>
              <w:rPr/>
            </w:pPr>
            <w:r>
              <w:rPr/>
              <w:t> </w:t>
            </w:r>
          </w:p>
        </w:tc>
      </w:tr>
      <w:tr>
        <w:trPr/>
        <w:tc>
          <w:tcPr>
            <w:tcW w:w="5116" w:type="dxa"/>
            <w:tcBorders/>
            <w:shd w:fill="auto" w:val="clear"/>
          </w:tcPr>
          <w:p>
            <w:pPr>
              <w:pStyle w:val="TableContents"/>
              <w:spacing w:before="0" w:after="0"/>
              <w:rPr>
                <w:rFonts w:ascii="ARIAL" w:hAnsi="ARIAL"/>
                <w:sz w:val="20"/>
              </w:rPr>
            </w:pPr>
            <w:r>
              <w:rPr>
                <w:rFonts w:ascii="ARIAL" w:hAnsi="ARIAL"/>
                <w:sz w:val="20"/>
              </w:rPr>
              <w:t>Business acquisitions and investments, net of cash acquired plus debt assumed</w:t>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b/>
              </w:rPr>
            </w:pPr>
            <w:r>
              <w:rPr>
                <w:b/>
              </w:rPr>
              <w:t>(244</w:t>
            </w:r>
          </w:p>
        </w:tc>
        <w:tc>
          <w:tcPr>
            <w:tcW w:w="155" w:type="dxa"/>
            <w:tcBorders/>
            <w:shd w:fill="auto" w:val="clear"/>
            <w:vAlign w:val="bottom"/>
          </w:tcPr>
          <w:p>
            <w:pPr>
              <w:pStyle w:val="TableContents"/>
              <w:spacing w:before="0" w:after="283"/>
              <w:rPr>
                <w:b/>
              </w:rPr>
            </w:pPr>
            <w:r>
              <w:rPr>
                <w:b/>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r>
      <w:tr>
        <w:trPr/>
        <w:tc>
          <w:tcPr>
            <w:tcW w:w="5116" w:type="dxa"/>
            <w:tcBorders/>
            <w:shd w:fill="CCEEFF" w:val="clear"/>
          </w:tcPr>
          <w:p>
            <w:pPr>
              <w:pStyle w:val="TableContents"/>
              <w:spacing w:before="0" w:after="0"/>
              <w:rPr>
                <w:rFonts w:ascii="ARIAL" w:hAnsi="ARIAL"/>
                <w:sz w:val="20"/>
              </w:rPr>
            </w:pPr>
            <w:r>
              <w:rPr>
                <w:rFonts w:ascii="ARIAL" w:hAnsi="ARIAL"/>
                <w:sz w:val="20"/>
              </w:rPr>
              <w:t>Proceeds from sale of Liberty shares</w:t>
            </w:r>
          </w:p>
        </w:tc>
        <w:tc>
          <w:tcPr>
            <w:tcW w:w="28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b/>
              </w:rPr>
            </w:pPr>
            <w:r>
              <w:rPr>
                <w:b/>
              </w:rPr>
              <w:t>137</w:t>
            </w:r>
          </w:p>
        </w:tc>
        <w:tc>
          <w:tcPr>
            <w:tcW w:w="155"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84</w:t>
            </w:r>
          </w:p>
        </w:tc>
        <w:tc>
          <w:tcPr>
            <w:tcW w:w="160" w:type="dxa"/>
            <w:tcBorders/>
            <w:shd w:fill="CCEEFF" w:val="clear"/>
            <w:vAlign w:val="bottom"/>
          </w:tcPr>
          <w:p>
            <w:pPr>
              <w:pStyle w:val="TableContents"/>
              <w:spacing w:before="0" w:after="283"/>
              <w:rPr/>
            </w:pPr>
            <w:r>
              <w:rPr/>
              <w:t> </w:t>
            </w:r>
          </w:p>
        </w:tc>
      </w:tr>
      <w:tr>
        <w:trPr/>
        <w:tc>
          <w:tcPr>
            <w:tcW w:w="5116" w:type="dxa"/>
            <w:tcBorders/>
            <w:shd w:fill="auto" w:val="clear"/>
          </w:tcPr>
          <w:p>
            <w:pPr>
              <w:pStyle w:val="TableContents"/>
              <w:spacing w:before="0" w:after="0"/>
              <w:rPr>
                <w:rFonts w:ascii="ARIAL" w:hAnsi="ARIAL"/>
                <w:sz w:val="20"/>
              </w:rPr>
            </w:pPr>
            <w:r>
              <w:rPr>
                <w:rFonts w:ascii="ARIAL" w:hAnsi="ARIAL"/>
                <w:sz w:val="20"/>
              </w:rPr>
              <w:t>Taxes paid on net settled stock-based compensation awards</w:t>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b/>
              </w:rPr>
            </w:pPr>
            <w:r>
              <w:rPr>
                <w:b/>
              </w:rPr>
              <w:t>(88</w:t>
            </w:r>
          </w:p>
        </w:tc>
        <w:tc>
          <w:tcPr>
            <w:tcW w:w="155" w:type="dxa"/>
            <w:tcBorders/>
            <w:shd w:fill="auto" w:val="clear"/>
            <w:vAlign w:val="bottom"/>
          </w:tcPr>
          <w:p>
            <w:pPr>
              <w:pStyle w:val="TableContents"/>
              <w:spacing w:before="0" w:after="283"/>
              <w:rPr>
                <w:b/>
              </w:rPr>
            </w:pPr>
            <w:r>
              <w:rPr>
                <w:b/>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(81</w:t>
            </w:r>
          </w:p>
        </w:tc>
        <w:tc>
          <w:tcPr>
            <w:tcW w:w="160" w:type="dxa"/>
            <w:tcBorders/>
            <w:shd w:fill="auto" w:val="clear"/>
            <w:vAlign w:val="bottom"/>
          </w:tcPr>
          <w:p>
            <w:pPr>
              <w:pStyle w:val="TableContents"/>
              <w:spacing w:before="0" w:after="283"/>
              <w:rPr/>
            </w:pPr>
            <w:r>
              <w:rPr/>
              <w:t>) </w:t>
            </w:r>
          </w:p>
        </w:tc>
      </w:tr>
      <w:tr>
        <w:trPr/>
        <w:tc>
          <w:tcPr>
            <w:tcW w:w="5116" w:type="dxa"/>
            <w:tcBorders/>
            <w:shd w:fill="CCEEFF" w:val="clear"/>
          </w:tcPr>
          <w:p>
            <w:pPr>
              <w:pStyle w:val="TableContents"/>
              <w:spacing w:before="0" w:after="0"/>
              <w:rPr>
                <w:rFonts w:ascii="ARIAL" w:hAnsi="ARIAL"/>
                <w:sz w:val="20"/>
              </w:rPr>
            </w:pPr>
            <w:r>
              <w:rPr>
                <w:rFonts w:ascii="ARIAL" w:hAnsi="ARIAL"/>
                <w:sz w:val="20"/>
              </w:rPr>
              <w:t>Other</w:t>
            </w:r>
          </w:p>
        </w:tc>
        <w:tc>
          <w:tcPr>
            <w:tcW w:w="28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b/>
              </w:rPr>
            </w:pPr>
            <w:r>
              <w:rPr>
                <w:b/>
              </w:rPr>
              <w:t>(84</w:t>
            </w:r>
          </w:p>
        </w:tc>
        <w:tc>
          <w:tcPr>
            <w:tcW w:w="155" w:type="dxa"/>
            <w:tcBorders/>
            <w:shd w:fill="CCEEFF" w:val="clear"/>
            <w:vAlign w:val="bottom"/>
          </w:tcPr>
          <w:p>
            <w:pPr>
              <w:pStyle w:val="TableContents"/>
              <w:spacing w:before="0" w:after="283"/>
              <w:rPr>
                <w:b/>
              </w:rPr>
            </w:pPr>
            <w:r>
              <w:rPr>
                <w:b/>
              </w:rPr>
              <w:t>) </w:t>
            </w:r>
          </w:p>
        </w:tc>
        <w:tc>
          <w:tcPr>
            <w:tcW w:w="23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(24</w:t>
            </w:r>
          </w:p>
        </w:tc>
        <w:tc>
          <w:tcPr>
            <w:tcW w:w="160" w:type="dxa"/>
            <w:tcBorders/>
            <w:shd w:fill="CCEEFF" w:val="clear"/>
            <w:vAlign w:val="bottom"/>
          </w:tcPr>
          <w:p>
            <w:pPr>
              <w:pStyle w:val="TableContents"/>
              <w:spacing w:before="0" w:after="283"/>
              <w:rPr/>
            </w:pPr>
            <w:r>
              <w:rPr/>
              <w:t>) </w:t>
            </w:r>
          </w:p>
        </w:tc>
      </w:tr>
      <w:tr>
        <w:trPr/>
        <w:tc>
          <w:tcPr>
            <w:tcW w:w="5116"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0"/>
              <w:rPr/>
            </w:pPr>
            <w:r>
              <w:rPr/>
              <w:t> </w:t>
            </w:r>
          </w:p>
        </w:tc>
        <w:tc>
          <w:tcPr>
            <w:tcW w:w="76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0"/>
              <w:rPr/>
            </w:pPr>
            <w:r>
              <w:rPr/>
              <w:t> </w:t>
            </w:r>
          </w:p>
        </w:tc>
        <w:tc>
          <w:tcPr>
            <w:tcW w:w="76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116" w:type="dxa"/>
            <w:tcBorders/>
            <w:shd w:fill="auto" w:val="clear"/>
          </w:tcPr>
          <w:p>
            <w:pPr>
              <w:pStyle w:val="TableContents"/>
              <w:spacing w:before="0" w:after="0"/>
              <w:rPr>
                <w:rFonts w:ascii="ARIAL" w:hAnsi="ARIAL"/>
                <w:b/>
                <w:sz w:val="20"/>
              </w:rPr>
            </w:pPr>
            <w:r>
              <w:rPr>
                <w:rFonts w:ascii="ARIAL" w:hAnsi="ARIAL"/>
                <w:b/>
                <w:sz w:val="20"/>
              </w:rPr>
              <w:t>Increase in net debt before impact of changes in foreign exchange rates</w:t>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b/>
              </w:rPr>
            </w:pPr>
            <w:r>
              <w:rPr>
                <w:b/>
              </w:rPr>
              <w:t>(902</w:t>
            </w:r>
          </w:p>
        </w:tc>
        <w:tc>
          <w:tcPr>
            <w:tcW w:w="155" w:type="dxa"/>
            <w:tcBorders/>
            <w:shd w:fill="auto" w:val="clear"/>
            <w:vAlign w:val="bottom"/>
          </w:tcPr>
          <w:p>
            <w:pPr>
              <w:pStyle w:val="TableContents"/>
              <w:spacing w:before="0" w:after="283"/>
              <w:rPr>
                <w:b/>
              </w:rPr>
            </w:pPr>
            <w:r>
              <w:rPr>
                <w:b/>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(506</w:t>
            </w:r>
          </w:p>
        </w:tc>
        <w:tc>
          <w:tcPr>
            <w:tcW w:w="160" w:type="dxa"/>
            <w:tcBorders/>
            <w:shd w:fill="auto" w:val="clear"/>
            <w:vAlign w:val="bottom"/>
          </w:tcPr>
          <w:p>
            <w:pPr>
              <w:pStyle w:val="TableContents"/>
              <w:spacing w:before="0" w:after="283"/>
              <w:rPr/>
            </w:pPr>
            <w:r>
              <w:rPr/>
              <w:t>) </w:t>
            </w:r>
          </w:p>
        </w:tc>
      </w:tr>
      <w:tr>
        <w:trPr/>
        <w:tc>
          <w:tcPr>
            <w:tcW w:w="5116" w:type="dxa"/>
            <w:tcBorders/>
            <w:shd w:fill="CCEEFF" w:val="clear"/>
          </w:tcPr>
          <w:p>
            <w:pPr>
              <w:pStyle w:val="TableContents"/>
              <w:spacing w:before="0" w:after="0"/>
              <w:rPr>
                <w:rFonts w:ascii="ARIAL" w:hAnsi="ARIAL"/>
                <w:sz w:val="20"/>
              </w:rPr>
            </w:pPr>
            <w:r>
              <w:rPr>
                <w:rFonts w:ascii="ARIAL" w:hAnsi="ARIAL"/>
                <w:sz w:val="20"/>
              </w:rPr>
              <w:t>Impact of changes in foreign exchange rates on net debt</w:t>
            </w:r>
          </w:p>
        </w:tc>
        <w:tc>
          <w:tcPr>
            <w:tcW w:w="28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b/>
              </w:rPr>
            </w:pPr>
            <w:r>
              <w:rPr>
                <w:b/>
              </w:rPr>
              <w:t>(100</w:t>
            </w:r>
          </w:p>
        </w:tc>
        <w:tc>
          <w:tcPr>
            <w:tcW w:w="155" w:type="dxa"/>
            <w:tcBorders/>
            <w:shd w:fill="CCEEFF" w:val="clear"/>
            <w:vAlign w:val="bottom"/>
          </w:tcPr>
          <w:p>
            <w:pPr>
              <w:pStyle w:val="TableContents"/>
              <w:spacing w:before="0" w:after="283"/>
              <w:rPr>
                <w:b/>
              </w:rPr>
            </w:pPr>
            <w:r>
              <w:rPr>
                <w:b/>
              </w:rPr>
              <w:t>) </w:t>
            </w:r>
          </w:p>
        </w:tc>
        <w:tc>
          <w:tcPr>
            <w:tcW w:w="23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125</w:t>
            </w:r>
          </w:p>
        </w:tc>
        <w:tc>
          <w:tcPr>
            <w:tcW w:w="160" w:type="dxa"/>
            <w:tcBorders/>
            <w:shd w:fill="CCEEFF" w:val="clear"/>
            <w:vAlign w:val="bottom"/>
          </w:tcPr>
          <w:p>
            <w:pPr>
              <w:pStyle w:val="TableContents"/>
              <w:spacing w:before="0" w:after="283"/>
              <w:rPr/>
            </w:pPr>
            <w:r>
              <w:rPr/>
              <w:t> </w:t>
            </w:r>
          </w:p>
        </w:tc>
      </w:tr>
      <w:tr>
        <w:trPr/>
        <w:tc>
          <w:tcPr>
            <w:tcW w:w="5116"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0"/>
              <w:rPr/>
            </w:pPr>
            <w:r>
              <w:rPr/>
              <w:t> </w:t>
            </w:r>
          </w:p>
        </w:tc>
        <w:tc>
          <w:tcPr>
            <w:tcW w:w="76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0"/>
              <w:rPr/>
            </w:pPr>
            <w:r>
              <w:rPr/>
              <w:t> </w:t>
            </w:r>
          </w:p>
        </w:tc>
        <w:tc>
          <w:tcPr>
            <w:tcW w:w="76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116" w:type="dxa"/>
            <w:tcBorders/>
            <w:shd w:fill="auto" w:val="clear"/>
          </w:tcPr>
          <w:p>
            <w:pPr>
              <w:pStyle w:val="TableContents"/>
              <w:spacing w:before="0" w:after="0"/>
              <w:rPr>
                <w:rFonts w:ascii="ARIAL" w:hAnsi="ARIAL"/>
                <w:b/>
                <w:sz w:val="20"/>
              </w:rPr>
            </w:pPr>
            <w:r>
              <w:rPr>
                <w:rFonts w:ascii="ARIAL" w:hAnsi="ARIAL"/>
                <w:b/>
                <w:sz w:val="20"/>
              </w:rPr>
              <w:t>Increase in Net Debt</w:t>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b/>
              </w:rPr>
            </w:pPr>
            <w:r>
              <w:rPr>
                <w:b/>
              </w:rPr>
              <w:t>(1,002</w:t>
            </w:r>
          </w:p>
        </w:tc>
        <w:tc>
          <w:tcPr>
            <w:tcW w:w="155" w:type="dxa"/>
            <w:tcBorders/>
            <w:shd w:fill="auto" w:val="clear"/>
            <w:vAlign w:val="bottom"/>
          </w:tcPr>
          <w:p>
            <w:pPr>
              <w:pStyle w:val="TableContents"/>
              <w:spacing w:before="0" w:after="283"/>
              <w:rPr>
                <w:b/>
              </w:rPr>
            </w:pPr>
            <w:r>
              <w:rPr>
                <w:b/>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(381</w:t>
            </w:r>
          </w:p>
        </w:tc>
        <w:tc>
          <w:tcPr>
            <w:tcW w:w="160" w:type="dxa"/>
            <w:tcBorders/>
            <w:shd w:fill="auto" w:val="clear"/>
            <w:vAlign w:val="bottom"/>
          </w:tcPr>
          <w:p>
            <w:pPr>
              <w:pStyle w:val="TableContents"/>
              <w:spacing w:before="0" w:after="283"/>
              <w:rPr/>
            </w:pPr>
            <w:r>
              <w:rPr/>
              <w:t>) </w:t>
            </w:r>
          </w:p>
        </w:tc>
      </w:tr>
      <w:tr>
        <w:trPr/>
        <w:tc>
          <w:tcPr>
            <w:tcW w:w="5116" w:type="dxa"/>
            <w:tcBorders/>
            <w:shd w:fill="CCEEFF" w:val="clear"/>
          </w:tcPr>
          <w:p>
            <w:pPr>
              <w:pStyle w:val="TableContents"/>
              <w:spacing w:before="0" w:after="0"/>
              <w:rPr>
                <w:rFonts w:ascii="ARIAL" w:hAnsi="ARIAL"/>
                <w:sz w:val="20"/>
              </w:rPr>
            </w:pPr>
            <w:r>
              <w:rPr>
                <w:rFonts w:ascii="ARIAL" w:hAnsi="ARIAL"/>
                <w:sz w:val="20"/>
              </w:rPr>
              <w:t>Net Debt, beginning of period</w:t>
            </w:r>
          </w:p>
        </w:tc>
        <w:tc>
          <w:tcPr>
            <w:tcW w:w="28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b/>
              </w:rPr>
            </w:pPr>
            <w:r>
              <w:rPr>
                <w:b/>
              </w:rPr>
              <w:t>(9,332</w:t>
            </w:r>
          </w:p>
        </w:tc>
        <w:tc>
          <w:tcPr>
            <w:tcW w:w="155" w:type="dxa"/>
            <w:tcBorders/>
            <w:shd w:fill="CCEEFF" w:val="clear"/>
            <w:vAlign w:val="bottom"/>
          </w:tcPr>
          <w:p>
            <w:pPr>
              <w:pStyle w:val="TableContents"/>
              <w:spacing w:before="0" w:after="283"/>
              <w:rPr>
                <w:b/>
              </w:rPr>
            </w:pPr>
            <w:r>
              <w:rPr>
                <w:b/>
              </w:rPr>
              <w:t>) </w:t>
            </w:r>
          </w:p>
        </w:tc>
        <w:tc>
          <w:tcPr>
            <w:tcW w:w="23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(11,056</w:t>
            </w:r>
          </w:p>
        </w:tc>
        <w:tc>
          <w:tcPr>
            <w:tcW w:w="160" w:type="dxa"/>
            <w:tcBorders/>
            <w:shd w:fill="CCEEFF" w:val="clear"/>
            <w:vAlign w:val="bottom"/>
          </w:tcPr>
          <w:p>
            <w:pPr>
              <w:pStyle w:val="TableContents"/>
              <w:spacing w:before="0" w:after="283"/>
              <w:rPr/>
            </w:pPr>
            <w:r>
              <w:rPr/>
              <w:t>) </w:t>
            </w:r>
          </w:p>
        </w:tc>
      </w:tr>
      <w:tr>
        <w:trPr/>
        <w:tc>
          <w:tcPr>
            <w:tcW w:w="5116"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0"/>
              <w:rPr/>
            </w:pPr>
            <w:r>
              <w:rPr/>
              <w:t> </w:t>
            </w:r>
          </w:p>
        </w:tc>
        <w:tc>
          <w:tcPr>
            <w:tcW w:w="76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0"/>
              <w:rPr/>
            </w:pPr>
            <w:r>
              <w:rPr/>
              <w:t> </w:t>
            </w:r>
          </w:p>
        </w:tc>
        <w:tc>
          <w:tcPr>
            <w:tcW w:w="76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116" w:type="dxa"/>
            <w:tcBorders/>
            <w:shd w:fill="auto" w:val="clear"/>
          </w:tcPr>
          <w:p>
            <w:pPr>
              <w:pStyle w:val="TableContents"/>
              <w:spacing w:before="0" w:after="0"/>
              <w:rPr>
                <w:rFonts w:ascii="ARIAL" w:hAnsi="ARIAL"/>
                <w:b/>
                <w:sz w:val="20"/>
              </w:rPr>
            </w:pPr>
            <w:r>
              <w:rPr>
                <w:rFonts w:ascii="ARIAL" w:hAnsi="ARIAL"/>
                <w:b/>
                <w:sz w:val="20"/>
              </w:rPr>
              <w:t>Net Debt, end of period</w:t>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b/>
              </w:rPr>
            </w:pPr>
            <w:r>
              <w:rPr>
                <w:b/>
              </w:rPr>
              <w:t>$</w:t>
            </w:r>
          </w:p>
        </w:tc>
        <w:tc>
          <w:tcPr>
            <w:tcW w:w="762" w:type="dxa"/>
            <w:tcBorders/>
            <w:shd w:fill="auto" w:val="clear"/>
            <w:vAlign w:val="bottom"/>
          </w:tcPr>
          <w:p>
            <w:pPr>
              <w:pStyle w:val="TableContents"/>
              <w:spacing w:before="0" w:after="283"/>
              <w:jc w:val="right"/>
              <w:rPr>
                <w:b/>
              </w:rPr>
            </w:pPr>
            <w:r>
              <w:rPr>
                <w:b/>
              </w:rPr>
              <w:t>(10,334</w:t>
            </w:r>
          </w:p>
        </w:tc>
        <w:tc>
          <w:tcPr>
            <w:tcW w:w="155" w:type="dxa"/>
            <w:tcBorders/>
            <w:shd w:fill="auto" w:val="clear"/>
            <w:vAlign w:val="bottom"/>
          </w:tcPr>
          <w:p>
            <w:pPr>
              <w:pStyle w:val="TableContents"/>
              <w:spacing w:before="0" w:after="283"/>
              <w:rPr>
                <w:b/>
              </w:rPr>
            </w:pPr>
            <w:r>
              <w:rPr>
                <w:b/>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w:t>
            </w:r>
          </w:p>
        </w:tc>
        <w:tc>
          <w:tcPr>
            <w:tcW w:w="762" w:type="dxa"/>
            <w:tcBorders/>
            <w:shd w:fill="auto" w:val="clear"/>
            <w:vAlign w:val="bottom"/>
          </w:tcPr>
          <w:p>
            <w:pPr>
              <w:pStyle w:val="TableContents"/>
              <w:spacing w:before="0" w:after="283"/>
              <w:jc w:val="right"/>
              <w:rPr/>
            </w:pPr>
            <w:r>
              <w:rPr/>
              <w:t>(11,437</w:t>
            </w:r>
          </w:p>
        </w:tc>
        <w:tc>
          <w:tcPr>
            <w:tcW w:w="160" w:type="dxa"/>
            <w:tcBorders/>
            <w:shd w:fill="auto" w:val="clear"/>
            <w:vAlign w:val="bottom"/>
          </w:tcPr>
          <w:p>
            <w:pPr>
              <w:pStyle w:val="TableContents"/>
              <w:spacing w:before="0" w:after="283"/>
              <w:rPr/>
            </w:pPr>
            <w:r>
              <w:rPr/>
              <w:t>) </w:t>
            </w:r>
          </w:p>
        </w:tc>
      </w:tr>
      <w:tr>
        <w:trPr/>
        <w:tc>
          <w:tcPr>
            <w:tcW w:w="5116"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double" w:sz="6" w:space="1" w:color="000000"/>
              </w:pBdr>
              <w:spacing w:before="0" w:after="0"/>
              <w:rPr/>
            </w:pPr>
            <w:r>
              <w:rPr/>
              <w:t> </w:t>
            </w:r>
          </w:p>
        </w:tc>
        <w:tc>
          <w:tcPr>
            <w:tcW w:w="762"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double" w:sz="6" w:space="1" w:color="000000"/>
              </w:pBdr>
              <w:spacing w:before="0" w:after="0"/>
              <w:rPr/>
            </w:pPr>
            <w:r>
              <w:rPr/>
              <w:t> </w:t>
            </w:r>
          </w:p>
        </w:tc>
        <w:tc>
          <w:tcPr>
            <w:tcW w:w="762"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 </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Net Debt represents gross debt less cash and short-term investments. Management believes that Net Debt provides useful information regarding the level of SLBs indebtedness by reflecting cash and investments that could be used to repay debt. Net Debt is a non-GAAP financial measure that should be considered in addition to, not as a substitute for or superior to, total debt.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See section entitled Charges &amp; Credits for details.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 </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Includes depreciation of fixed assets and amortization of intangible assets, exploration data costs, and APS investments.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 </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rPr/>
      </w:pPr>
      <w:r>
        <w:rPr/>
      </w:r>
    </w:p>
    <w:p>
      <w:pPr>
        <w:pStyle w:val="TextBody"/>
        <w:spacing w:before="0" w:after="0"/>
        <w:jc w:val="left"/>
        <w:rPr>
          <w:rFonts w:ascii="ARIAL" w:hAnsi="ARIAL"/>
          <w:b/>
          <w:sz w:val="20"/>
        </w:rPr>
      </w:pPr>
      <w:r>
        <w:rPr>
          <w:rFonts w:ascii="ARIAL" w:hAnsi="ARIAL"/>
          <w:b/>
          <w:sz w:val="20"/>
        </w:rPr>
        <w:t xml:space="preserve">Charges &amp; Credits </w:t>
      </w:r>
    </w:p>
    <w:p>
      <w:pPr>
        <w:pStyle w:val="TextBody"/>
        <w:spacing w:before="240" w:after="0"/>
        <w:jc w:val="left"/>
        <w:rPr>
          <w:rFonts w:ascii="ARIAL" w:hAnsi="ARIAL"/>
          <w:sz w:val="20"/>
        </w:rPr>
      </w:pPr>
      <w:r>
        <w:rPr>
          <w:rFonts w:ascii="ARIAL" w:hAnsi="ARIAL"/>
          <w:sz w:val="20"/>
        </w:rPr>
        <w:t xml:space="preserve">In addition to financial results determined in accordance with US generally accepted accounting principles (GAAP), this first-quarter 2023 earnings release also includes non-GAAP financial measures (as defined under the SECs Regulation G). In addition to the non-GAAP financial measures discussed under Liquidity, net income, excluding charges &amp; credits, as well as measures derived from it (including diluted EPS, excluding charges &amp; credits; SLB net income, excluding charges &amp; credits; effective tax rate, excluding charges &amp; credits; and adjusted EBITDA) are non-GAAP financial measures. Management believes that the exclusion of charges &amp; credits from these financial measures enables it to evaluate more effectively SLBs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9).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978"/>
        <w:gridCol w:w="206"/>
        <w:gridCol w:w="140"/>
        <w:gridCol w:w="588"/>
        <w:gridCol w:w="155"/>
        <w:gridCol w:w="154"/>
        <w:gridCol w:w="140"/>
        <w:gridCol w:w="380"/>
        <w:gridCol w:w="155"/>
        <w:gridCol w:w="154"/>
        <w:gridCol w:w="289"/>
        <w:gridCol w:w="649"/>
        <w:gridCol w:w="59"/>
        <w:gridCol w:w="206"/>
        <w:gridCol w:w="140"/>
        <w:gridCol w:w="588"/>
        <w:gridCol w:w="155"/>
        <w:gridCol w:w="154"/>
        <w:gridCol w:w="156"/>
        <w:gridCol w:w="596"/>
        <w:gridCol w:w="163"/>
      </w:tblGrid>
      <w:tr>
        <w:trPr/>
        <w:tc>
          <w:tcPr>
            <w:tcW w:w="4978"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497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858" w:type="dxa"/>
            <w:gridSpan w:val="18"/>
            <w:tcBorders/>
            <w:shd w:fill="auto" w:val="clear"/>
            <w:vAlign w:val="bottom"/>
          </w:tcPr>
          <w:p>
            <w:pPr>
              <w:pStyle w:val="TableContents"/>
              <w:spacing w:before="0" w:after="283"/>
              <w:jc w:val="center"/>
              <w:rPr/>
            </w:pPr>
            <w:r>
              <w:rPr/>
              <w:t>(Stated in millions, except per share amounts)</w:t>
            </w:r>
          </w:p>
        </w:tc>
        <w:tc>
          <w:tcPr>
            <w:tcW w:w="163" w:type="dxa"/>
            <w:tcBorders/>
            <w:shd w:fill="auto" w:val="clear"/>
            <w:vAlign w:val="bottom"/>
          </w:tcPr>
          <w:p>
            <w:pPr>
              <w:pStyle w:val="TableContents"/>
              <w:spacing w:before="0" w:after="283"/>
              <w:rPr/>
            </w:pPr>
            <w:r>
              <w:rPr/>
              <w:t> </w:t>
            </w:r>
          </w:p>
        </w:tc>
      </w:tr>
      <w:tr>
        <w:trPr>
          <w:trHeight w:val="120" w:hRule="atLeast"/>
        </w:trPr>
        <w:tc>
          <w:tcPr>
            <w:tcW w:w="4978" w:type="dxa"/>
            <w:tcBorders/>
            <w:shd w:fill="auto" w:val="clear"/>
            <w:vAlign w:val="center"/>
          </w:tcPr>
          <w:p>
            <w:pPr>
              <w:pStyle w:val="TableContents"/>
              <w:spacing w:before="0" w:after="283"/>
              <w:rPr>
                <w:sz w:val="4"/>
                <w:szCs w:val="4"/>
              </w:rPr>
            </w:pPr>
            <w:r>
              <w:rPr>
                <w:sz w:val="4"/>
                <w:szCs w:val="4"/>
              </w:rPr>
            </w:r>
          </w:p>
        </w:tc>
        <w:tc>
          <w:tcPr>
            <w:tcW w:w="5227" w:type="dxa"/>
            <w:gridSpan w:val="20"/>
            <w:tcBorders/>
            <w:shd w:fill="auto" w:val="clear"/>
            <w:vAlign w:val="center"/>
          </w:tcPr>
          <w:p>
            <w:pPr>
              <w:pStyle w:val="TableContents"/>
              <w:spacing w:before="0" w:after="283"/>
              <w:rPr>
                <w:sz w:val="4"/>
                <w:szCs w:val="4"/>
              </w:rPr>
            </w:pPr>
            <w:r>
              <w:rPr>
                <w:sz w:val="4"/>
                <w:szCs w:val="4"/>
              </w:rPr>
            </w:r>
          </w:p>
        </w:tc>
      </w:tr>
      <w:tr>
        <w:trPr/>
        <w:tc>
          <w:tcPr>
            <w:tcW w:w="497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858" w:type="dxa"/>
            <w:gridSpan w:val="18"/>
            <w:tcBorders>
              <w:bottom w:val="single" w:sz="8" w:space="0" w:color="000000"/>
            </w:tcBorders>
            <w:shd w:fill="auto" w:val="clear"/>
            <w:tcMar>
              <w:bottom w:w="28" w:type="dxa"/>
            </w:tcMar>
            <w:vAlign w:val="bottom"/>
          </w:tcPr>
          <w:p>
            <w:pPr>
              <w:pStyle w:val="TableContents"/>
              <w:spacing w:before="0" w:after="283"/>
              <w:jc w:val="center"/>
              <w:rPr>
                <w:b/>
              </w:rPr>
            </w:pPr>
            <w:r>
              <w:rPr>
                <w:b/>
              </w:rPr>
              <w:t>First Quarter 2023</w:t>
            </w:r>
          </w:p>
        </w:tc>
        <w:tc>
          <w:tcPr>
            <w:tcW w:w="163" w:type="dxa"/>
            <w:tcBorders/>
            <w:shd w:fill="auto" w:val="clear"/>
            <w:vAlign w:val="bottom"/>
          </w:tcPr>
          <w:p>
            <w:pPr>
              <w:pStyle w:val="TableContents"/>
              <w:spacing w:before="0" w:after="283"/>
              <w:rPr/>
            </w:pPr>
            <w:r>
              <w:rPr/>
              <w:t> </w:t>
            </w:r>
          </w:p>
        </w:tc>
      </w:tr>
      <w:tr>
        <w:trPr/>
        <w:tc>
          <w:tcPr>
            <w:tcW w:w="497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728" w:type="dxa"/>
            <w:gridSpan w:val="2"/>
            <w:tcBorders>
              <w:bottom w:val="single" w:sz="8" w:space="0" w:color="000000"/>
            </w:tcBorders>
            <w:shd w:fill="auto" w:val="clear"/>
            <w:tcMar>
              <w:bottom w:w="28" w:type="dxa"/>
            </w:tcMar>
            <w:vAlign w:val="bottom"/>
          </w:tcPr>
          <w:p>
            <w:pPr>
              <w:pStyle w:val="TableContents"/>
              <w:spacing w:before="0" w:after="283"/>
              <w:jc w:val="center"/>
              <w:rPr/>
            </w:pPr>
            <w:r>
              <w:rPr/>
              <w:t>Pretax</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20" w:type="dxa"/>
            <w:gridSpan w:val="2"/>
            <w:tcBorders>
              <w:bottom w:val="single" w:sz="8" w:space="0" w:color="000000"/>
            </w:tcBorders>
            <w:shd w:fill="auto" w:val="clear"/>
            <w:tcMar>
              <w:bottom w:w="28" w:type="dxa"/>
            </w:tcMar>
            <w:vAlign w:val="bottom"/>
          </w:tcPr>
          <w:p>
            <w:pPr>
              <w:pStyle w:val="TableContents"/>
              <w:spacing w:before="0" w:after="283"/>
              <w:jc w:val="center"/>
              <w:rPr/>
            </w:pPr>
            <w:r>
              <w:rPr/>
              <w:t>Tax</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38" w:type="dxa"/>
            <w:gridSpan w:val="2"/>
            <w:tcBorders>
              <w:bottom w:val="single" w:sz="8" w:space="0" w:color="000000"/>
            </w:tcBorders>
            <w:shd w:fill="auto" w:val="clear"/>
            <w:tcMar>
              <w:bottom w:w="28" w:type="dxa"/>
            </w:tcMar>
            <w:vAlign w:val="bottom"/>
          </w:tcPr>
          <w:p>
            <w:pPr>
              <w:pStyle w:val="TableContents"/>
              <w:spacing w:before="0" w:after="283"/>
              <w:jc w:val="center"/>
              <w:rPr/>
            </w:pPr>
            <w:r>
              <w:rPr/>
              <w:t>Noncont.</w:t>
              <w:br/>
              <w:t>Interests</w:t>
            </w:r>
          </w:p>
        </w:tc>
        <w:tc>
          <w:tcPr>
            <w:tcW w:w="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728" w:type="dxa"/>
            <w:gridSpan w:val="2"/>
            <w:tcBorders>
              <w:bottom w:val="single" w:sz="8" w:space="0" w:color="000000"/>
            </w:tcBorders>
            <w:shd w:fill="auto" w:val="clear"/>
            <w:tcMar>
              <w:bottom w:w="28" w:type="dxa"/>
            </w:tcMar>
            <w:vAlign w:val="bottom"/>
          </w:tcPr>
          <w:p>
            <w:pPr>
              <w:pStyle w:val="TableContents"/>
              <w:spacing w:before="0" w:after="283"/>
              <w:jc w:val="center"/>
              <w:rPr/>
            </w:pPr>
            <w:r>
              <w:rPr/>
              <w:t>Net</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2" w:type="dxa"/>
            <w:gridSpan w:val="2"/>
            <w:tcBorders>
              <w:bottom w:val="single" w:sz="8" w:space="0" w:color="000000"/>
            </w:tcBorders>
            <w:shd w:fill="auto" w:val="clear"/>
            <w:tcMar>
              <w:bottom w:w="28" w:type="dxa"/>
            </w:tcMar>
            <w:vAlign w:val="bottom"/>
          </w:tcPr>
          <w:p>
            <w:pPr>
              <w:pStyle w:val="TableContents"/>
              <w:spacing w:before="0" w:after="283"/>
              <w:jc w:val="center"/>
              <w:rPr/>
            </w:pPr>
            <w:r>
              <w:rPr/>
              <w:t>Diluted</w:t>
              <w:br/>
              <w:t>EPS</w:t>
            </w:r>
          </w:p>
        </w:tc>
        <w:tc>
          <w:tcPr>
            <w:tcW w:w="163" w:type="dxa"/>
            <w:tcBorders/>
            <w:shd w:fill="auto" w:val="clear"/>
            <w:vAlign w:val="bottom"/>
          </w:tcPr>
          <w:p>
            <w:pPr>
              <w:pStyle w:val="TableContents"/>
              <w:spacing w:before="0" w:after="283"/>
              <w:rPr/>
            </w:pPr>
            <w:r>
              <w:rPr/>
              <w:t> </w:t>
            </w:r>
          </w:p>
        </w:tc>
      </w:tr>
      <w:tr>
        <w:trPr/>
        <w:tc>
          <w:tcPr>
            <w:tcW w:w="4978" w:type="dxa"/>
            <w:tcBorders/>
            <w:shd w:fill="CCEEFF" w:val="clear"/>
          </w:tcPr>
          <w:p>
            <w:pPr>
              <w:pStyle w:val="TableContents"/>
              <w:spacing w:before="0" w:after="0"/>
              <w:rPr>
                <w:rFonts w:ascii="ARIAL" w:hAnsi="ARIAL"/>
                <w:sz w:val="20"/>
              </w:rPr>
            </w:pPr>
            <w:r>
              <w:rPr>
                <w:rFonts w:ascii="ARIAL" w:hAnsi="ARIAL"/>
                <w:sz w:val="20"/>
              </w:rPr>
              <w:t>SLB net income (GAAP basis)</w:t>
            </w:r>
          </w:p>
        </w:tc>
        <w:tc>
          <w:tcPr>
            <w:tcW w:w="2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8" w:type="dxa"/>
            <w:tcBorders/>
            <w:shd w:fill="CCEEFF" w:val="clear"/>
            <w:vAlign w:val="bottom"/>
          </w:tcPr>
          <w:p>
            <w:pPr>
              <w:pStyle w:val="TableContents"/>
              <w:spacing w:before="0" w:after="283"/>
              <w:jc w:val="right"/>
              <w:rPr/>
            </w:pPr>
            <w:r>
              <w:rPr/>
              <w:t>1,161</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380" w:type="dxa"/>
            <w:tcBorders/>
            <w:shd w:fill="CCEEFF" w:val="clear"/>
            <w:vAlign w:val="bottom"/>
          </w:tcPr>
          <w:p>
            <w:pPr>
              <w:pStyle w:val="TableContents"/>
              <w:spacing w:before="0" w:after="283"/>
              <w:jc w:val="right"/>
              <w:rPr/>
            </w:pPr>
            <w:r>
              <w:rPr/>
              <w:t>217</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w:t>
            </w:r>
          </w:p>
        </w:tc>
        <w:tc>
          <w:tcPr>
            <w:tcW w:w="649" w:type="dxa"/>
            <w:tcBorders/>
            <w:shd w:fill="CCEEFF" w:val="clear"/>
            <w:vAlign w:val="bottom"/>
          </w:tcPr>
          <w:p>
            <w:pPr>
              <w:pStyle w:val="TableContents"/>
              <w:spacing w:before="0" w:after="283"/>
              <w:jc w:val="right"/>
              <w:rPr/>
            </w:pPr>
            <w:r>
              <w:rPr/>
              <w:t>10</w:t>
            </w:r>
          </w:p>
        </w:tc>
        <w:tc>
          <w:tcPr>
            <w:tcW w:w="5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8" w:type="dxa"/>
            <w:tcBorders/>
            <w:shd w:fill="CCEEFF" w:val="clear"/>
            <w:vAlign w:val="bottom"/>
          </w:tcPr>
          <w:p>
            <w:pPr>
              <w:pStyle w:val="TableContents"/>
              <w:spacing w:before="0" w:after="283"/>
              <w:jc w:val="right"/>
              <w:rPr/>
            </w:pPr>
            <w:r>
              <w:rPr/>
              <w:t>934</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w:t>
            </w:r>
          </w:p>
        </w:tc>
        <w:tc>
          <w:tcPr>
            <w:tcW w:w="596" w:type="dxa"/>
            <w:tcBorders/>
            <w:shd w:fill="CCEEFF" w:val="clear"/>
            <w:vAlign w:val="bottom"/>
          </w:tcPr>
          <w:p>
            <w:pPr>
              <w:pStyle w:val="TableContents"/>
              <w:spacing w:before="0" w:after="283"/>
              <w:jc w:val="right"/>
              <w:rPr/>
            </w:pPr>
            <w:r>
              <w:rPr/>
              <w:t>0.65</w:t>
            </w:r>
          </w:p>
        </w:tc>
        <w:tc>
          <w:tcPr>
            <w:tcW w:w="163" w:type="dxa"/>
            <w:tcBorders/>
            <w:shd w:fill="CCEEFF" w:val="clear"/>
            <w:vAlign w:val="bottom"/>
          </w:tcPr>
          <w:p>
            <w:pPr>
              <w:pStyle w:val="TableContents"/>
              <w:spacing w:before="0" w:after="283"/>
              <w:rPr/>
            </w:pPr>
            <w:r>
              <w:rPr/>
              <w:t> </w:t>
            </w:r>
          </w:p>
        </w:tc>
      </w:tr>
      <w:tr>
        <w:trPr/>
        <w:tc>
          <w:tcPr>
            <w:tcW w:w="4978" w:type="dxa"/>
            <w:tcBorders/>
            <w:shd w:fill="auto" w:val="clear"/>
          </w:tcPr>
          <w:p>
            <w:pPr>
              <w:pStyle w:val="TableContents"/>
              <w:spacing w:before="0" w:after="0"/>
              <w:rPr>
                <w:rFonts w:ascii="ARIAL" w:hAnsi="ARIAL"/>
                <w:sz w:val="20"/>
              </w:rPr>
            </w:pPr>
            <w:r>
              <w:rPr>
                <w:rFonts w:ascii="ARIAL" w:hAnsi="ARIAL"/>
                <w:sz w:val="20"/>
              </w:rPr>
              <w:t>Gain on sale of Liberty shares</w:t>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8" w:type="dxa"/>
            <w:tcBorders/>
            <w:shd w:fill="auto" w:val="clear"/>
            <w:vAlign w:val="bottom"/>
          </w:tcPr>
          <w:p>
            <w:pPr>
              <w:pStyle w:val="TableContents"/>
              <w:spacing w:before="0" w:after="283"/>
              <w:jc w:val="right"/>
              <w:rPr/>
            </w:pPr>
            <w:r>
              <w:rPr/>
              <w:t>(36</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(8</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pPr>
            <w:r>
              <w:rPr/>
              <w:t>  </w:t>
            </w:r>
          </w:p>
        </w:tc>
        <w:tc>
          <w:tcPr>
            <w:tcW w:w="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8" w:type="dxa"/>
            <w:tcBorders/>
            <w:shd w:fill="auto" w:val="clear"/>
            <w:vAlign w:val="bottom"/>
          </w:tcPr>
          <w:p>
            <w:pPr>
              <w:pStyle w:val="TableContents"/>
              <w:spacing w:before="0" w:after="283"/>
              <w:jc w:val="right"/>
              <w:rPr/>
            </w:pPr>
            <w:r>
              <w:rPr/>
              <w:t>(28</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pPr>
            <w:r>
              <w:rPr/>
              <w:t>(0.02</w:t>
            </w:r>
          </w:p>
        </w:tc>
        <w:tc>
          <w:tcPr>
            <w:tcW w:w="163" w:type="dxa"/>
            <w:tcBorders/>
            <w:shd w:fill="auto" w:val="clear"/>
            <w:vAlign w:val="bottom"/>
          </w:tcPr>
          <w:p>
            <w:pPr>
              <w:pStyle w:val="TableContents"/>
              <w:spacing w:before="0" w:after="283"/>
              <w:rPr/>
            </w:pPr>
            <w:r>
              <w:rPr/>
              <w:t>) </w:t>
            </w:r>
          </w:p>
        </w:tc>
      </w:tr>
      <w:tr>
        <w:trPr/>
        <w:tc>
          <w:tcPr>
            <w:tcW w:w="4978"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3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pBdr>
                <w:top w:val="single" w:sz="2" w:space="1" w:color="000000"/>
              </w:pBdr>
              <w:spacing w:before="0" w:after="0"/>
              <w:rPr/>
            </w:pPr>
            <w:r>
              <w:rPr/>
              <w:t> </w:t>
            </w:r>
          </w:p>
        </w:tc>
        <w:tc>
          <w:tcPr>
            <w:tcW w:w="649"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pBdr>
                <w:top w:val="single" w:sz="2" w:space="1" w:color="000000"/>
              </w:pBdr>
              <w:spacing w:before="0" w:after="0"/>
              <w:rPr/>
            </w:pPr>
            <w:r>
              <w:rPr/>
              <w:t> </w:t>
            </w:r>
          </w:p>
        </w:tc>
        <w:tc>
          <w:tcPr>
            <w:tcW w:w="596"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4978" w:type="dxa"/>
            <w:tcBorders/>
            <w:shd w:fill="CCEEFF" w:val="clear"/>
          </w:tcPr>
          <w:p>
            <w:pPr>
              <w:pStyle w:val="TableContents"/>
              <w:spacing w:before="0" w:after="0"/>
              <w:rPr>
                <w:rFonts w:ascii="ARIAL" w:hAnsi="ARIAL"/>
                <w:sz w:val="20"/>
              </w:rPr>
            </w:pPr>
            <w:r>
              <w:rPr>
                <w:rFonts w:ascii="ARIAL" w:hAnsi="ARIAL"/>
                <w:sz w:val="20"/>
              </w:rPr>
              <w:t>SLB net income, excluding charges &amp; credits</w:t>
            </w:r>
          </w:p>
        </w:tc>
        <w:tc>
          <w:tcPr>
            <w:tcW w:w="2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8" w:type="dxa"/>
            <w:tcBorders/>
            <w:shd w:fill="CCEEFF" w:val="clear"/>
            <w:vAlign w:val="bottom"/>
          </w:tcPr>
          <w:p>
            <w:pPr>
              <w:pStyle w:val="TableContents"/>
              <w:spacing w:before="0" w:after="283"/>
              <w:jc w:val="right"/>
              <w:rPr/>
            </w:pPr>
            <w:r>
              <w:rPr/>
              <w:t>1,125</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380" w:type="dxa"/>
            <w:tcBorders/>
            <w:shd w:fill="CCEEFF" w:val="clear"/>
            <w:vAlign w:val="bottom"/>
          </w:tcPr>
          <w:p>
            <w:pPr>
              <w:pStyle w:val="TableContents"/>
              <w:spacing w:before="0" w:after="283"/>
              <w:jc w:val="right"/>
              <w:rPr/>
            </w:pPr>
            <w:r>
              <w:rPr/>
              <w:t>209</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w:t>
            </w:r>
          </w:p>
        </w:tc>
        <w:tc>
          <w:tcPr>
            <w:tcW w:w="649" w:type="dxa"/>
            <w:tcBorders/>
            <w:shd w:fill="CCEEFF" w:val="clear"/>
            <w:vAlign w:val="bottom"/>
          </w:tcPr>
          <w:p>
            <w:pPr>
              <w:pStyle w:val="TableContents"/>
              <w:spacing w:before="0" w:after="283"/>
              <w:jc w:val="right"/>
              <w:rPr/>
            </w:pPr>
            <w:r>
              <w:rPr/>
              <w:t>10</w:t>
            </w:r>
          </w:p>
        </w:tc>
        <w:tc>
          <w:tcPr>
            <w:tcW w:w="5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8" w:type="dxa"/>
            <w:tcBorders/>
            <w:shd w:fill="CCEEFF" w:val="clear"/>
            <w:vAlign w:val="bottom"/>
          </w:tcPr>
          <w:p>
            <w:pPr>
              <w:pStyle w:val="TableContents"/>
              <w:spacing w:before="0" w:after="283"/>
              <w:jc w:val="right"/>
              <w:rPr/>
            </w:pPr>
            <w:r>
              <w:rPr/>
              <w:t>906</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w:t>
            </w:r>
          </w:p>
        </w:tc>
        <w:tc>
          <w:tcPr>
            <w:tcW w:w="596" w:type="dxa"/>
            <w:tcBorders/>
            <w:shd w:fill="CCEEFF" w:val="clear"/>
            <w:vAlign w:val="bottom"/>
          </w:tcPr>
          <w:p>
            <w:pPr>
              <w:pStyle w:val="TableContents"/>
              <w:spacing w:before="0" w:after="283"/>
              <w:jc w:val="right"/>
              <w:rPr/>
            </w:pPr>
            <w:r>
              <w:rPr/>
              <w:t>0.63</w:t>
            </w:r>
          </w:p>
        </w:tc>
        <w:tc>
          <w:tcPr>
            <w:tcW w:w="163" w:type="dxa"/>
            <w:tcBorders/>
            <w:shd w:fill="CCEEFF" w:val="clear"/>
            <w:vAlign w:val="bottom"/>
          </w:tcPr>
          <w:p>
            <w:pPr>
              <w:pStyle w:val="TableContents"/>
              <w:spacing w:before="0" w:after="283"/>
              <w:rPr/>
            </w:pPr>
            <w:r>
              <w:rPr/>
              <w:t> </w:t>
            </w:r>
          </w:p>
        </w:tc>
      </w:tr>
      <w:tr>
        <w:trPr/>
        <w:tc>
          <w:tcPr>
            <w:tcW w:w="4978"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58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38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pBdr>
                <w:top w:val="double" w:sz="6" w:space="1" w:color="000000"/>
              </w:pBdr>
              <w:spacing w:before="0" w:after="0"/>
              <w:rPr/>
            </w:pPr>
            <w:r>
              <w:rPr/>
              <w:t> </w:t>
            </w:r>
          </w:p>
        </w:tc>
        <w:tc>
          <w:tcPr>
            <w:tcW w:w="649" w:type="dxa"/>
            <w:tcBorders/>
            <w:shd w:fill="auto" w:val="clear"/>
            <w:vAlign w:val="bottom"/>
          </w:tcPr>
          <w:p>
            <w:pPr>
              <w:pStyle w:val="TableContents"/>
              <w:pBdr>
                <w:top w:val="double" w:sz="6"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58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pBdr>
                <w:top w:val="double" w:sz="6" w:space="1" w:color="000000"/>
              </w:pBdr>
              <w:spacing w:before="0" w:after="0"/>
              <w:rPr/>
            </w:pPr>
            <w:r>
              <w:rPr/>
              <w:t> </w:t>
            </w:r>
          </w:p>
        </w:tc>
        <w:tc>
          <w:tcPr>
            <w:tcW w:w="596"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rHeight w:val="240" w:hRule="atLeast"/>
        </w:trPr>
        <w:tc>
          <w:tcPr>
            <w:tcW w:w="4978" w:type="dxa"/>
            <w:tcBorders/>
            <w:shd w:fill="auto" w:val="clear"/>
            <w:vAlign w:val="center"/>
          </w:tcPr>
          <w:p>
            <w:pPr>
              <w:pStyle w:val="TableContents"/>
              <w:spacing w:before="0" w:after="283"/>
              <w:rPr>
                <w:sz w:val="4"/>
                <w:szCs w:val="4"/>
              </w:rPr>
            </w:pPr>
            <w:r>
              <w:rPr>
                <w:sz w:val="4"/>
                <w:szCs w:val="4"/>
              </w:rPr>
            </w:r>
          </w:p>
        </w:tc>
        <w:tc>
          <w:tcPr>
            <w:tcW w:w="5227" w:type="dxa"/>
            <w:gridSpan w:val="20"/>
            <w:tcBorders/>
            <w:shd w:fill="auto" w:val="clear"/>
            <w:vAlign w:val="center"/>
          </w:tcPr>
          <w:p>
            <w:pPr>
              <w:pStyle w:val="TableContents"/>
              <w:spacing w:before="0" w:after="283"/>
              <w:rPr>
                <w:sz w:val="4"/>
                <w:szCs w:val="4"/>
              </w:rPr>
            </w:pPr>
            <w:r>
              <w:rPr>
                <w:sz w:val="4"/>
                <w:szCs w:val="4"/>
              </w:rPr>
            </w:r>
          </w:p>
        </w:tc>
      </w:tr>
      <w:tr>
        <w:trPr/>
        <w:tc>
          <w:tcPr>
            <w:tcW w:w="497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858" w:type="dxa"/>
            <w:gridSpan w:val="18"/>
            <w:tcBorders>
              <w:bottom w:val="single" w:sz="8" w:space="0" w:color="000000"/>
            </w:tcBorders>
            <w:shd w:fill="auto" w:val="clear"/>
            <w:tcMar>
              <w:bottom w:w="28" w:type="dxa"/>
            </w:tcMar>
            <w:vAlign w:val="bottom"/>
          </w:tcPr>
          <w:p>
            <w:pPr>
              <w:pStyle w:val="TableContents"/>
              <w:spacing w:before="0" w:after="283"/>
              <w:jc w:val="center"/>
              <w:rPr/>
            </w:pPr>
            <w:r>
              <w:rPr/>
              <w:t>First Quarter 2022</w:t>
            </w:r>
          </w:p>
        </w:tc>
        <w:tc>
          <w:tcPr>
            <w:tcW w:w="163" w:type="dxa"/>
            <w:tcBorders/>
            <w:shd w:fill="auto" w:val="clear"/>
            <w:vAlign w:val="bottom"/>
          </w:tcPr>
          <w:p>
            <w:pPr>
              <w:pStyle w:val="TableContents"/>
              <w:spacing w:before="0" w:after="283"/>
              <w:rPr/>
            </w:pPr>
            <w:r>
              <w:rPr/>
              <w:t> </w:t>
            </w:r>
          </w:p>
        </w:tc>
      </w:tr>
      <w:tr>
        <w:trPr/>
        <w:tc>
          <w:tcPr>
            <w:tcW w:w="497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728" w:type="dxa"/>
            <w:gridSpan w:val="2"/>
            <w:tcBorders>
              <w:bottom w:val="single" w:sz="8" w:space="0" w:color="000000"/>
            </w:tcBorders>
            <w:shd w:fill="auto" w:val="clear"/>
            <w:tcMar>
              <w:bottom w:w="28" w:type="dxa"/>
            </w:tcMar>
            <w:vAlign w:val="bottom"/>
          </w:tcPr>
          <w:p>
            <w:pPr>
              <w:pStyle w:val="TableContents"/>
              <w:spacing w:before="0" w:after="283"/>
              <w:jc w:val="center"/>
              <w:rPr/>
            </w:pPr>
            <w:r>
              <w:rPr/>
              <w:t>Pretax</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20" w:type="dxa"/>
            <w:gridSpan w:val="2"/>
            <w:tcBorders>
              <w:bottom w:val="single" w:sz="8" w:space="0" w:color="000000"/>
            </w:tcBorders>
            <w:shd w:fill="auto" w:val="clear"/>
            <w:tcMar>
              <w:bottom w:w="28" w:type="dxa"/>
            </w:tcMar>
            <w:vAlign w:val="bottom"/>
          </w:tcPr>
          <w:p>
            <w:pPr>
              <w:pStyle w:val="TableContents"/>
              <w:spacing w:before="0" w:after="283"/>
              <w:jc w:val="center"/>
              <w:rPr/>
            </w:pPr>
            <w:r>
              <w:rPr/>
              <w:t>Tax</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38" w:type="dxa"/>
            <w:gridSpan w:val="2"/>
            <w:tcBorders>
              <w:bottom w:val="single" w:sz="8" w:space="0" w:color="000000"/>
            </w:tcBorders>
            <w:shd w:fill="auto" w:val="clear"/>
            <w:tcMar>
              <w:bottom w:w="28" w:type="dxa"/>
            </w:tcMar>
            <w:vAlign w:val="bottom"/>
          </w:tcPr>
          <w:p>
            <w:pPr>
              <w:pStyle w:val="TableContents"/>
              <w:spacing w:before="0" w:after="283"/>
              <w:jc w:val="center"/>
              <w:rPr/>
            </w:pPr>
            <w:r>
              <w:rPr/>
              <w:t>Noncont.</w:t>
              <w:br/>
              <w:t>Interests</w:t>
            </w:r>
          </w:p>
        </w:tc>
        <w:tc>
          <w:tcPr>
            <w:tcW w:w="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728" w:type="dxa"/>
            <w:gridSpan w:val="2"/>
            <w:tcBorders>
              <w:bottom w:val="single" w:sz="8" w:space="0" w:color="000000"/>
            </w:tcBorders>
            <w:shd w:fill="auto" w:val="clear"/>
            <w:tcMar>
              <w:bottom w:w="28" w:type="dxa"/>
            </w:tcMar>
            <w:vAlign w:val="bottom"/>
          </w:tcPr>
          <w:p>
            <w:pPr>
              <w:pStyle w:val="TableContents"/>
              <w:spacing w:before="0" w:after="283"/>
              <w:jc w:val="center"/>
              <w:rPr/>
            </w:pPr>
            <w:r>
              <w:rPr/>
              <w:t>Net</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2" w:type="dxa"/>
            <w:gridSpan w:val="2"/>
            <w:tcBorders>
              <w:bottom w:val="single" w:sz="8" w:space="0" w:color="000000"/>
            </w:tcBorders>
            <w:shd w:fill="auto" w:val="clear"/>
            <w:tcMar>
              <w:bottom w:w="28" w:type="dxa"/>
            </w:tcMar>
            <w:vAlign w:val="bottom"/>
          </w:tcPr>
          <w:p>
            <w:pPr>
              <w:pStyle w:val="TableContents"/>
              <w:spacing w:before="0" w:after="283"/>
              <w:jc w:val="center"/>
              <w:rPr/>
            </w:pPr>
            <w:r>
              <w:rPr/>
              <w:t>Diluted</w:t>
              <w:br/>
              <w:t>EPS</w:t>
            </w:r>
          </w:p>
        </w:tc>
        <w:tc>
          <w:tcPr>
            <w:tcW w:w="163" w:type="dxa"/>
            <w:tcBorders/>
            <w:shd w:fill="auto" w:val="clear"/>
            <w:vAlign w:val="bottom"/>
          </w:tcPr>
          <w:p>
            <w:pPr>
              <w:pStyle w:val="TableContents"/>
              <w:spacing w:before="0" w:after="283"/>
              <w:rPr/>
            </w:pPr>
            <w:r>
              <w:rPr/>
              <w:t> </w:t>
            </w:r>
          </w:p>
        </w:tc>
      </w:tr>
      <w:tr>
        <w:trPr/>
        <w:tc>
          <w:tcPr>
            <w:tcW w:w="4978" w:type="dxa"/>
            <w:tcBorders/>
            <w:shd w:fill="CCEEFF" w:val="clear"/>
          </w:tcPr>
          <w:p>
            <w:pPr>
              <w:pStyle w:val="TableContents"/>
              <w:spacing w:before="0" w:after="0"/>
              <w:rPr>
                <w:rFonts w:ascii="ARIAL" w:hAnsi="ARIAL"/>
                <w:sz w:val="20"/>
              </w:rPr>
            </w:pPr>
            <w:r>
              <w:rPr>
                <w:rFonts w:ascii="ARIAL" w:hAnsi="ARIAL"/>
                <w:sz w:val="20"/>
              </w:rPr>
              <w:t>SLB net income (GAAP basis)</w:t>
            </w:r>
          </w:p>
        </w:tc>
        <w:tc>
          <w:tcPr>
            <w:tcW w:w="2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8" w:type="dxa"/>
            <w:tcBorders/>
            <w:shd w:fill="CCEEFF" w:val="clear"/>
            <w:vAlign w:val="bottom"/>
          </w:tcPr>
          <w:p>
            <w:pPr>
              <w:pStyle w:val="TableContents"/>
              <w:spacing w:before="0" w:after="283"/>
              <w:jc w:val="right"/>
              <w:rPr/>
            </w:pPr>
            <w:r>
              <w:rPr/>
              <w:t>638</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380" w:type="dxa"/>
            <w:tcBorders/>
            <w:shd w:fill="CCEEFF" w:val="clear"/>
            <w:vAlign w:val="bottom"/>
          </w:tcPr>
          <w:p>
            <w:pPr>
              <w:pStyle w:val="TableContents"/>
              <w:spacing w:before="0" w:after="283"/>
              <w:jc w:val="right"/>
              <w:rPr/>
            </w:pPr>
            <w:r>
              <w:rPr/>
              <w:t>118</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w:t>
            </w:r>
          </w:p>
        </w:tc>
        <w:tc>
          <w:tcPr>
            <w:tcW w:w="649" w:type="dxa"/>
            <w:tcBorders/>
            <w:shd w:fill="CCEEFF" w:val="clear"/>
            <w:vAlign w:val="bottom"/>
          </w:tcPr>
          <w:p>
            <w:pPr>
              <w:pStyle w:val="TableContents"/>
              <w:spacing w:before="0" w:after="283"/>
              <w:jc w:val="right"/>
              <w:rPr/>
            </w:pPr>
            <w:r>
              <w:rPr/>
              <w:t>10</w:t>
            </w:r>
          </w:p>
        </w:tc>
        <w:tc>
          <w:tcPr>
            <w:tcW w:w="5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8" w:type="dxa"/>
            <w:tcBorders/>
            <w:shd w:fill="CCEEFF" w:val="clear"/>
            <w:vAlign w:val="bottom"/>
          </w:tcPr>
          <w:p>
            <w:pPr>
              <w:pStyle w:val="TableContents"/>
              <w:spacing w:before="0" w:after="283"/>
              <w:jc w:val="right"/>
              <w:rPr/>
            </w:pPr>
            <w:r>
              <w:rPr/>
              <w:t>510</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w:t>
            </w:r>
          </w:p>
        </w:tc>
        <w:tc>
          <w:tcPr>
            <w:tcW w:w="596" w:type="dxa"/>
            <w:tcBorders/>
            <w:shd w:fill="CCEEFF" w:val="clear"/>
            <w:vAlign w:val="bottom"/>
          </w:tcPr>
          <w:p>
            <w:pPr>
              <w:pStyle w:val="TableContents"/>
              <w:spacing w:before="0" w:after="283"/>
              <w:jc w:val="right"/>
              <w:rPr/>
            </w:pPr>
            <w:r>
              <w:rPr/>
              <w:t>0.36</w:t>
            </w:r>
          </w:p>
        </w:tc>
        <w:tc>
          <w:tcPr>
            <w:tcW w:w="163" w:type="dxa"/>
            <w:tcBorders/>
            <w:shd w:fill="CCEEFF" w:val="clear"/>
            <w:vAlign w:val="bottom"/>
          </w:tcPr>
          <w:p>
            <w:pPr>
              <w:pStyle w:val="TableContents"/>
              <w:spacing w:before="0" w:after="283"/>
              <w:rPr/>
            </w:pPr>
            <w:r>
              <w:rPr/>
              <w:t> </w:t>
            </w:r>
          </w:p>
        </w:tc>
      </w:tr>
      <w:tr>
        <w:trPr/>
        <w:tc>
          <w:tcPr>
            <w:tcW w:w="4978" w:type="dxa"/>
            <w:tcBorders/>
            <w:shd w:fill="auto" w:val="clear"/>
          </w:tcPr>
          <w:p>
            <w:pPr>
              <w:pStyle w:val="TableContents"/>
              <w:spacing w:before="0" w:after="0"/>
              <w:rPr>
                <w:rFonts w:ascii="ARIAL" w:hAnsi="ARIAL"/>
                <w:sz w:val="20"/>
              </w:rPr>
            </w:pPr>
            <w:r>
              <w:rPr>
                <w:rFonts w:ascii="ARIAL" w:hAnsi="ARIAL"/>
                <w:sz w:val="20"/>
              </w:rPr>
              <w:t>Gain on sale of Liberty shares</w:t>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8" w:type="dxa"/>
            <w:tcBorders/>
            <w:shd w:fill="auto" w:val="clear"/>
            <w:vAlign w:val="bottom"/>
          </w:tcPr>
          <w:p>
            <w:pPr>
              <w:pStyle w:val="TableContents"/>
              <w:spacing w:before="0" w:after="283"/>
              <w:jc w:val="right"/>
              <w:rPr/>
            </w:pPr>
            <w:r>
              <w:rPr/>
              <w:t>(26</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(4</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pPr>
            <w:r>
              <w:rPr/>
              <w:t>  </w:t>
            </w:r>
          </w:p>
        </w:tc>
        <w:tc>
          <w:tcPr>
            <w:tcW w:w="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8" w:type="dxa"/>
            <w:tcBorders/>
            <w:shd w:fill="auto" w:val="clear"/>
            <w:vAlign w:val="bottom"/>
          </w:tcPr>
          <w:p>
            <w:pPr>
              <w:pStyle w:val="TableContents"/>
              <w:spacing w:before="0" w:after="283"/>
              <w:jc w:val="right"/>
              <w:rPr/>
            </w:pPr>
            <w:r>
              <w:rPr/>
              <w:t>(22</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pPr>
            <w:r>
              <w:rPr/>
              <w:t>(0.02</w:t>
            </w:r>
          </w:p>
        </w:tc>
        <w:tc>
          <w:tcPr>
            <w:tcW w:w="163" w:type="dxa"/>
            <w:tcBorders/>
            <w:shd w:fill="auto" w:val="clear"/>
            <w:vAlign w:val="bottom"/>
          </w:tcPr>
          <w:p>
            <w:pPr>
              <w:pStyle w:val="TableContents"/>
              <w:spacing w:before="0" w:after="283"/>
              <w:rPr/>
            </w:pPr>
            <w:r>
              <w:rPr/>
              <w:t>) </w:t>
            </w:r>
          </w:p>
        </w:tc>
      </w:tr>
      <w:tr>
        <w:trPr/>
        <w:tc>
          <w:tcPr>
            <w:tcW w:w="4978"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3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pBdr>
                <w:top w:val="single" w:sz="2" w:space="1" w:color="000000"/>
              </w:pBdr>
              <w:spacing w:before="0" w:after="0"/>
              <w:rPr/>
            </w:pPr>
            <w:r>
              <w:rPr/>
              <w:t> </w:t>
            </w:r>
          </w:p>
        </w:tc>
        <w:tc>
          <w:tcPr>
            <w:tcW w:w="649"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pBdr>
                <w:top w:val="single" w:sz="2" w:space="1" w:color="000000"/>
              </w:pBdr>
              <w:spacing w:before="0" w:after="0"/>
              <w:rPr/>
            </w:pPr>
            <w:r>
              <w:rPr/>
              <w:t> </w:t>
            </w:r>
          </w:p>
        </w:tc>
        <w:tc>
          <w:tcPr>
            <w:tcW w:w="596"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4978" w:type="dxa"/>
            <w:tcBorders/>
            <w:shd w:fill="CCEEFF" w:val="clear"/>
          </w:tcPr>
          <w:p>
            <w:pPr>
              <w:pStyle w:val="TableContents"/>
              <w:spacing w:before="0" w:after="0"/>
              <w:rPr>
                <w:rFonts w:ascii="ARIAL" w:hAnsi="ARIAL"/>
                <w:sz w:val="20"/>
              </w:rPr>
            </w:pPr>
            <w:r>
              <w:rPr>
                <w:rFonts w:ascii="ARIAL" w:hAnsi="ARIAL"/>
                <w:sz w:val="20"/>
              </w:rPr>
              <w:t>SLB net income, excluding charges &amp; credits</w:t>
            </w:r>
          </w:p>
        </w:tc>
        <w:tc>
          <w:tcPr>
            <w:tcW w:w="2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8" w:type="dxa"/>
            <w:tcBorders/>
            <w:shd w:fill="CCEEFF" w:val="clear"/>
            <w:vAlign w:val="bottom"/>
          </w:tcPr>
          <w:p>
            <w:pPr>
              <w:pStyle w:val="TableContents"/>
              <w:spacing w:before="0" w:after="283"/>
              <w:jc w:val="right"/>
              <w:rPr/>
            </w:pPr>
            <w:r>
              <w:rPr/>
              <w:t>612</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380" w:type="dxa"/>
            <w:tcBorders/>
            <w:shd w:fill="CCEEFF" w:val="clear"/>
            <w:vAlign w:val="bottom"/>
          </w:tcPr>
          <w:p>
            <w:pPr>
              <w:pStyle w:val="TableContents"/>
              <w:spacing w:before="0" w:after="283"/>
              <w:jc w:val="right"/>
              <w:rPr/>
            </w:pPr>
            <w:r>
              <w:rPr/>
              <w:t>114</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w:t>
            </w:r>
          </w:p>
        </w:tc>
        <w:tc>
          <w:tcPr>
            <w:tcW w:w="649" w:type="dxa"/>
            <w:tcBorders/>
            <w:shd w:fill="CCEEFF" w:val="clear"/>
            <w:vAlign w:val="bottom"/>
          </w:tcPr>
          <w:p>
            <w:pPr>
              <w:pStyle w:val="TableContents"/>
              <w:spacing w:before="0" w:after="283"/>
              <w:jc w:val="right"/>
              <w:rPr/>
            </w:pPr>
            <w:r>
              <w:rPr/>
              <w:t>10</w:t>
            </w:r>
          </w:p>
        </w:tc>
        <w:tc>
          <w:tcPr>
            <w:tcW w:w="5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8" w:type="dxa"/>
            <w:tcBorders/>
            <w:shd w:fill="CCEEFF" w:val="clear"/>
            <w:vAlign w:val="bottom"/>
          </w:tcPr>
          <w:p>
            <w:pPr>
              <w:pStyle w:val="TableContents"/>
              <w:spacing w:before="0" w:after="283"/>
              <w:jc w:val="right"/>
              <w:rPr/>
            </w:pPr>
            <w:r>
              <w:rPr/>
              <w:t>488</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w:t>
            </w:r>
          </w:p>
        </w:tc>
        <w:tc>
          <w:tcPr>
            <w:tcW w:w="596" w:type="dxa"/>
            <w:tcBorders/>
            <w:shd w:fill="CCEEFF" w:val="clear"/>
            <w:vAlign w:val="bottom"/>
          </w:tcPr>
          <w:p>
            <w:pPr>
              <w:pStyle w:val="TableContents"/>
              <w:spacing w:before="0" w:after="283"/>
              <w:jc w:val="right"/>
              <w:rPr/>
            </w:pPr>
            <w:r>
              <w:rPr/>
              <w:t>0.34</w:t>
            </w:r>
          </w:p>
        </w:tc>
        <w:tc>
          <w:tcPr>
            <w:tcW w:w="163" w:type="dxa"/>
            <w:tcBorders/>
            <w:shd w:fill="CCEEFF" w:val="clear"/>
            <w:vAlign w:val="bottom"/>
          </w:tcPr>
          <w:p>
            <w:pPr>
              <w:pStyle w:val="TableContents"/>
              <w:spacing w:before="0" w:after="283"/>
              <w:rPr/>
            </w:pPr>
            <w:r>
              <w:rPr/>
              <w:t> </w:t>
            </w:r>
          </w:p>
        </w:tc>
      </w:tr>
      <w:tr>
        <w:trPr/>
        <w:tc>
          <w:tcPr>
            <w:tcW w:w="4978"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58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38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pBdr>
                <w:top w:val="double" w:sz="6" w:space="1" w:color="000000"/>
              </w:pBdr>
              <w:spacing w:before="0" w:after="0"/>
              <w:rPr/>
            </w:pPr>
            <w:r>
              <w:rPr/>
              <w:t> </w:t>
            </w:r>
          </w:p>
        </w:tc>
        <w:tc>
          <w:tcPr>
            <w:tcW w:w="649" w:type="dxa"/>
            <w:tcBorders/>
            <w:shd w:fill="auto" w:val="clear"/>
            <w:vAlign w:val="bottom"/>
          </w:tcPr>
          <w:p>
            <w:pPr>
              <w:pStyle w:val="TableContents"/>
              <w:pBdr>
                <w:top w:val="double" w:sz="6"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58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pBdr>
                <w:top w:val="double" w:sz="6" w:space="1" w:color="000000"/>
              </w:pBdr>
              <w:spacing w:before="0" w:after="0"/>
              <w:rPr/>
            </w:pPr>
            <w:r>
              <w:rPr/>
              <w:t> </w:t>
            </w:r>
          </w:p>
        </w:tc>
        <w:tc>
          <w:tcPr>
            <w:tcW w:w="596"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rHeight w:val="240" w:hRule="atLeast"/>
        </w:trPr>
        <w:tc>
          <w:tcPr>
            <w:tcW w:w="4978" w:type="dxa"/>
            <w:tcBorders/>
            <w:shd w:fill="auto" w:val="clear"/>
            <w:vAlign w:val="center"/>
          </w:tcPr>
          <w:p>
            <w:pPr>
              <w:pStyle w:val="TableContents"/>
              <w:spacing w:before="0" w:after="283"/>
              <w:rPr>
                <w:sz w:val="4"/>
                <w:szCs w:val="4"/>
              </w:rPr>
            </w:pPr>
            <w:r>
              <w:rPr>
                <w:sz w:val="4"/>
                <w:szCs w:val="4"/>
              </w:rPr>
            </w:r>
          </w:p>
        </w:tc>
        <w:tc>
          <w:tcPr>
            <w:tcW w:w="5227" w:type="dxa"/>
            <w:gridSpan w:val="20"/>
            <w:tcBorders/>
            <w:shd w:fill="auto" w:val="clear"/>
            <w:vAlign w:val="center"/>
          </w:tcPr>
          <w:p>
            <w:pPr>
              <w:pStyle w:val="TableContents"/>
              <w:spacing w:before="0" w:after="283"/>
              <w:rPr>
                <w:sz w:val="4"/>
                <w:szCs w:val="4"/>
              </w:rPr>
            </w:pPr>
            <w:r>
              <w:rPr>
                <w:sz w:val="4"/>
                <w:szCs w:val="4"/>
              </w:rPr>
            </w:r>
          </w:p>
        </w:tc>
      </w:tr>
      <w:tr>
        <w:trPr/>
        <w:tc>
          <w:tcPr>
            <w:tcW w:w="497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4858" w:type="dxa"/>
            <w:gridSpan w:val="18"/>
            <w:tcBorders>
              <w:bottom w:val="single" w:sz="8" w:space="0" w:color="000000"/>
            </w:tcBorders>
            <w:shd w:fill="auto" w:val="clear"/>
            <w:tcMar>
              <w:bottom w:w="28" w:type="dxa"/>
            </w:tcMar>
            <w:vAlign w:val="bottom"/>
          </w:tcPr>
          <w:p>
            <w:pPr>
              <w:pStyle w:val="TableContents"/>
              <w:spacing w:before="0" w:after="283"/>
              <w:jc w:val="center"/>
              <w:rPr/>
            </w:pPr>
            <w:r>
              <w:rPr/>
              <w:t>Fourth Quarter 2022</w:t>
            </w:r>
          </w:p>
        </w:tc>
        <w:tc>
          <w:tcPr>
            <w:tcW w:w="163" w:type="dxa"/>
            <w:tcBorders/>
            <w:shd w:fill="auto" w:val="clear"/>
            <w:vAlign w:val="bottom"/>
          </w:tcPr>
          <w:p>
            <w:pPr>
              <w:pStyle w:val="TableContents"/>
              <w:spacing w:before="0" w:after="283"/>
              <w:rPr/>
            </w:pPr>
            <w:r>
              <w:rPr/>
              <w:t> </w:t>
            </w:r>
          </w:p>
        </w:tc>
      </w:tr>
      <w:tr>
        <w:trPr/>
        <w:tc>
          <w:tcPr>
            <w:tcW w:w="4978"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728" w:type="dxa"/>
            <w:gridSpan w:val="2"/>
            <w:tcBorders>
              <w:bottom w:val="single" w:sz="8" w:space="0" w:color="000000"/>
            </w:tcBorders>
            <w:shd w:fill="auto" w:val="clear"/>
            <w:tcMar>
              <w:bottom w:w="28" w:type="dxa"/>
            </w:tcMar>
            <w:vAlign w:val="bottom"/>
          </w:tcPr>
          <w:p>
            <w:pPr>
              <w:pStyle w:val="TableContents"/>
              <w:spacing w:before="0" w:after="283"/>
              <w:jc w:val="center"/>
              <w:rPr/>
            </w:pPr>
            <w:r>
              <w:rPr/>
              <w:t>Pretax</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20" w:type="dxa"/>
            <w:gridSpan w:val="2"/>
            <w:tcBorders>
              <w:bottom w:val="single" w:sz="8" w:space="0" w:color="000000"/>
            </w:tcBorders>
            <w:shd w:fill="auto" w:val="clear"/>
            <w:tcMar>
              <w:bottom w:w="28" w:type="dxa"/>
            </w:tcMar>
            <w:vAlign w:val="bottom"/>
          </w:tcPr>
          <w:p>
            <w:pPr>
              <w:pStyle w:val="TableContents"/>
              <w:spacing w:before="0" w:after="283"/>
              <w:jc w:val="center"/>
              <w:rPr/>
            </w:pPr>
            <w:r>
              <w:rPr/>
              <w:t>Tax</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938" w:type="dxa"/>
            <w:gridSpan w:val="2"/>
            <w:tcBorders>
              <w:bottom w:val="single" w:sz="8" w:space="0" w:color="000000"/>
            </w:tcBorders>
            <w:shd w:fill="auto" w:val="clear"/>
            <w:tcMar>
              <w:bottom w:w="28" w:type="dxa"/>
            </w:tcMar>
            <w:vAlign w:val="bottom"/>
          </w:tcPr>
          <w:p>
            <w:pPr>
              <w:pStyle w:val="TableContents"/>
              <w:spacing w:before="0" w:after="283"/>
              <w:jc w:val="center"/>
              <w:rPr/>
            </w:pPr>
            <w:r>
              <w:rPr/>
              <w:t>Noncont.</w:t>
              <w:br/>
              <w:t>Interests</w:t>
            </w:r>
          </w:p>
        </w:tc>
        <w:tc>
          <w:tcPr>
            <w:tcW w:w="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728" w:type="dxa"/>
            <w:gridSpan w:val="2"/>
            <w:tcBorders>
              <w:bottom w:val="single" w:sz="8" w:space="0" w:color="000000"/>
            </w:tcBorders>
            <w:shd w:fill="auto" w:val="clear"/>
            <w:tcMar>
              <w:bottom w:w="28" w:type="dxa"/>
            </w:tcMar>
            <w:vAlign w:val="bottom"/>
          </w:tcPr>
          <w:p>
            <w:pPr>
              <w:pStyle w:val="TableContents"/>
              <w:spacing w:before="0" w:after="283"/>
              <w:jc w:val="center"/>
              <w:rPr/>
            </w:pPr>
            <w:r>
              <w:rPr/>
              <w:t>Net</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52" w:type="dxa"/>
            <w:gridSpan w:val="2"/>
            <w:tcBorders>
              <w:bottom w:val="single" w:sz="8" w:space="0" w:color="000000"/>
            </w:tcBorders>
            <w:shd w:fill="auto" w:val="clear"/>
            <w:tcMar>
              <w:bottom w:w="28" w:type="dxa"/>
            </w:tcMar>
            <w:vAlign w:val="bottom"/>
          </w:tcPr>
          <w:p>
            <w:pPr>
              <w:pStyle w:val="TableContents"/>
              <w:spacing w:before="0" w:after="283"/>
              <w:jc w:val="center"/>
              <w:rPr/>
            </w:pPr>
            <w:r>
              <w:rPr/>
              <w:t>Diluted</w:t>
              <w:br/>
              <w:t>EPS</w:t>
            </w:r>
          </w:p>
        </w:tc>
        <w:tc>
          <w:tcPr>
            <w:tcW w:w="163" w:type="dxa"/>
            <w:tcBorders/>
            <w:shd w:fill="auto" w:val="clear"/>
            <w:vAlign w:val="bottom"/>
          </w:tcPr>
          <w:p>
            <w:pPr>
              <w:pStyle w:val="TableContents"/>
              <w:spacing w:before="0" w:after="283"/>
              <w:rPr/>
            </w:pPr>
            <w:r>
              <w:rPr/>
              <w:t> </w:t>
            </w:r>
          </w:p>
        </w:tc>
      </w:tr>
      <w:tr>
        <w:trPr/>
        <w:tc>
          <w:tcPr>
            <w:tcW w:w="4978" w:type="dxa"/>
            <w:tcBorders/>
            <w:shd w:fill="CCEEFF" w:val="clear"/>
          </w:tcPr>
          <w:p>
            <w:pPr>
              <w:pStyle w:val="TableContents"/>
              <w:spacing w:before="0" w:after="0"/>
              <w:rPr>
                <w:rFonts w:ascii="ARIAL" w:hAnsi="ARIAL"/>
                <w:sz w:val="20"/>
              </w:rPr>
            </w:pPr>
            <w:r>
              <w:rPr>
                <w:rFonts w:ascii="ARIAL" w:hAnsi="ARIAL"/>
                <w:sz w:val="20"/>
              </w:rPr>
              <w:t>SLB net income (GAAP basis)</w:t>
            </w:r>
          </w:p>
        </w:tc>
        <w:tc>
          <w:tcPr>
            <w:tcW w:w="2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8" w:type="dxa"/>
            <w:tcBorders/>
            <w:shd w:fill="CCEEFF" w:val="clear"/>
            <w:vAlign w:val="bottom"/>
          </w:tcPr>
          <w:p>
            <w:pPr>
              <w:pStyle w:val="TableContents"/>
              <w:spacing w:before="0" w:after="283"/>
              <w:jc w:val="right"/>
              <w:rPr/>
            </w:pPr>
            <w:r>
              <w:rPr/>
              <w:t>1,347</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380" w:type="dxa"/>
            <w:tcBorders/>
            <w:shd w:fill="CCEEFF" w:val="clear"/>
            <w:vAlign w:val="bottom"/>
          </w:tcPr>
          <w:p>
            <w:pPr>
              <w:pStyle w:val="TableContents"/>
              <w:spacing w:before="0" w:after="283"/>
              <w:jc w:val="right"/>
              <w:rPr/>
            </w:pPr>
            <w:r>
              <w:rPr/>
              <w:t>264</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w:t>
            </w:r>
          </w:p>
        </w:tc>
        <w:tc>
          <w:tcPr>
            <w:tcW w:w="649" w:type="dxa"/>
            <w:tcBorders/>
            <w:shd w:fill="CCEEFF" w:val="clear"/>
            <w:vAlign w:val="bottom"/>
          </w:tcPr>
          <w:p>
            <w:pPr>
              <w:pStyle w:val="TableContents"/>
              <w:spacing w:before="0" w:after="283"/>
              <w:jc w:val="right"/>
              <w:rPr/>
            </w:pPr>
            <w:r>
              <w:rPr/>
              <w:t>18</w:t>
            </w:r>
          </w:p>
        </w:tc>
        <w:tc>
          <w:tcPr>
            <w:tcW w:w="5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8" w:type="dxa"/>
            <w:tcBorders/>
            <w:shd w:fill="CCEEFF" w:val="clear"/>
            <w:vAlign w:val="bottom"/>
          </w:tcPr>
          <w:p>
            <w:pPr>
              <w:pStyle w:val="TableContents"/>
              <w:spacing w:before="0" w:after="283"/>
              <w:jc w:val="right"/>
              <w:rPr/>
            </w:pPr>
            <w:r>
              <w:rPr/>
              <w:t>1,065</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w:t>
            </w:r>
          </w:p>
        </w:tc>
        <w:tc>
          <w:tcPr>
            <w:tcW w:w="596" w:type="dxa"/>
            <w:tcBorders/>
            <w:shd w:fill="CCEEFF" w:val="clear"/>
            <w:vAlign w:val="bottom"/>
          </w:tcPr>
          <w:p>
            <w:pPr>
              <w:pStyle w:val="TableContents"/>
              <w:spacing w:before="0" w:after="283"/>
              <w:jc w:val="right"/>
              <w:rPr/>
            </w:pPr>
            <w:r>
              <w:rPr/>
              <w:t>0.74</w:t>
            </w:r>
          </w:p>
        </w:tc>
        <w:tc>
          <w:tcPr>
            <w:tcW w:w="163" w:type="dxa"/>
            <w:tcBorders/>
            <w:shd w:fill="CCEEFF" w:val="clear"/>
            <w:vAlign w:val="bottom"/>
          </w:tcPr>
          <w:p>
            <w:pPr>
              <w:pStyle w:val="TableContents"/>
              <w:spacing w:before="0" w:after="283"/>
              <w:rPr/>
            </w:pPr>
            <w:r>
              <w:rPr/>
              <w:t> </w:t>
            </w:r>
          </w:p>
        </w:tc>
      </w:tr>
      <w:tr>
        <w:trPr/>
        <w:tc>
          <w:tcPr>
            <w:tcW w:w="4978" w:type="dxa"/>
            <w:tcBorders/>
            <w:shd w:fill="auto" w:val="clear"/>
          </w:tcPr>
          <w:p>
            <w:pPr>
              <w:pStyle w:val="TableContents"/>
              <w:spacing w:before="0" w:after="0"/>
              <w:rPr>
                <w:rFonts w:ascii="ARIAL" w:hAnsi="ARIAL"/>
                <w:sz w:val="20"/>
              </w:rPr>
            </w:pPr>
            <w:r>
              <w:rPr>
                <w:rFonts w:ascii="ARIAL" w:hAnsi="ARIAL"/>
                <w:sz w:val="20"/>
              </w:rPr>
              <w:t>Gain on ADC equity investment</w:t>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8" w:type="dxa"/>
            <w:tcBorders/>
            <w:shd w:fill="auto" w:val="clear"/>
            <w:vAlign w:val="bottom"/>
          </w:tcPr>
          <w:p>
            <w:pPr>
              <w:pStyle w:val="TableContents"/>
              <w:spacing w:before="0" w:after="283"/>
              <w:jc w:val="right"/>
              <w:rPr/>
            </w:pPr>
            <w:r>
              <w:rPr/>
              <w:t>(107</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(3</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pPr>
            <w:r>
              <w:rPr/>
              <w:t>  </w:t>
            </w:r>
          </w:p>
        </w:tc>
        <w:tc>
          <w:tcPr>
            <w:tcW w:w="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8" w:type="dxa"/>
            <w:tcBorders/>
            <w:shd w:fill="auto" w:val="clear"/>
            <w:vAlign w:val="bottom"/>
          </w:tcPr>
          <w:p>
            <w:pPr>
              <w:pStyle w:val="TableContents"/>
              <w:spacing w:before="0" w:after="283"/>
              <w:jc w:val="right"/>
              <w:rPr/>
            </w:pPr>
            <w:r>
              <w:rPr/>
              <w:t>(104</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pPr>
            <w:r>
              <w:rPr/>
              <w:t>(0.07</w:t>
            </w:r>
          </w:p>
        </w:tc>
        <w:tc>
          <w:tcPr>
            <w:tcW w:w="163" w:type="dxa"/>
            <w:tcBorders/>
            <w:shd w:fill="auto" w:val="clear"/>
            <w:vAlign w:val="bottom"/>
          </w:tcPr>
          <w:p>
            <w:pPr>
              <w:pStyle w:val="TableContents"/>
              <w:spacing w:before="0" w:after="283"/>
              <w:rPr/>
            </w:pPr>
            <w:r>
              <w:rPr/>
              <w:t>) </w:t>
            </w:r>
          </w:p>
        </w:tc>
      </w:tr>
      <w:tr>
        <w:trPr/>
        <w:tc>
          <w:tcPr>
            <w:tcW w:w="4978" w:type="dxa"/>
            <w:tcBorders/>
            <w:shd w:fill="CCEEFF" w:val="clear"/>
          </w:tcPr>
          <w:p>
            <w:pPr>
              <w:pStyle w:val="TableContents"/>
              <w:spacing w:before="0" w:after="0"/>
              <w:rPr>
                <w:rFonts w:ascii="ARIAL" w:hAnsi="ARIAL"/>
                <w:sz w:val="20"/>
              </w:rPr>
            </w:pPr>
            <w:r>
              <w:rPr>
                <w:rFonts w:ascii="ARIAL" w:hAnsi="ARIAL"/>
                <w:sz w:val="20"/>
              </w:rPr>
              <w:t>Gain on sale of Liberty shares</w:t>
            </w:r>
          </w:p>
        </w:tc>
        <w:tc>
          <w:tcPr>
            <w:tcW w:w="2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88" w:type="dxa"/>
            <w:tcBorders/>
            <w:shd w:fill="CCEEFF" w:val="clear"/>
            <w:vAlign w:val="bottom"/>
          </w:tcPr>
          <w:p>
            <w:pPr>
              <w:pStyle w:val="TableContents"/>
              <w:spacing w:before="0" w:after="283"/>
              <w:jc w:val="right"/>
              <w:rPr/>
            </w:pPr>
            <w:r>
              <w:rPr/>
              <w:t>(84</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pPr>
            <w:r>
              <w:rPr/>
              <w:t>(19</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pPr>
            <w:r>
              <w:rPr/>
              <w:t>  </w:t>
            </w:r>
          </w:p>
        </w:tc>
        <w:tc>
          <w:tcPr>
            <w:tcW w:w="5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88" w:type="dxa"/>
            <w:tcBorders/>
            <w:shd w:fill="CCEEFF" w:val="clear"/>
            <w:vAlign w:val="bottom"/>
          </w:tcPr>
          <w:p>
            <w:pPr>
              <w:pStyle w:val="TableContents"/>
              <w:spacing w:before="0" w:after="283"/>
              <w:jc w:val="right"/>
              <w:rPr/>
            </w:pPr>
            <w:r>
              <w:rPr/>
              <w:t>(65</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pPr>
            <w:r>
              <w:rPr/>
              <w:t>(0.05</w:t>
            </w:r>
          </w:p>
        </w:tc>
        <w:tc>
          <w:tcPr>
            <w:tcW w:w="163" w:type="dxa"/>
            <w:tcBorders/>
            <w:shd w:fill="CCEEFF" w:val="clear"/>
            <w:vAlign w:val="bottom"/>
          </w:tcPr>
          <w:p>
            <w:pPr>
              <w:pStyle w:val="TableContents"/>
              <w:spacing w:before="0" w:after="283"/>
              <w:rPr/>
            </w:pPr>
            <w:r>
              <w:rPr/>
              <w:t>) </w:t>
            </w:r>
          </w:p>
        </w:tc>
      </w:tr>
      <w:tr>
        <w:trPr/>
        <w:tc>
          <w:tcPr>
            <w:tcW w:w="4978" w:type="dxa"/>
            <w:tcBorders/>
            <w:shd w:fill="auto" w:val="clear"/>
          </w:tcPr>
          <w:p>
            <w:pPr>
              <w:pStyle w:val="TableContents"/>
              <w:spacing w:before="0" w:after="0"/>
              <w:rPr>
                <w:rFonts w:ascii="ARIAL" w:hAnsi="ARIAL"/>
                <w:sz w:val="20"/>
              </w:rPr>
            </w:pPr>
            <w:r>
              <w:rPr>
                <w:rFonts w:ascii="ARIAL" w:hAnsi="ARIAL"/>
                <w:sz w:val="20"/>
              </w:rPr>
              <w:t>Gain on repurchase of bonds</w:t>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8" w:type="dxa"/>
            <w:tcBorders/>
            <w:shd w:fill="auto" w:val="clear"/>
            <w:vAlign w:val="bottom"/>
          </w:tcPr>
          <w:p>
            <w:pPr>
              <w:pStyle w:val="TableContents"/>
              <w:spacing w:before="0" w:after="283"/>
              <w:jc w:val="right"/>
              <w:rPr/>
            </w:pPr>
            <w:r>
              <w:rPr/>
              <w:t>(11</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jc w:val="right"/>
              <w:rPr/>
            </w:pPr>
            <w:r>
              <w:rPr/>
              <w:t>(2</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pPr>
            <w:r>
              <w:rPr/>
              <w:t>  </w:t>
            </w:r>
          </w:p>
        </w:tc>
        <w:tc>
          <w:tcPr>
            <w:tcW w:w="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8" w:type="dxa"/>
            <w:tcBorders/>
            <w:shd w:fill="auto" w:val="clear"/>
            <w:vAlign w:val="bottom"/>
          </w:tcPr>
          <w:p>
            <w:pPr>
              <w:pStyle w:val="TableContents"/>
              <w:spacing w:before="0" w:after="283"/>
              <w:jc w:val="right"/>
              <w:rPr/>
            </w:pPr>
            <w:r>
              <w:rPr/>
              <w:t>(9</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pPr>
            <w:r>
              <w:rPr/>
              <w:t>(0.01</w:t>
            </w:r>
          </w:p>
        </w:tc>
        <w:tc>
          <w:tcPr>
            <w:tcW w:w="163" w:type="dxa"/>
            <w:tcBorders/>
            <w:shd w:fill="auto" w:val="clear"/>
            <w:vAlign w:val="bottom"/>
          </w:tcPr>
          <w:p>
            <w:pPr>
              <w:pStyle w:val="TableContents"/>
              <w:spacing w:before="0" w:after="283"/>
              <w:rPr/>
            </w:pPr>
            <w:r>
              <w:rPr/>
              <w:t>) </w:t>
            </w:r>
          </w:p>
        </w:tc>
      </w:tr>
      <w:tr>
        <w:trPr/>
        <w:tc>
          <w:tcPr>
            <w:tcW w:w="4978" w:type="dxa"/>
            <w:tcBorders/>
            <w:shd w:fill="CCEEFF" w:val="clear"/>
          </w:tcPr>
          <w:p>
            <w:pPr>
              <w:pStyle w:val="TableContents"/>
              <w:spacing w:before="0" w:after="0"/>
              <w:rPr>
                <w:rFonts w:ascii="ARIAL" w:hAnsi="ARIAL"/>
                <w:sz w:val="20"/>
              </w:rPr>
            </w:pPr>
            <w:r>
              <w:rPr>
                <w:rFonts w:ascii="ARIAL" w:hAnsi="ARIAL"/>
                <w:sz w:val="20"/>
              </w:rPr>
              <w:t>Loss on Blue Chip Swap transactions</w:t>
            </w:r>
          </w:p>
        </w:tc>
        <w:tc>
          <w:tcPr>
            <w:tcW w:w="2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88" w:type="dxa"/>
            <w:tcBorders/>
            <w:shd w:fill="CCEEFF" w:val="clear"/>
            <w:vAlign w:val="bottom"/>
          </w:tcPr>
          <w:p>
            <w:pPr>
              <w:pStyle w:val="TableContents"/>
              <w:spacing w:before="0" w:after="283"/>
              <w:jc w:val="right"/>
              <w:rPr/>
            </w:pPr>
            <w:r>
              <w:rPr/>
              <w:t>139</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pPr>
            <w:r>
              <w:rPr/>
              <w:t>  </w:t>
            </w:r>
          </w:p>
        </w:tc>
        <w:tc>
          <w:tcPr>
            <w:tcW w:w="5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88" w:type="dxa"/>
            <w:tcBorders/>
            <w:shd w:fill="CCEEFF" w:val="clear"/>
            <w:vAlign w:val="bottom"/>
          </w:tcPr>
          <w:p>
            <w:pPr>
              <w:pStyle w:val="TableContents"/>
              <w:spacing w:before="0" w:after="283"/>
              <w:jc w:val="right"/>
              <w:rPr/>
            </w:pPr>
            <w:r>
              <w:rPr/>
              <w:t>139</w:t>
            </w:r>
          </w:p>
        </w:tc>
        <w:tc>
          <w:tcPr>
            <w:tcW w:w="15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96" w:type="dxa"/>
            <w:tcBorders/>
            <w:shd w:fill="CCEEFF" w:val="clear"/>
            <w:vAlign w:val="bottom"/>
          </w:tcPr>
          <w:p>
            <w:pPr>
              <w:pStyle w:val="TableContents"/>
              <w:spacing w:before="0" w:after="283"/>
              <w:jc w:val="right"/>
              <w:rPr/>
            </w:pPr>
            <w:r>
              <w:rPr/>
              <w:t>0.10</w:t>
            </w:r>
          </w:p>
        </w:tc>
        <w:tc>
          <w:tcPr>
            <w:tcW w:w="163" w:type="dxa"/>
            <w:tcBorders/>
            <w:shd w:fill="CCEEFF" w:val="clear"/>
            <w:vAlign w:val="bottom"/>
          </w:tcPr>
          <w:p>
            <w:pPr>
              <w:pStyle w:val="TableContents"/>
              <w:spacing w:before="0" w:after="283"/>
              <w:rPr/>
            </w:pPr>
            <w:r>
              <w:rPr/>
              <w:t> </w:t>
            </w:r>
          </w:p>
        </w:tc>
      </w:tr>
      <w:tr>
        <w:trPr/>
        <w:tc>
          <w:tcPr>
            <w:tcW w:w="4978"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3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pBdr>
                <w:top w:val="single" w:sz="2" w:space="1" w:color="000000"/>
              </w:pBdr>
              <w:spacing w:before="0" w:after="0"/>
              <w:rPr/>
            </w:pPr>
            <w:r>
              <w:rPr/>
              <w:t> </w:t>
            </w:r>
          </w:p>
        </w:tc>
        <w:tc>
          <w:tcPr>
            <w:tcW w:w="649"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pBdr>
                <w:top w:val="single" w:sz="2" w:space="1" w:color="000000"/>
              </w:pBdr>
              <w:spacing w:before="0" w:after="0"/>
              <w:rPr/>
            </w:pPr>
            <w:r>
              <w:rPr/>
              <w:t> </w:t>
            </w:r>
          </w:p>
        </w:tc>
        <w:tc>
          <w:tcPr>
            <w:tcW w:w="596"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4978" w:type="dxa"/>
            <w:tcBorders/>
            <w:shd w:fill="auto" w:val="clear"/>
          </w:tcPr>
          <w:p>
            <w:pPr>
              <w:pStyle w:val="TableContents"/>
              <w:spacing w:before="0" w:after="0"/>
              <w:rPr>
                <w:rFonts w:ascii="ARIAL" w:hAnsi="ARIAL"/>
                <w:sz w:val="20"/>
              </w:rPr>
            </w:pPr>
            <w:r>
              <w:rPr>
                <w:rFonts w:ascii="ARIAL" w:hAnsi="ARIAL"/>
                <w:sz w:val="20"/>
              </w:rPr>
              <w:t>SLB net income, excluding charges &amp; credits</w:t>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88" w:type="dxa"/>
            <w:tcBorders/>
            <w:shd w:fill="auto" w:val="clear"/>
            <w:vAlign w:val="bottom"/>
          </w:tcPr>
          <w:p>
            <w:pPr>
              <w:pStyle w:val="TableContents"/>
              <w:spacing w:before="0" w:after="283"/>
              <w:jc w:val="right"/>
              <w:rPr/>
            </w:pPr>
            <w:r>
              <w:rPr/>
              <w:t>1,284</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380" w:type="dxa"/>
            <w:tcBorders/>
            <w:shd w:fill="auto" w:val="clear"/>
            <w:vAlign w:val="bottom"/>
          </w:tcPr>
          <w:p>
            <w:pPr>
              <w:pStyle w:val="TableContents"/>
              <w:spacing w:before="0" w:after="283"/>
              <w:jc w:val="right"/>
              <w:rPr/>
            </w:pPr>
            <w:r>
              <w:rPr/>
              <w:t>240</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w:t>
            </w:r>
          </w:p>
        </w:tc>
        <w:tc>
          <w:tcPr>
            <w:tcW w:w="649" w:type="dxa"/>
            <w:tcBorders/>
            <w:shd w:fill="auto" w:val="clear"/>
            <w:vAlign w:val="bottom"/>
          </w:tcPr>
          <w:p>
            <w:pPr>
              <w:pStyle w:val="TableContents"/>
              <w:spacing w:before="0" w:after="283"/>
              <w:jc w:val="right"/>
              <w:rPr/>
            </w:pPr>
            <w:r>
              <w:rPr/>
              <w:t>18</w:t>
            </w:r>
          </w:p>
        </w:tc>
        <w:tc>
          <w:tcPr>
            <w:tcW w:w="5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88" w:type="dxa"/>
            <w:tcBorders/>
            <w:shd w:fill="auto" w:val="clear"/>
            <w:vAlign w:val="bottom"/>
          </w:tcPr>
          <w:p>
            <w:pPr>
              <w:pStyle w:val="TableContents"/>
              <w:spacing w:before="0" w:after="283"/>
              <w:jc w:val="right"/>
              <w:rPr/>
            </w:pPr>
            <w:r>
              <w:rPr/>
              <w:t>1,026</w:t>
            </w:r>
          </w:p>
        </w:tc>
        <w:tc>
          <w:tcPr>
            <w:tcW w:w="15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w:t>
            </w:r>
          </w:p>
        </w:tc>
        <w:tc>
          <w:tcPr>
            <w:tcW w:w="596" w:type="dxa"/>
            <w:tcBorders/>
            <w:shd w:fill="auto" w:val="clear"/>
            <w:vAlign w:val="bottom"/>
          </w:tcPr>
          <w:p>
            <w:pPr>
              <w:pStyle w:val="TableContents"/>
              <w:spacing w:before="0" w:after="283"/>
              <w:jc w:val="right"/>
              <w:rPr/>
            </w:pPr>
            <w:r>
              <w:rPr/>
              <w:t>0.71</w:t>
            </w:r>
          </w:p>
        </w:tc>
        <w:tc>
          <w:tcPr>
            <w:tcW w:w="163" w:type="dxa"/>
            <w:tcBorders/>
            <w:shd w:fill="auto" w:val="clear"/>
            <w:vAlign w:val="bottom"/>
          </w:tcPr>
          <w:p>
            <w:pPr>
              <w:pStyle w:val="TableContents"/>
              <w:spacing w:before="0" w:after="283"/>
              <w:rPr/>
            </w:pPr>
            <w:r>
              <w:rPr/>
              <w:t> </w:t>
            </w:r>
          </w:p>
        </w:tc>
      </w:tr>
      <w:tr>
        <w:trPr/>
        <w:tc>
          <w:tcPr>
            <w:tcW w:w="4978"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58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38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pBdr>
                <w:top w:val="double" w:sz="6" w:space="1" w:color="000000"/>
              </w:pBdr>
              <w:spacing w:before="0" w:after="0"/>
              <w:rPr/>
            </w:pPr>
            <w:r>
              <w:rPr/>
              <w:t> </w:t>
            </w:r>
          </w:p>
        </w:tc>
        <w:tc>
          <w:tcPr>
            <w:tcW w:w="649" w:type="dxa"/>
            <w:tcBorders/>
            <w:shd w:fill="auto" w:val="clear"/>
            <w:vAlign w:val="bottom"/>
          </w:tcPr>
          <w:p>
            <w:pPr>
              <w:pStyle w:val="TableContents"/>
              <w:pBdr>
                <w:top w:val="double" w:sz="6"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58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pBdr>
                <w:top w:val="double" w:sz="6" w:space="1" w:color="000000"/>
              </w:pBdr>
              <w:spacing w:before="0" w:after="0"/>
              <w:rPr/>
            </w:pPr>
            <w:r>
              <w:rPr/>
              <w:t> </w:t>
            </w:r>
          </w:p>
        </w:tc>
        <w:tc>
          <w:tcPr>
            <w:tcW w:w="596"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bl>
    <w:p>
      <w:pPr>
        <w:pStyle w:val="TextBody"/>
        <w:spacing w:before="240" w:after="0"/>
        <w:jc w:val="left"/>
        <w:rPr>
          <w:rFonts w:ascii="ARIAL" w:hAnsi="ARIAL"/>
          <w:sz w:val="20"/>
        </w:rPr>
      </w:pPr>
      <w:r>
        <w:rPr>
          <w:rFonts w:ascii="ARIAL" w:hAnsi="ARIAL"/>
          <w:sz w:val="20"/>
        </w:rPr>
        <w:t xml:space="preserve">All Charges &amp; Credits are classified in </w:t>
      </w:r>
      <w:r>
        <w:rPr>
          <w:rFonts w:ascii="ARIAL" w:hAnsi="ARIAL"/>
          <w:i/>
          <w:sz w:val="20"/>
        </w:rPr>
        <w:t>Interest</w:t>
      </w:r>
      <w:r>
        <w:rPr>
          <w:rFonts w:ascii="ARIAL" w:hAnsi="ARIAL"/>
          <w:sz w:val="20"/>
        </w:rPr>
        <w:t> </w:t>
      </w:r>
      <w:r>
        <w:rPr>
          <w:rFonts w:ascii="ARIAL" w:hAnsi="ARIAL"/>
          <w:i/>
          <w:sz w:val="20"/>
        </w:rPr>
        <w:t xml:space="preserve">&amp; other income, net </w:t>
      </w:r>
      <w:r>
        <w:rPr>
          <w:rFonts w:ascii="ARIAL" w:hAnsi="ARIAL"/>
          <w:sz w:val="20"/>
        </w:rPr>
        <w:t xml:space="preserve">in the </w:t>
      </w:r>
      <w:r>
        <w:rPr>
          <w:rFonts w:ascii="ARIAL" w:hAnsi="ARIAL"/>
          <w:i/>
          <w:sz w:val="20"/>
        </w:rPr>
        <w:t xml:space="preserve">Condensed Consolidated Statement of Income.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rPr/>
      </w:pPr>
      <w:r>
        <w:rPr/>
      </w:r>
    </w:p>
    <w:p>
      <w:pPr>
        <w:pStyle w:val="TextBody"/>
        <w:spacing w:before="0" w:after="0"/>
        <w:jc w:val="left"/>
        <w:rPr>
          <w:rFonts w:ascii="ARIAL" w:hAnsi="ARIAL"/>
          <w:b/>
          <w:sz w:val="20"/>
        </w:rPr>
      </w:pPr>
      <w:r>
        <w:rPr>
          <w:rFonts w:ascii="ARIAL" w:hAnsi="ARIAL"/>
          <w:b/>
          <w:sz w:val="20"/>
        </w:rPr>
        <w:t xml:space="preserve">Divisions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930"/>
        <w:gridCol w:w="181"/>
        <w:gridCol w:w="938"/>
        <w:gridCol w:w="129"/>
        <w:gridCol w:w="783"/>
        <w:gridCol w:w="129"/>
        <w:gridCol w:w="176"/>
        <w:gridCol w:w="708"/>
        <w:gridCol w:w="125"/>
        <w:gridCol w:w="129"/>
        <w:gridCol w:w="148"/>
        <w:gridCol w:w="577"/>
        <w:gridCol w:w="125"/>
        <w:gridCol w:w="128"/>
        <w:gridCol w:w="176"/>
        <w:gridCol w:w="708"/>
        <w:gridCol w:w="125"/>
        <w:gridCol w:w="129"/>
        <w:gridCol w:w="174"/>
        <w:gridCol w:w="554"/>
        <w:gridCol w:w="133"/>
      </w:tblGrid>
      <w:tr>
        <w:trPr/>
        <w:tc>
          <w:tcPr>
            <w:tcW w:w="393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10072" w:type="dxa"/>
            <w:gridSpan w:val="20"/>
            <w:tcBorders/>
            <w:shd w:fill="auto" w:val="clear"/>
            <w:vAlign w:val="bottom"/>
          </w:tcPr>
          <w:p>
            <w:pPr>
              <w:pStyle w:val="TableContents"/>
              <w:spacing w:before="0" w:after="283"/>
              <w:jc w:val="right"/>
              <w:rPr/>
            </w:pPr>
            <w:r>
              <w:rPr/>
              <w:t>(Stated in millions)</w:t>
            </w:r>
          </w:p>
        </w:tc>
        <w:tc>
          <w:tcPr>
            <w:tcW w:w="133" w:type="dxa"/>
            <w:tcBorders/>
            <w:shd w:fill="auto" w:val="clear"/>
            <w:vAlign w:val="bottom"/>
          </w:tcPr>
          <w:p>
            <w:pPr>
              <w:pStyle w:val="TableContents"/>
              <w:spacing w:before="0" w:after="283"/>
              <w:rPr/>
            </w:pPr>
            <w:r>
              <w:rPr/>
              <w:t> </w:t>
            </w:r>
          </w:p>
        </w:tc>
      </w:tr>
      <w:tr>
        <w:trPr/>
        <w:tc>
          <w:tcPr>
            <w:tcW w:w="393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5961" w:type="dxa"/>
            <w:gridSpan w:val="18"/>
            <w:tcBorders>
              <w:bottom w:val="single" w:sz="8" w:space="0" w:color="000000"/>
            </w:tcBorders>
            <w:shd w:fill="auto" w:val="clear"/>
            <w:tcMar>
              <w:bottom w:w="28" w:type="dxa"/>
            </w:tcMar>
            <w:vAlign w:val="bottom"/>
          </w:tcPr>
          <w:p>
            <w:pPr>
              <w:pStyle w:val="TableContents"/>
              <w:spacing w:before="0" w:after="283"/>
              <w:jc w:val="center"/>
              <w:rPr/>
            </w:pPr>
            <w:r>
              <w:rPr/>
              <w:t>Three Months Ended</w:t>
            </w:r>
          </w:p>
        </w:tc>
        <w:tc>
          <w:tcPr>
            <w:tcW w:w="133" w:type="dxa"/>
            <w:tcBorders/>
            <w:shd w:fill="auto" w:val="clear"/>
            <w:vAlign w:val="bottom"/>
          </w:tcPr>
          <w:p>
            <w:pPr>
              <w:pStyle w:val="TableContents"/>
              <w:spacing w:before="0" w:after="283"/>
              <w:rPr/>
            </w:pPr>
            <w:r>
              <w:rPr/>
              <w:t> </w:t>
            </w:r>
          </w:p>
        </w:tc>
      </w:tr>
      <w:tr>
        <w:trPr/>
        <w:tc>
          <w:tcPr>
            <w:tcW w:w="393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850" w:type="dxa"/>
            <w:gridSpan w:val="3"/>
            <w:tcBorders>
              <w:bottom w:val="single" w:sz="8" w:space="0" w:color="000000"/>
            </w:tcBorders>
            <w:shd w:fill="auto" w:val="clear"/>
            <w:tcMar>
              <w:bottom w:w="28" w:type="dxa"/>
            </w:tcMar>
            <w:vAlign w:val="bottom"/>
          </w:tcPr>
          <w:p>
            <w:pPr>
              <w:pStyle w:val="TableContents"/>
              <w:spacing w:before="0" w:after="283"/>
              <w:jc w:val="center"/>
              <w:rPr/>
            </w:pPr>
            <w:r>
              <w:rPr/>
              <w:t>Mar. 31, 2023</w:t>
            </w:r>
          </w:p>
        </w:tc>
        <w:tc>
          <w:tcPr>
            <w:tcW w:w="129" w:type="dxa"/>
            <w:tcBorders/>
            <w:shd w:fill="auto" w:val="clear"/>
            <w:vAlign w:val="bottom"/>
          </w:tcPr>
          <w:p>
            <w:pPr>
              <w:pStyle w:val="TableContents"/>
              <w:spacing w:before="0" w:after="283"/>
              <w:rPr/>
            </w:pPr>
            <w:r>
              <w:rPr/>
              <w:t> </w:t>
            </w:r>
          </w:p>
        </w:tc>
        <w:tc>
          <w:tcPr>
            <w:tcW w:w="1863" w:type="dxa"/>
            <w:gridSpan w:val="6"/>
            <w:tcBorders>
              <w:bottom w:val="single" w:sz="8" w:space="0" w:color="000000"/>
            </w:tcBorders>
            <w:shd w:fill="auto" w:val="clear"/>
            <w:tcMar>
              <w:bottom w:w="28" w:type="dxa"/>
            </w:tcMar>
            <w:vAlign w:val="bottom"/>
          </w:tcPr>
          <w:p>
            <w:pPr>
              <w:pStyle w:val="TableContents"/>
              <w:spacing w:before="0" w:after="283"/>
              <w:jc w:val="center"/>
              <w:rPr/>
            </w:pPr>
            <w:r>
              <w:rPr/>
              <w:t>Dec. 31, 2022</w:t>
            </w:r>
          </w:p>
        </w:tc>
        <w:tc>
          <w:tcPr>
            <w:tcW w:w="12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866" w:type="dxa"/>
            <w:gridSpan w:val="6"/>
            <w:tcBorders>
              <w:bottom w:val="single" w:sz="8" w:space="0" w:color="000000"/>
            </w:tcBorders>
            <w:shd w:fill="auto" w:val="clear"/>
            <w:tcMar>
              <w:bottom w:w="28" w:type="dxa"/>
            </w:tcMar>
            <w:vAlign w:val="bottom"/>
          </w:tcPr>
          <w:p>
            <w:pPr>
              <w:pStyle w:val="TableContents"/>
              <w:spacing w:before="0" w:after="283"/>
              <w:jc w:val="center"/>
              <w:rPr/>
            </w:pPr>
            <w:r>
              <w:rPr/>
              <w:t>Mar. 31, 2022</w:t>
            </w:r>
          </w:p>
        </w:tc>
        <w:tc>
          <w:tcPr>
            <w:tcW w:w="133" w:type="dxa"/>
            <w:tcBorders/>
            <w:shd w:fill="auto" w:val="clear"/>
            <w:vAlign w:val="bottom"/>
          </w:tcPr>
          <w:p>
            <w:pPr>
              <w:pStyle w:val="TableContents"/>
              <w:spacing w:before="0" w:after="283"/>
              <w:rPr/>
            </w:pPr>
            <w:r>
              <w:rPr/>
              <w:t> </w:t>
            </w:r>
          </w:p>
        </w:tc>
      </w:tr>
      <w:tr>
        <w:trPr/>
        <w:tc>
          <w:tcPr>
            <w:tcW w:w="393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938" w:type="dxa"/>
            <w:tcBorders>
              <w:bottom w:val="single" w:sz="8" w:space="0" w:color="000000"/>
            </w:tcBorders>
            <w:shd w:fill="auto" w:val="clear"/>
            <w:tcMar>
              <w:bottom w:w="28" w:type="dxa"/>
            </w:tcMar>
            <w:vAlign w:val="bottom"/>
          </w:tcPr>
          <w:p>
            <w:pPr>
              <w:pStyle w:val="TableContents"/>
              <w:spacing w:before="0" w:after="283"/>
              <w:jc w:val="center"/>
              <w:rPr>
                <w:b/>
              </w:rPr>
            </w:pPr>
            <w:r>
              <w:rPr>
                <w:b/>
              </w:rPr>
              <w:t>Revenue</w:t>
            </w:r>
          </w:p>
        </w:tc>
        <w:tc>
          <w:tcPr>
            <w:tcW w:w="129" w:type="dxa"/>
            <w:tcBorders/>
            <w:shd w:fill="auto" w:val="clear"/>
            <w:vAlign w:val="bottom"/>
          </w:tcPr>
          <w:p>
            <w:pPr>
              <w:pStyle w:val="TableContents"/>
              <w:spacing w:before="0" w:after="283"/>
              <w:rPr/>
            </w:pPr>
            <w:r>
              <w:rPr/>
              <w:t> </w:t>
            </w:r>
          </w:p>
        </w:tc>
        <w:tc>
          <w:tcPr>
            <w:tcW w:w="783" w:type="dxa"/>
            <w:tcBorders>
              <w:bottom w:val="single" w:sz="8" w:space="0" w:color="000000"/>
            </w:tcBorders>
            <w:shd w:fill="auto" w:val="clear"/>
            <w:tcMar>
              <w:bottom w:w="28" w:type="dxa"/>
            </w:tcMar>
            <w:vAlign w:val="bottom"/>
          </w:tcPr>
          <w:p>
            <w:pPr>
              <w:pStyle w:val="TableContents"/>
              <w:spacing w:before="0" w:after="283"/>
              <w:jc w:val="center"/>
              <w:rPr>
                <w:b/>
              </w:rPr>
            </w:pPr>
            <w:r>
              <w:rPr>
                <w:b/>
              </w:rPr>
              <w:t>Income</w:t>
              <w:br/>
              <w:t>Before</w:t>
              <w:br/>
              <w:t>Taxes</w:t>
            </w:r>
          </w:p>
        </w:tc>
        <w:tc>
          <w:tcPr>
            <w:tcW w:w="129" w:type="dxa"/>
            <w:tcBorders/>
            <w:shd w:fill="auto" w:val="clear"/>
            <w:vAlign w:val="bottom"/>
          </w:tcPr>
          <w:p>
            <w:pPr>
              <w:pStyle w:val="TableContents"/>
              <w:spacing w:before="0" w:after="283"/>
              <w:rPr/>
            </w:pPr>
            <w:r>
              <w:rPr/>
              <w:t> </w:t>
            </w:r>
          </w:p>
        </w:tc>
        <w:tc>
          <w:tcPr>
            <w:tcW w:w="884" w:type="dxa"/>
            <w:gridSpan w:val="2"/>
            <w:tcBorders>
              <w:bottom w:val="single" w:sz="8" w:space="0" w:color="000000"/>
            </w:tcBorders>
            <w:shd w:fill="auto" w:val="clear"/>
            <w:tcMar>
              <w:bottom w:w="28" w:type="dxa"/>
            </w:tcMar>
            <w:vAlign w:val="bottom"/>
          </w:tcPr>
          <w:p>
            <w:pPr>
              <w:pStyle w:val="TableContents"/>
              <w:spacing w:before="0" w:after="283"/>
              <w:jc w:val="center"/>
              <w:rPr/>
            </w:pPr>
            <w:r>
              <w:rPr/>
              <w:t>Revenue</w:t>
            </w:r>
          </w:p>
        </w:tc>
        <w:tc>
          <w:tcPr>
            <w:tcW w:w="12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725" w:type="dxa"/>
            <w:gridSpan w:val="2"/>
            <w:tcBorders>
              <w:bottom w:val="single" w:sz="8" w:space="0" w:color="000000"/>
            </w:tcBorders>
            <w:shd w:fill="auto" w:val="clear"/>
            <w:tcMar>
              <w:bottom w:w="28" w:type="dxa"/>
            </w:tcMar>
            <w:vAlign w:val="bottom"/>
          </w:tcPr>
          <w:p>
            <w:pPr>
              <w:pStyle w:val="TableContents"/>
              <w:spacing w:before="0" w:after="283"/>
              <w:jc w:val="center"/>
              <w:rPr/>
            </w:pPr>
            <w:r>
              <w:rPr/>
              <w:t>Income</w:t>
              <w:br/>
              <w:t>Before</w:t>
              <w:br/>
              <w:t>Taxes</w:t>
            </w:r>
          </w:p>
        </w:tc>
        <w:tc>
          <w:tcPr>
            <w:tcW w:w="12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884" w:type="dxa"/>
            <w:gridSpan w:val="2"/>
            <w:tcBorders>
              <w:bottom w:val="single" w:sz="8" w:space="0" w:color="000000"/>
            </w:tcBorders>
            <w:shd w:fill="auto" w:val="clear"/>
            <w:tcMar>
              <w:bottom w:w="28" w:type="dxa"/>
            </w:tcMar>
            <w:vAlign w:val="bottom"/>
          </w:tcPr>
          <w:p>
            <w:pPr>
              <w:pStyle w:val="TableContents"/>
              <w:spacing w:before="0" w:after="283"/>
              <w:jc w:val="center"/>
              <w:rPr/>
            </w:pPr>
            <w:r>
              <w:rPr/>
              <w:t>Revenue</w:t>
            </w:r>
          </w:p>
        </w:tc>
        <w:tc>
          <w:tcPr>
            <w:tcW w:w="12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728" w:type="dxa"/>
            <w:gridSpan w:val="2"/>
            <w:tcBorders>
              <w:bottom w:val="single" w:sz="8" w:space="0" w:color="000000"/>
            </w:tcBorders>
            <w:shd w:fill="auto" w:val="clear"/>
            <w:tcMar>
              <w:bottom w:w="28" w:type="dxa"/>
            </w:tcMar>
            <w:vAlign w:val="bottom"/>
          </w:tcPr>
          <w:p>
            <w:pPr>
              <w:pStyle w:val="TableContents"/>
              <w:spacing w:before="0" w:after="283"/>
              <w:jc w:val="center"/>
              <w:rPr/>
            </w:pPr>
            <w:r>
              <w:rPr/>
              <w:t>Income</w:t>
              <w:br/>
              <w:t>Before</w:t>
              <w:br/>
              <w:t>Taxes</w:t>
            </w:r>
          </w:p>
        </w:tc>
        <w:tc>
          <w:tcPr>
            <w:tcW w:w="133" w:type="dxa"/>
            <w:tcBorders/>
            <w:shd w:fill="auto" w:val="clear"/>
            <w:vAlign w:val="bottom"/>
          </w:tcPr>
          <w:p>
            <w:pPr>
              <w:pStyle w:val="TableContents"/>
              <w:spacing w:before="0" w:after="283"/>
              <w:rPr/>
            </w:pPr>
            <w:r>
              <w:rPr/>
              <w:t> </w:t>
            </w:r>
          </w:p>
        </w:tc>
      </w:tr>
      <w:tr>
        <w:trPr/>
        <w:tc>
          <w:tcPr>
            <w:tcW w:w="3930" w:type="dxa"/>
            <w:tcBorders/>
            <w:shd w:fill="CCEEFF" w:val="clear"/>
          </w:tcPr>
          <w:p>
            <w:pPr>
              <w:pStyle w:val="TableContents"/>
              <w:spacing w:before="0" w:after="0"/>
              <w:rPr>
                <w:rFonts w:ascii="ARIAL" w:hAnsi="ARIAL"/>
                <w:sz w:val="20"/>
              </w:rPr>
            </w:pPr>
            <w:r>
              <w:rPr>
                <w:rFonts w:ascii="ARIAL" w:hAnsi="ARIAL"/>
                <w:sz w:val="20"/>
              </w:rPr>
              <w:t>Digital &amp; Integration</w:t>
            </w:r>
          </w:p>
        </w:tc>
        <w:tc>
          <w:tcPr>
            <w:tcW w:w="181"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center"/>
              <w:rPr>
                <w:b/>
              </w:rPr>
            </w:pPr>
            <w:r>
              <w:rPr>
                <w:b/>
              </w:rPr>
              <w:t>$894</w:t>
            </w:r>
          </w:p>
        </w:tc>
        <w:tc>
          <w:tcPr>
            <w:tcW w:w="129"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jc w:val="center"/>
              <w:rPr>
                <w:b/>
              </w:rPr>
            </w:pPr>
            <w:r>
              <w:rPr>
                <w:b/>
              </w:rPr>
              <w:t>$265</w:t>
            </w:r>
          </w:p>
        </w:tc>
        <w:tc>
          <w:tcPr>
            <w:tcW w:w="129"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sz w:val="20"/>
              </w:rPr>
            </w:pPr>
            <w:r>
              <w:rPr>
                <w:sz w:val="20"/>
              </w:rPr>
              <w:t>$</w:t>
            </w:r>
          </w:p>
        </w:tc>
        <w:tc>
          <w:tcPr>
            <w:tcW w:w="708" w:type="dxa"/>
            <w:tcBorders/>
            <w:shd w:fill="CCEEFF" w:val="clear"/>
            <w:vAlign w:val="bottom"/>
          </w:tcPr>
          <w:p>
            <w:pPr>
              <w:pStyle w:val="TableContents"/>
              <w:spacing w:before="0" w:after="283"/>
              <w:jc w:val="right"/>
              <w:rPr>
                <w:sz w:val="20"/>
              </w:rPr>
            </w:pPr>
            <w:r>
              <w:rPr>
                <w:sz w:val="20"/>
              </w:rPr>
              <w:t>1,012</w:t>
            </w:r>
          </w:p>
        </w:tc>
        <w:tc>
          <w:tcPr>
            <w:tcW w:w="12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20"/>
              </w:rPr>
            </w:pPr>
            <w:r>
              <w:rPr>
                <w:sz w:val="20"/>
              </w:rPr>
              <w:t>$</w:t>
            </w:r>
          </w:p>
        </w:tc>
        <w:tc>
          <w:tcPr>
            <w:tcW w:w="577" w:type="dxa"/>
            <w:tcBorders/>
            <w:shd w:fill="CCEEFF" w:val="clear"/>
            <w:vAlign w:val="bottom"/>
          </w:tcPr>
          <w:p>
            <w:pPr>
              <w:pStyle w:val="TableContents"/>
              <w:spacing w:before="0" w:after="283"/>
              <w:jc w:val="right"/>
              <w:rPr>
                <w:sz w:val="20"/>
              </w:rPr>
            </w:pPr>
            <w:r>
              <w:rPr>
                <w:sz w:val="20"/>
              </w:rPr>
              <w:t>382</w:t>
            </w:r>
          </w:p>
        </w:tc>
        <w:tc>
          <w:tcPr>
            <w:tcW w:w="12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sz w:val="20"/>
              </w:rPr>
            </w:pPr>
            <w:r>
              <w:rPr>
                <w:sz w:val="20"/>
              </w:rPr>
              <w:t>$</w:t>
            </w:r>
          </w:p>
        </w:tc>
        <w:tc>
          <w:tcPr>
            <w:tcW w:w="708" w:type="dxa"/>
            <w:tcBorders/>
            <w:shd w:fill="CCEEFF" w:val="clear"/>
            <w:vAlign w:val="bottom"/>
          </w:tcPr>
          <w:p>
            <w:pPr>
              <w:pStyle w:val="TableContents"/>
              <w:spacing w:before="0" w:after="283"/>
              <w:jc w:val="right"/>
              <w:rPr>
                <w:sz w:val="20"/>
              </w:rPr>
            </w:pPr>
            <w:r>
              <w:rPr>
                <w:sz w:val="20"/>
              </w:rPr>
              <w:t>857</w:t>
            </w:r>
          </w:p>
        </w:tc>
        <w:tc>
          <w:tcPr>
            <w:tcW w:w="12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20"/>
              </w:rPr>
            </w:pPr>
            <w:r>
              <w:rPr>
                <w:sz w:val="20"/>
              </w:rPr>
              <w:t>$</w:t>
            </w:r>
          </w:p>
        </w:tc>
        <w:tc>
          <w:tcPr>
            <w:tcW w:w="554" w:type="dxa"/>
            <w:tcBorders/>
            <w:shd w:fill="CCEEFF" w:val="clear"/>
            <w:vAlign w:val="bottom"/>
          </w:tcPr>
          <w:p>
            <w:pPr>
              <w:pStyle w:val="TableContents"/>
              <w:spacing w:before="0" w:after="283"/>
              <w:jc w:val="right"/>
              <w:rPr>
                <w:sz w:val="20"/>
              </w:rPr>
            </w:pPr>
            <w:r>
              <w:rPr>
                <w:sz w:val="20"/>
              </w:rPr>
              <w:t>292</w:t>
            </w:r>
          </w:p>
        </w:tc>
        <w:tc>
          <w:tcPr>
            <w:tcW w:w="133" w:type="dxa"/>
            <w:tcBorders/>
            <w:shd w:fill="CCEEFF" w:val="clear"/>
            <w:vAlign w:val="bottom"/>
          </w:tcPr>
          <w:p>
            <w:pPr>
              <w:pStyle w:val="TableContents"/>
              <w:spacing w:before="0" w:after="283"/>
              <w:rPr/>
            </w:pPr>
            <w:r>
              <w:rPr/>
              <w:t> </w:t>
            </w:r>
          </w:p>
        </w:tc>
      </w:tr>
      <w:tr>
        <w:trPr/>
        <w:tc>
          <w:tcPr>
            <w:tcW w:w="3930" w:type="dxa"/>
            <w:tcBorders/>
            <w:shd w:fill="auto" w:val="clear"/>
          </w:tcPr>
          <w:p>
            <w:pPr>
              <w:pStyle w:val="TableContents"/>
              <w:spacing w:before="0" w:after="0"/>
              <w:rPr>
                <w:rFonts w:ascii="ARIAL" w:hAnsi="ARIAL"/>
                <w:sz w:val="20"/>
              </w:rPr>
            </w:pPr>
            <w:r>
              <w:rPr>
                <w:rFonts w:ascii="ARIAL" w:hAnsi="ARIAL"/>
                <w:sz w:val="20"/>
              </w:rPr>
              <w:t>Reservoir Performance</w:t>
            </w:r>
          </w:p>
        </w:tc>
        <w:tc>
          <w:tcPr>
            <w:tcW w:w="181"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center"/>
              <w:rPr>
                <w:b/>
              </w:rPr>
            </w:pPr>
            <w:r>
              <w:rPr>
                <w:b/>
              </w:rPr>
              <w:t>1,503</w:t>
            </w:r>
          </w:p>
        </w:tc>
        <w:tc>
          <w:tcPr>
            <w:tcW w:w="129"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jc w:val="center"/>
              <w:rPr>
                <w:b/>
              </w:rPr>
            </w:pPr>
            <w:r>
              <w:rPr>
                <w:b/>
              </w:rPr>
              <w:t>242</w:t>
            </w:r>
          </w:p>
        </w:tc>
        <w:tc>
          <w:tcPr>
            <w:tcW w:w="12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sz w:val="20"/>
              </w:rPr>
            </w:pPr>
            <w:r>
              <w:rPr>
                <w:sz w:val="20"/>
              </w:rPr>
              <w:t>1,554</w:t>
            </w:r>
          </w:p>
        </w:tc>
        <w:tc>
          <w:tcPr>
            <w:tcW w:w="12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sz w:val="20"/>
              </w:rPr>
            </w:pPr>
            <w:r>
              <w:rPr>
                <w:sz w:val="20"/>
              </w:rPr>
              <w:t>282</w:t>
            </w:r>
          </w:p>
        </w:tc>
        <w:tc>
          <w:tcPr>
            <w:tcW w:w="12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sz w:val="20"/>
              </w:rPr>
            </w:pPr>
            <w:r>
              <w:rPr>
                <w:sz w:val="20"/>
              </w:rPr>
              <w:t>1,210</w:t>
            </w:r>
          </w:p>
        </w:tc>
        <w:tc>
          <w:tcPr>
            <w:tcW w:w="12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sz w:val="20"/>
              </w:rPr>
            </w:pPr>
            <w:r>
              <w:rPr>
                <w:sz w:val="20"/>
              </w:rPr>
              <w:t>160</w:t>
            </w:r>
          </w:p>
        </w:tc>
        <w:tc>
          <w:tcPr>
            <w:tcW w:w="133" w:type="dxa"/>
            <w:tcBorders/>
            <w:shd w:fill="auto" w:val="clear"/>
            <w:vAlign w:val="bottom"/>
          </w:tcPr>
          <w:p>
            <w:pPr>
              <w:pStyle w:val="TableContents"/>
              <w:spacing w:before="0" w:after="283"/>
              <w:rPr/>
            </w:pPr>
            <w:r>
              <w:rPr/>
              <w:t> </w:t>
            </w:r>
          </w:p>
        </w:tc>
      </w:tr>
      <w:tr>
        <w:trPr/>
        <w:tc>
          <w:tcPr>
            <w:tcW w:w="3930" w:type="dxa"/>
            <w:tcBorders/>
            <w:shd w:fill="CCEEFF" w:val="clear"/>
          </w:tcPr>
          <w:p>
            <w:pPr>
              <w:pStyle w:val="TableContents"/>
              <w:spacing w:before="0" w:after="0"/>
              <w:rPr>
                <w:rFonts w:ascii="ARIAL" w:hAnsi="ARIAL"/>
                <w:sz w:val="20"/>
              </w:rPr>
            </w:pPr>
            <w:r>
              <w:rPr>
                <w:rFonts w:ascii="ARIAL" w:hAnsi="ARIAL"/>
                <w:sz w:val="20"/>
              </w:rPr>
              <w:t>Well Construction</w:t>
            </w:r>
          </w:p>
        </w:tc>
        <w:tc>
          <w:tcPr>
            <w:tcW w:w="181"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center"/>
              <w:rPr>
                <w:b/>
              </w:rPr>
            </w:pPr>
            <w:r>
              <w:rPr>
                <w:b/>
              </w:rPr>
              <w:t>3,261</w:t>
            </w:r>
          </w:p>
        </w:tc>
        <w:tc>
          <w:tcPr>
            <w:tcW w:w="129"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jc w:val="center"/>
              <w:rPr>
                <w:b/>
              </w:rPr>
            </w:pPr>
            <w:r>
              <w:rPr>
                <w:b/>
              </w:rPr>
              <w:t>672</w:t>
            </w:r>
          </w:p>
        </w:tc>
        <w:tc>
          <w:tcPr>
            <w:tcW w:w="129"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sz w:val="20"/>
              </w:rPr>
            </w:pPr>
            <w:r>
              <w:rPr>
                <w:sz w:val="20"/>
              </w:rPr>
              <w:t>3,229</w:t>
            </w:r>
          </w:p>
        </w:tc>
        <w:tc>
          <w:tcPr>
            <w:tcW w:w="12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jc w:val="right"/>
              <w:rPr>
                <w:sz w:val="20"/>
              </w:rPr>
            </w:pPr>
            <w:r>
              <w:rPr>
                <w:sz w:val="20"/>
              </w:rPr>
              <w:t>679</w:t>
            </w:r>
          </w:p>
        </w:tc>
        <w:tc>
          <w:tcPr>
            <w:tcW w:w="12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sz w:val="20"/>
              </w:rPr>
            </w:pPr>
            <w:r>
              <w:rPr>
                <w:sz w:val="20"/>
              </w:rPr>
              <w:t>2,398</w:t>
            </w:r>
          </w:p>
        </w:tc>
        <w:tc>
          <w:tcPr>
            <w:tcW w:w="12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sz w:val="20"/>
              </w:rPr>
            </w:pPr>
            <w:r>
              <w:rPr>
                <w:sz w:val="20"/>
              </w:rPr>
              <w:t>388</w:t>
            </w:r>
          </w:p>
        </w:tc>
        <w:tc>
          <w:tcPr>
            <w:tcW w:w="133" w:type="dxa"/>
            <w:tcBorders/>
            <w:shd w:fill="CCEEFF" w:val="clear"/>
            <w:vAlign w:val="bottom"/>
          </w:tcPr>
          <w:p>
            <w:pPr>
              <w:pStyle w:val="TableContents"/>
              <w:spacing w:before="0" w:after="283"/>
              <w:rPr/>
            </w:pPr>
            <w:r>
              <w:rPr/>
              <w:t> </w:t>
            </w:r>
          </w:p>
        </w:tc>
      </w:tr>
      <w:tr>
        <w:trPr/>
        <w:tc>
          <w:tcPr>
            <w:tcW w:w="3930" w:type="dxa"/>
            <w:tcBorders/>
            <w:shd w:fill="auto" w:val="clear"/>
          </w:tcPr>
          <w:p>
            <w:pPr>
              <w:pStyle w:val="TableContents"/>
              <w:spacing w:before="0" w:after="0"/>
              <w:rPr>
                <w:rFonts w:ascii="ARIAL" w:hAnsi="ARIAL"/>
                <w:sz w:val="20"/>
              </w:rPr>
            </w:pPr>
            <w:r>
              <w:rPr>
                <w:rFonts w:ascii="ARIAL" w:hAnsi="ARIAL"/>
                <w:sz w:val="20"/>
              </w:rPr>
              <w:t>Production Systems</w:t>
            </w:r>
          </w:p>
        </w:tc>
        <w:tc>
          <w:tcPr>
            <w:tcW w:w="181"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center"/>
              <w:rPr>
                <w:b/>
              </w:rPr>
            </w:pPr>
            <w:r>
              <w:rPr>
                <w:b/>
              </w:rPr>
              <w:t>2,207</w:t>
            </w:r>
          </w:p>
        </w:tc>
        <w:tc>
          <w:tcPr>
            <w:tcW w:w="129"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jc w:val="center"/>
              <w:rPr>
                <w:b/>
              </w:rPr>
            </w:pPr>
            <w:r>
              <w:rPr>
                <w:b/>
              </w:rPr>
              <w:t>205</w:t>
            </w:r>
          </w:p>
        </w:tc>
        <w:tc>
          <w:tcPr>
            <w:tcW w:w="12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sz w:val="20"/>
              </w:rPr>
            </w:pPr>
            <w:r>
              <w:rPr>
                <w:sz w:val="20"/>
              </w:rPr>
              <w:t>2,215</w:t>
            </w:r>
          </w:p>
        </w:tc>
        <w:tc>
          <w:tcPr>
            <w:tcW w:w="12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sz w:val="20"/>
              </w:rPr>
            </w:pPr>
            <w:r>
              <w:rPr>
                <w:sz w:val="20"/>
              </w:rPr>
              <w:t>238</w:t>
            </w:r>
          </w:p>
        </w:tc>
        <w:tc>
          <w:tcPr>
            <w:tcW w:w="12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sz w:val="20"/>
              </w:rPr>
            </w:pPr>
            <w:r>
              <w:rPr>
                <w:sz w:val="20"/>
              </w:rPr>
              <w:t>1,604</w:t>
            </w:r>
          </w:p>
        </w:tc>
        <w:tc>
          <w:tcPr>
            <w:tcW w:w="12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sz w:val="20"/>
              </w:rPr>
            </w:pPr>
            <w:r>
              <w:rPr>
                <w:sz w:val="20"/>
              </w:rPr>
              <w:t>114</w:t>
            </w:r>
          </w:p>
        </w:tc>
        <w:tc>
          <w:tcPr>
            <w:tcW w:w="133" w:type="dxa"/>
            <w:tcBorders/>
            <w:shd w:fill="auto" w:val="clear"/>
            <w:vAlign w:val="bottom"/>
          </w:tcPr>
          <w:p>
            <w:pPr>
              <w:pStyle w:val="TableContents"/>
              <w:spacing w:before="0" w:after="283"/>
              <w:rPr/>
            </w:pPr>
            <w:r>
              <w:rPr/>
              <w:t> </w:t>
            </w:r>
          </w:p>
        </w:tc>
      </w:tr>
      <w:tr>
        <w:trPr/>
        <w:tc>
          <w:tcPr>
            <w:tcW w:w="3930" w:type="dxa"/>
            <w:tcBorders/>
            <w:shd w:fill="CCEEFF" w:val="clear"/>
          </w:tcPr>
          <w:p>
            <w:pPr>
              <w:pStyle w:val="TableContents"/>
              <w:spacing w:before="0" w:after="0"/>
              <w:rPr>
                <w:rFonts w:ascii="ARIAL" w:hAnsi="ARIAL"/>
                <w:sz w:val="20"/>
              </w:rPr>
            </w:pPr>
            <w:r>
              <w:rPr>
                <w:rFonts w:ascii="ARIAL" w:hAnsi="ARIAL"/>
                <w:sz w:val="20"/>
              </w:rPr>
              <w:t>Eliminations &amp; other</w:t>
            </w:r>
          </w:p>
        </w:tc>
        <w:tc>
          <w:tcPr>
            <w:tcW w:w="181"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center"/>
              <w:rPr>
                <w:b/>
              </w:rPr>
            </w:pPr>
            <w:r>
              <w:rPr>
                <w:b/>
              </w:rPr>
              <w:t>(129)</w:t>
            </w:r>
          </w:p>
        </w:tc>
        <w:tc>
          <w:tcPr>
            <w:tcW w:w="129"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jc w:val="center"/>
              <w:rPr>
                <w:b/>
              </w:rPr>
            </w:pPr>
            <w:r>
              <w:rPr>
                <w:b/>
              </w:rPr>
              <w:t>7</w:t>
            </w:r>
          </w:p>
        </w:tc>
        <w:tc>
          <w:tcPr>
            <w:tcW w:w="129"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sz w:val="20"/>
              </w:rPr>
            </w:pPr>
            <w:r>
              <w:rPr>
                <w:sz w:val="20"/>
              </w:rPr>
              <w:t>(131</w:t>
            </w:r>
          </w:p>
        </w:tc>
        <w:tc>
          <w:tcPr>
            <w:tcW w:w="125" w:type="dxa"/>
            <w:tcBorders/>
            <w:shd w:fill="CCEEFF" w:val="clear"/>
            <w:vAlign w:val="bottom"/>
          </w:tcPr>
          <w:p>
            <w:pPr>
              <w:pStyle w:val="TableContents"/>
              <w:spacing w:before="0" w:after="283"/>
              <w:rPr>
                <w:sz w:val="20"/>
              </w:rPr>
            </w:pPr>
            <w:r>
              <w:rPr>
                <w:sz w:val="20"/>
              </w:rPr>
              <w:t>) </w:t>
            </w:r>
          </w:p>
        </w:tc>
        <w:tc>
          <w:tcPr>
            <w:tcW w:w="129"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jc w:val="right"/>
              <w:rPr>
                <w:sz w:val="20"/>
              </w:rPr>
            </w:pPr>
            <w:r>
              <w:rPr>
                <w:sz w:val="20"/>
              </w:rPr>
              <w:t>(24</w:t>
            </w:r>
          </w:p>
        </w:tc>
        <w:tc>
          <w:tcPr>
            <w:tcW w:w="125" w:type="dxa"/>
            <w:tcBorders/>
            <w:shd w:fill="CCEEFF" w:val="clear"/>
            <w:vAlign w:val="bottom"/>
          </w:tcPr>
          <w:p>
            <w:pPr>
              <w:pStyle w:val="TableContents"/>
              <w:spacing w:before="0" w:after="283"/>
              <w:rPr>
                <w:sz w:val="20"/>
              </w:rPr>
            </w:pPr>
            <w:r>
              <w:rPr>
                <w:sz w:val="20"/>
              </w:rPr>
              <w:t>) </w:t>
            </w:r>
          </w:p>
        </w:tc>
        <w:tc>
          <w:tcPr>
            <w:tcW w:w="12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708" w:type="dxa"/>
            <w:tcBorders/>
            <w:shd w:fill="CCEEFF" w:val="clear"/>
            <w:vAlign w:val="bottom"/>
          </w:tcPr>
          <w:p>
            <w:pPr>
              <w:pStyle w:val="TableContents"/>
              <w:spacing w:before="0" w:after="283"/>
              <w:jc w:val="right"/>
              <w:rPr>
                <w:sz w:val="20"/>
              </w:rPr>
            </w:pPr>
            <w:r>
              <w:rPr>
                <w:sz w:val="20"/>
              </w:rPr>
              <w:t>(107</w:t>
            </w:r>
          </w:p>
        </w:tc>
        <w:tc>
          <w:tcPr>
            <w:tcW w:w="125" w:type="dxa"/>
            <w:tcBorders/>
            <w:shd w:fill="CCEEFF" w:val="clear"/>
            <w:vAlign w:val="bottom"/>
          </w:tcPr>
          <w:p>
            <w:pPr>
              <w:pStyle w:val="TableContents"/>
              <w:spacing w:before="0" w:after="283"/>
              <w:rPr>
                <w:sz w:val="20"/>
              </w:rPr>
            </w:pPr>
            <w:r>
              <w:rPr>
                <w:sz w:val="20"/>
              </w:rPr>
              <w:t>) </w:t>
            </w:r>
          </w:p>
        </w:tc>
        <w:tc>
          <w:tcPr>
            <w:tcW w:w="12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sz w:val="20"/>
              </w:rPr>
            </w:pPr>
            <w:r>
              <w:rPr>
                <w:sz w:val="20"/>
              </w:rPr>
              <w:t>(60</w:t>
            </w:r>
          </w:p>
        </w:tc>
        <w:tc>
          <w:tcPr>
            <w:tcW w:w="133" w:type="dxa"/>
            <w:tcBorders/>
            <w:shd w:fill="CCEEFF" w:val="clear"/>
            <w:vAlign w:val="bottom"/>
          </w:tcPr>
          <w:p>
            <w:pPr>
              <w:pStyle w:val="TableContents"/>
              <w:spacing w:before="0" w:after="283"/>
              <w:rPr>
                <w:sz w:val="20"/>
              </w:rPr>
            </w:pPr>
            <w:r>
              <w:rPr>
                <w:sz w:val="20"/>
              </w:rPr>
              <w:t>) </w:t>
            </w:r>
          </w:p>
        </w:tc>
      </w:tr>
      <w:tr>
        <w:trPr/>
        <w:tc>
          <w:tcPr>
            <w:tcW w:w="393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pBdr>
                <w:top w:val="single" w:sz="2" w:space="1" w:color="000000"/>
              </w:pBdr>
              <w:spacing w:before="0" w:after="0"/>
              <w:rPr/>
            </w:pPr>
            <w:r>
              <w:rPr/>
              <w:t> </w:t>
            </w:r>
          </w:p>
        </w:tc>
        <w:tc>
          <w:tcPr>
            <w:tcW w:w="12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577"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0"/>
              <w:rPr/>
            </w:pPr>
            <w:r>
              <w:rPr/>
              <w:t> </w:t>
            </w:r>
          </w:p>
        </w:tc>
        <w:tc>
          <w:tcPr>
            <w:tcW w:w="554" w:type="dxa"/>
            <w:tcBorders/>
            <w:shd w:fill="auto" w:val="clear"/>
            <w:vAlign w:val="bottom"/>
          </w:tcPr>
          <w:p>
            <w:pPr>
              <w:pStyle w:val="TableContents"/>
              <w:pBdr>
                <w:top w:val="single" w:sz="2" w:space="1" w:color="000000"/>
              </w:pBdr>
              <w:spacing w:before="0" w:after="0"/>
              <w:rPr/>
            </w:pPr>
            <w:r>
              <w:rPr/>
              <w:t> </w:t>
            </w:r>
          </w:p>
        </w:tc>
        <w:tc>
          <w:tcPr>
            <w:tcW w:w="133" w:type="dxa"/>
            <w:tcBorders/>
            <w:shd w:fill="auto" w:val="clear"/>
            <w:vAlign w:val="center"/>
          </w:tcPr>
          <w:p>
            <w:pPr>
              <w:pStyle w:val="TableContents"/>
              <w:spacing w:before="0" w:after="283"/>
              <w:rPr/>
            </w:pPr>
            <w:r>
              <w:rPr/>
              <w:t> </w:t>
            </w:r>
          </w:p>
        </w:tc>
      </w:tr>
      <w:tr>
        <w:trPr/>
        <w:tc>
          <w:tcPr>
            <w:tcW w:w="5049" w:type="dxa"/>
            <w:gridSpan w:val="3"/>
            <w:tcBorders/>
            <w:shd w:fill="auto" w:val="clear"/>
          </w:tcPr>
          <w:p>
            <w:pPr>
              <w:pStyle w:val="TableContents"/>
              <w:spacing w:before="0" w:after="0"/>
              <w:rPr>
                <w:rFonts w:ascii="ARIAL" w:hAnsi="ARIAL"/>
                <w:sz w:val="20"/>
              </w:rPr>
            </w:pPr>
            <w:r>
              <w:rPr>
                <w:rFonts w:ascii="ARIAL" w:hAnsi="ARIAL"/>
                <w:sz w:val="20"/>
              </w:rPr>
              <w:t>Pretax segment operating income</w:t>
            </w:r>
          </w:p>
        </w:tc>
        <w:tc>
          <w:tcPr>
            <w:tcW w:w="129"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jc w:val="center"/>
              <w:rPr>
                <w:b/>
              </w:rPr>
            </w:pPr>
            <w:r>
              <w:rPr>
                <w:b/>
              </w:rPr>
              <w:t>1,391</w:t>
            </w:r>
          </w:p>
        </w:tc>
        <w:tc>
          <w:tcPr>
            <w:tcW w:w="12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sz w:val="20"/>
              </w:rPr>
            </w:pPr>
            <w:r>
              <w:rPr>
                <w:sz w:val="20"/>
              </w:rPr>
              <w:t>1,557</w:t>
            </w:r>
          </w:p>
        </w:tc>
        <w:tc>
          <w:tcPr>
            <w:tcW w:w="12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sz w:val="20"/>
              </w:rPr>
            </w:pPr>
            <w:r>
              <w:rPr>
                <w:sz w:val="20"/>
              </w:rPr>
              <w:t>894</w:t>
            </w:r>
          </w:p>
        </w:tc>
        <w:tc>
          <w:tcPr>
            <w:tcW w:w="133" w:type="dxa"/>
            <w:tcBorders/>
            <w:shd w:fill="auto" w:val="clear"/>
            <w:vAlign w:val="bottom"/>
          </w:tcPr>
          <w:p>
            <w:pPr>
              <w:pStyle w:val="TableContents"/>
              <w:spacing w:before="0" w:after="283"/>
              <w:rPr/>
            </w:pPr>
            <w:r>
              <w:rPr/>
              <w:t> </w:t>
            </w:r>
          </w:p>
        </w:tc>
      </w:tr>
      <w:tr>
        <w:trPr/>
        <w:tc>
          <w:tcPr>
            <w:tcW w:w="3930" w:type="dxa"/>
            <w:tcBorders/>
            <w:shd w:fill="CCEEFF" w:val="clear"/>
          </w:tcPr>
          <w:p>
            <w:pPr>
              <w:pStyle w:val="TableContents"/>
              <w:spacing w:before="0" w:after="0"/>
              <w:rPr>
                <w:rFonts w:ascii="ARIAL" w:hAnsi="ARIAL"/>
                <w:sz w:val="20"/>
              </w:rPr>
            </w:pPr>
            <w:r>
              <w:rPr>
                <w:rFonts w:ascii="ARIAL" w:hAnsi="ARIAL"/>
                <w:sz w:val="20"/>
              </w:rPr>
              <w:t>Corporate &amp; other</w:t>
            </w:r>
          </w:p>
        </w:tc>
        <w:tc>
          <w:tcPr>
            <w:tcW w:w="181"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jc w:val="center"/>
              <w:rPr>
                <w:b/>
              </w:rPr>
            </w:pPr>
            <w:r>
              <w:rPr>
                <w:b/>
              </w:rPr>
              <w:t>(169)</w:t>
            </w:r>
          </w:p>
        </w:tc>
        <w:tc>
          <w:tcPr>
            <w:tcW w:w="129"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sz w:val="4"/>
                <w:szCs w:val="4"/>
              </w:rPr>
            </w:pPr>
            <w:r>
              <w:rPr>
                <w:sz w:val="4"/>
                <w:szCs w:val="4"/>
              </w:rPr>
            </w:r>
          </w:p>
        </w:tc>
        <w:tc>
          <w:tcPr>
            <w:tcW w:w="70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jc w:val="right"/>
              <w:rPr>
                <w:sz w:val="20"/>
              </w:rPr>
            </w:pPr>
            <w:r>
              <w:rPr>
                <w:sz w:val="20"/>
              </w:rPr>
              <w:t>(169</w:t>
            </w:r>
          </w:p>
        </w:tc>
        <w:tc>
          <w:tcPr>
            <w:tcW w:w="125" w:type="dxa"/>
            <w:tcBorders/>
            <w:shd w:fill="CCEEFF" w:val="clear"/>
            <w:vAlign w:val="bottom"/>
          </w:tcPr>
          <w:p>
            <w:pPr>
              <w:pStyle w:val="TableContents"/>
              <w:spacing w:before="0" w:after="283"/>
              <w:rPr>
                <w:sz w:val="20"/>
              </w:rPr>
            </w:pPr>
            <w:r>
              <w:rPr>
                <w:sz w:val="20"/>
              </w:rPr>
              <w:t>) </w:t>
            </w:r>
          </w:p>
        </w:tc>
        <w:tc>
          <w:tcPr>
            <w:tcW w:w="12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sz w:val="4"/>
                <w:szCs w:val="4"/>
              </w:rPr>
            </w:pPr>
            <w:r>
              <w:rPr>
                <w:sz w:val="4"/>
                <w:szCs w:val="4"/>
              </w:rPr>
            </w:r>
          </w:p>
        </w:tc>
        <w:tc>
          <w:tcPr>
            <w:tcW w:w="70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sz w:val="20"/>
              </w:rPr>
            </w:pPr>
            <w:r>
              <w:rPr>
                <w:sz w:val="20"/>
              </w:rPr>
              <w:t>(164</w:t>
            </w:r>
          </w:p>
        </w:tc>
        <w:tc>
          <w:tcPr>
            <w:tcW w:w="133" w:type="dxa"/>
            <w:tcBorders/>
            <w:shd w:fill="CCEEFF" w:val="clear"/>
            <w:vAlign w:val="bottom"/>
          </w:tcPr>
          <w:p>
            <w:pPr>
              <w:pStyle w:val="TableContents"/>
              <w:spacing w:before="0" w:after="283"/>
              <w:rPr>
                <w:sz w:val="20"/>
              </w:rPr>
            </w:pPr>
            <w:r>
              <w:rPr>
                <w:sz w:val="20"/>
              </w:rPr>
              <w:t>) </w:t>
            </w:r>
          </w:p>
        </w:tc>
      </w:tr>
      <w:tr>
        <w:trPr/>
        <w:tc>
          <w:tcPr>
            <w:tcW w:w="3930" w:type="dxa"/>
            <w:tcBorders/>
            <w:shd w:fill="auto" w:val="clear"/>
          </w:tcPr>
          <w:p>
            <w:pPr>
              <w:pStyle w:val="TableContents"/>
              <w:spacing w:before="0" w:after="0"/>
              <w:rPr>
                <w:rFonts w:ascii="ARIAL" w:hAnsi="ARIAL"/>
                <w:sz w:val="20"/>
              </w:rPr>
            </w:pPr>
            <w:r>
              <w:rPr>
                <w:rFonts w:ascii="ARIAL" w:hAnsi="ARIAL"/>
                <w:sz w:val="20"/>
              </w:rPr>
              <w:t>Interest income(1)</w:t>
            </w:r>
          </w:p>
        </w:tc>
        <w:tc>
          <w:tcPr>
            <w:tcW w:w="181"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jc w:val="center"/>
              <w:rPr>
                <w:b/>
              </w:rPr>
            </w:pPr>
            <w:r>
              <w:rPr>
                <w:b/>
              </w:rPr>
              <w:t>17</w:t>
            </w:r>
          </w:p>
        </w:tc>
        <w:tc>
          <w:tcPr>
            <w:tcW w:w="12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sz w:val="20"/>
              </w:rPr>
            </w:pPr>
            <w:r>
              <w:rPr>
                <w:sz w:val="20"/>
              </w:rPr>
              <w:t>14</w:t>
            </w:r>
          </w:p>
        </w:tc>
        <w:tc>
          <w:tcPr>
            <w:tcW w:w="12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sz w:val="20"/>
              </w:rPr>
            </w:pPr>
            <w:r>
              <w:rPr>
                <w:sz w:val="20"/>
              </w:rPr>
              <w:t>2</w:t>
            </w:r>
          </w:p>
        </w:tc>
        <w:tc>
          <w:tcPr>
            <w:tcW w:w="133" w:type="dxa"/>
            <w:tcBorders/>
            <w:shd w:fill="auto" w:val="clear"/>
            <w:vAlign w:val="bottom"/>
          </w:tcPr>
          <w:p>
            <w:pPr>
              <w:pStyle w:val="TableContents"/>
              <w:spacing w:before="0" w:after="283"/>
              <w:rPr/>
            </w:pPr>
            <w:r>
              <w:rPr/>
              <w:t> </w:t>
            </w:r>
          </w:p>
        </w:tc>
      </w:tr>
      <w:tr>
        <w:trPr/>
        <w:tc>
          <w:tcPr>
            <w:tcW w:w="3930" w:type="dxa"/>
            <w:tcBorders/>
            <w:shd w:fill="CCEEFF" w:val="clear"/>
          </w:tcPr>
          <w:p>
            <w:pPr>
              <w:pStyle w:val="TableContents"/>
              <w:spacing w:before="0" w:after="0"/>
              <w:rPr>
                <w:rFonts w:ascii="ARIAL" w:hAnsi="ARIAL"/>
                <w:sz w:val="20"/>
              </w:rPr>
            </w:pPr>
            <w:r>
              <w:rPr>
                <w:rFonts w:ascii="ARIAL" w:hAnsi="ARIAL"/>
                <w:sz w:val="20"/>
              </w:rPr>
              <w:t>Interest expense(1)</w:t>
            </w:r>
          </w:p>
        </w:tc>
        <w:tc>
          <w:tcPr>
            <w:tcW w:w="181"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jc w:val="center"/>
              <w:rPr>
                <w:b/>
              </w:rPr>
            </w:pPr>
            <w:r>
              <w:rPr>
                <w:b/>
              </w:rPr>
              <w:t>(114)</w:t>
            </w:r>
          </w:p>
        </w:tc>
        <w:tc>
          <w:tcPr>
            <w:tcW w:w="129"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sz w:val="4"/>
                <w:szCs w:val="4"/>
              </w:rPr>
            </w:pPr>
            <w:r>
              <w:rPr>
                <w:sz w:val="4"/>
                <w:szCs w:val="4"/>
              </w:rPr>
            </w:r>
          </w:p>
        </w:tc>
        <w:tc>
          <w:tcPr>
            <w:tcW w:w="70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jc w:val="right"/>
              <w:rPr>
                <w:sz w:val="20"/>
              </w:rPr>
            </w:pPr>
            <w:r>
              <w:rPr>
                <w:sz w:val="20"/>
              </w:rPr>
              <w:t>(118</w:t>
            </w:r>
          </w:p>
        </w:tc>
        <w:tc>
          <w:tcPr>
            <w:tcW w:w="125" w:type="dxa"/>
            <w:tcBorders/>
            <w:shd w:fill="CCEEFF" w:val="clear"/>
            <w:vAlign w:val="bottom"/>
          </w:tcPr>
          <w:p>
            <w:pPr>
              <w:pStyle w:val="TableContents"/>
              <w:spacing w:before="0" w:after="283"/>
              <w:rPr>
                <w:sz w:val="20"/>
              </w:rPr>
            </w:pPr>
            <w:r>
              <w:rPr>
                <w:sz w:val="20"/>
              </w:rPr>
              <w:t>) </w:t>
            </w:r>
          </w:p>
        </w:tc>
        <w:tc>
          <w:tcPr>
            <w:tcW w:w="12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sz w:val="4"/>
                <w:szCs w:val="4"/>
              </w:rPr>
            </w:pPr>
            <w:r>
              <w:rPr>
                <w:sz w:val="4"/>
                <w:szCs w:val="4"/>
              </w:rPr>
            </w:r>
          </w:p>
        </w:tc>
        <w:tc>
          <w:tcPr>
            <w:tcW w:w="70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sz w:val="20"/>
              </w:rPr>
            </w:pPr>
            <w:r>
              <w:rPr>
                <w:sz w:val="20"/>
              </w:rPr>
              <w:t>(120</w:t>
            </w:r>
          </w:p>
        </w:tc>
        <w:tc>
          <w:tcPr>
            <w:tcW w:w="133" w:type="dxa"/>
            <w:tcBorders/>
            <w:shd w:fill="CCEEFF" w:val="clear"/>
            <w:vAlign w:val="bottom"/>
          </w:tcPr>
          <w:p>
            <w:pPr>
              <w:pStyle w:val="TableContents"/>
              <w:spacing w:before="0" w:after="283"/>
              <w:rPr>
                <w:sz w:val="20"/>
              </w:rPr>
            </w:pPr>
            <w:r>
              <w:rPr>
                <w:sz w:val="20"/>
              </w:rPr>
              <w:t>) </w:t>
            </w:r>
          </w:p>
        </w:tc>
      </w:tr>
      <w:tr>
        <w:trPr/>
        <w:tc>
          <w:tcPr>
            <w:tcW w:w="3930" w:type="dxa"/>
            <w:tcBorders/>
            <w:shd w:fill="auto" w:val="clear"/>
          </w:tcPr>
          <w:p>
            <w:pPr>
              <w:pStyle w:val="TableContents"/>
              <w:spacing w:before="0" w:after="0"/>
              <w:rPr>
                <w:rFonts w:ascii="ARIAL" w:hAnsi="ARIAL"/>
                <w:sz w:val="20"/>
              </w:rPr>
            </w:pPr>
            <w:r>
              <w:rPr>
                <w:rFonts w:ascii="ARIAL" w:hAnsi="ARIAL"/>
                <w:sz w:val="20"/>
              </w:rPr>
              <w:t>Charges &amp; credits(2)</w:t>
            </w:r>
          </w:p>
        </w:tc>
        <w:tc>
          <w:tcPr>
            <w:tcW w:w="181"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jc w:val="center"/>
              <w:rPr>
                <w:b/>
              </w:rPr>
            </w:pPr>
            <w:r>
              <w:rPr>
                <w:b/>
              </w:rPr>
              <w:t>36</w:t>
            </w:r>
          </w:p>
        </w:tc>
        <w:tc>
          <w:tcPr>
            <w:tcW w:w="12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sz w:val="20"/>
              </w:rPr>
            </w:pPr>
            <w:r>
              <w:rPr>
                <w:sz w:val="20"/>
              </w:rPr>
              <w:t>63</w:t>
            </w:r>
          </w:p>
        </w:tc>
        <w:tc>
          <w:tcPr>
            <w:tcW w:w="125"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sz w:val="4"/>
                <w:szCs w:val="4"/>
              </w:rPr>
            </w:pPr>
            <w:r>
              <w:rPr>
                <w:sz w:val="4"/>
                <w:szCs w:val="4"/>
              </w:rPr>
            </w:r>
          </w:p>
        </w:tc>
        <w:tc>
          <w:tcPr>
            <w:tcW w:w="7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sz w:val="20"/>
              </w:rPr>
            </w:pPr>
            <w:r>
              <w:rPr>
                <w:sz w:val="20"/>
              </w:rPr>
              <w:t>26</w:t>
            </w:r>
          </w:p>
        </w:tc>
        <w:tc>
          <w:tcPr>
            <w:tcW w:w="133" w:type="dxa"/>
            <w:tcBorders/>
            <w:shd w:fill="auto" w:val="clear"/>
            <w:vAlign w:val="bottom"/>
          </w:tcPr>
          <w:p>
            <w:pPr>
              <w:pStyle w:val="TableContents"/>
              <w:spacing w:before="0" w:after="283"/>
              <w:rPr/>
            </w:pPr>
            <w:r>
              <w:rPr/>
              <w:t> </w:t>
            </w:r>
          </w:p>
        </w:tc>
      </w:tr>
      <w:tr>
        <w:trPr/>
        <w:tc>
          <w:tcPr>
            <w:tcW w:w="393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pBdr>
                <w:top w:val="single" w:sz="2" w:space="1" w:color="000000"/>
              </w:pBdr>
              <w:spacing w:before="0" w:after="0"/>
              <w:rPr/>
            </w:pPr>
            <w:r>
              <w:rPr/>
              <w:t> </w:t>
            </w:r>
          </w:p>
        </w:tc>
        <w:tc>
          <w:tcPr>
            <w:tcW w:w="129"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pBdr>
                <w:top w:val="single" w:sz="2" w:space="1" w:color="000000"/>
              </w:pBdr>
              <w:spacing w:before="0" w:after="0"/>
              <w:rPr/>
            </w:pPr>
            <w:r>
              <w:rPr/>
              <w:t> </w:t>
            </w:r>
          </w:p>
        </w:tc>
        <w:tc>
          <w:tcPr>
            <w:tcW w:w="12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single" w:sz="2" w:space="1" w:color="000000"/>
              </w:pBdr>
              <w:spacing w:before="0" w:after="0"/>
              <w:rPr/>
            </w:pPr>
            <w:r>
              <w:rPr/>
              <w:t> </w:t>
            </w:r>
          </w:p>
        </w:tc>
        <w:tc>
          <w:tcPr>
            <w:tcW w:w="708"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577"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single" w:sz="2" w:space="1" w:color="000000"/>
              </w:pBdr>
              <w:spacing w:before="0" w:after="0"/>
              <w:rPr/>
            </w:pPr>
            <w:r>
              <w:rPr/>
              <w:t> </w:t>
            </w:r>
          </w:p>
        </w:tc>
        <w:tc>
          <w:tcPr>
            <w:tcW w:w="708"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0"/>
              <w:rPr/>
            </w:pPr>
            <w:r>
              <w:rPr/>
              <w:t> </w:t>
            </w:r>
          </w:p>
        </w:tc>
        <w:tc>
          <w:tcPr>
            <w:tcW w:w="554" w:type="dxa"/>
            <w:tcBorders/>
            <w:shd w:fill="auto" w:val="clear"/>
            <w:vAlign w:val="bottom"/>
          </w:tcPr>
          <w:p>
            <w:pPr>
              <w:pStyle w:val="TableContents"/>
              <w:pBdr>
                <w:top w:val="single" w:sz="2" w:space="1" w:color="000000"/>
              </w:pBdr>
              <w:spacing w:before="0" w:after="0"/>
              <w:rPr/>
            </w:pPr>
            <w:r>
              <w:rPr/>
              <w:t> </w:t>
            </w:r>
          </w:p>
        </w:tc>
        <w:tc>
          <w:tcPr>
            <w:tcW w:w="133" w:type="dxa"/>
            <w:tcBorders/>
            <w:shd w:fill="auto" w:val="clear"/>
            <w:vAlign w:val="center"/>
          </w:tcPr>
          <w:p>
            <w:pPr>
              <w:pStyle w:val="TableContents"/>
              <w:spacing w:before="0" w:after="283"/>
              <w:rPr/>
            </w:pPr>
            <w:r>
              <w:rPr/>
              <w:t> </w:t>
            </w:r>
          </w:p>
        </w:tc>
      </w:tr>
      <w:tr>
        <w:trPr/>
        <w:tc>
          <w:tcPr>
            <w:tcW w:w="3930" w:type="dxa"/>
            <w:tcBorders/>
            <w:shd w:fill="CCEEFF" w:val="clear"/>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center"/>
              <w:rPr>
                <w:b/>
              </w:rPr>
            </w:pPr>
            <w:r>
              <w:rPr>
                <w:b/>
              </w:rPr>
              <w:t>$7,736</w:t>
            </w:r>
          </w:p>
        </w:tc>
        <w:tc>
          <w:tcPr>
            <w:tcW w:w="129"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jc w:val="center"/>
              <w:rPr>
                <w:b/>
              </w:rPr>
            </w:pPr>
            <w:r>
              <w:rPr>
                <w:b/>
              </w:rPr>
              <w:t>$1,161</w:t>
            </w:r>
          </w:p>
        </w:tc>
        <w:tc>
          <w:tcPr>
            <w:tcW w:w="129"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sz w:val="20"/>
              </w:rPr>
            </w:pPr>
            <w:r>
              <w:rPr>
                <w:sz w:val="20"/>
              </w:rPr>
              <w:t>$</w:t>
            </w:r>
          </w:p>
        </w:tc>
        <w:tc>
          <w:tcPr>
            <w:tcW w:w="708" w:type="dxa"/>
            <w:tcBorders/>
            <w:shd w:fill="CCEEFF" w:val="clear"/>
            <w:vAlign w:val="bottom"/>
          </w:tcPr>
          <w:p>
            <w:pPr>
              <w:pStyle w:val="TableContents"/>
              <w:spacing w:before="0" w:after="283"/>
              <w:jc w:val="right"/>
              <w:rPr>
                <w:sz w:val="20"/>
              </w:rPr>
            </w:pPr>
            <w:r>
              <w:rPr>
                <w:sz w:val="20"/>
              </w:rPr>
              <w:t>7,879</w:t>
            </w:r>
          </w:p>
        </w:tc>
        <w:tc>
          <w:tcPr>
            <w:tcW w:w="12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20"/>
              </w:rPr>
            </w:pPr>
            <w:r>
              <w:rPr>
                <w:sz w:val="20"/>
              </w:rPr>
              <w:t>$</w:t>
            </w:r>
          </w:p>
        </w:tc>
        <w:tc>
          <w:tcPr>
            <w:tcW w:w="577" w:type="dxa"/>
            <w:tcBorders/>
            <w:shd w:fill="CCEEFF" w:val="clear"/>
            <w:vAlign w:val="bottom"/>
          </w:tcPr>
          <w:p>
            <w:pPr>
              <w:pStyle w:val="TableContents"/>
              <w:spacing w:before="0" w:after="283"/>
              <w:jc w:val="right"/>
              <w:rPr>
                <w:sz w:val="20"/>
              </w:rPr>
            </w:pPr>
            <w:r>
              <w:rPr>
                <w:sz w:val="20"/>
              </w:rPr>
              <w:t>1,347</w:t>
            </w:r>
          </w:p>
        </w:tc>
        <w:tc>
          <w:tcPr>
            <w:tcW w:w="12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sz w:val="20"/>
              </w:rPr>
            </w:pPr>
            <w:r>
              <w:rPr>
                <w:sz w:val="20"/>
              </w:rPr>
              <w:t>$</w:t>
            </w:r>
          </w:p>
        </w:tc>
        <w:tc>
          <w:tcPr>
            <w:tcW w:w="708" w:type="dxa"/>
            <w:tcBorders/>
            <w:shd w:fill="CCEEFF" w:val="clear"/>
            <w:vAlign w:val="bottom"/>
          </w:tcPr>
          <w:p>
            <w:pPr>
              <w:pStyle w:val="TableContents"/>
              <w:spacing w:before="0" w:after="283"/>
              <w:jc w:val="right"/>
              <w:rPr>
                <w:sz w:val="20"/>
              </w:rPr>
            </w:pPr>
            <w:r>
              <w:rPr>
                <w:sz w:val="20"/>
              </w:rPr>
              <w:t>5,962</w:t>
            </w:r>
          </w:p>
        </w:tc>
        <w:tc>
          <w:tcPr>
            <w:tcW w:w="12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20"/>
              </w:rPr>
            </w:pPr>
            <w:r>
              <w:rPr>
                <w:sz w:val="20"/>
              </w:rPr>
              <w:t>$</w:t>
            </w:r>
          </w:p>
        </w:tc>
        <w:tc>
          <w:tcPr>
            <w:tcW w:w="554" w:type="dxa"/>
            <w:tcBorders/>
            <w:shd w:fill="CCEEFF" w:val="clear"/>
            <w:vAlign w:val="bottom"/>
          </w:tcPr>
          <w:p>
            <w:pPr>
              <w:pStyle w:val="TableContents"/>
              <w:spacing w:before="0" w:after="283"/>
              <w:jc w:val="right"/>
              <w:rPr>
                <w:sz w:val="20"/>
              </w:rPr>
            </w:pPr>
            <w:r>
              <w:rPr>
                <w:sz w:val="20"/>
              </w:rPr>
              <w:t>638</w:t>
            </w:r>
          </w:p>
        </w:tc>
        <w:tc>
          <w:tcPr>
            <w:tcW w:w="133" w:type="dxa"/>
            <w:tcBorders/>
            <w:shd w:fill="CCEEFF" w:val="clear"/>
            <w:vAlign w:val="bottom"/>
          </w:tcPr>
          <w:p>
            <w:pPr>
              <w:pStyle w:val="TableContents"/>
              <w:spacing w:before="0" w:after="283"/>
              <w:rPr/>
            </w:pPr>
            <w:r>
              <w:rPr/>
              <w:t> </w:t>
            </w:r>
          </w:p>
        </w:tc>
      </w:tr>
      <w:tr>
        <w:trPr/>
        <w:tc>
          <w:tcPr>
            <w:tcW w:w="393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pBdr>
                <w:top w:val="double" w:sz="6" w:space="1" w:color="000000"/>
              </w:pBdr>
              <w:spacing w:before="0" w:after="0"/>
              <w:rPr/>
            </w:pPr>
            <w:r>
              <w:rPr/>
              <w:t> </w:t>
            </w:r>
          </w:p>
        </w:tc>
        <w:tc>
          <w:tcPr>
            <w:tcW w:w="129"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pBdr>
                <w:top w:val="double" w:sz="6" w:space="1" w:color="000000"/>
              </w:pBdr>
              <w:spacing w:before="0" w:after="0"/>
              <w:rPr/>
            </w:pPr>
            <w:r>
              <w:rPr/>
              <w:t> </w:t>
            </w:r>
          </w:p>
        </w:tc>
        <w:tc>
          <w:tcPr>
            <w:tcW w:w="12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double" w:sz="6" w:space="1" w:color="000000"/>
              </w:pBdr>
              <w:spacing w:before="0" w:after="0"/>
              <w:rPr/>
            </w:pPr>
            <w:r>
              <w:rPr/>
              <w:t> </w:t>
            </w:r>
          </w:p>
        </w:tc>
        <w:tc>
          <w:tcPr>
            <w:tcW w:w="708" w:type="dxa"/>
            <w:tcBorders/>
            <w:shd w:fill="auto" w:val="clear"/>
            <w:vAlign w:val="bottom"/>
          </w:tcPr>
          <w:p>
            <w:pPr>
              <w:pStyle w:val="TableContents"/>
              <w:pBdr>
                <w:top w:val="double" w:sz="6"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double" w:sz="6" w:space="1" w:color="000000"/>
              </w:pBdr>
              <w:spacing w:before="0" w:after="0"/>
              <w:rPr/>
            </w:pPr>
            <w:r>
              <w:rPr/>
              <w:t> </w:t>
            </w:r>
          </w:p>
        </w:tc>
        <w:tc>
          <w:tcPr>
            <w:tcW w:w="577" w:type="dxa"/>
            <w:tcBorders/>
            <w:shd w:fill="auto" w:val="clear"/>
            <w:vAlign w:val="bottom"/>
          </w:tcPr>
          <w:p>
            <w:pPr>
              <w:pStyle w:val="TableContents"/>
              <w:pBdr>
                <w:top w:val="double" w:sz="6"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double" w:sz="6" w:space="1" w:color="000000"/>
              </w:pBdr>
              <w:spacing w:before="0" w:after="0"/>
              <w:rPr/>
            </w:pPr>
            <w:r>
              <w:rPr/>
              <w:t> </w:t>
            </w:r>
          </w:p>
        </w:tc>
        <w:tc>
          <w:tcPr>
            <w:tcW w:w="708" w:type="dxa"/>
            <w:tcBorders/>
            <w:shd w:fill="auto" w:val="clear"/>
            <w:vAlign w:val="bottom"/>
          </w:tcPr>
          <w:p>
            <w:pPr>
              <w:pStyle w:val="TableContents"/>
              <w:pBdr>
                <w:top w:val="double" w:sz="6"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double" w:sz="6" w:space="1" w:color="000000"/>
              </w:pBdr>
              <w:spacing w:before="0" w:after="0"/>
              <w:rPr/>
            </w:pPr>
            <w:r>
              <w:rPr/>
              <w:t> </w:t>
            </w:r>
          </w:p>
        </w:tc>
        <w:tc>
          <w:tcPr>
            <w:tcW w:w="554" w:type="dxa"/>
            <w:tcBorders/>
            <w:shd w:fill="auto" w:val="clear"/>
            <w:vAlign w:val="bottom"/>
          </w:tcPr>
          <w:p>
            <w:pPr>
              <w:pStyle w:val="TableContents"/>
              <w:pBdr>
                <w:top w:val="double" w:sz="6" w:space="1" w:color="000000"/>
              </w:pBdr>
              <w:spacing w:before="0" w:after="0"/>
              <w:rPr/>
            </w:pPr>
            <w:r>
              <w:rPr/>
              <w:t> </w:t>
            </w:r>
          </w:p>
        </w:tc>
        <w:tc>
          <w:tcPr>
            <w:tcW w:w="133"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 </w:t>
            </w:r>
          </w:p>
        </w:tc>
        <w:tc>
          <w:tcPr>
            <w:tcW w:w="9798" w:type="dxa"/>
            <w:tcBorders/>
            <w:shd w:fill="auto" w:val="clear"/>
          </w:tcPr>
          <w:p>
            <w:pPr>
              <w:pStyle w:val="TableContents"/>
              <w:spacing w:before="0" w:after="0"/>
              <w:jc w:val="left"/>
              <w:rPr>
                <w:rFonts w:ascii="ARIAL" w:hAnsi="ARIAL"/>
                <w:sz w:val="20"/>
              </w:rPr>
            </w:pPr>
            <w:r>
              <w:rPr>
                <w:rFonts w:ascii="ARIAL" w:hAnsi="ARIAL"/>
                <w:sz w:val="20"/>
              </w:rPr>
              <w:t xml:space="preserve">Excludes amounts which are included in the segments results.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 </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See section entitled Charges &amp; Credits for details.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17 </w:t>
      </w:r>
      <w:r>
        <w:br w:type="page"/>
      </w:r>
    </w:p>
    <w:p>
      <w:pPr>
        <w:pStyle w:val="HorizontalLine"/>
        <w:pBdr>
          <w:bottom w:val="double" w:sz="6" w:space="0" w:color="808080"/>
        </w:pBdr>
        <w:rPr/>
      </w:pPr>
      <w:r>
        <w:rPr/>
      </w:r>
    </w:p>
    <w:p>
      <w:pPr>
        <w:pStyle w:val="TextBody"/>
        <w:spacing w:before="0" w:after="0"/>
        <w:jc w:val="left"/>
        <w:rPr>
          <w:rFonts w:ascii="ARIAL" w:hAnsi="ARIAL"/>
          <w:sz w:val="20"/>
        </w:rPr>
      </w:pPr>
      <w:r>
        <w:rPr>
          <w:rFonts w:ascii="ARIAL" w:hAnsi="ARIAL"/>
          <w:sz w:val="20"/>
        </w:rPr>
        <w:t xml:space="preserve">Supplementary Information </w:t>
      </w:r>
    </w:p>
    <w:p>
      <w:pPr>
        <w:pStyle w:val="TextBody"/>
        <w:spacing w:before="240" w:after="0"/>
        <w:jc w:val="left"/>
        <w:rPr>
          <w:rFonts w:ascii="ARIAL" w:hAnsi="ARIAL"/>
          <w:sz w:val="20"/>
        </w:rPr>
      </w:pPr>
      <w:r>
        <w:rPr>
          <w:rFonts w:ascii="ARIAL" w:hAnsi="ARIAL"/>
          <w:sz w:val="20"/>
        </w:rPr>
        <w:t xml:space="preserve">Frequently Asked Questions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1)</w:t>
            </w:r>
          </w:p>
        </w:tc>
        <w:tc>
          <w:tcPr>
            <w:tcW w:w="9797" w:type="dxa"/>
            <w:tcBorders/>
            <w:shd w:fill="auto" w:val="clear"/>
          </w:tcPr>
          <w:p>
            <w:pPr>
              <w:pStyle w:val="TableContents"/>
              <w:spacing w:before="0" w:after="0"/>
              <w:jc w:val="left"/>
              <w:rPr>
                <w:rFonts w:ascii="ARIAL" w:hAnsi="ARIAL"/>
                <w:b/>
                <w:sz w:val="20"/>
              </w:rPr>
            </w:pPr>
            <w:r>
              <w:rPr>
                <w:rFonts w:ascii="ARIAL" w:hAnsi="ARIAL"/>
                <w:b/>
                <w:sz w:val="20"/>
              </w:rPr>
              <w:t xml:space="preserve">What is the capital investment guidance for the full-year 2023? </w:t>
            </w:r>
          </w:p>
        </w:tc>
      </w:tr>
    </w:tbl>
    <w:p>
      <w:pPr>
        <w:pStyle w:val="TextBody"/>
        <w:spacing w:before="0" w:after="0"/>
        <w:jc w:val="left"/>
        <w:rPr>
          <w:rFonts w:ascii="ARIAL" w:hAnsi="ARIAL"/>
          <w:sz w:val="20"/>
        </w:rPr>
      </w:pPr>
      <w:r>
        <w:rPr>
          <w:rFonts w:ascii="ARIAL" w:hAnsi="ARIAL"/>
          <w:sz w:val="20"/>
        </w:rPr>
        <w:t xml:space="preserve">Capital investment (composed of capex, exploration data costs, and APS investments) for the full-year 2023 is still expected to be approximately $2.5 to $2.6 billion. Capital investment for the full-year 2022 was $2.3 billion.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2)</w:t>
            </w:r>
          </w:p>
        </w:tc>
        <w:tc>
          <w:tcPr>
            <w:tcW w:w="9799" w:type="dxa"/>
            <w:tcBorders/>
            <w:shd w:fill="auto" w:val="clear"/>
          </w:tcPr>
          <w:p>
            <w:pPr>
              <w:pStyle w:val="TableContents"/>
              <w:spacing w:before="0" w:after="0"/>
              <w:jc w:val="left"/>
              <w:rPr>
                <w:rFonts w:ascii="ARIAL" w:hAnsi="ARIAL"/>
                <w:b/>
                <w:sz w:val="20"/>
              </w:rPr>
            </w:pPr>
            <w:r>
              <w:rPr>
                <w:rFonts w:ascii="ARIAL" w:hAnsi="ARIAL"/>
                <w:b/>
                <w:sz w:val="20"/>
              </w:rPr>
              <w:t xml:space="preserve">What were cash flow from operations and free cash flow for the first quarter of 2023? </w:t>
            </w:r>
          </w:p>
        </w:tc>
      </w:tr>
    </w:tbl>
    <w:p>
      <w:pPr>
        <w:pStyle w:val="TextBody"/>
        <w:spacing w:before="0" w:after="0"/>
        <w:jc w:val="left"/>
        <w:rPr>
          <w:rFonts w:ascii="ARIAL" w:hAnsi="ARIAL"/>
          <w:sz w:val="20"/>
        </w:rPr>
      </w:pPr>
      <w:r>
        <w:rPr>
          <w:rFonts w:ascii="ARIAL" w:hAnsi="ARIAL"/>
          <w:sz w:val="20"/>
        </w:rPr>
        <w:t xml:space="preserve">Cash flow from operations for the first quarter of 2023 was $330 million, and free cash flow was negative $265 million.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3)</w:t>
            </w:r>
          </w:p>
        </w:tc>
        <w:tc>
          <w:tcPr>
            <w:tcW w:w="9799" w:type="dxa"/>
            <w:tcBorders/>
            <w:shd w:fill="auto" w:val="clear"/>
          </w:tcPr>
          <w:p>
            <w:pPr>
              <w:pStyle w:val="TableContents"/>
              <w:spacing w:before="0" w:after="0"/>
              <w:jc w:val="left"/>
              <w:rPr>
                <w:rFonts w:ascii="ARIAL" w:hAnsi="ARIAL"/>
                <w:b/>
                <w:sz w:val="20"/>
              </w:rPr>
            </w:pPr>
            <w:r>
              <w:rPr>
                <w:rFonts w:ascii="ARIAL" w:hAnsi="ARIAL"/>
                <w:b/>
                <w:sz w:val="20"/>
              </w:rPr>
              <w:t xml:space="preserve">What was included in Interest &amp; other income for the first quarter of 2023? </w:t>
            </w:r>
          </w:p>
        </w:tc>
      </w:tr>
    </w:tbl>
    <w:p>
      <w:pPr>
        <w:pStyle w:val="TextBody"/>
        <w:spacing w:before="0" w:after="0"/>
        <w:jc w:val="left"/>
        <w:rPr>
          <w:rFonts w:ascii="ARIAL" w:hAnsi="ARIAL"/>
          <w:sz w:val="20"/>
        </w:rPr>
      </w:pPr>
      <w:r>
        <w:rPr>
          <w:rFonts w:ascii="ARIAL" w:hAnsi="ARIAL"/>
          <w:sz w:val="20"/>
        </w:rPr>
        <w:t xml:space="preserve">Interest &amp; other income for the first quarter of 2023 was $92 million. This consisted of the following: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292"/>
        <w:gridCol w:w="845"/>
        <w:gridCol w:w="605"/>
        <w:gridCol w:w="1135"/>
        <w:gridCol w:w="62"/>
      </w:tblGrid>
      <w:tr>
        <w:trPr/>
        <w:tc>
          <w:tcPr>
            <w:tcW w:w="4292"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4292"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1740" w:type="dxa"/>
            <w:gridSpan w:val="2"/>
            <w:tcBorders/>
            <w:shd w:fill="auto" w:val="clear"/>
            <w:vAlign w:val="bottom"/>
          </w:tcPr>
          <w:p>
            <w:pPr>
              <w:pStyle w:val="TableContents"/>
              <w:spacing w:before="0" w:after="283"/>
              <w:jc w:val="center"/>
              <w:rPr/>
            </w:pPr>
            <w:r>
              <w:rPr/>
              <w:t>(Stated in millions)</w:t>
            </w:r>
          </w:p>
        </w:tc>
        <w:tc>
          <w:tcPr>
            <w:tcW w:w="62" w:type="dxa"/>
            <w:tcBorders/>
            <w:shd w:fill="auto" w:val="clear"/>
            <w:vAlign w:val="bottom"/>
          </w:tcPr>
          <w:p>
            <w:pPr>
              <w:pStyle w:val="TableContents"/>
              <w:spacing w:before="0" w:after="283"/>
              <w:rPr/>
            </w:pPr>
            <w:r>
              <w:rPr/>
              <w:t> </w:t>
            </w:r>
          </w:p>
        </w:tc>
      </w:tr>
      <w:tr>
        <w:trPr/>
        <w:tc>
          <w:tcPr>
            <w:tcW w:w="4292" w:type="dxa"/>
            <w:tcBorders/>
            <w:shd w:fill="CCEEFF" w:val="clear"/>
          </w:tcPr>
          <w:p>
            <w:pPr>
              <w:pStyle w:val="TableContents"/>
              <w:spacing w:before="0" w:after="0"/>
              <w:rPr>
                <w:rFonts w:ascii="ARIAL" w:hAnsi="ARIAL"/>
                <w:sz w:val="20"/>
              </w:rPr>
            </w:pPr>
            <w:r>
              <w:rPr>
                <w:rFonts w:ascii="ARIAL" w:hAnsi="ARIAL"/>
                <w:sz w:val="20"/>
              </w:rPr>
              <w:t>Gain on sale of Liberty shares*</w:t>
            </w:r>
          </w:p>
        </w:tc>
        <w:tc>
          <w:tcPr>
            <w:tcW w:w="84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rPr/>
            </w:pPr>
            <w:r>
              <w:rPr/>
              <w:t> </w:t>
            </w:r>
          </w:p>
        </w:tc>
        <w:tc>
          <w:tcPr>
            <w:tcW w:w="1135" w:type="dxa"/>
            <w:tcBorders/>
            <w:shd w:fill="CCEEFF" w:val="clear"/>
            <w:vAlign w:val="bottom"/>
          </w:tcPr>
          <w:p>
            <w:pPr>
              <w:pStyle w:val="TableContents"/>
              <w:spacing w:before="0" w:after="283"/>
              <w:jc w:val="right"/>
              <w:rPr/>
            </w:pPr>
            <w:r>
              <w:rPr/>
              <w:t>36</w:t>
            </w:r>
          </w:p>
        </w:tc>
        <w:tc>
          <w:tcPr>
            <w:tcW w:w="62" w:type="dxa"/>
            <w:tcBorders/>
            <w:shd w:fill="CCEEFF" w:val="clear"/>
            <w:vAlign w:val="bottom"/>
          </w:tcPr>
          <w:p>
            <w:pPr>
              <w:pStyle w:val="TableContents"/>
              <w:spacing w:before="0" w:after="283"/>
              <w:rPr/>
            </w:pPr>
            <w:r>
              <w:rPr/>
              <w:t> </w:t>
            </w:r>
          </w:p>
        </w:tc>
      </w:tr>
      <w:tr>
        <w:trPr/>
        <w:tc>
          <w:tcPr>
            <w:tcW w:w="4292" w:type="dxa"/>
            <w:tcBorders/>
            <w:shd w:fill="auto" w:val="clear"/>
          </w:tcPr>
          <w:p>
            <w:pPr>
              <w:pStyle w:val="TableContents"/>
              <w:spacing w:before="0" w:after="0"/>
              <w:rPr>
                <w:rFonts w:ascii="ARIAL" w:hAnsi="ARIAL"/>
                <w:sz w:val="20"/>
              </w:rPr>
            </w:pPr>
            <w:r>
              <w:rPr>
                <w:rFonts w:ascii="ARIAL" w:hAnsi="ARIAL"/>
                <w:sz w:val="20"/>
              </w:rPr>
              <w:t>Interest income</w:t>
            </w:r>
          </w:p>
        </w:tc>
        <w:tc>
          <w:tcPr>
            <w:tcW w:w="845"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jc w:val="right"/>
              <w:rPr/>
            </w:pPr>
            <w:r>
              <w:rPr/>
              <w:t>17</w:t>
            </w:r>
          </w:p>
        </w:tc>
        <w:tc>
          <w:tcPr>
            <w:tcW w:w="62" w:type="dxa"/>
            <w:tcBorders/>
            <w:shd w:fill="auto" w:val="clear"/>
            <w:vAlign w:val="bottom"/>
          </w:tcPr>
          <w:p>
            <w:pPr>
              <w:pStyle w:val="TableContents"/>
              <w:spacing w:before="0" w:after="283"/>
              <w:rPr/>
            </w:pPr>
            <w:r>
              <w:rPr/>
              <w:t> </w:t>
            </w:r>
          </w:p>
        </w:tc>
      </w:tr>
      <w:tr>
        <w:trPr/>
        <w:tc>
          <w:tcPr>
            <w:tcW w:w="4292" w:type="dxa"/>
            <w:tcBorders/>
            <w:shd w:fill="CCEEFF" w:val="clear"/>
          </w:tcPr>
          <w:p>
            <w:pPr>
              <w:pStyle w:val="TableContents"/>
              <w:spacing w:before="0" w:after="0"/>
              <w:rPr>
                <w:rFonts w:ascii="ARIAL" w:hAnsi="ARIAL"/>
                <w:sz w:val="20"/>
              </w:rPr>
            </w:pPr>
            <w:r>
              <w:rPr>
                <w:rFonts w:ascii="ARIAL" w:hAnsi="ARIAL"/>
                <w:sz w:val="20"/>
              </w:rPr>
              <w:t>Earnings of equity method investments</w:t>
            </w:r>
          </w:p>
        </w:tc>
        <w:tc>
          <w:tcPr>
            <w:tcW w:w="845"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rPr/>
            </w:pPr>
            <w:r>
              <w:rPr/>
              <w:t> </w:t>
            </w:r>
          </w:p>
        </w:tc>
        <w:tc>
          <w:tcPr>
            <w:tcW w:w="1135" w:type="dxa"/>
            <w:tcBorders/>
            <w:shd w:fill="CCEEFF" w:val="clear"/>
            <w:vAlign w:val="bottom"/>
          </w:tcPr>
          <w:p>
            <w:pPr>
              <w:pStyle w:val="TableContents"/>
              <w:spacing w:before="0" w:after="283"/>
              <w:jc w:val="right"/>
              <w:rPr/>
            </w:pPr>
            <w:r>
              <w:rPr/>
              <w:t>39</w:t>
            </w:r>
          </w:p>
        </w:tc>
        <w:tc>
          <w:tcPr>
            <w:tcW w:w="62" w:type="dxa"/>
            <w:tcBorders/>
            <w:shd w:fill="CCEEFF" w:val="clear"/>
            <w:vAlign w:val="bottom"/>
          </w:tcPr>
          <w:p>
            <w:pPr>
              <w:pStyle w:val="TableContents"/>
              <w:spacing w:before="0" w:after="283"/>
              <w:rPr/>
            </w:pPr>
            <w:r>
              <w:rPr/>
              <w:t> </w:t>
            </w:r>
          </w:p>
        </w:tc>
      </w:tr>
      <w:tr>
        <w:trPr/>
        <w:tc>
          <w:tcPr>
            <w:tcW w:w="4292" w:type="dxa"/>
            <w:tcBorders/>
            <w:shd w:fill="auto" w:val="clear"/>
            <w:vAlign w:val="bottom"/>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pBdr>
                <w:top w:val="single" w:sz="2" w:space="1" w:color="000000"/>
              </w:pBdr>
              <w:spacing w:before="0" w:after="0"/>
              <w:rPr/>
            </w:pPr>
            <w:r>
              <w:rPr/>
              <w:t> </w:t>
            </w:r>
          </w:p>
        </w:tc>
        <w:tc>
          <w:tcPr>
            <w:tcW w:w="1135"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r>
        <w:trPr/>
        <w:tc>
          <w:tcPr>
            <w:tcW w:w="4292" w:type="dxa"/>
            <w:tcBorders/>
            <w:shd w:fill="auto" w:val="clear"/>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rPr/>
            </w:pPr>
            <w:r>
              <w:rPr/>
              <w:t>$</w:t>
            </w:r>
          </w:p>
        </w:tc>
        <w:tc>
          <w:tcPr>
            <w:tcW w:w="1135" w:type="dxa"/>
            <w:tcBorders/>
            <w:shd w:fill="auto" w:val="clear"/>
            <w:vAlign w:val="bottom"/>
          </w:tcPr>
          <w:p>
            <w:pPr>
              <w:pStyle w:val="TableContents"/>
              <w:spacing w:before="0" w:after="283"/>
              <w:jc w:val="right"/>
              <w:rPr/>
            </w:pPr>
            <w:r>
              <w:rPr/>
              <w:t>92</w:t>
            </w:r>
          </w:p>
        </w:tc>
        <w:tc>
          <w:tcPr>
            <w:tcW w:w="62" w:type="dxa"/>
            <w:tcBorders/>
            <w:shd w:fill="auto" w:val="clear"/>
            <w:vAlign w:val="bottom"/>
          </w:tcPr>
          <w:p>
            <w:pPr>
              <w:pStyle w:val="TableContents"/>
              <w:spacing w:before="0" w:after="283"/>
              <w:rPr/>
            </w:pPr>
            <w:r>
              <w:rPr/>
              <w:t> </w:t>
            </w:r>
          </w:p>
        </w:tc>
      </w:tr>
      <w:tr>
        <w:trPr/>
        <w:tc>
          <w:tcPr>
            <w:tcW w:w="4292" w:type="dxa"/>
            <w:tcBorders/>
            <w:shd w:fill="auto" w:val="clear"/>
            <w:vAlign w:val="bottom"/>
          </w:tcPr>
          <w:p>
            <w:pPr>
              <w:pStyle w:val="TableContents"/>
              <w:spacing w:before="0" w:after="283"/>
              <w:rPr>
                <w:sz w:val="4"/>
                <w:szCs w:val="4"/>
              </w:rPr>
            </w:pPr>
            <w:r>
              <w:rPr>
                <w:sz w:val="4"/>
                <w:szCs w:val="4"/>
              </w:rPr>
            </w:r>
          </w:p>
        </w:tc>
        <w:tc>
          <w:tcPr>
            <w:tcW w:w="845"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pBdr>
                <w:top w:val="double" w:sz="6" w:space="1" w:color="000000"/>
              </w:pBdr>
              <w:spacing w:before="0" w:after="0"/>
              <w:rPr/>
            </w:pPr>
            <w:r>
              <w:rPr/>
              <w:t> </w:t>
            </w:r>
          </w:p>
        </w:tc>
        <w:tc>
          <w:tcPr>
            <w:tcW w:w="1135" w:type="dxa"/>
            <w:tcBorders/>
            <w:shd w:fill="auto" w:val="clear"/>
            <w:vAlign w:val="bottom"/>
          </w:tcPr>
          <w:p>
            <w:pPr>
              <w:pStyle w:val="TableContents"/>
              <w:pBdr>
                <w:top w:val="double" w:sz="6"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ARIAL" w:hAnsi="ARIAL"/>
                <w:sz w:val="20"/>
              </w:rPr>
            </w:pPr>
            <w:r>
              <w:rPr>
                <w:rFonts w:ascii="ARIAL" w:hAnsi="ARIAL"/>
                <w:sz w:val="20"/>
              </w:rPr>
              <w:t xml:space="preserve">Refer to Question 11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4)</w:t>
            </w:r>
          </w:p>
        </w:tc>
        <w:tc>
          <w:tcPr>
            <w:tcW w:w="9798" w:type="dxa"/>
            <w:tcBorders/>
            <w:shd w:fill="auto" w:val="clear"/>
          </w:tcPr>
          <w:p>
            <w:pPr>
              <w:pStyle w:val="TableContents"/>
              <w:spacing w:before="0" w:after="0"/>
              <w:jc w:val="left"/>
              <w:rPr>
                <w:rFonts w:ascii="ARIAL" w:hAnsi="ARIAL"/>
                <w:b/>
                <w:sz w:val="20"/>
              </w:rPr>
            </w:pPr>
            <w:r>
              <w:rPr>
                <w:rFonts w:ascii="ARIAL" w:hAnsi="ARIAL"/>
                <w:b/>
                <w:sz w:val="20"/>
              </w:rPr>
              <w:t xml:space="preserve">How did interest income and interest expense change during the first quarter of 2023? </w:t>
            </w:r>
          </w:p>
        </w:tc>
      </w:tr>
    </w:tbl>
    <w:p>
      <w:pPr>
        <w:pStyle w:val="TextBody"/>
        <w:spacing w:before="0" w:after="0"/>
        <w:jc w:val="left"/>
        <w:rPr>
          <w:rFonts w:ascii="ARIAL" w:hAnsi="ARIAL"/>
          <w:sz w:val="20"/>
        </w:rPr>
      </w:pPr>
      <w:r>
        <w:rPr>
          <w:rFonts w:ascii="ARIAL" w:hAnsi="ARIAL"/>
          <w:sz w:val="20"/>
        </w:rPr>
        <w:t xml:space="preserve">Interest income of $17 million for the first quarter of 2023 decreased $16 million sequentially. Interest expense of $117 million decreased $4 million sequentially.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5)</w:t>
            </w:r>
          </w:p>
        </w:tc>
        <w:tc>
          <w:tcPr>
            <w:tcW w:w="9798" w:type="dxa"/>
            <w:tcBorders/>
            <w:shd w:fill="auto" w:val="clear"/>
          </w:tcPr>
          <w:p>
            <w:pPr>
              <w:pStyle w:val="TableContents"/>
              <w:spacing w:before="0" w:after="0"/>
              <w:jc w:val="left"/>
              <w:rPr>
                <w:rFonts w:ascii="ARIAL" w:hAnsi="ARIAL"/>
                <w:b/>
                <w:sz w:val="20"/>
              </w:rPr>
            </w:pPr>
            <w:r>
              <w:rPr>
                <w:rFonts w:ascii="ARIAL" w:hAnsi="ARIAL"/>
                <w:b/>
                <w:sz w:val="20"/>
              </w:rPr>
              <w:t xml:space="preserve">What is the difference between SLBs consolidated income before taxes and pretax segment operating income? </w:t>
            </w:r>
          </w:p>
        </w:tc>
      </w:tr>
    </w:tbl>
    <w:p>
      <w:pPr>
        <w:pStyle w:val="TextBody"/>
        <w:spacing w:before="0" w:after="0"/>
        <w:jc w:val="left"/>
        <w:rPr>
          <w:rFonts w:ascii="ARIAL" w:hAnsi="ARIAL"/>
          <w:sz w:val="20"/>
        </w:rPr>
      </w:pPr>
      <w:r>
        <w:rPr>
          <w:rFonts w:ascii="ARIAL" w:hAnsi="ARIAL"/>
          <w:sz w:val="20"/>
        </w:rPr>
        <w:t xml:space="preserve">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6)</w:t>
            </w:r>
          </w:p>
        </w:tc>
        <w:tc>
          <w:tcPr>
            <w:tcW w:w="9798" w:type="dxa"/>
            <w:tcBorders/>
            <w:shd w:fill="auto" w:val="clear"/>
          </w:tcPr>
          <w:p>
            <w:pPr>
              <w:pStyle w:val="TableContents"/>
              <w:spacing w:before="0" w:after="0"/>
              <w:jc w:val="left"/>
              <w:rPr>
                <w:rFonts w:ascii="ARIAL" w:hAnsi="ARIAL"/>
                <w:b/>
                <w:sz w:val="20"/>
              </w:rPr>
            </w:pPr>
            <w:r>
              <w:rPr>
                <w:rFonts w:ascii="ARIAL" w:hAnsi="ARIAL"/>
                <w:b/>
                <w:sz w:val="20"/>
              </w:rPr>
              <w:t xml:space="preserve">What was the effective tax rate (ETR) for the first quarter of 2023? </w:t>
            </w:r>
          </w:p>
        </w:tc>
      </w:tr>
    </w:tbl>
    <w:p>
      <w:pPr>
        <w:pStyle w:val="TextBody"/>
        <w:spacing w:before="0" w:after="0"/>
        <w:jc w:val="left"/>
        <w:rPr>
          <w:rFonts w:ascii="ARIAL" w:hAnsi="ARIAL"/>
          <w:sz w:val="20"/>
        </w:rPr>
      </w:pPr>
      <w:r>
        <w:rPr>
          <w:rFonts w:ascii="ARIAL" w:hAnsi="ARIAL"/>
          <w:sz w:val="20"/>
        </w:rPr>
        <w:t xml:space="preserve">The ETR for the first quarter of 2023, calculated in accordance with GAAP, was 18.7% as compared to 19.6% for the fourth quarter of 2022. Excluding charges and credits, the ETR for the first quarter of 2023 was 18.6% compared to 18.7% for the fourth quarter of 2022.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7)</w:t>
            </w:r>
          </w:p>
        </w:tc>
        <w:tc>
          <w:tcPr>
            <w:tcW w:w="9798" w:type="dxa"/>
            <w:tcBorders/>
            <w:shd w:fill="auto" w:val="clear"/>
          </w:tcPr>
          <w:p>
            <w:pPr>
              <w:pStyle w:val="TableContents"/>
              <w:spacing w:before="0" w:after="0"/>
              <w:jc w:val="left"/>
              <w:rPr>
                <w:rFonts w:ascii="ARIAL" w:hAnsi="ARIAL"/>
                <w:b/>
                <w:sz w:val="20"/>
              </w:rPr>
            </w:pPr>
            <w:r>
              <w:rPr>
                <w:rFonts w:ascii="ARIAL" w:hAnsi="ARIAL"/>
                <w:b/>
                <w:sz w:val="20"/>
              </w:rPr>
              <w:t xml:space="preserve">How many shares of common stock were outstanding as of March 31, 2023, and how did this change from the end of the previous quarter? </w:t>
            </w:r>
          </w:p>
        </w:tc>
      </w:tr>
    </w:tbl>
    <w:p>
      <w:pPr>
        <w:pStyle w:val="TextBody"/>
        <w:spacing w:before="0" w:after="0"/>
        <w:jc w:val="left"/>
        <w:rPr>
          <w:rFonts w:ascii="ARIAL" w:hAnsi="ARIAL"/>
          <w:sz w:val="20"/>
        </w:rPr>
      </w:pPr>
      <w:r>
        <w:rPr>
          <w:rFonts w:ascii="ARIAL" w:hAnsi="ARIAL"/>
          <w:sz w:val="20"/>
        </w:rPr>
        <w:t xml:space="preserve">There were 1.425 billion shares of common stock outstanding as of March 31, 2023, and 1.420 billion shares outstanding as of December 31, 2022.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18 </w:t>
      </w:r>
      <w:r>
        <w:br w:type="page"/>
      </w:r>
    </w:p>
    <w:p>
      <w:pPr>
        <w:pStyle w:val="HorizontalLine"/>
        <w:pBdr>
          <w:bottom w:val="double" w:sz="6" w:space="0" w:color="808080"/>
        </w:pBdr>
        <w:rPr/>
      </w:pPr>
      <w:r>
        <w:rPr/>
      </w:r>
    </w:p>
    <w:tbl>
      <w:tblPr>
        <w:tblW w:w="3400" w:type="pct"/>
        <w:jc w:val="center"/>
        <w:tblInd w:w="0" w:type="dxa"/>
        <w:tblCellMar>
          <w:top w:w="0" w:type="dxa"/>
          <w:left w:w="0" w:type="dxa"/>
          <w:bottom w:w="0" w:type="dxa"/>
          <w:right w:w="0" w:type="dxa"/>
        </w:tblCellMar>
      </w:tblPr>
      <w:tblGrid>
        <w:gridCol w:w="4400"/>
        <w:gridCol w:w="644"/>
        <w:gridCol w:w="167"/>
        <w:gridCol w:w="1570"/>
        <w:gridCol w:w="158"/>
      </w:tblGrid>
      <w:tr>
        <w:trPr/>
        <w:tc>
          <w:tcPr>
            <w:tcW w:w="4400"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57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00" w:type="dxa"/>
            <w:tcBorders/>
            <w:shd w:fill="auto" w:val="clear"/>
            <w:vAlign w:val="bottom"/>
          </w:tcPr>
          <w:p>
            <w:pPr>
              <w:pStyle w:val="TableContents"/>
              <w:spacing w:before="0" w:after="283"/>
              <w:rPr/>
            </w:pPr>
            <w:r>
              <w:rPr/>
              <w:t> </w:t>
            </w:r>
          </w:p>
        </w:tc>
        <w:tc>
          <w:tcPr>
            <w:tcW w:w="644" w:type="dxa"/>
            <w:tcBorders/>
            <w:shd w:fill="auto" w:val="clear"/>
            <w:vAlign w:val="bottom"/>
          </w:tcPr>
          <w:p>
            <w:pPr>
              <w:pStyle w:val="TableContents"/>
              <w:spacing w:before="0" w:after="283"/>
              <w:rPr/>
            </w:pPr>
            <w:r>
              <w:rPr/>
              <w:t>  </w:t>
            </w:r>
          </w:p>
        </w:tc>
        <w:tc>
          <w:tcPr>
            <w:tcW w:w="1737" w:type="dxa"/>
            <w:gridSpan w:val="2"/>
            <w:tcBorders/>
            <w:shd w:fill="auto" w:val="clear"/>
            <w:vAlign w:val="bottom"/>
          </w:tcPr>
          <w:p>
            <w:pPr>
              <w:pStyle w:val="TableContents"/>
              <w:spacing w:before="0" w:after="283"/>
              <w:jc w:val="center"/>
              <w:rPr/>
            </w:pPr>
            <w:r>
              <w:rPr/>
              <w:t>(Stated in millions)</w:t>
            </w:r>
          </w:p>
        </w:tc>
        <w:tc>
          <w:tcPr>
            <w:tcW w:w="158" w:type="dxa"/>
            <w:tcBorders/>
            <w:shd w:fill="auto" w:val="clear"/>
            <w:vAlign w:val="bottom"/>
          </w:tcPr>
          <w:p>
            <w:pPr>
              <w:pStyle w:val="TableContents"/>
              <w:spacing w:before="0" w:after="283"/>
              <w:rPr/>
            </w:pPr>
            <w:r>
              <w:rPr/>
              <w:t> </w:t>
            </w:r>
          </w:p>
        </w:tc>
      </w:tr>
      <w:tr>
        <w:trPr/>
        <w:tc>
          <w:tcPr>
            <w:tcW w:w="4400" w:type="dxa"/>
            <w:tcBorders/>
            <w:shd w:fill="CCEEFF" w:val="clear"/>
          </w:tcPr>
          <w:p>
            <w:pPr>
              <w:pStyle w:val="TableContents"/>
              <w:spacing w:before="0" w:after="0"/>
              <w:rPr>
                <w:rFonts w:ascii="ARIAL" w:hAnsi="ARIAL"/>
                <w:sz w:val="20"/>
              </w:rPr>
            </w:pPr>
            <w:r>
              <w:rPr>
                <w:rFonts w:ascii="ARIAL" w:hAnsi="ARIAL"/>
                <w:sz w:val="20"/>
              </w:rPr>
              <w:t>Shares outstanding at December 31, 2022</w:t>
            </w:r>
          </w:p>
        </w:tc>
        <w:tc>
          <w:tcPr>
            <w:tcW w:w="64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570" w:type="dxa"/>
            <w:tcBorders/>
            <w:shd w:fill="CCEEFF" w:val="clear"/>
            <w:vAlign w:val="bottom"/>
          </w:tcPr>
          <w:p>
            <w:pPr>
              <w:pStyle w:val="TableContents"/>
              <w:spacing w:before="0" w:after="283"/>
              <w:jc w:val="right"/>
              <w:rPr/>
            </w:pPr>
            <w:r>
              <w:rPr/>
              <w:t>1,420</w:t>
            </w:r>
          </w:p>
        </w:tc>
        <w:tc>
          <w:tcPr>
            <w:tcW w:w="158" w:type="dxa"/>
            <w:tcBorders/>
            <w:shd w:fill="CCEEFF" w:val="clear"/>
            <w:vAlign w:val="bottom"/>
          </w:tcPr>
          <w:p>
            <w:pPr>
              <w:pStyle w:val="TableContents"/>
              <w:spacing w:before="0" w:after="283"/>
              <w:rPr/>
            </w:pPr>
            <w:r>
              <w:rPr/>
              <w:t> </w:t>
            </w:r>
          </w:p>
        </w:tc>
      </w:tr>
      <w:tr>
        <w:trPr/>
        <w:tc>
          <w:tcPr>
            <w:tcW w:w="4400" w:type="dxa"/>
            <w:tcBorders/>
            <w:shd w:fill="auto" w:val="clear"/>
          </w:tcPr>
          <w:p>
            <w:pPr>
              <w:pStyle w:val="TableContents"/>
              <w:spacing w:before="0" w:after="0"/>
              <w:rPr>
                <w:rFonts w:ascii="ARIAL" w:hAnsi="ARIAL"/>
                <w:sz w:val="20"/>
              </w:rPr>
            </w:pPr>
            <w:r>
              <w:rPr>
                <w:rFonts w:ascii="ARIAL" w:hAnsi="ARIAL"/>
                <w:sz w:val="20"/>
              </w:rPr>
              <w:t>Shares issued under employee stock purchase plan</w:t>
            </w:r>
          </w:p>
        </w:tc>
        <w:tc>
          <w:tcPr>
            <w:tcW w:w="64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570" w:type="dxa"/>
            <w:tcBorders/>
            <w:shd w:fill="auto" w:val="clear"/>
            <w:vAlign w:val="bottom"/>
          </w:tcPr>
          <w:p>
            <w:pPr>
              <w:pStyle w:val="TableContents"/>
              <w:spacing w:before="0" w:after="283"/>
              <w:jc w:val="right"/>
              <w:rPr/>
            </w:pPr>
            <w:r>
              <w:rPr/>
              <w:t>3</w:t>
            </w:r>
          </w:p>
        </w:tc>
        <w:tc>
          <w:tcPr>
            <w:tcW w:w="158" w:type="dxa"/>
            <w:tcBorders/>
            <w:shd w:fill="auto" w:val="clear"/>
            <w:vAlign w:val="bottom"/>
          </w:tcPr>
          <w:p>
            <w:pPr>
              <w:pStyle w:val="TableContents"/>
              <w:spacing w:before="0" w:after="283"/>
              <w:rPr/>
            </w:pPr>
            <w:r>
              <w:rPr/>
              <w:t> </w:t>
            </w:r>
          </w:p>
        </w:tc>
      </w:tr>
      <w:tr>
        <w:trPr/>
        <w:tc>
          <w:tcPr>
            <w:tcW w:w="4400" w:type="dxa"/>
            <w:tcBorders/>
            <w:shd w:fill="CCEEFF" w:val="clear"/>
          </w:tcPr>
          <w:p>
            <w:pPr>
              <w:pStyle w:val="TableContents"/>
              <w:spacing w:before="0" w:after="0"/>
              <w:rPr>
                <w:rFonts w:ascii="ARIAL" w:hAnsi="ARIAL"/>
                <w:sz w:val="20"/>
              </w:rPr>
            </w:pPr>
            <w:r>
              <w:rPr>
                <w:rFonts w:ascii="ARIAL" w:hAnsi="ARIAL"/>
                <w:sz w:val="20"/>
              </w:rPr>
              <w:t>Shares issued to optionees, less shares exchanged</w:t>
            </w:r>
          </w:p>
        </w:tc>
        <w:tc>
          <w:tcPr>
            <w:tcW w:w="64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570" w:type="dxa"/>
            <w:tcBorders/>
            <w:shd w:fill="CCEEFF" w:val="clear"/>
            <w:vAlign w:val="bottom"/>
          </w:tcPr>
          <w:p>
            <w:pPr>
              <w:pStyle w:val="TableContents"/>
              <w:spacing w:before="0" w:after="283"/>
              <w:jc w:val="right"/>
              <w:rPr/>
            </w:pPr>
            <w:r>
              <w:rPr/>
              <w:t>1</w:t>
            </w:r>
          </w:p>
        </w:tc>
        <w:tc>
          <w:tcPr>
            <w:tcW w:w="158" w:type="dxa"/>
            <w:tcBorders/>
            <w:shd w:fill="CCEEFF" w:val="clear"/>
            <w:vAlign w:val="bottom"/>
          </w:tcPr>
          <w:p>
            <w:pPr>
              <w:pStyle w:val="TableContents"/>
              <w:spacing w:before="0" w:after="283"/>
              <w:rPr/>
            </w:pPr>
            <w:r>
              <w:rPr/>
              <w:t> </w:t>
            </w:r>
          </w:p>
        </w:tc>
      </w:tr>
      <w:tr>
        <w:trPr/>
        <w:tc>
          <w:tcPr>
            <w:tcW w:w="4400" w:type="dxa"/>
            <w:tcBorders/>
            <w:shd w:fill="auto" w:val="clear"/>
          </w:tcPr>
          <w:p>
            <w:pPr>
              <w:pStyle w:val="TableContents"/>
              <w:spacing w:before="0" w:after="0"/>
              <w:rPr>
                <w:rFonts w:ascii="ARIAL" w:hAnsi="ARIAL"/>
                <w:sz w:val="20"/>
              </w:rPr>
            </w:pPr>
            <w:r>
              <w:rPr>
                <w:rFonts w:ascii="ARIAL" w:hAnsi="ARIAL"/>
                <w:sz w:val="20"/>
              </w:rPr>
              <w:t>Vesting of restricted stock</w:t>
            </w:r>
          </w:p>
        </w:tc>
        <w:tc>
          <w:tcPr>
            <w:tcW w:w="64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570" w:type="dxa"/>
            <w:tcBorders/>
            <w:shd w:fill="auto" w:val="clear"/>
            <w:vAlign w:val="bottom"/>
          </w:tcPr>
          <w:p>
            <w:pPr>
              <w:pStyle w:val="TableContents"/>
              <w:spacing w:before="0" w:after="283"/>
              <w:jc w:val="right"/>
              <w:rPr/>
            </w:pPr>
            <w:r>
              <w:rPr/>
              <w:t>5</w:t>
            </w:r>
          </w:p>
        </w:tc>
        <w:tc>
          <w:tcPr>
            <w:tcW w:w="158" w:type="dxa"/>
            <w:tcBorders/>
            <w:shd w:fill="auto" w:val="clear"/>
            <w:vAlign w:val="bottom"/>
          </w:tcPr>
          <w:p>
            <w:pPr>
              <w:pStyle w:val="TableContents"/>
              <w:spacing w:before="0" w:after="283"/>
              <w:rPr/>
            </w:pPr>
            <w:r>
              <w:rPr/>
              <w:t> </w:t>
            </w:r>
          </w:p>
        </w:tc>
      </w:tr>
      <w:tr>
        <w:trPr/>
        <w:tc>
          <w:tcPr>
            <w:tcW w:w="4400" w:type="dxa"/>
            <w:tcBorders/>
            <w:shd w:fill="CCEEFF" w:val="clear"/>
          </w:tcPr>
          <w:p>
            <w:pPr>
              <w:pStyle w:val="TableContents"/>
              <w:spacing w:before="0" w:after="0"/>
              <w:rPr>
                <w:rFonts w:ascii="ARIAL" w:hAnsi="ARIAL"/>
                <w:sz w:val="20"/>
              </w:rPr>
            </w:pPr>
            <w:r>
              <w:rPr>
                <w:rFonts w:ascii="ARIAL" w:hAnsi="ARIAL"/>
                <w:sz w:val="20"/>
              </w:rPr>
              <w:t>Stock repurchase program</w:t>
            </w:r>
          </w:p>
        </w:tc>
        <w:tc>
          <w:tcPr>
            <w:tcW w:w="64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570" w:type="dxa"/>
            <w:tcBorders/>
            <w:shd w:fill="CCEEFF" w:val="clear"/>
            <w:vAlign w:val="bottom"/>
          </w:tcPr>
          <w:p>
            <w:pPr>
              <w:pStyle w:val="TableContents"/>
              <w:spacing w:before="0" w:after="283"/>
              <w:jc w:val="right"/>
              <w:rPr/>
            </w:pPr>
            <w:r>
              <w:rPr/>
              <w:t>(4</w:t>
            </w:r>
          </w:p>
        </w:tc>
        <w:tc>
          <w:tcPr>
            <w:tcW w:w="158" w:type="dxa"/>
            <w:tcBorders/>
            <w:shd w:fill="CCEE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rPr>
                <w:sz w:val="4"/>
                <w:szCs w:val="4"/>
              </w:rPr>
            </w:pPr>
            <w:r>
              <w:rPr>
                <w:sz w:val="4"/>
                <w:szCs w:val="4"/>
              </w:rPr>
            </w:r>
          </w:p>
        </w:tc>
        <w:tc>
          <w:tcPr>
            <w:tcW w:w="64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0"/>
              <w:rPr/>
            </w:pPr>
            <w:r>
              <w:rPr/>
              <w:t> </w:t>
            </w:r>
          </w:p>
        </w:tc>
        <w:tc>
          <w:tcPr>
            <w:tcW w:w="1570"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400" w:type="dxa"/>
            <w:tcBorders/>
            <w:shd w:fill="auto" w:val="clear"/>
          </w:tcPr>
          <w:p>
            <w:pPr>
              <w:pStyle w:val="TableContents"/>
              <w:spacing w:before="0" w:after="0"/>
              <w:rPr>
                <w:rFonts w:ascii="ARIAL" w:hAnsi="ARIAL"/>
                <w:sz w:val="20"/>
              </w:rPr>
            </w:pPr>
            <w:r>
              <w:rPr>
                <w:rFonts w:ascii="ARIAL" w:hAnsi="ARIAL"/>
                <w:sz w:val="20"/>
              </w:rPr>
              <w:t>Shares outstanding at March 31, 2023</w:t>
            </w:r>
          </w:p>
        </w:tc>
        <w:tc>
          <w:tcPr>
            <w:tcW w:w="64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570" w:type="dxa"/>
            <w:tcBorders/>
            <w:shd w:fill="auto" w:val="clear"/>
            <w:vAlign w:val="bottom"/>
          </w:tcPr>
          <w:p>
            <w:pPr>
              <w:pStyle w:val="TableContents"/>
              <w:spacing w:before="0" w:after="283"/>
              <w:jc w:val="right"/>
              <w:rPr/>
            </w:pPr>
            <w:r>
              <w:rPr/>
              <w:t>1,425</w:t>
            </w:r>
          </w:p>
        </w:tc>
        <w:tc>
          <w:tcPr>
            <w:tcW w:w="158" w:type="dxa"/>
            <w:tcBorders/>
            <w:shd w:fill="auto"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rPr>
                <w:sz w:val="4"/>
                <w:szCs w:val="4"/>
              </w:rPr>
            </w:pPr>
            <w:r>
              <w:rPr>
                <w:sz w:val="4"/>
                <w:szCs w:val="4"/>
              </w:rPr>
            </w:r>
          </w:p>
        </w:tc>
        <w:tc>
          <w:tcPr>
            <w:tcW w:w="64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double" w:sz="6" w:space="1" w:color="000000"/>
              </w:pBdr>
              <w:spacing w:before="0" w:after="0"/>
              <w:rPr/>
            </w:pPr>
            <w:r>
              <w:rPr/>
              <w:t> </w:t>
            </w:r>
          </w:p>
        </w:tc>
        <w:tc>
          <w:tcPr>
            <w:tcW w:w="1570"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8)</w:t>
            </w:r>
          </w:p>
        </w:tc>
        <w:tc>
          <w:tcPr>
            <w:tcW w:w="9797" w:type="dxa"/>
            <w:tcBorders/>
            <w:shd w:fill="auto" w:val="clear"/>
          </w:tcPr>
          <w:p>
            <w:pPr>
              <w:pStyle w:val="TableContents"/>
              <w:spacing w:before="0" w:after="0"/>
              <w:jc w:val="left"/>
              <w:rPr>
                <w:rFonts w:ascii="ARIAL" w:hAnsi="ARIAL"/>
                <w:b/>
                <w:sz w:val="20"/>
              </w:rPr>
            </w:pPr>
            <w:r>
              <w:rPr>
                <w:rFonts w:ascii="ARIAL" w:hAnsi="ARIAL"/>
                <w:b/>
                <w:sz w:val="20"/>
              </w:rPr>
              <w:t xml:space="preserve">What was the weighted average number of shares outstanding during the first quarter of 2023 and fourth quarter of 2022? How does this reconcile to the average number of shares outstanding, assuming dilution, used in the calculation of diluted earnings per share? </w:t>
            </w:r>
          </w:p>
        </w:tc>
      </w:tr>
    </w:tbl>
    <w:p>
      <w:pPr>
        <w:pStyle w:val="TextBody"/>
        <w:spacing w:before="0" w:after="0"/>
        <w:jc w:val="left"/>
        <w:rPr>
          <w:rFonts w:ascii="ARIAL" w:hAnsi="ARIAL"/>
          <w:sz w:val="20"/>
        </w:rPr>
      </w:pPr>
      <w:r>
        <w:rPr>
          <w:rFonts w:ascii="ARIAL" w:hAnsi="ARIAL"/>
          <w:sz w:val="20"/>
        </w:rPr>
        <w:t xml:space="preserve">The weighted average number of shares outstanding was 1.426 billion during the first quarter of 2023 and 1.420 billion during the fourth quarter of 2022. The following is a reconciliation of the weighted average shares outstanding to the average number of shares outstanding, assuming dilution, used in the calculation of diluted earnings per share.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535"/>
        <w:gridCol w:w="485"/>
        <w:gridCol w:w="134"/>
        <w:gridCol w:w="1256"/>
        <w:gridCol w:w="60"/>
        <w:gridCol w:w="485"/>
        <w:gridCol w:w="167"/>
        <w:gridCol w:w="1570"/>
        <w:gridCol w:w="63"/>
      </w:tblGrid>
      <w:tr>
        <w:trPr/>
        <w:tc>
          <w:tcPr>
            <w:tcW w:w="353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57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3535"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139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1737" w:type="dxa"/>
            <w:gridSpan w:val="2"/>
            <w:tcBorders/>
            <w:shd w:fill="auto" w:val="clear"/>
            <w:vAlign w:val="bottom"/>
          </w:tcPr>
          <w:p>
            <w:pPr>
              <w:pStyle w:val="TableContents"/>
              <w:spacing w:before="0" w:after="283"/>
              <w:jc w:val="center"/>
              <w:rPr/>
            </w:pPr>
            <w:r>
              <w:rPr/>
              <w:t>(Stated in millions)</w:t>
            </w:r>
          </w:p>
        </w:tc>
        <w:tc>
          <w:tcPr>
            <w:tcW w:w="63" w:type="dxa"/>
            <w:tcBorders/>
            <w:shd w:fill="auto" w:val="clear"/>
            <w:vAlign w:val="bottom"/>
          </w:tcPr>
          <w:p>
            <w:pPr>
              <w:pStyle w:val="TableContents"/>
              <w:spacing w:before="0" w:after="283"/>
              <w:rPr/>
            </w:pPr>
            <w:r>
              <w:rPr/>
              <w:t> </w:t>
            </w:r>
          </w:p>
        </w:tc>
      </w:tr>
      <w:tr>
        <w:trPr/>
        <w:tc>
          <w:tcPr>
            <w:tcW w:w="3535"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First Quarter</w:t>
              <w:br/>
              <w:t>2023</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1737" w:type="dxa"/>
            <w:gridSpan w:val="2"/>
            <w:tcBorders>
              <w:bottom w:val="single" w:sz="8" w:space="0" w:color="000000"/>
            </w:tcBorders>
            <w:shd w:fill="auto" w:val="clear"/>
            <w:tcMar>
              <w:bottom w:w="28" w:type="dxa"/>
            </w:tcMar>
            <w:vAlign w:val="bottom"/>
          </w:tcPr>
          <w:p>
            <w:pPr>
              <w:pStyle w:val="TableContents"/>
              <w:spacing w:before="0" w:after="283"/>
              <w:jc w:val="center"/>
              <w:rPr/>
            </w:pPr>
            <w:r>
              <w:rPr/>
              <w:t>Fourth Quarter</w:t>
              <w:br/>
              <w:t>2022</w:t>
            </w:r>
          </w:p>
        </w:tc>
        <w:tc>
          <w:tcPr>
            <w:tcW w:w="63" w:type="dxa"/>
            <w:tcBorders/>
            <w:shd w:fill="auto" w:val="clear"/>
            <w:vAlign w:val="bottom"/>
          </w:tcPr>
          <w:p>
            <w:pPr>
              <w:pStyle w:val="TableContents"/>
              <w:spacing w:before="0" w:after="283"/>
              <w:rPr/>
            </w:pPr>
            <w:r>
              <w:rPr/>
              <w:t> </w:t>
            </w:r>
          </w:p>
        </w:tc>
      </w:tr>
      <w:tr>
        <w:trPr/>
        <w:tc>
          <w:tcPr>
            <w:tcW w:w="3535" w:type="dxa"/>
            <w:tcBorders/>
            <w:shd w:fill="CCEEFF" w:val="clear"/>
          </w:tcPr>
          <w:p>
            <w:pPr>
              <w:pStyle w:val="TableContents"/>
              <w:spacing w:before="0" w:after="0"/>
              <w:rPr>
                <w:rFonts w:ascii="ARIAL" w:hAnsi="ARIAL"/>
                <w:sz w:val="20"/>
              </w:rPr>
            </w:pPr>
            <w:r>
              <w:rPr>
                <w:rFonts w:ascii="ARIAL" w:hAnsi="ARIAL"/>
                <w:sz w:val="20"/>
              </w:rPr>
              <w:t>Weighted average shares outstanding</w:t>
            </w:r>
          </w:p>
        </w:tc>
        <w:tc>
          <w:tcPr>
            <w:tcW w:w="48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b/>
              </w:rPr>
            </w:pPr>
            <w:r>
              <w:rPr>
                <w:b/>
              </w:rPr>
              <w:t>1,426</w:t>
            </w:r>
          </w:p>
        </w:tc>
        <w:tc>
          <w:tcPr>
            <w:tcW w:w="60"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570" w:type="dxa"/>
            <w:tcBorders/>
            <w:shd w:fill="CCEEFF" w:val="clear"/>
            <w:vAlign w:val="bottom"/>
          </w:tcPr>
          <w:p>
            <w:pPr>
              <w:pStyle w:val="TableContents"/>
              <w:spacing w:before="0" w:after="283"/>
              <w:jc w:val="right"/>
              <w:rPr/>
            </w:pPr>
            <w:r>
              <w:rPr/>
              <w:t>1,420</w:t>
            </w:r>
          </w:p>
        </w:tc>
        <w:tc>
          <w:tcPr>
            <w:tcW w:w="63" w:type="dxa"/>
            <w:tcBorders/>
            <w:shd w:fill="CCEEFF" w:val="clear"/>
            <w:vAlign w:val="bottom"/>
          </w:tcPr>
          <w:p>
            <w:pPr>
              <w:pStyle w:val="TableContents"/>
              <w:spacing w:before="0" w:after="283"/>
              <w:rPr/>
            </w:pPr>
            <w:r>
              <w:rPr/>
              <w:t> </w:t>
            </w:r>
          </w:p>
        </w:tc>
      </w:tr>
      <w:tr>
        <w:trPr/>
        <w:tc>
          <w:tcPr>
            <w:tcW w:w="3535" w:type="dxa"/>
            <w:tcBorders/>
            <w:shd w:fill="auto" w:val="clear"/>
          </w:tcPr>
          <w:p>
            <w:pPr>
              <w:pStyle w:val="TableContents"/>
              <w:spacing w:before="0" w:after="0"/>
              <w:rPr>
                <w:rFonts w:ascii="ARIAL" w:hAnsi="ARIAL"/>
                <w:sz w:val="20"/>
              </w:rPr>
            </w:pPr>
            <w:r>
              <w:rPr>
                <w:rFonts w:ascii="ARIAL" w:hAnsi="ARIAL"/>
                <w:sz w:val="20"/>
              </w:rPr>
              <w:t>Unvested restricted stock</w:t>
            </w:r>
          </w:p>
        </w:tc>
        <w:tc>
          <w:tcPr>
            <w:tcW w:w="48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b/>
              </w:rPr>
            </w:pPr>
            <w:r>
              <w:rPr>
                <w:b/>
              </w:rPr>
              <w:t>18</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570" w:type="dxa"/>
            <w:tcBorders/>
            <w:shd w:fill="auto" w:val="clear"/>
            <w:vAlign w:val="bottom"/>
          </w:tcPr>
          <w:p>
            <w:pPr>
              <w:pStyle w:val="TableContents"/>
              <w:spacing w:before="0" w:after="283"/>
              <w:jc w:val="right"/>
              <w:rPr/>
            </w:pPr>
            <w:r>
              <w:rPr/>
              <w:t>20</w:t>
            </w:r>
          </w:p>
        </w:tc>
        <w:tc>
          <w:tcPr>
            <w:tcW w:w="63" w:type="dxa"/>
            <w:tcBorders/>
            <w:shd w:fill="auto" w:val="clear"/>
            <w:vAlign w:val="bottom"/>
          </w:tcPr>
          <w:p>
            <w:pPr>
              <w:pStyle w:val="TableContents"/>
              <w:spacing w:before="0" w:after="283"/>
              <w:rPr/>
            </w:pPr>
            <w:r>
              <w:rPr/>
              <w:t> </w:t>
            </w:r>
          </w:p>
        </w:tc>
      </w:tr>
      <w:tr>
        <w:trPr/>
        <w:tc>
          <w:tcPr>
            <w:tcW w:w="3535" w:type="dxa"/>
            <w:tcBorders/>
            <w:shd w:fill="CCEEFF" w:val="clear"/>
          </w:tcPr>
          <w:p>
            <w:pPr>
              <w:pStyle w:val="TableContents"/>
              <w:spacing w:before="0" w:after="0"/>
              <w:rPr>
                <w:rFonts w:ascii="ARIAL" w:hAnsi="ARIAL"/>
                <w:sz w:val="20"/>
              </w:rPr>
            </w:pPr>
            <w:r>
              <w:rPr>
                <w:rFonts w:ascii="ARIAL" w:hAnsi="ARIAL"/>
                <w:sz w:val="20"/>
              </w:rPr>
              <w:t>Assumed exercise of stock options</w:t>
            </w:r>
          </w:p>
        </w:tc>
        <w:tc>
          <w:tcPr>
            <w:tcW w:w="48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b/>
              </w:rPr>
            </w:pPr>
            <w:r>
              <w:rPr>
                <w:b/>
              </w:rPr>
              <w:t>2</w:t>
            </w:r>
          </w:p>
        </w:tc>
        <w:tc>
          <w:tcPr>
            <w:tcW w:w="60"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570" w:type="dxa"/>
            <w:tcBorders/>
            <w:shd w:fill="CCEEFF" w:val="clear"/>
            <w:vAlign w:val="bottom"/>
          </w:tcPr>
          <w:p>
            <w:pPr>
              <w:pStyle w:val="TableContents"/>
              <w:spacing w:before="0" w:after="283"/>
              <w:jc w:val="right"/>
              <w:rPr/>
            </w:pPr>
            <w:r>
              <w:rPr/>
              <w:t>2</w:t>
            </w:r>
          </w:p>
        </w:tc>
        <w:tc>
          <w:tcPr>
            <w:tcW w:w="63" w:type="dxa"/>
            <w:tcBorders/>
            <w:shd w:fill="CCEEFF" w:val="clear"/>
            <w:vAlign w:val="bottom"/>
          </w:tcPr>
          <w:p>
            <w:pPr>
              <w:pStyle w:val="TableContents"/>
              <w:spacing w:before="0" w:after="283"/>
              <w:rPr/>
            </w:pPr>
            <w:r>
              <w:rPr/>
              <w:t> </w:t>
            </w:r>
          </w:p>
        </w:tc>
      </w:tr>
      <w:tr>
        <w:trPr/>
        <w:tc>
          <w:tcPr>
            <w:tcW w:w="3535"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single" w:sz="2" w:space="1" w:color="000000"/>
              </w:pBdr>
              <w:spacing w:before="0" w:after="0"/>
              <w:rPr/>
            </w:pPr>
            <w:r>
              <w:rPr/>
              <w:t> </w:t>
            </w:r>
          </w:p>
        </w:tc>
        <w:tc>
          <w:tcPr>
            <w:tcW w:w="125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0"/>
              <w:rPr/>
            </w:pPr>
            <w:r>
              <w:rPr/>
              <w:t> </w:t>
            </w:r>
          </w:p>
        </w:tc>
        <w:tc>
          <w:tcPr>
            <w:tcW w:w="1570"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3535" w:type="dxa"/>
            <w:tcBorders/>
            <w:shd w:fill="auto" w:val="clear"/>
          </w:tcPr>
          <w:p>
            <w:pPr>
              <w:pStyle w:val="TableContents"/>
              <w:spacing w:before="0" w:after="0"/>
              <w:rPr>
                <w:rFonts w:ascii="ARIAL" w:hAnsi="ARIAL"/>
                <w:sz w:val="20"/>
              </w:rPr>
            </w:pPr>
            <w:r>
              <w:rPr>
                <w:rFonts w:ascii="ARIAL" w:hAnsi="ARIAL"/>
                <w:sz w:val="20"/>
              </w:rPr>
              <w:t>Average shares outstanding, assuming dilution</w:t>
            </w:r>
          </w:p>
        </w:tc>
        <w:tc>
          <w:tcPr>
            <w:tcW w:w="48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b/>
              </w:rPr>
            </w:pPr>
            <w:r>
              <w:rPr>
                <w:b/>
              </w:rPr>
              <w:t>1,446</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570" w:type="dxa"/>
            <w:tcBorders/>
            <w:shd w:fill="auto" w:val="clear"/>
            <w:vAlign w:val="bottom"/>
          </w:tcPr>
          <w:p>
            <w:pPr>
              <w:pStyle w:val="TableContents"/>
              <w:spacing w:before="0" w:after="283"/>
              <w:jc w:val="right"/>
              <w:rPr/>
            </w:pPr>
            <w:r>
              <w:rPr/>
              <w:t>1,442</w:t>
            </w:r>
          </w:p>
        </w:tc>
        <w:tc>
          <w:tcPr>
            <w:tcW w:w="63" w:type="dxa"/>
            <w:tcBorders/>
            <w:shd w:fill="auto" w:val="clear"/>
            <w:vAlign w:val="bottom"/>
          </w:tcPr>
          <w:p>
            <w:pPr>
              <w:pStyle w:val="TableContents"/>
              <w:spacing w:before="0" w:after="283"/>
              <w:rPr/>
            </w:pPr>
            <w:r>
              <w:rPr/>
              <w:t> </w:t>
            </w:r>
          </w:p>
        </w:tc>
      </w:tr>
      <w:tr>
        <w:trPr/>
        <w:tc>
          <w:tcPr>
            <w:tcW w:w="3535"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pBdr>
                <w:top w:val="double" w:sz="6" w:space="1" w:color="000000"/>
              </w:pBdr>
              <w:spacing w:before="0" w:after="0"/>
              <w:rPr/>
            </w:pPr>
            <w:r>
              <w:rPr/>
              <w:t> </w:t>
            </w:r>
          </w:p>
        </w:tc>
        <w:tc>
          <w:tcPr>
            <w:tcW w:w="125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double" w:sz="6" w:space="1" w:color="000000"/>
              </w:pBdr>
              <w:spacing w:before="0" w:after="0"/>
              <w:rPr/>
            </w:pPr>
            <w:r>
              <w:rPr/>
              <w:t> </w:t>
            </w:r>
          </w:p>
        </w:tc>
        <w:tc>
          <w:tcPr>
            <w:tcW w:w="1570"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9)</w:t>
            </w:r>
          </w:p>
        </w:tc>
        <w:tc>
          <w:tcPr>
            <w:tcW w:w="9799" w:type="dxa"/>
            <w:tcBorders/>
            <w:shd w:fill="auto" w:val="clear"/>
          </w:tcPr>
          <w:p>
            <w:pPr>
              <w:pStyle w:val="TableContents"/>
              <w:spacing w:before="0" w:after="0"/>
              <w:jc w:val="left"/>
              <w:rPr>
                <w:rFonts w:ascii="ARIAL" w:hAnsi="ARIAL"/>
                <w:b/>
                <w:sz w:val="20"/>
              </w:rPr>
            </w:pPr>
            <w:r>
              <w:rPr>
                <w:rFonts w:ascii="ARIAL" w:hAnsi="ARIAL"/>
                <w:b/>
                <w:sz w:val="20"/>
              </w:rPr>
              <w:t xml:space="preserve">What was SLBs adjusted EBITDA in the first quarter of 2023, the fourth quarter of 2022, and the first quarter of 2022? </w:t>
            </w:r>
          </w:p>
        </w:tc>
      </w:tr>
    </w:tbl>
    <w:p>
      <w:pPr>
        <w:pStyle w:val="TextBody"/>
        <w:spacing w:before="0" w:after="0"/>
        <w:jc w:val="left"/>
        <w:rPr>
          <w:rFonts w:ascii="ARIAL" w:hAnsi="ARIAL"/>
          <w:sz w:val="20"/>
        </w:rPr>
      </w:pPr>
      <w:r>
        <w:rPr>
          <w:rFonts w:ascii="ARIAL" w:hAnsi="ARIAL"/>
          <w:sz w:val="20"/>
        </w:rPr>
        <w:t xml:space="preserve">SLBs adjusted EBITDA was $1.788 billion in the first quarter of 2023, $1.921 billion in the fourth quarter of 2022, and $1.254 billion in the first quarter of 2022, and was calculated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130"/>
        <w:gridCol w:w="322"/>
        <w:gridCol w:w="277"/>
        <w:gridCol w:w="1114"/>
        <w:gridCol w:w="155"/>
        <w:gridCol w:w="296"/>
        <w:gridCol w:w="286"/>
        <w:gridCol w:w="1148"/>
        <w:gridCol w:w="155"/>
        <w:gridCol w:w="295"/>
        <w:gridCol w:w="244"/>
        <w:gridCol w:w="991"/>
        <w:gridCol w:w="159"/>
      </w:tblGrid>
      <w:tr>
        <w:trPr/>
        <w:tc>
          <w:tcPr>
            <w:tcW w:w="313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13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4961" w:type="dxa"/>
            <w:gridSpan w:val="10"/>
            <w:tcBorders/>
            <w:shd w:fill="auto" w:val="clear"/>
            <w:vAlign w:val="bottom"/>
          </w:tcPr>
          <w:p>
            <w:pPr>
              <w:pStyle w:val="TableContents"/>
              <w:spacing w:before="0" w:after="283"/>
              <w:jc w:val="right"/>
              <w:rPr/>
            </w:pPr>
            <w:r>
              <w:rPr/>
              <w:t>(Stated in millions)</w:t>
            </w:r>
          </w:p>
        </w:tc>
        <w:tc>
          <w:tcPr>
            <w:tcW w:w="159" w:type="dxa"/>
            <w:tcBorders/>
            <w:shd w:fill="auto" w:val="clear"/>
            <w:vAlign w:val="bottom"/>
          </w:tcPr>
          <w:p>
            <w:pPr>
              <w:pStyle w:val="TableContents"/>
              <w:spacing w:before="0" w:after="283"/>
              <w:rPr/>
            </w:pPr>
            <w:r>
              <w:rPr/>
              <w:t> </w:t>
            </w:r>
          </w:p>
        </w:tc>
      </w:tr>
      <w:tr>
        <w:trPr/>
        <w:tc>
          <w:tcPr>
            <w:tcW w:w="313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39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First Quarter</w:t>
              <w:br/>
              <w:t>2023</w:t>
            </w:r>
          </w:p>
        </w:tc>
        <w:tc>
          <w:tcPr>
            <w:tcW w:w="15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434" w:type="dxa"/>
            <w:gridSpan w:val="2"/>
            <w:tcBorders>
              <w:bottom w:val="single" w:sz="8" w:space="0" w:color="000000"/>
            </w:tcBorders>
            <w:shd w:fill="auto" w:val="clear"/>
            <w:tcMar>
              <w:bottom w:w="28" w:type="dxa"/>
            </w:tcMar>
            <w:vAlign w:val="bottom"/>
          </w:tcPr>
          <w:p>
            <w:pPr>
              <w:pStyle w:val="TableContents"/>
              <w:spacing w:before="0" w:after="283"/>
              <w:jc w:val="center"/>
              <w:rPr/>
            </w:pPr>
            <w:r>
              <w:rPr/>
              <w:t>Fourth Quarter</w:t>
              <w:br/>
              <w:t>2022</w:t>
            </w:r>
          </w:p>
        </w:tc>
        <w:tc>
          <w:tcPr>
            <w:tcW w:w="15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pPr>
            <w:r>
              <w:rPr/>
              <w:t>First Quarter</w:t>
              <w:br/>
              <w:t>2022</w:t>
            </w:r>
          </w:p>
        </w:tc>
        <w:tc>
          <w:tcPr>
            <w:tcW w:w="159" w:type="dxa"/>
            <w:tcBorders/>
            <w:shd w:fill="auto" w:val="clear"/>
            <w:vAlign w:val="bottom"/>
          </w:tcPr>
          <w:p>
            <w:pPr>
              <w:pStyle w:val="TableContents"/>
              <w:spacing w:before="0" w:after="283"/>
              <w:rPr/>
            </w:pPr>
            <w:r>
              <w:rPr/>
              <w:t> </w:t>
            </w:r>
          </w:p>
        </w:tc>
      </w:tr>
      <w:tr>
        <w:trPr/>
        <w:tc>
          <w:tcPr>
            <w:tcW w:w="3130" w:type="dxa"/>
            <w:tcBorders/>
            <w:shd w:fill="CCEEFF" w:val="clear"/>
            <w:vAlign w:val="bottom"/>
          </w:tcPr>
          <w:p>
            <w:pPr>
              <w:pStyle w:val="TableContents"/>
              <w:spacing w:before="0" w:after="0"/>
              <w:rPr>
                <w:rFonts w:ascii="ARIAL" w:hAnsi="ARIAL"/>
                <w:sz w:val="20"/>
              </w:rPr>
            </w:pPr>
            <w:r>
              <w:rPr>
                <w:rFonts w:ascii="ARIAL" w:hAnsi="ARIAL"/>
                <w:sz w:val="20"/>
              </w:rPr>
              <w:t>Net income attributable to SLB</w:t>
            </w:r>
          </w:p>
        </w:tc>
        <w:tc>
          <w:tcPr>
            <w:tcW w:w="322"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b/>
              </w:rPr>
            </w:pPr>
            <w:r>
              <w:rPr>
                <w:b/>
              </w:rPr>
              <w:t>$</w:t>
            </w:r>
          </w:p>
        </w:tc>
        <w:tc>
          <w:tcPr>
            <w:tcW w:w="1114" w:type="dxa"/>
            <w:tcBorders/>
            <w:shd w:fill="CCEEFF" w:val="clear"/>
            <w:vAlign w:val="bottom"/>
          </w:tcPr>
          <w:p>
            <w:pPr>
              <w:pStyle w:val="TableContents"/>
              <w:spacing w:before="0" w:after="283"/>
              <w:jc w:val="right"/>
              <w:rPr>
                <w:b/>
              </w:rPr>
            </w:pPr>
            <w:r>
              <w:rPr>
                <w:b/>
              </w:rPr>
              <w:t>934</w:t>
            </w:r>
          </w:p>
        </w:tc>
        <w:tc>
          <w:tcPr>
            <w:tcW w:w="15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w:t>
            </w:r>
          </w:p>
        </w:tc>
        <w:tc>
          <w:tcPr>
            <w:tcW w:w="1148" w:type="dxa"/>
            <w:tcBorders/>
            <w:shd w:fill="CCEEFF" w:val="clear"/>
            <w:vAlign w:val="bottom"/>
          </w:tcPr>
          <w:p>
            <w:pPr>
              <w:pStyle w:val="TableContents"/>
              <w:spacing w:before="0" w:after="283"/>
              <w:jc w:val="right"/>
              <w:rPr/>
            </w:pPr>
            <w:r>
              <w:rPr/>
              <w:t>1,065</w:t>
            </w:r>
          </w:p>
        </w:tc>
        <w:tc>
          <w:tcPr>
            <w:tcW w:w="155"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w:t>
            </w:r>
          </w:p>
        </w:tc>
        <w:tc>
          <w:tcPr>
            <w:tcW w:w="991" w:type="dxa"/>
            <w:tcBorders/>
            <w:shd w:fill="CCEEFF" w:val="clear"/>
            <w:vAlign w:val="bottom"/>
          </w:tcPr>
          <w:p>
            <w:pPr>
              <w:pStyle w:val="TableContents"/>
              <w:spacing w:before="0" w:after="283"/>
              <w:jc w:val="right"/>
              <w:rPr/>
            </w:pPr>
            <w:r>
              <w:rPr/>
              <w:t>510</w:t>
            </w:r>
          </w:p>
        </w:tc>
        <w:tc>
          <w:tcPr>
            <w:tcW w:w="159" w:type="dxa"/>
            <w:tcBorders/>
            <w:shd w:fill="CCEEFF" w:val="clear"/>
            <w:vAlign w:val="bottom"/>
          </w:tcPr>
          <w:p>
            <w:pPr>
              <w:pStyle w:val="TableContents"/>
              <w:spacing w:before="0" w:after="283"/>
              <w:rPr/>
            </w:pPr>
            <w:r>
              <w:rPr/>
              <w:t> </w:t>
            </w:r>
          </w:p>
        </w:tc>
      </w:tr>
      <w:tr>
        <w:trPr/>
        <w:tc>
          <w:tcPr>
            <w:tcW w:w="3130" w:type="dxa"/>
            <w:tcBorders/>
            <w:shd w:fill="auto" w:val="clear"/>
            <w:vAlign w:val="bottom"/>
          </w:tcPr>
          <w:p>
            <w:pPr>
              <w:pStyle w:val="TableContents"/>
              <w:spacing w:before="0" w:after="0"/>
              <w:rPr>
                <w:rFonts w:ascii="ARIAL" w:hAnsi="ARIAL"/>
                <w:sz w:val="20"/>
              </w:rPr>
            </w:pPr>
            <w:r>
              <w:rPr>
                <w:rFonts w:ascii="ARIAL" w:hAnsi="ARIAL"/>
                <w:sz w:val="20"/>
              </w:rPr>
              <w:t>Net income attributable to noncontrolling interests</w:t>
            </w:r>
          </w:p>
        </w:tc>
        <w:tc>
          <w:tcPr>
            <w:tcW w:w="322"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14" w:type="dxa"/>
            <w:tcBorders/>
            <w:shd w:fill="auto" w:val="clear"/>
            <w:vAlign w:val="bottom"/>
          </w:tcPr>
          <w:p>
            <w:pPr>
              <w:pStyle w:val="TableContents"/>
              <w:spacing w:before="0" w:after="283"/>
              <w:jc w:val="right"/>
              <w:rPr>
                <w:b/>
              </w:rPr>
            </w:pPr>
            <w:r>
              <w:rPr>
                <w:b/>
              </w:rPr>
              <w:t>10</w:t>
            </w:r>
          </w:p>
        </w:tc>
        <w:tc>
          <w:tcPr>
            <w:tcW w:w="15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18</w:t>
            </w:r>
          </w:p>
        </w:tc>
        <w:tc>
          <w:tcPr>
            <w:tcW w:w="15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10</w:t>
            </w:r>
          </w:p>
        </w:tc>
        <w:tc>
          <w:tcPr>
            <w:tcW w:w="159" w:type="dxa"/>
            <w:tcBorders/>
            <w:shd w:fill="auto" w:val="clear"/>
            <w:vAlign w:val="bottom"/>
          </w:tcPr>
          <w:p>
            <w:pPr>
              <w:pStyle w:val="TableContents"/>
              <w:spacing w:before="0" w:after="283"/>
              <w:rPr/>
            </w:pPr>
            <w:r>
              <w:rPr/>
              <w:t> </w:t>
            </w:r>
          </w:p>
        </w:tc>
      </w:tr>
      <w:tr>
        <w:trPr/>
        <w:tc>
          <w:tcPr>
            <w:tcW w:w="3130" w:type="dxa"/>
            <w:tcBorders/>
            <w:shd w:fill="CCEEFF" w:val="clear"/>
            <w:vAlign w:val="bottom"/>
          </w:tcPr>
          <w:p>
            <w:pPr>
              <w:pStyle w:val="TableContents"/>
              <w:spacing w:before="0" w:after="0"/>
              <w:rPr>
                <w:rFonts w:ascii="ARIAL" w:hAnsi="ARIAL"/>
                <w:sz w:val="20"/>
              </w:rPr>
            </w:pPr>
            <w:r>
              <w:rPr>
                <w:rFonts w:ascii="ARIAL" w:hAnsi="ARIAL"/>
                <w:sz w:val="20"/>
              </w:rPr>
              <w:t>Tax expense</w:t>
            </w:r>
          </w:p>
        </w:tc>
        <w:tc>
          <w:tcPr>
            <w:tcW w:w="322"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jc w:val="right"/>
              <w:rPr>
                <w:b/>
              </w:rPr>
            </w:pPr>
            <w:r>
              <w:rPr>
                <w:b/>
              </w:rPr>
              <w:t>217</w:t>
            </w:r>
          </w:p>
        </w:tc>
        <w:tc>
          <w:tcPr>
            <w:tcW w:w="15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264</w:t>
            </w:r>
          </w:p>
        </w:tc>
        <w:tc>
          <w:tcPr>
            <w:tcW w:w="155"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118</w:t>
            </w:r>
          </w:p>
        </w:tc>
        <w:tc>
          <w:tcPr>
            <w:tcW w:w="159" w:type="dxa"/>
            <w:tcBorders/>
            <w:shd w:fill="CCEEFF" w:val="clear"/>
            <w:vAlign w:val="bottom"/>
          </w:tcPr>
          <w:p>
            <w:pPr>
              <w:pStyle w:val="TableContents"/>
              <w:spacing w:before="0" w:after="283"/>
              <w:rPr/>
            </w:pPr>
            <w:r>
              <w:rPr/>
              <w:t> </w:t>
            </w:r>
          </w:p>
        </w:tc>
      </w:tr>
      <w:tr>
        <w:trPr/>
        <w:tc>
          <w:tcPr>
            <w:tcW w:w="3130" w:type="dxa"/>
            <w:tcBorders/>
            <w:shd w:fill="auto" w:val="clear"/>
            <w:vAlign w:val="bottom"/>
          </w:tcPr>
          <w:p>
            <w:pPr>
              <w:pStyle w:val="TableContents"/>
              <w:spacing w:before="0" w:after="283"/>
              <w:rPr>
                <w:sz w:val="4"/>
                <w:szCs w:val="4"/>
              </w:rPr>
            </w:pPr>
            <w:r>
              <w:rPr>
                <w:sz w:val="4"/>
                <w:szCs w:val="4"/>
              </w:rPr>
            </w:r>
          </w:p>
        </w:tc>
        <w:tc>
          <w:tcPr>
            <w:tcW w:w="322"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pBdr>
                <w:top w:val="single" w:sz="2" w:space="1" w:color="000000"/>
              </w:pBdr>
              <w:spacing w:before="0" w:after="0"/>
              <w:rPr/>
            </w:pPr>
            <w:r>
              <w:rPr/>
              <w:t> </w:t>
            </w:r>
          </w:p>
        </w:tc>
        <w:tc>
          <w:tcPr>
            <w:tcW w:w="11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4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pBdr>
                <w:top w:val="single" w:sz="2" w:space="1" w:color="000000"/>
              </w:pBdr>
              <w:spacing w:before="0" w:after="0"/>
              <w:rPr/>
            </w:pPr>
            <w:r>
              <w:rPr/>
              <w:t> </w:t>
            </w:r>
          </w:p>
        </w:tc>
        <w:tc>
          <w:tcPr>
            <w:tcW w:w="99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130" w:type="dxa"/>
            <w:tcBorders/>
            <w:shd w:fill="auto" w:val="clear"/>
            <w:vAlign w:val="bottom"/>
          </w:tcPr>
          <w:p>
            <w:pPr>
              <w:pStyle w:val="TableContents"/>
              <w:spacing w:before="0" w:after="0"/>
              <w:rPr>
                <w:rFonts w:ascii="ARIAL" w:hAnsi="ARIAL"/>
                <w:sz w:val="20"/>
              </w:rPr>
            </w:pPr>
            <w:r>
              <w:rPr>
                <w:rFonts w:ascii="ARIAL" w:hAnsi="ARIAL"/>
                <w:sz w:val="20"/>
              </w:rPr>
              <w:t>Income before taxes</w:t>
            </w:r>
          </w:p>
        </w:tc>
        <w:tc>
          <w:tcPr>
            <w:tcW w:w="322"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b/>
              </w:rPr>
            </w:pPr>
            <w:r>
              <w:rPr>
                <w:b/>
              </w:rPr>
              <w:t>$</w:t>
            </w:r>
          </w:p>
        </w:tc>
        <w:tc>
          <w:tcPr>
            <w:tcW w:w="1114" w:type="dxa"/>
            <w:tcBorders/>
            <w:shd w:fill="auto" w:val="clear"/>
            <w:vAlign w:val="bottom"/>
          </w:tcPr>
          <w:p>
            <w:pPr>
              <w:pStyle w:val="TableContents"/>
              <w:spacing w:before="0" w:after="283"/>
              <w:jc w:val="right"/>
              <w:rPr>
                <w:b/>
              </w:rPr>
            </w:pPr>
            <w:r>
              <w:rPr>
                <w:b/>
              </w:rPr>
              <w:t>1,161</w:t>
            </w:r>
          </w:p>
        </w:tc>
        <w:tc>
          <w:tcPr>
            <w:tcW w:w="15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w:t>
            </w:r>
          </w:p>
        </w:tc>
        <w:tc>
          <w:tcPr>
            <w:tcW w:w="1148" w:type="dxa"/>
            <w:tcBorders/>
            <w:shd w:fill="auto" w:val="clear"/>
            <w:vAlign w:val="bottom"/>
          </w:tcPr>
          <w:p>
            <w:pPr>
              <w:pStyle w:val="TableContents"/>
              <w:spacing w:before="0" w:after="283"/>
              <w:jc w:val="right"/>
              <w:rPr/>
            </w:pPr>
            <w:r>
              <w:rPr/>
              <w:t>1,347</w:t>
            </w:r>
          </w:p>
        </w:tc>
        <w:tc>
          <w:tcPr>
            <w:tcW w:w="15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w:t>
            </w:r>
          </w:p>
        </w:tc>
        <w:tc>
          <w:tcPr>
            <w:tcW w:w="991" w:type="dxa"/>
            <w:tcBorders/>
            <w:shd w:fill="auto" w:val="clear"/>
            <w:vAlign w:val="bottom"/>
          </w:tcPr>
          <w:p>
            <w:pPr>
              <w:pStyle w:val="TableContents"/>
              <w:spacing w:before="0" w:after="283"/>
              <w:jc w:val="right"/>
              <w:rPr/>
            </w:pPr>
            <w:r>
              <w:rPr/>
              <w:t>638</w:t>
            </w:r>
          </w:p>
        </w:tc>
        <w:tc>
          <w:tcPr>
            <w:tcW w:w="159" w:type="dxa"/>
            <w:tcBorders/>
            <w:shd w:fill="auto" w:val="clear"/>
            <w:vAlign w:val="bottom"/>
          </w:tcPr>
          <w:p>
            <w:pPr>
              <w:pStyle w:val="TableContents"/>
              <w:spacing w:before="0" w:after="283"/>
              <w:rPr/>
            </w:pPr>
            <w:r>
              <w:rPr/>
              <w:t> </w:t>
            </w:r>
          </w:p>
        </w:tc>
      </w:tr>
      <w:tr>
        <w:trPr/>
        <w:tc>
          <w:tcPr>
            <w:tcW w:w="3130" w:type="dxa"/>
            <w:tcBorders/>
            <w:shd w:fill="CCEEFF" w:val="clear"/>
            <w:vAlign w:val="bottom"/>
          </w:tcPr>
          <w:p>
            <w:pPr>
              <w:pStyle w:val="TableContents"/>
              <w:spacing w:before="0" w:after="0"/>
              <w:rPr>
                <w:rFonts w:ascii="ARIAL" w:hAnsi="ARIAL"/>
                <w:sz w:val="20"/>
              </w:rPr>
            </w:pPr>
            <w:r>
              <w:rPr>
                <w:rFonts w:ascii="ARIAL" w:hAnsi="ARIAL"/>
                <w:sz w:val="20"/>
              </w:rPr>
              <w:t>Charges &amp; credits</w:t>
            </w:r>
          </w:p>
        </w:tc>
        <w:tc>
          <w:tcPr>
            <w:tcW w:w="322"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jc w:val="right"/>
              <w:rPr>
                <w:b/>
              </w:rPr>
            </w:pPr>
            <w:r>
              <w:rPr>
                <w:b/>
              </w:rPr>
              <w:t>(36</w:t>
            </w:r>
          </w:p>
        </w:tc>
        <w:tc>
          <w:tcPr>
            <w:tcW w:w="155" w:type="dxa"/>
            <w:tcBorders/>
            <w:shd w:fill="CCEEFF" w:val="clear"/>
            <w:vAlign w:val="bottom"/>
          </w:tcPr>
          <w:p>
            <w:pPr>
              <w:pStyle w:val="TableContents"/>
              <w:spacing w:before="0" w:after="283"/>
              <w:rPr>
                <w:b/>
              </w:rPr>
            </w:pPr>
            <w:r>
              <w:rPr>
                <w:b/>
              </w:rPr>
              <w:t>) </w:t>
            </w:r>
          </w:p>
        </w:tc>
        <w:tc>
          <w:tcPr>
            <w:tcW w:w="29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(63</w:t>
            </w:r>
          </w:p>
        </w:tc>
        <w:tc>
          <w:tcPr>
            <w:tcW w:w="155"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(26</w:t>
            </w:r>
          </w:p>
        </w:tc>
        <w:tc>
          <w:tcPr>
            <w:tcW w:w="159" w:type="dxa"/>
            <w:tcBorders/>
            <w:shd w:fill="CCEEFF" w:val="clear"/>
            <w:vAlign w:val="bottom"/>
          </w:tcPr>
          <w:p>
            <w:pPr>
              <w:pStyle w:val="TableContents"/>
              <w:spacing w:before="0" w:after="283"/>
              <w:rPr/>
            </w:pPr>
            <w:r>
              <w:rPr/>
              <w:t>) </w:t>
            </w:r>
          </w:p>
        </w:tc>
      </w:tr>
      <w:tr>
        <w:trPr/>
        <w:tc>
          <w:tcPr>
            <w:tcW w:w="3130" w:type="dxa"/>
            <w:tcBorders/>
            <w:shd w:fill="auto" w:val="clear"/>
            <w:vAlign w:val="bottom"/>
          </w:tcPr>
          <w:p>
            <w:pPr>
              <w:pStyle w:val="TableContents"/>
              <w:spacing w:before="0" w:after="0"/>
              <w:rPr>
                <w:rFonts w:ascii="ARIAL" w:hAnsi="ARIAL"/>
                <w:sz w:val="20"/>
              </w:rPr>
            </w:pPr>
            <w:r>
              <w:rPr>
                <w:rFonts w:ascii="ARIAL" w:hAnsi="ARIAL"/>
                <w:sz w:val="20"/>
              </w:rPr>
              <w:t>Depreciation and amortization</w:t>
            </w:r>
          </w:p>
        </w:tc>
        <w:tc>
          <w:tcPr>
            <w:tcW w:w="322"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14" w:type="dxa"/>
            <w:tcBorders/>
            <w:shd w:fill="auto" w:val="clear"/>
            <w:vAlign w:val="bottom"/>
          </w:tcPr>
          <w:p>
            <w:pPr>
              <w:pStyle w:val="TableContents"/>
              <w:spacing w:before="0" w:after="283"/>
              <w:jc w:val="right"/>
              <w:rPr>
                <w:b/>
              </w:rPr>
            </w:pPr>
            <w:r>
              <w:rPr>
                <w:b/>
              </w:rPr>
              <w:t>563</w:t>
            </w:r>
          </w:p>
        </w:tc>
        <w:tc>
          <w:tcPr>
            <w:tcW w:w="15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549</w:t>
            </w:r>
          </w:p>
        </w:tc>
        <w:tc>
          <w:tcPr>
            <w:tcW w:w="15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533</w:t>
            </w:r>
          </w:p>
        </w:tc>
        <w:tc>
          <w:tcPr>
            <w:tcW w:w="159" w:type="dxa"/>
            <w:tcBorders/>
            <w:shd w:fill="auto" w:val="clear"/>
            <w:vAlign w:val="bottom"/>
          </w:tcPr>
          <w:p>
            <w:pPr>
              <w:pStyle w:val="TableContents"/>
              <w:spacing w:before="0" w:after="283"/>
              <w:rPr/>
            </w:pPr>
            <w:r>
              <w:rPr/>
              <w:t> </w:t>
            </w:r>
          </w:p>
        </w:tc>
      </w:tr>
      <w:tr>
        <w:trPr/>
        <w:tc>
          <w:tcPr>
            <w:tcW w:w="3130" w:type="dxa"/>
            <w:tcBorders/>
            <w:shd w:fill="CCEEFF" w:val="clear"/>
            <w:vAlign w:val="bottom"/>
          </w:tcPr>
          <w:p>
            <w:pPr>
              <w:pStyle w:val="TableContents"/>
              <w:spacing w:before="0" w:after="0"/>
              <w:rPr>
                <w:rFonts w:ascii="ARIAL" w:hAnsi="ARIAL"/>
                <w:sz w:val="20"/>
              </w:rPr>
            </w:pPr>
            <w:r>
              <w:rPr>
                <w:rFonts w:ascii="ARIAL" w:hAnsi="ARIAL"/>
                <w:sz w:val="20"/>
              </w:rPr>
              <w:t>Interest expense</w:t>
            </w:r>
          </w:p>
        </w:tc>
        <w:tc>
          <w:tcPr>
            <w:tcW w:w="322"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jc w:val="right"/>
              <w:rPr>
                <w:b/>
              </w:rPr>
            </w:pPr>
            <w:r>
              <w:rPr>
                <w:b/>
              </w:rPr>
              <w:t>117</w:t>
            </w:r>
          </w:p>
        </w:tc>
        <w:tc>
          <w:tcPr>
            <w:tcW w:w="15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121</w:t>
            </w:r>
          </w:p>
        </w:tc>
        <w:tc>
          <w:tcPr>
            <w:tcW w:w="155"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991" w:type="dxa"/>
            <w:tcBorders/>
            <w:shd w:fill="CCEEFF" w:val="clear"/>
            <w:vAlign w:val="bottom"/>
          </w:tcPr>
          <w:p>
            <w:pPr>
              <w:pStyle w:val="TableContents"/>
              <w:spacing w:before="0" w:after="283"/>
              <w:jc w:val="right"/>
              <w:rPr/>
            </w:pPr>
            <w:r>
              <w:rPr/>
              <w:t>123</w:t>
            </w:r>
          </w:p>
        </w:tc>
        <w:tc>
          <w:tcPr>
            <w:tcW w:w="159" w:type="dxa"/>
            <w:tcBorders/>
            <w:shd w:fill="CCEEFF" w:val="clear"/>
            <w:vAlign w:val="bottom"/>
          </w:tcPr>
          <w:p>
            <w:pPr>
              <w:pStyle w:val="TableContents"/>
              <w:spacing w:before="0" w:after="283"/>
              <w:rPr/>
            </w:pPr>
            <w:r>
              <w:rPr/>
              <w:t> </w:t>
            </w:r>
          </w:p>
        </w:tc>
      </w:tr>
      <w:tr>
        <w:trPr/>
        <w:tc>
          <w:tcPr>
            <w:tcW w:w="3130" w:type="dxa"/>
            <w:tcBorders/>
            <w:shd w:fill="auto" w:val="clear"/>
            <w:vAlign w:val="bottom"/>
          </w:tcPr>
          <w:p>
            <w:pPr>
              <w:pStyle w:val="TableContents"/>
              <w:spacing w:before="0" w:after="0"/>
              <w:rPr>
                <w:rFonts w:ascii="ARIAL" w:hAnsi="ARIAL"/>
                <w:sz w:val="20"/>
              </w:rPr>
            </w:pPr>
            <w:r>
              <w:rPr>
                <w:rFonts w:ascii="ARIAL" w:hAnsi="ARIAL"/>
                <w:sz w:val="20"/>
              </w:rPr>
              <w:t>Interest income</w:t>
            </w:r>
          </w:p>
        </w:tc>
        <w:tc>
          <w:tcPr>
            <w:tcW w:w="322"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14" w:type="dxa"/>
            <w:tcBorders/>
            <w:shd w:fill="auto" w:val="clear"/>
            <w:vAlign w:val="bottom"/>
          </w:tcPr>
          <w:p>
            <w:pPr>
              <w:pStyle w:val="TableContents"/>
              <w:spacing w:before="0" w:after="283"/>
              <w:jc w:val="right"/>
              <w:rPr>
                <w:b/>
              </w:rPr>
            </w:pPr>
            <w:r>
              <w:rPr>
                <w:b/>
              </w:rPr>
              <w:t>(17</w:t>
            </w:r>
          </w:p>
        </w:tc>
        <w:tc>
          <w:tcPr>
            <w:tcW w:w="155" w:type="dxa"/>
            <w:tcBorders/>
            <w:shd w:fill="auto" w:val="clear"/>
            <w:vAlign w:val="bottom"/>
          </w:tcPr>
          <w:p>
            <w:pPr>
              <w:pStyle w:val="TableContents"/>
              <w:spacing w:before="0" w:after="283"/>
              <w:rPr>
                <w:b/>
              </w:rPr>
            </w:pPr>
            <w:r>
              <w:rPr>
                <w:b/>
              </w:rPr>
              <w:t>) </w:t>
            </w:r>
          </w:p>
        </w:tc>
        <w:tc>
          <w:tcPr>
            <w:tcW w:w="29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(33</w:t>
            </w:r>
          </w:p>
        </w:tc>
        <w:tc>
          <w:tcPr>
            <w:tcW w:w="15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91" w:type="dxa"/>
            <w:tcBorders/>
            <w:shd w:fill="auto" w:val="clear"/>
            <w:vAlign w:val="bottom"/>
          </w:tcPr>
          <w:p>
            <w:pPr>
              <w:pStyle w:val="TableContents"/>
              <w:spacing w:before="0" w:after="283"/>
              <w:jc w:val="right"/>
              <w:rPr/>
            </w:pPr>
            <w:r>
              <w:rPr/>
              <w:t>(14</w:t>
            </w:r>
          </w:p>
        </w:tc>
        <w:tc>
          <w:tcPr>
            <w:tcW w:w="159" w:type="dxa"/>
            <w:tcBorders/>
            <w:shd w:fill="auto" w:val="clear"/>
            <w:vAlign w:val="bottom"/>
          </w:tcPr>
          <w:p>
            <w:pPr>
              <w:pStyle w:val="TableContents"/>
              <w:spacing w:before="0" w:after="283"/>
              <w:rPr/>
            </w:pPr>
            <w:r>
              <w:rPr/>
              <w:t>) </w:t>
            </w:r>
          </w:p>
        </w:tc>
      </w:tr>
      <w:tr>
        <w:trPr/>
        <w:tc>
          <w:tcPr>
            <w:tcW w:w="3130" w:type="dxa"/>
            <w:tcBorders/>
            <w:shd w:fill="auto" w:val="clear"/>
            <w:vAlign w:val="bottom"/>
          </w:tcPr>
          <w:p>
            <w:pPr>
              <w:pStyle w:val="TableContents"/>
              <w:spacing w:before="0" w:after="283"/>
              <w:rPr>
                <w:sz w:val="4"/>
                <w:szCs w:val="4"/>
              </w:rPr>
            </w:pPr>
            <w:r>
              <w:rPr>
                <w:sz w:val="4"/>
                <w:szCs w:val="4"/>
              </w:rPr>
            </w:r>
          </w:p>
        </w:tc>
        <w:tc>
          <w:tcPr>
            <w:tcW w:w="322"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pBdr>
                <w:top w:val="single" w:sz="2" w:space="1" w:color="000000"/>
              </w:pBdr>
              <w:spacing w:before="0" w:after="0"/>
              <w:rPr/>
            </w:pPr>
            <w:r>
              <w:rPr/>
              <w:t> </w:t>
            </w:r>
          </w:p>
        </w:tc>
        <w:tc>
          <w:tcPr>
            <w:tcW w:w="11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4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pBdr>
                <w:top w:val="single" w:sz="2" w:space="1" w:color="000000"/>
              </w:pBdr>
              <w:spacing w:before="0" w:after="0"/>
              <w:rPr/>
            </w:pPr>
            <w:r>
              <w:rPr/>
              <w:t> </w:t>
            </w:r>
          </w:p>
        </w:tc>
        <w:tc>
          <w:tcPr>
            <w:tcW w:w="99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130" w:type="dxa"/>
            <w:tcBorders/>
            <w:shd w:fill="CCEEFF" w:val="clear"/>
            <w:vAlign w:val="bottom"/>
          </w:tcPr>
          <w:p>
            <w:pPr>
              <w:pStyle w:val="TableContents"/>
              <w:spacing w:before="0" w:after="0"/>
              <w:rPr>
                <w:rFonts w:ascii="ARIAL" w:hAnsi="ARIAL"/>
                <w:sz w:val="20"/>
              </w:rPr>
            </w:pPr>
            <w:r>
              <w:rPr>
                <w:rFonts w:ascii="ARIAL" w:hAnsi="ARIAL"/>
                <w:sz w:val="20"/>
              </w:rPr>
              <w:t>Adjusted EBITDA</w:t>
            </w:r>
          </w:p>
        </w:tc>
        <w:tc>
          <w:tcPr>
            <w:tcW w:w="322"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b/>
              </w:rPr>
            </w:pPr>
            <w:r>
              <w:rPr>
                <w:b/>
              </w:rPr>
              <w:t>$</w:t>
            </w:r>
          </w:p>
        </w:tc>
        <w:tc>
          <w:tcPr>
            <w:tcW w:w="1114" w:type="dxa"/>
            <w:tcBorders/>
            <w:shd w:fill="CCEEFF" w:val="clear"/>
            <w:vAlign w:val="bottom"/>
          </w:tcPr>
          <w:p>
            <w:pPr>
              <w:pStyle w:val="TableContents"/>
              <w:spacing w:before="0" w:after="283"/>
              <w:jc w:val="right"/>
              <w:rPr>
                <w:b/>
              </w:rPr>
            </w:pPr>
            <w:r>
              <w:rPr>
                <w:b/>
              </w:rPr>
              <w:t>1,788</w:t>
            </w:r>
          </w:p>
        </w:tc>
        <w:tc>
          <w:tcPr>
            <w:tcW w:w="155"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w:t>
            </w:r>
          </w:p>
        </w:tc>
        <w:tc>
          <w:tcPr>
            <w:tcW w:w="1148" w:type="dxa"/>
            <w:tcBorders/>
            <w:shd w:fill="CCEEFF" w:val="clear"/>
            <w:vAlign w:val="bottom"/>
          </w:tcPr>
          <w:p>
            <w:pPr>
              <w:pStyle w:val="TableContents"/>
              <w:spacing w:before="0" w:after="283"/>
              <w:jc w:val="right"/>
              <w:rPr/>
            </w:pPr>
            <w:r>
              <w:rPr/>
              <w:t>1,921</w:t>
            </w:r>
          </w:p>
        </w:tc>
        <w:tc>
          <w:tcPr>
            <w:tcW w:w="155"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w:t>
            </w:r>
          </w:p>
        </w:tc>
        <w:tc>
          <w:tcPr>
            <w:tcW w:w="991" w:type="dxa"/>
            <w:tcBorders/>
            <w:shd w:fill="CCEEFF" w:val="clear"/>
            <w:vAlign w:val="bottom"/>
          </w:tcPr>
          <w:p>
            <w:pPr>
              <w:pStyle w:val="TableContents"/>
              <w:spacing w:before="0" w:after="283"/>
              <w:jc w:val="right"/>
              <w:rPr/>
            </w:pPr>
            <w:r>
              <w:rPr/>
              <w:t>1,254</w:t>
            </w:r>
          </w:p>
        </w:tc>
        <w:tc>
          <w:tcPr>
            <w:tcW w:w="159" w:type="dxa"/>
            <w:tcBorders/>
            <w:shd w:fill="CCEEFF" w:val="clear"/>
            <w:vAlign w:val="bottom"/>
          </w:tcPr>
          <w:p>
            <w:pPr>
              <w:pStyle w:val="TableContents"/>
              <w:spacing w:before="0" w:after="283"/>
              <w:rPr/>
            </w:pPr>
            <w:r>
              <w:rPr/>
              <w:t> </w:t>
            </w:r>
          </w:p>
        </w:tc>
      </w:tr>
      <w:tr>
        <w:trPr/>
        <w:tc>
          <w:tcPr>
            <w:tcW w:w="3130" w:type="dxa"/>
            <w:tcBorders/>
            <w:shd w:fill="auto" w:val="clear"/>
            <w:vAlign w:val="bottom"/>
          </w:tcPr>
          <w:p>
            <w:pPr>
              <w:pStyle w:val="TableContents"/>
              <w:spacing w:before="0" w:after="283"/>
              <w:rPr>
                <w:sz w:val="4"/>
                <w:szCs w:val="4"/>
              </w:rPr>
            </w:pPr>
            <w:r>
              <w:rPr>
                <w:sz w:val="4"/>
                <w:szCs w:val="4"/>
              </w:rPr>
            </w:r>
          </w:p>
        </w:tc>
        <w:tc>
          <w:tcPr>
            <w:tcW w:w="322"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pBdr>
                <w:top w:val="double" w:sz="6" w:space="1" w:color="000000"/>
              </w:pBdr>
              <w:spacing w:before="0" w:after="0"/>
              <w:rPr/>
            </w:pPr>
            <w:r>
              <w:rPr/>
              <w:t> </w:t>
            </w:r>
          </w:p>
        </w:tc>
        <w:tc>
          <w:tcPr>
            <w:tcW w:w="111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double" w:sz="6" w:space="1" w:color="000000"/>
              </w:pBdr>
              <w:spacing w:before="0" w:after="0"/>
              <w:rPr/>
            </w:pPr>
            <w:r>
              <w:rPr/>
              <w:t> </w:t>
            </w:r>
          </w:p>
        </w:tc>
        <w:tc>
          <w:tcPr>
            <w:tcW w:w="114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pBdr>
                <w:top w:val="double" w:sz="6" w:space="1" w:color="000000"/>
              </w:pBdr>
              <w:spacing w:before="0" w:after="0"/>
              <w:rPr/>
            </w:pPr>
            <w:r>
              <w:rPr/>
              <w:t> </w:t>
            </w:r>
          </w:p>
        </w:tc>
        <w:tc>
          <w:tcPr>
            <w:tcW w:w="991"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120" w:after="0"/>
        <w:jc w:val="left"/>
        <w:rPr>
          <w:rFonts w:ascii="ARIAL" w:hAnsi="ARIAL"/>
          <w:sz w:val="20"/>
        </w:rPr>
      </w:pPr>
      <w:r>
        <w:rPr>
          <w:rFonts w:ascii="ARIAL" w:hAnsi="ARIAL"/>
          <w:sz w:val="20"/>
        </w:rPr>
        <w:t xml:space="preserve">Adjusted EBITDA represents income before taxes, excluding charges &amp; credits, depreciation and amortization, interest expense, and interest income. Management believes that adjusted EBITDA is an important profitability measure for SLB and that it allows investors and management to more efficiently evaluate SLBs operations period over period and to identify operating trends that could otherwise be masked. Adjusted EBITDA is also used by management as a performance measure in determining certain incentive compensation. Adjusted EBITDA should be considered in addition to, not as a substitute for or superior to, other measures of financial performance prepared in accordance with GAAP.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19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10)</w:t>
            </w:r>
          </w:p>
        </w:tc>
        <w:tc>
          <w:tcPr>
            <w:tcW w:w="9798" w:type="dxa"/>
            <w:tcBorders/>
            <w:shd w:fill="auto" w:val="clear"/>
          </w:tcPr>
          <w:p>
            <w:pPr>
              <w:pStyle w:val="TableContents"/>
              <w:spacing w:before="0" w:after="0"/>
              <w:jc w:val="left"/>
              <w:rPr>
                <w:rFonts w:ascii="ARIAL" w:hAnsi="ARIAL"/>
                <w:b/>
                <w:sz w:val="20"/>
              </w:rPr>
            </w:pPr>
            <w:r>
              <w:rPr>
                <w:rFonts w:ascii="ARIAL" w:hAnsi="ARIAL"/>
                <w:b/>
                <w:sz w:val="20"/>
              </w:rPr>
              <w:t xml:space="preserve">What were the components of depreciation and amortization expense for the first quarter of 2023, the fourth quarter of 2022, and the first quarter of 2022? </w:t>
            </w:r>
          </w:p>
        </w:tc>
      </w:tr>
    </w:tbl>
    <w:p>
      <w:pPr>
        <w:pStyle w:val="TextBody"/>
        <w:spacing w:before="120" w:after="0"/>
        <w:jc w:val="left"/>
        <w:rPr>
          <w:rFonts w:ascii="ARIAL" w:hAnsi="ARIAL"/>
          <w:sz w:val="20"/>
        </w:rPr>
      </w:pPr>
      <w:r>
        <w:rPr>
          <w:rFonts w:ascii="ARIAL" w:hAnsi="ARIAL"/>
          <w:sz w:val="20"/>
        </w:rPr>
        <w:t xml:space="preserve">The components of depreciation and amortization expense for the first quarter of 2023, the fourth quarter of 2022, and the first quarter of 2022 were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001"/>
        <w:gridCol w:w="431"/>
        <w:gridCol w:w="372"/>
        <w:gridCol w:w="1042"/>
        <w:gridCol w:w="60"/>
        <w:gridCol w:w="431"/>
        <w:gridCol w:w="385"/>
        <w:gridCol w:w="1073"/>
        <w:gridCol w:w="60"/>
        <w:gridCol w:w="431"/>
        <w:gridCol w:w="328"/>
        <w:gridCol w:w="892"/>
        <w:gridCol w:w="66"/>
      </w:tblGrid>
      <w:tr>
        <w:trPr/>
        <w:tc>
          <w:tcPr>
            <w:tcW w:w="300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bottom"/>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3001"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5074" w:type="dxa"/>
            <w:gridSpan w:val="10"/>
            <w:tcBorders/>
            <w:shd w:fill="auto" w:val="clear"/>
            <w:vAlign w:val="bottom"/>
          </w:tcPr>
          <w:p>
            <w:pPr>
              <w:pStyle w:val="TableContents"/>
              <w:spacing w:before="0" w:after="283"/>
              <w:jc w:val="center"/>
              <w:rPr/>
            </w:pPr>
            <w:r>
              <w:rPr/>
              <w:t>(Stated in millions)</w:t>
            </w:r>
          </w:p>
        </w:tc>
        <w:tc>
          <w:tcPr>
            <w:tcW w:w="66" w:type="dxa"/>
            <w:tcBorders/>
            <w:shd w:fill="auto" w:val="clear"/>
            <w:vAlign w:val="bottom"/>
          </w:tcPr>
          <w:p>
            <w:pPr>
              <w:pStyle w:val="TableContents"/>
              <w:spacing w:before="0" w:after="283"/>
              <w:rPr/>
            </w:pPr>
            <w:r>
              <w:rPr/>
              <w:t> </w:t>
            </w:r>
          </w:p>
        </w:tc>
      </w:tr>
      <w:tr>
        <w:trPr/>
        <w:tc>
          <w:tcPr>
            <w:tcW w:w="3001"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41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First Quarter</w:t>
            </w:r>
            <w:r>
              <w:rPr/>
              <w:br/>
            </w:r>
            <w:r>
              <w:rPr>
                <w:b/>
              </w:rPr>
              <w:t>2023</w:t>
            </w:r>
          </w:p>
        </w:tc>
        <w:tc>
          <w:tcPr>
            <w:tcW w:w="60"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458" w:type="dxa"/>
            <w:gridSpan w:val="2"/>
            <w:tcBorders>
              <w:bottom w:val="single" w:sz="8" w:space="0" w:color="000000"/>
            </w:tcBorders>
            <w:shd w:fill="auto" w:val="clear"/>
            <w:tcMar>
              <w:bottom w:w="28" w:type="dxa"/>
            </w:tcMar>
            <w:vAlign w:val="bottom"/>
          </w:tcPr>
          <w:p>
            <w:pPr>
              <w:pStyle w:val="TableContents"/>
              <w:spacing w:before="0" w:after="283"/>
              <w:jc w:val="center"/>
              <w:rPr/>
            </w:pPr>
            <w:r>
              <w:rPr/>
              <w:t>Fourth Quarter</w:t>
              <w:br/>
              <w:t>2022</w:t>
            </w:r>
          </w:p>
        </w:tc>
        <w:tc>
          <w:tcPr>
            <w:tcW w:w="60"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283"/>
              <w:jc w:val="center"/>
              <w:rPr/>
            </w:pPr>
            <w:r>
              <w:rPr/>
              <w:t>First Quarter</w:t>
              <w:br/>
              <w:t>2022</w:t>
            </w:r>
          </w:p>
        </w:tc>
        <w:tc>
          <w:tcPr>
            <w:tcW w:w="66" w:type="dxa"/>
            <w:tcBorders/>
            <w:shd w:fill="auto" w:val="clear"/>
            <w:vAlign w:val="bottom"/>
          </w:tcPr>
          <w:p>
            <w:pPr>
              <w:pStyle w:val="TableContents"/>
              <w:spacing w:before="0" w:after="283"/>
              <w:rPr/>
            </w:pPr>
            <w:r>
              <w:rPr/>
              <w:t> </w:t>
            </w:r>
          </w:p>
        </w:tc>
      </w:tr>
      <w:tr>
        <w:trPr/>
        <w:tc>
          <w:tcPr>
            <w:tcW w:w="3001" w:type="dxa"/>
            <w:tcBorders/>
            <w:shd w:fill="CCEEFF" w:val="clear"/>
          </w:tcPr>
          <w:p>
            <w:pPr>
              <w:pStyle w:val="TableContents"/>
              <w:spacing w:before="0" w:after="0"/>
              <w:rPr>
                <w:rFonts w:ascii="ARIAL" w:hAnsi="ARIAL"/>
                <w:sz w:val="20"/>
              </w:rPr>
            </w:pPr>
            <w:r>
              <w:rPr>
                <w:rFonts w:ascii="ARIAL" w:hAnsi="ARIAL"/>
                <w:sz w:val="20"/>
              </w:rPr>
              <w:t>Depreciation of fixed assets</w:t>
            </w:r>
          </w:p>
        </w:tc>
        <w:tc>
          <w:tcPr>
            <w:tcW w:w="431"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b/>
              </w:rPr>
            </w:pPr>
            <w:r>
              <w:rPr>
                <w:b/>
              </w:rPr>
              <w:t>$</w:t>
            </w:r>
          </w:p>
        </w:tc>
        <w:tc>
          <w:tcPr>
            <w:tcW w:w="1042" w:type="dxa"/>
            <w:tcBorders/>
            <w:shd w:fill="CCEEFF" w:val="clear"/>
            <w:vAlign w:val="bottom"/>
          </w:tcPr>
          <w:p>
            <w:pPr>
              <w:pStyle w:val="TableContents"/>
              <w:spacing w:before="0" w:after="283"/>
              <w:jc w:val="right"/>
              <w:rPr>
                <w:b/>
              </w:rPr>
            </w:pPr>
            <w:r>
              <w:rPr>
                <w:b/>
              </w:rPr>
              <w:t>347</w:t>
            </w:r>
          </w:p>
        </w:tc>
        <w:tc>
          <w:tcPr>
            <w:tcW w:w="60"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w:t>
            </w:r>
          </w:p>
        </w:tc>
        <w:tc>
          <w:tcPr>
            <w:tcW w:w="1073" w:type="dxa"/>
            <w:tcBorders/>
            <w:shd w:fill="CCEEFF" w:val="clear"/>
            <w:vAlign w:val="bottom"/>
          </w:tcPr>
          <w:p>
            <w:pPr>
              <w:pStyle w:val="TableContents"/>
              <w:spacing w:before="0" w:after="283"/>
              <w:jc w:val="right"/>
              <w:rPr/>
            </w:pPr>
            <w:r>
              <w:rPr/>
              <w:t>347</w:t>
            </w:r>
          </w:p>
        </w:tc>
        <w:tc>
          <w:tcPr>
            <w:tcW w:w="60"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w:t>
            </w:r>
          </w:p>
        </w:tc>
        <w:tc>
          <w:tcPr>
            <w:tcW w:w="892" w:type="dxa"/>
            <w:tcBorders/>
            <w:shd w:fill="CCEEFF" w:val="clear"/>
            <w:vAlign w:val="bottom"/>
          </w:tcPr>
          <w:p>
            <w:pPr>
              <w:pStyle w:val="TableContents"/>
              <w:spacing w:before="0" w:after="283"/>
              <w:jc w:val="right"/>
              <w:rPr/>
            </w:pPr>
            <w:r>
              <w:rPr/>
              <w:t>338</w:t>
            </w:r>
          </w:p>
        </w:tc>
        <w:tc>
          <w:tcPr>
            <w:tcW w:w="66" w:type="dxa"/>
            <w:tcBorders/>
            <w:shd w:fill="CCEEFF" w:val="clear"/>
            <w:vAlign w:val="bottom"/>
          </w:tcPr>
          <w:p>
            <w:pPr>
              <w:pStyle w:val="TableContents"/>
              <w:spacing w:before="0" w:after="283"/>
              <w:rPr/>
            </w:pPr>
            <w:r>
              <w:rPr/>
              <w:t> </w:t>
            </w:r>
          </w:p>
        </w:tc>
      </w:tr>
      <w:tr>
        <w:trPr/>
        <w:tc>
          <w:tcPr>
            <w:tcW w:w="3001" w:type="dxa"/>
            <w:tcBorders/>
            <w:shd w:fill="auto" w:val="clear"/>
          </w:tcPr>
          <w:p>
            <w:pPr>
              <w:pStyle w:val="TableContents"/>
              <w:spacing w:before="0" w:after="0"/>
              <w:rPr>
                <w:rFonts w:ascii="ARIAL" w:hAnsi="ARIAL"/>
                <w:sz w:val="20"/>
              </w:rPr>
            </w:pPr>
            <w:r>
              <w:rPr>
                <w:rFonts w:ascii="ARIAL" w:hAnsi="ARIAL"/>
                <w:sz w:val="20"/>
              </w:rPr>
              <w:t>Amortization of intangible assets</w:t>
            </w:r>
          </w:p>
        </w:tc>
        <w:tc>
          <w:tcPr>
            <w:tcW w:w="431"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jc w:val="right"/>
              <w:rPr>
                <w:b/>
              </w:rPr>
            </w:pPr>
            <w:r>
              <w:rPr>
                <w:b/>
              </w:rPr>
              <w:t>76</w:t>
            </w:r>
          </w:p>
        </w:tc>
        <w:tc>
          <w:tcPr>
            <w:tcW w:w="60"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75</w:t>
            </w:r>
          </w:p>
        </w:tc>
        <w:tc>
          <w:tcPr>
            <w:tcW w:w="60"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75</w:t>
            </w:r>
          </w:p>
        </w:tc>
        <w:tc>
          <w:tcPr>
            <w:tcW w:w="66" w:type="dxa"/>
            <w:tcBorders/>
            <w:shd w:fill="auto" w:val="clear"/>
            <w:vAlign w:val="bottom"/>
          </w:tcPr>
          <w:p>
            <w:pPr>
              <w:pStyle w:val="TableContents"/>
              <w:spacing w:before="0" w:after="283"/>
              <w:rPr/>
            </w:pPr>
            <w:r>
              <w:rPr/>
              <w:t> </w:t>
            </w:r>
          </w:p>
        </w:tc>
      </w:tr>
      <w:tr>
        <w:trPr/>
        <w:tc>
          <w:tcPr>
            <w:tcW w:w="3001" w:type="dxa"/>
            <w:tcBorders/>
            <w:shd w:fill="CCEEFF" w:val="clear"/>
          </w:tcPr>
          <w:p>
            <w:pPr>
              <w:pStyle w:val="TableContents"/>
              <w:spacing w:before="0" w:after="0"/>
              <w:rPr>
                <w:rFonts w:ascii="ARIAL" w:hAnsi="ARIAL"/>
                <w:sz w:val="20"/>
              </w:rPr>
            </w:pPr>
            <w:r>
              <w:rPr>
                <w:rFonts w:ascii="ARIAL" w:hAnsi="ARIAL"/>
                <w:sz w:val="20"/>
              </w:rPr>
              <w:t>Amortization of APS investments</w:t>
            </w:r>
          </w:p>
        </w:tc>
        <w:tc>
          <w:tcPr>
            <w:tcW w:w="431"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42" w:type="dxa"/>
            <w:tcBorders/>
            <w:shd w:fill="CCEEFF" w:val="clear"/>
            <w:vAlign w:val="bottom"/>
          </w:tcPr>
          <w:p>
            <w:pPr>
              <w:pStyle w:val="TableContents"/>
              <w:spacing w:before="0" w:after="283"/>
              <w:jc w:val="right"/>
              <w:rPr>
                <w:b/>
              </w:rPr>
            </w:pPr>
            <w:r>
              <w:rPr>
                <w:b/>
              </w:rPr>
              <w:t>91</w:t>
            </w:r>
          </w:p>
        </w:tc>
        <w:tc>
          <w:tcPr>
            <w:tcW w:w="60"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pPr>
            <w:r>
              <w:rPr/>
              <w:t>102</w:t>
            </w:r>
          </w:p>
        </w:tc>
        <w:tc>
          <w:tcPr>
            <w:tcW w:w="60"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pPr>
            <w:r>
              <w:rPr/>
              <w:t>83</w:t>
            </w:r>
          </w:p>
        </w:tc>
        <w:tc>
          <w:tcPr>
            <w:tcW w:w="66" w:type="dxa"/>
            <w:tcBorders/>
            <w:shd w:fill="CCEEFF" w:val="clear"/>
            <w:vAlign w:val="bottom"/>
          </w:tcPr>
          <w:p>
            <w:pPr>
              <w:pStyle w:val="TableContents"/>
              <w:spacing w:before="0" w:after="283"/>
              <w:rPr/>
            </w:pPr>
            <w:r>
              <w:rPr/>
              <w:t> </w:t>
            </w:r>
          </w:p>
        </w:tc>
      </w:tr>
      <w:tr>
        <w:trPr/>
        <w:tc>
          <w:tcPr>
            <w:tcW w:w="3001" w:type="dxa"/>
            <w:tcBorders/>
            <w:shd w:fill="auto" w:val="clear"/>
          </w:tcPr>
          <w:p>
            <w:pPr>
              <w:pStyle w:val="TableContents"/>
              <w:spacing w:before="0" w:after="0"/>
              <w:rPr>
                <w:rFonts w:ascii="ARIAL" w:hAnsi="ARIAL"/>
                <w:sz w:val="20"/>
              </w:rPr>
            </w:pPr>
            <w:r>
              <w:rPr>
                <w:rFonts w:ascii="ARIAL" w:hAnsi="ARIAL"/>
                <w:sz w:val="20"/>
              </w:rPr>
              <w:t>Amortization of exploration data costs capitalized</w:t>
            </w:r>
          </w:p>
        </w:tc>
        <w:tc>
          <w:tcPr>
            <w:tcW w:w="431"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jc w:val="right"/>
              <w:rPr>
                <w:b/>
              </w:rPr>
            </w:pPr>
            <w:r>
              <w:rPr>
                <w:b/>
              </w:rPr>
              <w:t>49</w:t>
            </w:r>
          </w:p>
        </w:tc>
        <w:tc>
          <w:tcPr>
            <w:tcW w:w="60"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pPr>
            <w:r>
              <w:rPr/>
              <w:t>25</w:t>
            </w:r>
          </w:p>
        </w:tc>
        <w:tc>
          <w:tcPr>
            <w:tcW w:w="60"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37</w:t>
            </w:r>
          </w:p>
        </w:tc>
        <w:tc>
          <w:tcPr>
            <w:tcW w:w="66" w:type="dxa"/>
            <w:tcBorders/>
            <w:shd w:fill="auto" w:val="clear"/>
            <w:vAlign w:val="bottom"/>
          </w:tcPr>
          <w:p>
            <w:pPr>
              <w:pStyle w:val="TableContents"/>
              <w:spacing w:before="0" w:after="283"/>
              <w:rPr/>
            </w:pPr>
            <w:r>
              <w:rPr/>
              <w:t> </w:t>
            </w:r>
          </w:p>
        </w:tc>
      </w:tr>
      <w:tr>
        <w:trPr/>
        <w:tc>
          <w:tcPr>
            <w:tcW w:w="3001" w:type="dxa"/>
            <w:tcBorders/>
            <w:shd w:fill="auto" w:val="clear"/>
            <w:vAlign w:val="bottom"/>
          </w:tcPr>
          <w:p>
            <w:pPr>
              <w:pStyle w:val="TableContents"/>
              <w:spacing w:before="0" w:after="283"/>
              <w:rPr>
                <w:sz w:val="4"/>
                <w:szCs w:val="4"/>
              </w:rPr>
            </w:pPr>
            <w:r>
              <w:rPr>
                <w:sz w:val="4"/>
                <w:szCs w:val="4"/>
              </w:rPr>
            </w:r>
          </w:p>
        </w:tc>
        <w:tc>
          <w:tcPr>
            <w:tcW w:w="431"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single" w:sz="2" w:space="1" w:color="000000"/>
              </w:pBdr>
              <w:spacing w:before="0" w:after="0"/>
              <w:rPr/>
            </w:pPr>
            <w:r>
              <w:rPr/>
              <w:t> </w:t>
            </w:r>
          </w:p>
        </w:tc>
        <w:tc>
          <w:tcPr>
            <w:tcW w:w="104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pBdr>
                <w:top w:val="single" w:sz="2" w:space="1" w:color="000000"/>
              </w:pBdr>
              <w:spacing w:before="0" w:after="0"/>
              <w:rPr/>
            </w:pPr>
            <w:r>
              <w:rPr/>
              <w:t> </w:t>
            </w:r>
          </w:p>
        </w:tc>
        <w:tc>
          <w:tcPr>
            <w:tcW w:w="107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pBdr>
                <w:top w:val="single" w:sz="2" w:space="1" w:color="000000"/>
              </w:pBdr>
              <w:spacing w:before="0" w:after="0"/>
              <w:rPr/>
            </w:pPr>
            <w:r>
              <w:rPr/>
              <w:t> </w:t>
            </w:r>
          </w:p>
        </w:tc>
        <w:tc>
          <w:tcPr>
            <w:tcW w:w="892" w:type="dxa"/>
            <w:tcBorders/>
            <w:shd w:fill="auto" w:val="clear"/>
            <w:vAlign w:val="bottom"/>
          </w:tcPr>
          <w:p>
            <w:pPr>
              <w:pStyle w:val="TableContents"/>
              <w:pBdr>
                <w:top w:val="single" w:sz="2"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r>
        <w:trPr/>
        <w:tc>
          <w:tcPr>
            <w:tcW w:w="3001" w:type="dxa"/>
            <w:tcBorders/>
            <w:shd w:fill="CCEEFF" w:val="clear"/>
          </w:tcPr>
          <w:p>
            <w:pPr>
              <w:pStyle w:val="TableContents"/>
              <w:spacing w:before="0" w:after="283"/>
              <w:rPr>
                <w:sz w:val="4"/>
                <w:szCs w:val="4"/>
              </w:rPr>
            </w:pPr>
            <w:r>
              <w:rPr>
                <w:sz w:val="4"/>
                <w:szCs w:val="4"/>
              </w:rPr>
            </w:r>
          </w:p>
        </w:tc>
        <w:tc>
          <w:tcPr>
            <w:tcW w:w="431"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b/>
              </w:rPr>
            </w:pPr>
            <w:r>
              <w:rPr>
                <w:b/>
              </w:rPr>
              <w:t>$</w:t>
            </w:r>
          </w:p>
        </w:tc>
        <w:tc>
          <w:tcPr>
            <w:tcW w:w="1042" w:type="dxa"/>
            <w:tcBorders/>
            <w:shd w:fill="CCEEFF" w:val="clear"/>
            <w:vAlign w:val="bottom"/>
          </w:tcPr>
          <w:p>
            <w:pPr>
              <w:pStyle w:val="TableContents"/>
              <w:spacing w:before="0" w:after="283"/>
              <w:jc w:val="right"/>
              <w:rPr>
                <w:b/>
              </w:rPr>
            </w:pPr>
            <w:r>
              <w:rPr>
                <w:b/>
              </w:rPr>
              <w:t>563</w:t>
            </w:r>
          </w:p>
        </w:tc>
        <w:tc>
          <w:tcPr>
            <w:tcW w:w="60"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w:t>
            </w:r>
          </w:p>
        </w:tc>
        <w:tc>
          <w:tcPr>
            <w:tcW w:w="1073" w:type="dxa"/>
            <w:tcBorders/>
            <w:shd w:fill="CCEEFF" w:val="clear"/>
            <w:vAlign w:val="bottom"/>
          </w:tcPr>
          <w:p>
            <w:pPr>
              <w:pStyle w:val="TableContents"/>
              <w:spacing w:before="0" w:after="283"/>
              <w:jc w:val="right"/>
              <w:rPr/>
            </w:pPr>
            <w:r>
              <w:rPr/>
              <w:t>549</w:t>
            </w:r>
          </w:p>
        </w:tc>
        <w:tc>
          <w:tcPr>
            <w:tcW w:w="60"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w:t>
            </w:r>
          </w:p>
        </w:tc>
        <w:tc>
          <w:tcPr>
            <w:tcW w:w="892" w:type="dxa"/>
            <w:tcBorders/>
            <w:shd w:fill="CCEEFF" w:val="clear"/>
            <w:vAlign w:val="bottom"/>
          </w:tcPr>
          <w:p>
            <w:pPr>
              <w:pStyle w:val="TableContents"/>
              <w:spacing w:before="0" w:after="283"/>
              <w:jc w:val="right"/>
              <w:rPr/>
            </w:pPr>
            <w:r>
              <w:rPr/>
              <w:t>533</w:t>
            </w:r>
          </w:p>
        </w:tc>
        <w:tc>
          <w:tcPr>
            <w:tcW w:w="66" w:type="dxa"/>
            <w:tcBorders/>
            <w:shd w:fill="CCEEFF" w:val="clear"/>
            <w:vAlign w:val="bottom"/>
          </w:tcPr>
          <w:p>
            <w:pPr>
              <w:pStyle w:val="TableContents"/>
              <w:spacing w:before="0" w:after="283"/>
              <w:rPr/>
            </w:pPr>
            <w:r>
              <w:rPr/>
              <w:t> </w:t>
            </w:r>
          </w:p>
        </w:tc>
      </w:tr>
      <w:tr>
        <w:trPr/>
        <w:tc>
          <w:tcPr>
            <w:tcW w:w="3001" w:type="dxa"/>
            <w:tcBorders/>
            <w:shd w:fill="auto" w:val="clear"/>
            <w:vAlign w:val="bottom"/>
          </w:tcPr>
          <w:p>
            <w:pPr>
              <w:pStyle w:val="TableContents"/>
              <w:spacing w:before="0" w:after="283"/>
              <w:rPr>
                <w:sz w:val="4"/>
                <w:szCs w:val="4"/>
              </w:rPr>
            </w:pPr>
            <w:r>
              <w:rPr>
                <w:sz w:val="4"/>
                <w:szCs w:val="4"/>
              </w:rPr>
            </w:r>
          </w:p>
        </w:tc>
        <w:tc>
          <w:tcPr>
            <w:tcW w:w="431"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double" w:sz="6" w:space="1" w:color="000000"/>
              </w:pBdr>
              <w:spacing w:before="0" w:after="0"/>
              <w:rPr/>
            </w:pPr>
            <w:r>
              <w:rPr/>
              <w:t> </w:t>
            </w:r>
          </w:p>
        </w:tc>
        <w:tc>
          <w:tcPr>
            <w:tcW w:w="1042"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pBdr>
                <w:top w:val="double" w:sz="6" w:space="1" w:color="000000"/>
              </w:pBdr>
              <w:spacing w:before="0" w:after="0"/>
              <w:rPr/>
            </w:pPr>
            <w:r>
              <w:rPr/>
              <w:t> </w:t>
            </w:r>
          </w:p>
        </w:tc>
        <w:tc>
          <w:tcPr>
            <w:tcW w:w="1073"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pBdr>
                <w:top w:val="double" w:sz="6" w:space="1" w:color="000000"/>
              </w:pBdr>
              <w:spacing w:before="0" w:after="0"/>
              <w:rPr/>
            </w:pPr>
            <w:r>
              <w:rPr/>
              <w:t> </w:t>
            </w:r>
          </w:p>
        </w:tc>
        <w:tc>
          <w:tcPr>
            <w:tcW w:w="892" w:type="dxa"/>
            <w:tcBorders/>
            <w:shd w:fill="auto" w:val="clear"/>
            <w:vAlign w:val="bottom"/>
          </w:tcPr>
          <w:p>
            <w:pPr>
              <w:pStyle w:val="TableContents"/>
              <w:pBdr>
                <w:top w:val="double" w:sz="6"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11)</w:t>
            </w:r>
          </w:p>
        </w:tc>
        <w:tc>
          <w:tcPr>
            <w:tcW w:w="9797" w:type="dxa"/>
            <w:tcBorders/>
            <w:shd w:fill="auto" w:val="clear"/>
          </w:tcPr>
          <w:p>
            <w:pPr>
              <w:pStyle w:val="TableContents"/>
              <w:spacing w:before="0" w:after="0"/>
              <w:jc w:val="left"/>
              <w:rPr>
                <w:rFonts w:ascii="ARIAL" w:hAnsi="ARIAL"/>
                <w:b/>
                <w:sz w:val="20"/>
              </w:rPr>
            </w:pPr>
            <w:r>
              <w:rPr>
                <w:rFonts w:ascii="ARIAL" w:hAnsi="ARIAL"/>
                <w:b/>
                <w:sz w:val="20"/>
              </w:rPr>
              <w:t xml:space="preserve">What does the pretax credit of $36 million recorded during the first quarter of 2023 relate to? </w:t>
            </w:r>
          </w:p>
        </w:tc>
      </w:tr>
    </w:tbl>
    <w:p>
      <w:pPr>
        <w:pStyle w:val="TextBody"/>
        <w:spacing w:before="120" w:after="0"/>
        <w:jc w:val="left"/>
        <w:rPr>
          <w:rFonts w:ascii="ARIAL" w:hAnsi="ARIAL"/>
          <w:sz w:val="20"/>
        </w:rPr>
      </w:pPr>
      <w:r>
        <w:rPr>
          <w:rFonts w:ascii="ARIAL" w:hAnsi="ARIAL"/>
          <w:sz w:val="20"/>
        </w:rPr>
        <w:t xml:space="preserve">During the first quarter of 2023, SLB sold all of its remaining approximately 9 million shares in Liberty and received net proceeds of $137 million. This gain is classified in </w:t>
      </w:r>
      <w:r>
        <w:rPr>
          <w:rFonts w:ascii="ARIAL" w:hAnsi="ARIAL"/>
          <w:i/>
          <w:sz w:val="20"/>
        </w:rPr>
        <w:t>Interest</w:t>
      </w:r>
      <w:r>
        <w:rPr>
          <w:rFonts w:ascii="ARIAL" w:hAnsi="ARIAL"/>
          <w:sz w:val="20"/>
        </w:rPr>
        <w:t> </w:t>
      </w:r>
      <w:r>
        <w:rPr>
          <w:rFonts w:ascii="ARIAL" w:hAnsi="ARIAL"/>
          <w:i/>
          <w:sz w:val="20"/>
        </w:rPr>
        <w:t xml:space="preserve">&amp; other income </w:t>
      </w:r>
      <w:r>
        <w:rPr>
          <w:rFonts w:ascii="ARIAL" w:hAnsi="ARIAL"/>
          <w:sz w:val="20"/>
        </w:rPr>
        <w:t xml:space="preserve">in the </w:t>
      </w:r>
      <w:r>
        <w:rPr>
          <w:rFonts w:ascii="ARIAL" w:hAnsi="ARIAL"/>
          <w:i/>
          <w:sz w:val="20"/>
        </w:rPr>
        <w:t>Consolidated Statement of Income</w:t>
      </w:r>
      <w:r>
        <w:rPr>
          <w:rFonts w:ascii="ARIAL" w:hAnsi="ARIAL"/>
          <w:sz w:val="20"/>
        </w:rPr>
        <w:t xml:space="preserve">. As of March 31, 2023, SLB no longer had an equity interest in Liberty. </w:t>
      </w:r>
    </w:p>
    <w:p>
      <w:pPr>
        <w:pStyle w:val="TextBody"/>
        <w:spacing w:before="360" w:after="0"/>
        <w:jc w:val="left"/>
        <w:rPr>
          <w:rFonts w:ascii="ARIAL" w:hAnsi="ARIAL"/>
          <w:b/>
          <w:sz w:val="20"/>
        </w:rPr>
      </w:pPr>
      <w:r>
        <w:rPr>
          <w:rFonts w:ascii="ARIAL" w:hAnsi="ARIAL"/>
          <w:b/>
          <w:sz w:val="20"/>
        </w:rPr>
        <w:t xml:space="preserve">About SLB </w:t>
      </w:r>
    </w:p>
    <w:p>
      <w:pPr>
        <w:pStyle w:val="TextBody"/>
        <w:spacing w:before="120" w:after="0"/>
        <w:jc w:val="left"/>
        <w:rPr>
          <w:rFonts w:ascii="ARIAL" w:hAnsi="ARIAL"/>
          <w:sz w:val="20"/>
        </w:rPr>
      </w:pPr>
      <w:r>
        <w:rPr>
          <w:rFonts w:ascii="ARIAL" w:hAnsi="ARIAL"/>
          <w:sz w:val="20"/>
        </w:rPr>
        <w:t xml:space="preserve">SLB (NYSE: 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 </w:t>
      </w:r>
    </w:p>
    <w:p>
      <w:pPr>
        <w:pStyle w:val="TextBody"/>
        <w:spacing w:before="360" w:after="0"/>
        <w:jc w:val="left"/>
        <w:rPr>
          <w:rFonts w:ascii="ARIAL" w:hAnsi="ARIAL"/>
          <w:b/>
          <w:sz w:val="20"/>
        </w:rPr>
      </w:pPr>
      <w:r>
        <w:rPr>
          <w:rFonts w:ascii="ARIAL" w:hAnsi="ARIAL"/>
          <w:b/>
          <w:sz w:val="20"/>
        </w:rPr>
        <w:t xml:space="preserve">Conference Call Information </w:t>
      </w:r>
    </w:p>
    <w:p>
      <w:pPr>
        <w:pStyle w:val="TextBody"/>
        <w:spacing w:before="120" w:after="0"/>
        <w:jc w:val="left"/>
        <w:rPr>
          <w:rFonts w:ascii="ARIAL" w:hAnsi="ARIAL"/>
          <w:sz w:val="20"/>
        </w:rPr>
      </w:pPr>
      <w:r>
        <w:rPr>
          <w:rFonts w:ascii="ARIAL" w:hAnsi="ARIAL"/>
          <w:sz w:val="20"/>
        </w:rPr>
        <w:t xml:space="preserve">SLB will hold a conference call to discuss the earnings press release and business outlook on Friday, April 21, 2023. The call is scheduled to begin at 9:30 a.m. US Eastern Time. To access the call, which is open to the public, please contact the conference call operator at +1 (844) 721-7241 within North America, or +1 (409) 207-6955 outside North America, approximately 10 minutes prior to the calls scheduled start time, and provide the access code 8858313. At the conclusion of the conference call, an audio replay will be available until May 21, 2023, by dialing +1 (866) 207-1041 within North America, or +1 (402) 970-0847 outside North America, and providing the access code 1502942. The conference call will be webcast simultaneously at www.slb.com/irwebcast on a listen-only basis. A replay of the webcast will also be available at the same website until May 21, 2023. </w:t>
      </w:r>
    </w:p>
    <w:p>
      <w:pPr>
        <w:pStyle w:val="TextBody"/>
        <w:spacing w:before="360" w:after="0"/>
        <w:jc w:val="left"/>
        <w:rPr>
          <w:rFonts w:ascii="ARIAL" w:hAnsi="ARIAL"/>
          <w:b/>
          <w:sz w:val="20"/>
        </w:rPr>
      </w:pPr>
      <w:r>
        <w:rPr>
          <w:rFonts w:ascii="ARIAL" w:hAnsi="ARIAL"/>
          <w:b/>
          <w:sz w:val="20"/>
        </w:rPr>
        <w:t xml:space="preserve">Investor Relations Contacts: </w:t>
      </w:r>
    </w:p>
    <w:p>
      <w:pPr>
        <w:pStyle w:val="TextBody"/>
        <w:spacing w:before="0" w:after="0"/>
        <w:jc w:val="left"/>
        <w:rPr>
          <w:rFonts w:ascii="ARIAL" w:hAnsi="ARIAL"/>
          <w:sz w:val="20"/>
        </w:rPr>
      </w:pPr>
      <w:r>
        <w:rPr>
          <w:rFonts w:ascii="ARIAL" w:hAnsi="ARIAL"/>
          <w:sz w:val="20"/>
        </w:rPr>
        <w:t xml:space="preserve">Ndubuisi Maduemezia  Vice President of Investor Relations </w:t>
      </w:r>
    </w:p>
    <w:p>
      <w:pPr>
        <w:pStyle w:val="TextBody"/>
        <w:spacing w:before="0" w:after="0"/>
        <w:jc w:val="left"/>
        <w:rPr>
          <w:rFonts w:ascii="ARIAL" w:hAnsi="ARIAL"/>
          <w:sz w:val="20"/>
        </w:rPr>
      </w:pPr>
      <w:r>
        <w:rPr>
          <w:rFonts w:ascii="ARIAL" w:hAnsi="ARIAL"/>
          <w:sz w:val="20"/>
        </w:rPr>
        <w:t xml:space="preserve">Joy V. Domingo  Director of Investor Relations </w:t>
      </w:r>
    </w:p>
    <w:p>
      <w:pPr>
        <w:pStyle w:val="TextBody"/>
        <w:spacing w:before="0" w:after="0"/>
        <w:jc w:val="left"/>
        <w:rPr>
          <w:rFonts w:ascii="ARIAL" w:hAnsi="ARIAL"/>
          <w:sz w:val="20"/>
        </w:rPr>
      </w:pPr>
      <w:r>
        <w:rPr>
          <w:rFonts w:ascii="ARIAL" w:hAnsi="ARIAL"/>
          <w:sz w:val="20"/>
        </w:rPr>
        <w:t xml:space="preserve">Office +1 (713) 375-3535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20 </w:t>
      </w:r>
      <w:r>
        <w:br w:type="page"/>
      </w:r>
    </w:p>
    <w:p>
      <w:pPr>
        <w:pStyle w:val="HorizontalLine"/>
        <w:pBdr>
          <w:bottom w:val="double" w:sz="6" w:space="0" w:color="808080"/>
        </w:pBdr>
        <w:rPr/>
      </w:pPr>
      <w:r>
        <w:rPr/>
      </w:r>
    </w:p>
    <w:p>
      <w:pPr>
        <w:pStyle w:val="TextBody"/>
        <w:spacing w:before="0" w:after="0"/>
        <w:jc w:val="left"/>
        <w:rPr>
          <w:rFonts w:ascii="ARIAL" w:hAnsi="ARIAL"/>
          <w:sz w:val="20"/>
          <w:u w:val="single"/>
        </w:rPr>
      </w:pPr>
      <w:r>
        <w:rPr>
          <w:rFonts w:ascii="ARIAL" w:hAnsi="ARIAL"/>
          <w:sz w:val="20"/>
          <w:u w:val="single"/>
        </w:rPr>
        <w:t xml:space="preserve">investor-relations@slb.com </w:t>
      </w:r>
    </w:p>
    <w:p>
      <w:pPr>
        <w:pStyle w:val="TextBody"/>
        <w:spacing w:before="240" w:after="0"/>
        <w:jc w:val="left"/>
        <w:rPr>
          <w:rFonts w:ascii="ARIAL" w:hAnsi="ARIAL"/>
          <w:b/>
          <w:sz w:val="20"/>
        </w:rPr>
      </w:pPr>
      <w:r>
        <w:rPr>
          <w:rFonts w:ascii="ARIAL" w:hAnsi="ARIAL"/>
          <w:b/>
          <w:sz w:val="20"/>
        </w:rPr>
        <w:t xml:space="preserve">Media Contacts: </w:t>
      </w:r>
    </w:p>
    <w:p>
      <w:pPr>
        <w:pStyle w:val="TextBody"/>
        <w:spacing w:before="0" w:after="0"/>
        <w:jc w:val="left"/>
        <w:rPr>
          <w:rFonts w:ascii="ARIAL" w:hAnsi="ARIAL"/>
          <w:sz w:val="20"/>
        </w:rPr>
      </w:pPr>
      <w:r>
        <w:rPr>
          <w:rFonts w:ascii="ARIAL" w:hAnsi="ARIAL"/>
          <w:sz w:val="20"/>
        </w:rPr>
        <w:t xml:space="preserve">Josh Byerly  Vice President of Communications </w:t>
      </w:r>
    </w:p>
    <w:p>
      <w:pPr>
        <w:pStyle w:val="TextBody"/>
        <w:spacing w:before="0" w:after="0"/>
        <w:jc w:val="left"/>
        <w:rPr>
          <w:rFonts w:ascii="ARIAL" w:hAnsi="ARIAL"/>
          <w:sz w:val="20"/>
        </w:rPr>
      </w:pPr>
      <w:r>
        <w:rPr>
          <w:rFonts w:ascii="ARIAL" w:hAnsi="ARIAL"/>
          <w:sz w:val="20"/>
        </w:rPr>
        <w:t xml:space="preserve">Moira Duff  Director of External Communications </w:t>
      </w:r>
    </w:p>
    <w:p>
      <w:pPr>
        <w:pStyle w:val="TextBody"/>
        <w:spacing w:before="0" w:after="0"/>
        <w:jc w:val="left"/>
        <w:rPr>
          <w:rFonts w:ascii="ARIAL" w:hAnsi="ARIAL"/>
          <w:sz w:val="20"/>
        </w:rPr>
      </w:pPr>
      <w:r>
        <w:rPr>
          <w:rFonts w:ascii="ARIAL" w:hAnsi="ARIAL"/>
          <w:sz w:val="20"/>
        </w:rPr>
        <w:t xml:space="preserve">Office +1 (713) 375-3407 </w:t>
      </w:r>
    </w:p>
    <w:p>
      <w:pPr>
        <w:pStyle w:val="TextBody"/>
        <w:spacing w:before="0" w:after="0"/>
        <w:jc w:val="left"/>
        <w:rPr>
          <w:rFonts w:ascii="ARIAL" w:hAnsi="ARIAL"/>
          <w:sz w:val="20"/>
          <w:u w:val="single"/>
        </w:rPr>
      </w:pPr>
      <w:r>
        <w:rPr>
          <w:rFonts w:ascii="ARIAL" w:hAnsi="ARIAL"/>
          <w:sz w:val="20"/>
          <w:u w:val="single"/>
        </w:rPr>
        <w:t xml:space="preserve">media@slb.com </w:t>
      </w:r>
    </w:p>
    <w:p>
      <w:pPr>
        <w:pStyle w:val="TextBody"/>
        <w:spacing w:before="240" w:after="0"/>
        <w:jc w:val="center"/>
        <w:rPr>
          <w:rFonts w:ascii="ARIAL" w:hAnsi="ARIAL"/>
          <w:sz w:val="20"/>
        </w:rPr>
      </w:pPr>
      <w:r>
        <w:rPr>
          <w:rFonts w:ascii="ARIAL" w:hAnsi="ARIAL"/>
          <w:sz w:val="20"/>
        </w:rPr>
        <w:t xml:space="preserve">### </w:t>
      </w:r>
    </w:p>
    <w:p>
      <w:pPr>
        <w:pStyle w:val="TextBody"/>
        <w:spacing w:before="0" w:after="0"/>
        <w:jc w:val="left"/>
        <w:rPr>
          <w:rFonts w:ascii="ARIAL" w:hAnsi="ARIAL"/>
          <w:sz w:val="20"/>
        </w:rPr>
      </w:pPr>
      <w:r>
        <w:rPr>
          <w:rFonts w:ascii="ARIAL" w:hAnsi="ARIAL"/>
          <w:sz w:val="20"/>
        </w:rPr>
        <w:t xml:space="preserve">This first-quarter 2023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APS projects, joint ventures, and other alliances; our response to the COVID-19 pandemic and our preparedness for other widespread health emergencies;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its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SLB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 </w:t>
      </w:r>
    </w:p>
    <w:p>
      <w:pPr>
        <w:pStyle w:val="TextBody"/>
        <w:spacing w:before="240" w:after="0"/>
        <w:jc w:val="center"/>
        <w:rPr>
          <w:rFonts w:ascii="ARIAL" w:hAnsi="ARIAL"/>
          <w:sz w:val="20"/>
        </w:rPr>
      </w:pPr>
      <w:r>
        <w:rPr>
          <w:rFonts w:ascii="ARIAL" w:hAnsi="ARIAL"/>
          <w:sz w:val="20"/>
        </w:rPr>
        <w:t xml:space="preserv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21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Pages>
  <Words>9233</Words>
  <CharactersWithSpaces>60293</CharactersWithSpaces>
  <Paragraphs>4298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dc:title>
</cp:coreProperties>
</file>