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BELANI ASHOK</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0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3820" w:type="dxa"/>
            <w:vAlign w:val="bottom"/>
            <w:gridSpan w:val="2"/>
          </w:tcPr>
          <w:p>
            <w:pPr>
              <w:ind w:left="80"/>
              <w:spacing w:after="0" w:line="208" w:lineRule="exact"/>
              <w:rPr>
                <w:rFonts w:ascii="Arial" w:cs="Arial" w:eastAsia="Arial" w:hAnsi="Arial"/>
                <w:sz w:val="21"/>
                <w:szCs w:val="21"/>
                <w:color w:val="0000EE"/>
              </w:rPr>
            </w:pPr>
            <w:hyperlink r:id="rId14">
              <w:r>
                <w:rPr>
                  <w:rFonts w:ascii="Arial" w:cs="Arial" w:eastAsia="Arial" w:hAnsi="Arial"/>
                  <w:sz w:val="21"/>
                  <w:szCs w:val="21"/>
                  <w:u w:val="single" w:color="auto"/>
                  <w:color w:val="0000EE"/>
                </w:rPr>
                <w:t>SCHLUMBERGER LIMITED/NV</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1"/>
        </w:trPr>
        <w:tc>
          <w:tcPr>
            <w:tcW w:w="20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0" w:type="dxa"/>
            <w:vAlign w:val="bottom"/>
            <w:tcBorders>
              <w:bottom w:val="single" w:sz="8" w:color="2C2C2C"/>
            </w:tcBorders>
          </w:tcPr>
          <w:p>
            <w:pPr>
              <w:spacing w:after="0"/>
              <w:rPr>
                <w:sz w:val="12"/>
                <w:szCs w:val="12"/>
                <w:color w:val="auto"/>
              </w:rPr>
            </w:pPr>
          </w:p>
        </w:tc>
        <w:tc>
          <w:tcPr>
            <w:tcW w:w="362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line="139"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39"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2"/>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9"/>
        </w:trPr>
        <w:tc>
          <w:tcPr>
            <w:tcW w:w="200" w:type="dxa"/>
            <w:vAlign w:val="bottom"/>
            <w:vMerge w:val="continue"/>
          </w:tcPr>
          <w:p>
            <w:pPr>
              <w:spacing w:after="0"/>
              <w:rPr>
                <w:sz w:val="5"/>
                <w:szCs w:val="5"/>
                <w:color w:val="auto"/>
              </w:rPr>
            </w:pPr>
          </w:p>
        </w:tc>
        <w:tc>
          <w:tcPr>
            <w:tcW w:w="3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3820" w:type="dxa"/>
            <w:vAlign w:val="bottom"/>
            <w:gridSpan w:val="2"/>
          </w:tcPr>
          <w:p>
            <w:pPr>
              <w:ind w:left="80"/>
              <w:spacing w:after="0"/>
              <w:rPr>
                <w:sz w:val="20"/>
                <w:szCs w:val="20"/>
                <w:color w:val="auto"/>
              </w:rPr>
            </w:pPr>
            <w:r>
              <w:rPr>
                <w:rFonts w:ascii="Arial" w:cs="Arial" w:eastAsia="Arial" w:hAnsi="Arial"/>
                <w:sz w:val="17"/>
                <w:szCs w:val="17"/>
                <w:color w:val="0000FF"/>
              </w:rPr>
              <w:t>03/12/2021</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0" w:type="dxa"/>
            <w:vAlign w:val="bottom"/>
            <w:gridSpan w:val="2"/>
          </w:tcPr>
          <w:p>
            <w:pPr>
              <w:ind w:left="540"/>
              <w:spacing w:after="0"/>
              <w:rPr>
                <w:sz w:val="20"/>
                <w:szCs w:val="20"/>
                <w:color w:val="auto"/>
              </w:rPr>
            </w:pPr>
            <w:r>
              <w:rPr>
                <w:rFonts w:ascii="Arial" w:cs="Arial" w:eastAsia="Arial" w:hAnsi="Arial"/>
                <w:sz w:val="17"/>
                <w:szCs w:val="17"/>
                <w:color w:val="0000FF"/>
              </w:rPr>
              <w:t>EVP New Energy</w:t>
            </w:r>
          </w:p>
        </w:tc>
        <w:tc>
          <w:tcPr>
            <w:tcW w:w="0" w:type="dxa"/>
            <w:vAlign w:val="bottom"/>
          </w:tcPr>
          <w:p>
            <w:pPr>
              <w:spacing w:after="0"/>
              <w:rPr>
                <w:sz w:val="1"/>
                <w:szCs w:val="1"/>
                <w:color w:val="auto"/>
              </w:rPr>
            </w:pPr>
          </w:p>
        </w:tc>
      </w:tr>
      <w:tr>
        <w:trPr>
          <w:trHeight w:val="234"/>
        </w:trPr>
        <w:tc>
          <w:tcPr>
            <w:tcW w:w="200" w:type="dxa"/>
            <w:vAlign w:val="bottom"/>
            <w:tcBorders>
              <w:bottom w:val="single" w:sz="8" w:color="2C2C2C"/>
            </w:tcBorders>
          </w:tcPr>
          <w:p>
            <w:pPr>
              <w:spacing w:after="0"/>
              <w:rPr>
                <w:sz w:val="20"/>
                <w:szCs w:val="20"/>
                <w:color w:val="auto"/>
              </w:rPr>
            </w:pPr>
          </w:p>
        </w:tc>
        <w:tc>
          <w:tcPr>
            <w:tcW w:w="36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310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159385</wp:posOffset>
            </wp:positionV>
            <wp:extent cx="6964045" cy="17005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700530"/>
                    </a:xfrm>
                    <a:prstGeom prst="rect">
                      <a:avLst/>
                    </a:prstGeom>
                    <a:noFill/>
                  </pic:spPr>
                </pic:pic>
              </a:graphicData>
            </a:graphic>
          </wp:anchor>
        </w:drawing>
      </w:r>
    </w:p>
    <w:p>
      <w:pPr>
        <w:spacing w:after="0" w:line="312"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1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Common Stock, $0.01 Par Value Per Share</w:t>
            </w:r>
          </w:p>
        </w:tc>
        <w:tc>
          <w:tcPr>
            <w:tcW w:w="1120" w:type="dxa"/>
            <w:vAlign w:val="bottom"/>
            <w:tcBorders>
              <w:bottom w:val="single" w:sz="8" w:color="2C2C2C"/>
            </w:tcBorders>
            <w:gridSpan w:val="2"/>
          </w:tcPr>
          <w:p>
            <w:pPr>
              <w:jc w:val="right"/>
              <w:ind w:right="80"/>
              <w:spacing w:after="0"/>
              <w:rPr>
                <w:sz w:val="20"/>
                <w:szCs w:val="20"/>
                <w:color w:val="auto"/>
              </w:rPr>
            </w:pPr>
            <w:r>
              <w:rPr>
                <w:rFonts w:ascii="Arial" w:cs="Arial" w:eastAsia="Arial" w:hAnsi="Arial"/>
                <w:sz w:val="17"/>
                <w:szCs w:val="17"/>
                <w:color w:val="0000FF"/>
              </w:rPr>
              <w:t>03/12/2021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3,881</w:t>
            </w:r>
            <w:r>
              <w:rPr>
                <w:rFonts w:ascii="Arial" w:cs="Arial" w:eastAsia="Arial" w:hAnsi="Arial"/>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17"/>
              <w:spacing w:after="0"/>
              <w:rPr>
                <w:sz w:val="20"/>
                <w:szCs w:val="20"/>
                <w:color w:val="auto"/>
              </w:rPr>
            </w:pPr>
            <w:r>
              <w:rPr>
                <w:rFonts w:ascii="Arial" w:cs="Arial" w:eastAsia="Arial" w:hAnsi="Arial"/>
                <w:sz w:val="17"/>
                <w:szCs w:val="17"/>
                <w:color w:val="0000FF"/>
                <w:w w:val="91"/>
              </w:rPr>
              <w:t>253,979</w:t>
            </w:r>
          </w:p>
        </w:tc>
        <w:tc>
          <w:tcPr>
            <w:tcW w:w="920" w:type="dxa"/>
            <w:vAlign w:val="bottom"/>
            <w:tcBorders>
              <w:bottom w:val="single" w:sz="8" w:color="2C2C2C"/>
            </w:tcBorders>
          </w:tcPr>
          <w:p>
            <w:pPr>
              <w:jc w:val="center"/>
              <w:ind w:right="53"/>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3100" w:type="dxa"/>
            <w:vAlign w:val="bottom"/>
            <w:gridSpan w:val="4"/>
          </w:tcPr>
          <w:p>
            <w:pPr>
              <w:ind w:left="60"/>
              <w:spacing w:after="0"/>
              <w:rPr>
                <w:sz w:val="20"/>
                <w:szCs w:val="20"/>
                <w:color w:val="auto"/>
              </w:rPr>
            </w:pPr>
            <w:r>
              <w:rPr>
                <w:rFonts w:ascii="Arial" w:cs="Arial" w:eastAsia="Arial" w:hAnsi="Arial"/>
                <w:sz w:val="17"/>
                <w:szCs w:val="17"/>
                <w:color w:val="0000FF"/>
                <w:w w:val="91"/>
              </w:rPr>
              <w:t>Common Stock, $0.01 Par Value Per Share</w:t>
            </w: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0000FF"/>
              </w:rPr>
              <w:t>03/12/2021</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Pr>
          <w:p>
            <w:pPr>
              <w:jc w:val="right"/>
              <w:ind w:right="53"/>
              <w:spacing w:after="0"/>
              <w:rPr>
                <w:sz w:val="20"/>
                <w:szCs w:val="20"/>
                <w:color w:val="auto"/>
              </w:rPr>
            </w:pPr>
            <w:r>
              <w:rPr>
                <w:rFonts w:ascii="Arial" w:cs="Arial" w:eastAsia="Arial" w:hAnsi="Arial"/>
                <w:sz w:val="17"/>
                <w:szCs w:val="17"/>
                <w:color w:val="0000FF"/>
              </w:rPr>
              <w:t>1,528</w:t>
            </w:r>
          </w:p>
        </w:tc>
        <w:tc>
          <w:tcPr>
            <w:tcW w:w="420" w:type="dxa"/>
            <w:vAlign w:val="bottom"/>
          </w:tcPr>
          <w:p>
            <w:pPr>
              <w:ind w:left="280"/>
              <w:spacing w:after="0"/>
              <w:rPr>
                <w:sz w:val="20"/>
                <w:szCs w:val="20"/>
                <w:color w:val="auto"/>
              </w:rPr>
            </w:pPr>
            <w:r>
              <w:rPr>
                <w:rFonts w:ascii="Arial" w:cs="Arial" w:eastAsia="Arial" w:hAnsi="Arial"/>
                <w:sz w:val="17"/>
                <w:szCs w:val="17"/>
                <w:color w:val="0000FF"/>
                <w:w w:val="97"/>
              </w:rPr>
              <w:t>D</w:t>
            </w:r>
          </w:p>
        </w:tc>
        <w:tc>
          <w:tcPr>
            <w:tcW w:w="220" w:type="dxa"/>
            <w:vAlign w:val="bottom"/>
          </w:tcPr>
          <w:p>
            <w:pPr>
              <w:spacing w:after="0"/>
              <w:rPr>
                <w:sz w:val="23"/>
                <w:szCs w:val="23"/>
                <w:color w:val="auto"/>
              </w:rPr>
            </w:pPr>
          </w:p>
        </w:tc>
        <w:tc>
          <w:tcPr>
            <w:tcW w:w="600" w:type="dxa"/>
            <w:vAlign w:val="bottom"/>
            <w:gridSpan w:val="3"/>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29.24</w:t>
            </w:r>
          </w:p>
        </w:tc>
        <w:tc>
          <w:tcPr>
            <w:tcW w:w="1200" w:type="dxa"/>
            <w:vAlign w:val="bottom"/>
            <w:gridSpan w:val="2"/>
          </w:tcPr>
          <w:p>
            <w:pPr>
              <w:jc w:val="center"/>
              <w:ind w:right="17"/>
              <w:spacing w:after="0"/>
              <w:rPr>
                <w:sz w:val="20"/>
                <w:szCs w:val="20"/>
                <w:color w:val="auto"/>
              </w:rPr>
            </w:pPr>
            <w:r>
              <w:rPr>
                <w:rFonts w:ascii="Arial" w:cs="Arial" w:eastAsia="Arial" w:hAnsi="Arial"/>
                <w:sz w:val="17"/>
                <w:szCs w:val="17"/>
                <w:color w:val="0000FF"/>
                <w:w w:val="91"/>
              </w:rPr>
              <w:t>252,451</w:t>
            </w:r>
          </w:p>
        </w:tc>
        <w:tc>
          <w:tcPr>
            <w:tcW w:w="920" w:type="dxa"/>
            <w:vAlign w:val="bottom"/>
          </w:tcPr>
          <w:p>
            <w:pPr>
              <w:jc w:val="center"/>
              <w:ind w:right="53"/>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4"/>
            <w:vMerge w:val="restart"/>
          </w:tcPr>
          <w:p>
            <w:pPr>
              <w:ind w:left="60"/>
              <w:spacing w:after="0"/>
              <w:rPr>
                <w:sz w:val="20"/>
                <w:szCs w:val="20"/>
                <w:color w:val="auto"/>
              </w:rPr>
            </w:pPr>
            <w:r>
              <w:rPr>
                <w:rFonts w:ascii="Arial" w:cs="Arial" w:eastAsia="Arial" w:hAnsi="Arial"/>
                <w:sz w:val="17"/>
                <w:szCs w:val="17"/>
                <w:color w:val="0000FF"/>
                <w:w w:val="91"/>
              </w:rPr>
              <w:t>Common Stock, $0.01 Par Value Per Share</w:t>
            </w:r>
          </w:p>
        </w:tc>
        <w:tc>
          <w:tcPr>
            <w:tcW w:w="6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vMerge w:val="restart"/>
          </w:tcPr>
          <w:p>
            <w:pPr>
              <w:jc w:val="center"/>
              <w:ind w:right="377"/>
              <w:spacing w:after="0"/>
              <w:rPr>
                <w:sz w:val="20"/>
                <w:szCs w:val="20"/>
                <w:color w:val="auto"/>
              </w:rPr>
            </w:pPr>
            <w:r>
              <w:rPr>
                <w:rFonts w:ascii="Arial" w:cs="Arial" w:eastAsia="Arial" w:hAnsi="Arial"/>
                <w:sz w:val="17"/>
                <w:szCs w:val="17"/>
                <w:color w:val="0000FF"/>
                <w:w w:val="89"/>
              </w:rPr>
              <w:t>5,054</w:t>
            </w:r>
          </w:p>
        </w:tc>
        <w:tc>
          <w:tcPr>
            <w:tcW w:w="920" w:type="dxa"/>
            <w:vAlign w:val="bottom"/>
            <w:vMerge w:val="restart"/>
          </w:tcPr>
          <w:p>
            <w:pPr>
              <w:jc w:val="center"/>
              <w:ind w:right="53"/>
              <w:spacing w:after="0"/>
              <w:rPr>
                <w:sz w:val="20"/>
                <w:szCs w:val="20"/>
                <w:color w:val="auto"/>
              </w:rPr>
            </w:pPr>
            <w:r>
              <w:rPr>
                <w:rFonts w:ascii="Arial" w:cs="Arial" w:eastAsia="Arial" w:hAnsi="Arial"/>
                <w:sz w:val="17"/>
                <w:szCs w:val="17"/>
                <w:color w:val="0000FF"/>
                <w:w w:val="83"/>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SL Int'l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00" w:type="dxa"/>
            <w:vAlign w:val="bottom"/>
            <w:gridSpan w:val="4"/>
            <w:vMerge w:val="continue"/>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P/S Plan</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1"/>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43"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Company granted performance share units ("PSUs") to the reporting person on January 17, 2018. Vesting of the PSUs was based on three-year Company performance relative to select key competitors. Most of these competitors had not reported their 2020 audited financial results when the Company's compensation committee met in January 2021 to certify performance under the PSUs. As a result, the Company's compensation committee approved the issuance of 90% of the shares that the committee determined had been earned according to the information available to the committee at the time. As of March 12, 2021, all such competitors had reported their 2020 audited financial results. Shares of common stock reported hereunder represent shares finally determined to have been earned under the PSUs.</w:t>
      </w:r>
    </w:p>
    <w:p>
      <w:pPr>
        <w:ind w:left="6580"/>
        <w:spacing w:after="0" w:line="184" w:lineRule="auto"/>
        <w:rPr>
          <w:sz w:val="20"/>
          <w:szCs w:val="20"/>
          <w:color w:val="auto"/>
        </w:rPr>
      </w:pPr>
      <w:r>
        <w:rPr>
          <w:rFonts w:ascii="Arial" w:cs="Arial" w:eastAsia="Arial" w:hAnsi="Arial"/>
          <w:sz w:val="17"/>
          <w:szCs w:val="17"/>
          <w:color w:val="0000FF"/>
        </w:rPr>
        <w:t xml:space="preserve">/s/ Saul R. Laureles, Attorney- </w:t>
      </w:r>
      <w:r>
        <w:rPr>
          <w:rFonts w:ascii="Arial" w:cs="Arial" w:eastAsia="Arial" w:hAnsi="Arial"/>
          <w:sz w:val="32"/>
          <w:szCs w:val="32"/>
          <w:color w:val="0000FF"/>
          <w:vertAlign w:val="subscript"/>
        </w:rPr>
        <w:t>03/16/2021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42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270997" TargetMode="External"/><Relationship Id="rId14"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2021-03-16T08:29:41Z</dcterms:created>
  <dcterms:modified xsi:type="dcterms:W3CDTF">2021-03-16T08:29:41Z</dcterms:modified>
</cp:coreProperties>
</file>