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3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205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57"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20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color w:val="auto"/>
        </w:rPr>
        <w:t>Preliminary Proxy Statement</w:t>
      </w:r>
    </w:p>
    <w:p>
      <w:pPr>
        <w:spacing w:after="0" w:line="57" w:lineRule="exact"/>
        <w:rPr>
          <w:rFonts w:ascii="MS PGothic" w:cs="MS PGothic" w:eastAsia="MS PGothic" w:hAnsi="MS PGothic"/>
          <w:sz w:val="11"/>
          <w:szCs w:val="11"/>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1"/>
          <w:szCs w:val="11"/>
          <w:color w:val="auto"/>
        </w:rPr>
      </w:pPr>
    </w:p>
    <w:p>
      <w:pPr>
        <w:spacing w:after="0" w:line="207" w:lineRule="exact"/>
        <w:rPr>
          <w:rFonts w:ascii="MS PGothic" w:cs="MS PGothic" w:eastAsia="MS PGothic" w:hAnsi="MS PGothic"/>
          <w:sz w:val="11"/>
          <w:szCs w:val="1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5" w:lineRule="exact"/>
        <w:rPr>
          <w:rFonts w:ascii="MS PGothic" w:cs="MS PGothic" w:eastAsia="MS PGothic" w:hAnsi="MS PGothic"/>
          <w:sz w:val="11"/>
          <w:szCs w:val="11"/>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1"/>
          <w:szCs w:val="11"/>
          <w:color w:val="auto"/>
        </w:rPr>
      </w:pPr>
    </w:p>
    <w:p>
      <w:pPr>
        <w:ind w:left="460" w:hanging="452"/>
        <w:spacing w:after="0"/>
        <w:tabs>
          <w:tab w:leader="none" w:pos="460" w:val="left"/>
        </w:tabs>
        <w:numPr>
          <w:ilvl w:val="0"/>
          <w:numId w:val="1"/>
        </w:numPr>
        <w:rPr>
          <w:rFonts w:ascii="MS PGothic" w:cs="MS PGothic" w:eastAsia="MS PGothic" w:hAnsi="MS PGothic"/>
          <w:sz w:val="11"/>
          <w:szCs w:val="11"/>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1"/>
          <w:szCs w:val="11"/>
          <w:color w:val="auto"/>
        </w:rPr>
      </w:pPr>
    </w:p>
    <w:p>
      <w:pPr>
        <w:ind w:left="460" w:right="680" w:hanging="452"/>
        <w:spacing w:after="0" w:line="314" w:lineRule="auto"/>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-4559300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-3967480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-3238500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-2646680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-828675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77056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8, 2009</w:t>
      </w:r>
    </w:p>
    <w:p>
      <w:pPr>
        <w:spacing w:after="0" w:line="15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13, 2009</w:t>
      </w:r>
    </w:p>
    <w:p>
      <w:pPr>
        <w:spacing w:after="0" w:line="181" w:lineRule="exact"/>
        <w:rPr>
          <w:sz w:val="20"/>
          <w:szCs w:val="20"/>
          <w:color w:val="auto"/>
        </w:rPr>
      </w:pPr>
    </w:p>
    <w:p>
      <w:pPr>
        <w:ind w:right="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 Willemstad, Curaçao, Netherlands Antilles, on Wednesday, April 8, 2009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11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2008, to approve the Company’s Consolidated Balance Sheet as at December 31, 2008, its Consolidated Statement of Income for the year ended December 31, 2008, and the declaration of dividends by the Board of Directors as reflected in the Company’s 2008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on a stockholder proposal regarding a stockholder advisory vote on compensation of the Company’s named executive officers.</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18, 2009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1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 3 without your instructions.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44274"/>
        </w:rPr>
        <w:t>Important Notice Regarding the Availability of Proxy Materials for the Annual General Meeting of Stockholders to Be Held on April 8, 2009:</w:t>
      </w:r>
    </w:p>
    <w:p>
      <w:pPr>
        <w:spacing w:after="0" w:line="18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344274"/>
        </w:rPr>
        <w:t>This proxy statement, along with the Company’s Annual Report on Form 10-K for the fiscal year ended December 31, 2008 and the 2008 Annual Report to Stockholders, are available free of charge on the Company’s website at http://investorcenter.slb.com.</w:t>
      </w:r>
    </w:p>
    <w:p>
      <w:pPr>
        <w:sectPr>
          <w:pgSz w:w="11900" w:h="16838" w:orient="portrait"/>
          <w:cols w:equalWidth="0" w:num="1">
            <w:col w:w="11420"/>
          </w:cols>
          <w:pgMar w:left="240" w:top="8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13, 2009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2009 Annual General Meeting of Stockholders. The approximate mailing date of this proxy statement is March 13, 2009.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2008 Annual Report to Stockholders is included in this package as a separate document. The Company’s Consolidated Balance Sheet as at December 31, 2008, its Consolidated Statement of Income for the year ended December 31, 2008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$12,750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w:t>
      </w:r>
    </w:p>
    <w:p>
      <w:pPr>
        <w:spacing w:after="0" w:line="8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 xml:space="preserve">Each stockholder of record at the close of business on February 18, 2009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 February 18, 2009, there were 1,196,052,203 outstanding shares of common stock of Schlumberger, excluding 138,159,961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2" w:lineRule="exact"/>
        <w:rPr>
          <w:sz w:val="20"/>
          <w:szCs w:val="20"/>
          <w:color w:val="auto"/>
        </w:rPr>
      </w:pPr>
    </w:p>
    <w:p>
      <w:pPr>
        <w:jc w:val="both"/>
        <w:ind w:right="340" w:firstLine="228"/>
        <w:spacing w:after="0" w:line="295"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specific instructions are not received, brokers may generally vote the shares in their discretion. However, the New York Stock Exchange (the “NYSE”) precludes brokers from exercising voting discretion on certain proposals without specific instructions from the beneficial owner. Under NYSE rules, brokers will have discretion to vote on the election of directors and Items 2 and 4. Brokers cannot vote on Item 3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Procedures</w:t>
      </w:r>
    </w:p>
    <w:p>
      <w:pPr>
        <w:spacing w:after="0" w:line="8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may authorize a proxy by:</w:t>
      </w:r>
    </w:p>
    <w:p>
      <w:pPr>
        <w:ind w:left="5680" w:right="5460" w:hanging="5226"/>
        <w:spacing w:after="0" w:line="552" w:lineRule="auto"/>
        <w:tabs>
          <w:tab w:leader="none" w:pos="78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internet at the following internet address: http://www.proxyvote.com; 1</w:t>
      </w:r>
    </w:p>
    <w:p>
      <w:pPr>
        <w:sectPr>
          <w:pgSz w:w="11900" w:h="16838" w:orient="portrait"/>
          <w:cols w:equalWidth="0" w:num="1">
            <w:col w:w="11420"/>
          </w:cols>
          <w:pgMar w:left="240" w:top="274" w:right="239" w:bottom="1440" w:gutter="0" w:footer="0" w:header="0"/>
        </w:sectPr>
      </w:pPr>
    </w:p>
    <w:bookmarkStart w:id="4" w:name="page5"/>
    <w:bookmarkEnd w:id="4"/>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Telephonically by calling 1-800-690-6903;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and mailing the proxy card.</w:t>
      </w:r>
    </w:p>
    <w:p>
      <w:pPr>
        <w:spacing w:after="0" w:line="36"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7, 2009. The internet and telephone voting procedures have been designed to authenticate stockholders and to allow you to vote your shares and to confirm that your instructions have been properly recorded.</w:t>
      </w:r>
    </w:p>
    <w:p>
      <w:pPr>
        <w:jc w:val="both"/>
        <w:ind w:right="260" w:firstLine="228"/>
        <w:spacing w:after="0" w:line="250" w:lineRule="auto"/>
        <w:rPr>
          <w:sz w:val="20"/>
          <w:szCs w:val="20"/>
          <w:color w:val="auto"/>
        </w:rPr>
      </w:pPr>
      <w:r>
        <w:rPr>
          <w:rFonts w:ascii="Arial" w:cs="Arial" w:eastAsia="Arial" w:hAnsi="Arial"/>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It is intended that the number of directors be fixed at 11 and that the stockholders elect a Board of Directors of 11 members, each to hold office until the next Annual General Meeting of Stockholders and until a director’s successor is elected and qualified or until a director’s death, resignation or removal. Each of the nominees, other than Henri Seydoux, is now a director and was previously elected by the stockholders.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 Mr. Nicolas Seydoux is not standing for re-election.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w w:val="85"/>
              </w:rPr>
              <w:t>Director</w:t>
            </w:r>
          </w:p>
        </w:tc>
      </w:tr>
      <w:tr>
        <w:trPr>
          <w:trHeight w:val="174"/>
        </w:trPr>
        <w:tc>
          <w:tcPr>
            <w:tcW w:w="10940" w:type="dxa"/>
            <w:vAlign w:val="bottom"/>
            <w:gridSpan w:val="2"/>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rPr>
              <w:t>Since</w:t>
            </w:r>
          </w:p>
        </w:tc>
      </w:tr>
      <w:tr>
        <w:trPr>
          <w:trHeight w:val="95"/>
        </w:trPr>
        <w:tc>
          <w:tcPr>
            <w:tcW w:w="292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10940" w:type="dxa"/>
            <w:vAlign w:val="bottom"/>
            <w:gridSpan w:val="2"/>
          </w:tcPr>
          <w:p>
            <w:pPr>
              <w:spacing w:after="0"/>
              <w:rPr>
                <w:sz w:val="20"/>
                <w:szCs w:val="20"/>
                <w:color w:val="auto"/>
              </w:rPr>
            </w:pPr>
            <w:r>
              <w:rPr>
                <w:rFonts w:ascii="Arial" w:cs="Arial" w:eastAsia="Arial" w:hAnsi="Arial"/>
                <w:sz w:val="18"/>
                <w:szCs w:val="18"/>
                <w:color w:val="auto"/>
                <w:w w:val="98"/>
              </w:rPr>
              <w:t>PHILIPPE CAMUS, 60; Co-Managing Partner, Société Lagardère, a French media and technology company, since March 1998, and Senior</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5"/>
              </w:rPr>
              <w:t>Managing Director, Evercore Partners Inc., an advisory and investment firm, since January 2006; co-Chief Executive Officer of the European</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Aeronautic Defence &amp; Space Company, an aerospace and defense contractor, from July 2000 to July 2005, New York, New York (1)</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JAMIE S. GORELICK, 58; Partner, Wilmer Cutler Pickering Hale and Dorr LLP, an international law firm, since July 2003 (2)</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ANDREW GOULD, 62; Chairman and Chief Executive Officer since February 2003 (3)</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7"/>
              </w:rPr>
              <w:t>TONY ISAAC, 67; Retired; Former Chief Executive of The BOC Group plc, an international group with three business segments consisting of</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8"/>
              </w:rPr>
              <w:t>Gases and Related Products, Vacuum Technology and Supply Chain Solutions, from September 1999 to October 2006, Surrey, U.K. (4)</w:t>
            </w:r>
          </w:p>
        </w:tc>
        <w:tc>
          <w:tcPr>
            <w:tcW w:w="4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NIKOLAY KUDRYAVTSEV, 58; Rector, Moscow Institute of Physics and Technology, since June 1997, Moscow, Russia (5)</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8"/>
              </w:rPr>
              <w:t>ADRIAN LAJOUS, 65; Senior Energy Advisor, McKinsey &amp; Company, Houston, Texas, and President of Petrométrica, an energy consulting</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company, since January 2001, Mexico City (6)</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65"/>
        </w:trPr>
        <w:tc>
          <w:tcPr>
            <w:tcW w:w="1094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w w:val="85"/>
              </w:rPr>
              <w:t>Director</w:t>
            </w:r>
          </w:p>
        </w:tc>
      </w:tr>
      <w:tr>
        <w:trPr>
          <w:trHeight w:val="174"/>
        </w:trPr>
        <w:tc>
          <w:tcPr>
            <w:tcW w:w="10940" w:type="dxa"/>
            <w:vAlign w:val="bottom"/>
            <w:gridSpan w:val="2"/>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rPr>
              <w:t>Since</w:t>
            </w:r>
          </w:p>
        </w:tc>
      </w:tr>
      <w:tr>
        <w:trPr>
          <w:trHeight w:val="95"/>
        </w:trPr>
        <w:tc>
          <w:tcPr>
            <w:tcW w:w="414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10940" w:type="dxa"/>
            <w:vAlign w:val="bottom"/>
            <w:gridSpan w:val="2"/>
          </w:tcPr>
          <w:p>
            <w:pPr>
              <w:spacing w:after="0"/>
              <w:rPr>
                <w:sz w:val="20"/>
                <w:szCs w:val="20"/>
                <w:color w:val="auto"/>
              </w:rPr>
            </w:pPr>
            <w:r>
              <w:rPr>
                <w:rFonts w:ascii="Arial" w:cs="Arial" w:eastAsia="Arial" w:hAnsi="Arial"/>
                <w:sz w:val="18"/>
                <w:szCs w:val="18"/>
                <w:color w:val="auto"/>
              </w:rPr>
              <w:t>MICHAEL E. MARKS, 58; Managing Partner, Riverwood Capital, LLC (formerly Bigwood Capital, LLC), a private equity firm, since March</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7"/>
              </w:rPr>
              <w:t>2007, Palo Alto, California; Senior Advisor of Kohlberg Kravis Roberts &amp; Co., a private equity firm, from January 2007 to January 2008 and</w:t>
            </w:r>
          </w:p>
        </w:tc>
        <w:tc>
          <w:tcPr>
            <w:tcW w:w="480" w:type="dxa"/>
            <w:vAlign w:val="bottom"/>
          </w:tcPr>
          <w:p>
            <w:pPr>
              <w:spacing w:after="0"/>
              <w:rPr>
                <w:sz w:val="18"/>
                <w:szCs w:val="18"/>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8"/>
              </w:rPr>
              <w:t>Member from January 2006 to January 2007, Menlo Park, California; Chief Executive Officer of Flextronics, an electronics manufacturing</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services company, from January 1994 to January 2006 and Chairman of the Board from January 2006 to January 2008, Singapore (7)</w:t>
            </w:r>
          </w:p>
        </w:tc>
        <w:tc>
          <w:tcPr>
            <w:tcW w:w="48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6"/>
              </w:rPr>
              <w:t>LEO RAFAEL REIF, 58; Provost, Chief Academic Officer and Chief Budget Officer, Massachusetts Institute of Technology, since August 2005,</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6"/>
              </w:rPr>
              <w:t>Head of Electrical Engineering and Computer Science Department, from September 2004 to July 2005, and Associate Department Head for</w:t>
            </w:r>
          </w:p>
        </w:tc>
        <w:tc>
          <w:tcPr>
            <w:tcW w:w="480" w:type="dxa"/>
            <w:vAlign w:val="bottom"/>
          </w:tcPr>
          <w:p>
            <w:pPr>
              <w:spacing w:after="0"/>
              <w:rPr>
                <w:sz w:val="18"/>
                <w:szCs w:val="18"/>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Electrical Engineering, Department of Electrical Engineering and Computer Science from January 1999 to August 2004, Cambridge,</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Massachusetts</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TORE I. SANDVOLD, 61; Chairman, Sandvold Energy AS, an advisory company in the energy business, since September 2002 (8)</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7"/>
              </w:rPr>
              <w:t>HENRI SEYDOUX, 48; Chairman and Chief Executive Officer, Parrot S.A., a global provider of wireless mobile telephone accessories, since</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June 2003, Paris (9)</w:t>
            </w: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LINDA GILLESPIE STUNTZ, 54; Partner, Stuntz, Davis &amp; Staffier P.C., a law firm, Washington, D.C. (10)</w:t>
            </w:r>
          </w:p>
        </w:tc>
        <w:tc>
          <w:tcPr>
            <w:tcW w:w="480" w:type="dxa"/>
            <w:vAlign w:val="bottom"/>
          </w:tcPr>
          <w:p>
            <w:pPr>
              <w:jc w:val="right"/>
              <w:spacing w:after="0"/>
              <w:rPr>
                <w:sz w:val="20"/>
                <w:szCs w:val="20"/>
                <w:color w:val="auto"/>
              </w:rPr>
            </w:pPr>
            <w:r>
              <w:rPr>
                <w:rFonts w:ascii="Arial" w:cs="Arial" w:eastAsia="Arial" w:hAnsi="Arial"/>
                <w:sz w:val="18"/>
                <w:szCs w:val="18"/>
                <w:color w:val="auto"/>
              </w:rPr>
              <w:t>1993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460" w:right="40" w:hanging="452"/>
        <w:spacing w:after="0" w:line="239"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Camus is Chairman of the Board of Lucent Alcatel, a global communications solutions provider, and a director of Credit Agricole, a banking company, where he is a member of the Audit Committee and Chairman of the Compensation Committee.</w:t>
      </w:r>
    </w:p>
    <w:p>
      <w:pPr>
        <w:spacing w:after="0" w:line="43" w:lineRule="exact"/>
        <w:rPr>
          <w:rFonts w:ascii="Arial" w:cs="Arial" w:eastAsia="Arial" w:hAnsi="Arial"/>
          <w:sz w:val="14"/>
          <w:szCs w:val="14"/>
          <w:color w:val="auto"/>
        </w:rPr>
      </w:pPr>
    </w:p>
    <w:p>
      <w:pPr>
        <w:ind w:left="460" w:right="40" w:hanging="452"/>
        <w:spacing w:after="0" w:line="317"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Compensation and Public Issues Review Committees, and serves on the boards of the John D. and Catherine T. MacArthur Foundation and the Carnegie Endowment for International Peace. She is a member of the Council on Foreign Relations.</w:t>
      </w: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Gould is a director of Rio Tinto plc and Rio Tinto Limited, a mineral resources group, and is Chairman of its Remuneration Committee and a member of its Nominations Committee.</w:t>
      </w:r>
    </w:p>
    <w:p>
      <w:pPr>
        <w:spacing w:after="0" w:line="78" w:lineRule="exact"/>
        <w:rPr>
          <w:rFonts w:ascii="Arial" w:cs="Arial" w:eastAsia="Arial" w:hAnsi="Arial"/>
          <w:sz w:val="12"/>
          <w:szCs w:val="12"/>
          <w:color w:val="auto"/>
        </w:rPr>
      </w:pPr>
    </w:p>
    <w:p>
      <w:pPr>
        <w:ind w:left="460" w:right="440" w:hanging="452"/>
        <w:spacing w:after="0" w:line="317"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Isaac is senior independent director of International Power plc, an independent power producer, and serves on its Audit, Remuneration and Appointments Committees; and senior independent director of the Hogg Robinson Group, a corporate travel services company, where he serves on its Remuneration Committee and is Chairman of its Audit Committee.</w:t>
      </w: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Arial" w:cs="Arial" w:eastAsia="Arial" w:hAnsi="Arial"/>
          <w:sz w:val="14"/>
          <w:szCs w:val="14"/>
          <w:color w:val="auto"/>
        </w:rPr>
      </w:pPr>
    </w:p>
    <w:p>
      <w:pPr>
        <w:ind w:left="460" w:hanging="452"/>
        <w:spacing w:after="0" w:line="23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serves on its Audit and Finance Committees; a director of Grupo Petroquimico Beta, S.A., a chemicals company in Mexico; and Chairman of Oxford Institute for Energy Studies, Oxford, U.K.</w:t>
      </w:r>
    </w:p>
    <w:p>
      <w:pPr>
        <w:spacing w:after="0" w:line="44" w:lineRule="exact"/>
        <w:rPr>
          <w:rFonts w:ascii="Arial" w:cs="Arial" w:eastAsia="Arial" w:hAnsi="Arial"/>
          <w:sz w:val="14"/>
          <w:szCs w:val="14"/>
          <w:color w:val="auto"/>
        </w:rPr>
      </w:pPr>
    </w:p>
    <w:p>
      <w:pPr>
        <w:ind w:left="460" w:right="280" w:hanging="452"/>
        <w:spacing w:after="0" w:line="317"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Nominating and Governance Committees; and a director of Sun Microsystems, Inc., a network computing infrastructure product and service company, and a member of its Audit Committee. Mr. Marks also serves on several private company boards.</w:t>
      </w:r>
    </w:p>
    <w:p>
      <w:pPr>
        <w:ind w:left="460" w:right="220" w:hanging="452"/>
        <w:spacing w:after="0" w:line="317"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Sandvold is a director of Teekay Corporation, a leading provider of international crude oil and petroleum product transportation services, where he is a member of its Nominating and Governance Committee, and also serves on the boards of Lambert Energy Advisory Ltd., E.on Rührgas Norge AS, Energy Policy Foundation of Norway, Stavanger University, NorWind AS and OceanWind.</w:t>
      </w: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Seydoux is a director of Christian Louboutin, Strapmedia, Mobinear and Maison Darre, all private companies located in Paris.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Mrs. Stuntz is a director of Raytheon Company, a defense technology company, where she serves on its Audit, Nominating and Governance Committees and is Chair of its Public Affairs Committee.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Company’s common stock.</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240" w:type="dxa"/>
            <w:vAlign w:val="bottom"/>
            <w:gridSpan w:val="4"/>
          </w:tcPr>
          <w:p>
            <w:pPr>
              <w:jc w:val="center"/>
              <w:ind w:right="140"/>
              <w:spacing w:after="0" w:line="139" w:lineRule="exact"/>
              <w:rPr>
                <w:sz w:val="20"/>
                <w:szCs w:val="20"/>
                <w:color w:val="auto"/>
              </w:rPr>
            </w:pPr>
            <w:r>
              <w:rPr>
                <w:rFonts w:ascii="Arial" w:cs="Arial" w:eastAsia="Arial" w:hAnsi="Arial"/>
                <w:sz w:val="14"/>
                <w:szCs w:val="14"/>
                <w:b w:val="1"/>
                <w:bCs w:val="1"/>
                <w:color w:val="auto"/>
                <w:w w:val="86"/>
              </w:rPr>
              <w:t>Beneficial Ownership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91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Research Global Investors (1)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65,005,000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40" w:hanging="332"/>
        <w:spacing w:after="0" w:line="23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a Statement on Schedule 13G dated February 17, 2009. Such filing indicates that Capital Research Global Investors has sole voting power with respect to 23,730,000 shares and sole dispositive power with respect to 65,005,000 shares. Capital Research Global Investors is a division of Capital Research and Management Company. The filing indicates that the common stock was acquired in the ordinary course of business and not for the purpose of changing or influencing the control of the Company.</w:t>
      </w:r>
    </w:p>
    <w:p>
      <w:pPr>
        <w:spacing w:after="0" w:line="128"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2009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2009, no nominee for director owned more than 1% of the outstanding shares of the Company’s common stock. All directors, director nominees and executive officers as a group owned 0.6% of the outstanding shares of the common stock of the Company at January 31,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378,087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Dalton Boutte</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668,553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Jamie S. Gorelick</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19,200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Gould</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3,563,158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Tony Isaac</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12,000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14,232</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Satish Pai</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409,821</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890,568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Henri Seydoux</w:t>
            </w:r>
          </w:p>
        </w:tc>
        <w:tc>
          <w:tcPr>
            <w:tcW w:w="17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491,320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Linda Gillespie Stuntz</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26,200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(25 persons)</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7,449,984</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282,000 shares which may be acquired by Mr. Ayat within 60 days through the exercise of stock options.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572,968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13,000 shares the receipt of which Ms. Gorelick has deferred under the Stock and Deferral Plan for Non-Employee Directors.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2,256,430 shares which may be acquired by Mr. Gould within 60 days through the exercise of stock options and 328,908 pledged shares.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5,000 shares the receipt of which Mr. Issac has deferred under the Stock and Deferral Plan for Non-Employee Directors.</w:t>
      </w:r>
    </w:p>
    <w:p>
      <w:pPr>
        <w:spacing w:after="0" w:line="55" w:lineRule="exact"/>
        <w:rPr>
          <w:rFonts w:ascii="Arial" w:cs="Arial" w:eastAsia="Arial" w:hAnsi="Arial"/>
          <w:sz w:val="14"/>
          <w:szCs w:val="14"/>
          <w:color w:val="auto"/>
        </w:rPr>
      </w:pPr>
    </w:p>
    <w:p>
      <w:pPr>
        <w:ind w:left="460" w:right="20" w:hanging="452"/>
        <w:spacing w:after="0" w:line="239"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 and excludes 8,000 shares the receipt of which he has deferred under the Stock and Deferral Plan for Non-Employee Directors.</w:t>
      </w:r>
    </w:p>
    <w:p>
      <w:pPr>
        <w:spacing w:after="0" w:line="43"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2,000 shares the receipt of which Mr. Marks has deferred under the Stock and Deferral Plan for Non-Employee Directors.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358,619 shares which may be acquired by Mr. Pai within 60 days through the exercise of stock options.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855,000 shares which may be acquired by Mr. Sbiti within 60 days through the exercise of stock options.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30,728 shares owned by Mr. Seydoux’s wife, as to which he has no voting and investment power, and includes 200,000 pledged shares.</w:t>
      </w:r>
    </w:p>
    <w:p>
      <w:pPr>
        <w:spacing w:after="0" w:line="55" w:lineRule="exact"/>
        <w:rPr>
          <w:rFonts w:ascii="Arial" w:cs="Arial" w:eastAsia="Arial" w:hAnsi="Arial"/>
          <w:sz w:val="14"/>
          <w:szCs w:val="14"/>
          <w:color w:val="auto"/>
        </w:rPr>
      </w:pPr>
    </w:p>
    <w:p>
      <w:pPr>
        <w:ind w:left="460" w:right="80" w:hanging="452"/>
        <w:spacing w:after="0" w:line="239"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6,000 shares as to which Mrs. Stuntz shares voting power and 600 shares owned by a minor child in a trust for which Mrs. Stuntz serves as trustee and excludes 3,400 shares which she deferred under the Stock and Deferral Plan for Non-Employee Directors.</w:t>
      </w:r>
    </w:p>
    <w:p>
      <w:pPr>
        <w:spacing w:after="0" w:line="43" w:lineRule="exact"/>
        <w:rPr>
          <w:rFonts w:ascii="Arial" w:cs="Arial" w:eastAsia="Arial" w:hAnsi="Arial"/>
          <w:sz w:val="14"/>
          <w:szCs w:val="14"/>
          <w:color w:val="auto"/>
        </w:rPr>
      </w:pPr>
    </w:p>
    <w:p>
      <w:pPr>
        <w:ind w:left="460" w:right="240" w:hanging="452"/>
        <w:spacing w:after="0" w:line="239"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5,055,667 shares which may be acquired by executive officers as a group within 60 days through the exercise of stock options and excludes 31,490 shares the receipt of which directors have deferred under the Stock and Deferral Plan for Non-Employee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2008 all of its officers and directors filed on a timely basis the reports required to be filed under Section 16(a) of the Securities Exchange Act of 1934, as amended (the “Exchange Act”), except for a late Form 4 filing by Rodney Nelson reporting shares acquired through a stock option exercise.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April 22, 2004 or after joining the Board (whichever is later), own at least 10,000 shares or restricted stock units.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Corporate Governance</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Board of Directors has determined that each director is independent under the NYSE’s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spacing w:after="0" w:line="1" w:lineRule="exact"/>
        <w:rPr>
          <w:sz w:val="20"/>
          <w:szCs w:val="20"/>
          <w:color w:val="auto"/>
        </w:rPr>
      </w:pPr>
    </w:p>
    <w:p>
      <w:pPr>
        <w:ind w:left="780" w:right="94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24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(the “SEC”), but under that item does not require disclosure; or</w:t>
      </w: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charitable contributions by the Company to an organization where a director is an executive officer and does not exceed the greater of $1</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million or 2% of the organization’s gross revenue in any of the last 3 years.</w:t>
      </w:r>
    </w:p>
    <w:p>
      <w:pPr>
        <w:spacing w:after="0" w:line="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suggestions from other directors, management, stockholders and other sources, and its process for evaluating nominees identified in unsolicited recommendations from security holders is the same as its process for unsolicited recommendations from other sources.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in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2008, the Board of Directors held six meetings. Schlumberger has an Audit, a Compensation, a Nominating and Governance, a Finance, and a Technology Committee. During 2008, the Audit Committee met five times; the Compensation Committee met five times; the Finance Committee met four times; the Nominating and Governance Committee met four times; and the Technology Committee met twice. All incumbent director nominees attended at least 83%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 w:lineRule="exact"/>
        <w:rPr>
          <w:sz w:val="20"/>
          <w:szCs w:val="20"/>
          <w:color w:val="auto"/>
        </w:rPr>
      </w:pPr>
    </w:p>
    <w:p>
      <w:pPr>
        <w:jc w:val="both"/>
        <w:ind w:right="20" w:firstLine="228"/>
        <w:spacing w:after="0" w:line="302" w:lineRule="auto"/>
        <w:rPr>
          <w:sz w:val="20"/>
          <w:szCs w:val="20"/>
          <w:color w:val="auto"/>
        </w:rPr>
      </w:pPr>
      <w:r>
        <w:rPr>
          <w:rFonts w:ascii="Arial" w:cs="Arial" w:eastAsia="Arial" w:hAnsi="Arial"/>
          <w:sz w:val="16"/>
          <w:szCs w:val="16"/>
          <w:color w:val="auto"/>
        </w:rPr>
        <w:t>Board meetings have historically been held on the third or fourth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Members of the Committees of the Board of Directors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jc w:val="center"/>
              <w:ind w:left="960"/>
              <w:spacing w:after="0" w:line="149" w:lineRule="exact"/>
              <w:rPr>
                <w:sz w:val="20"/>
                <w:szCs w:val="20"/>
                <w:color w:val="auto"/>
              </w:rPr>
            </w:pPr>
            <w:r>
              <w:rPr>
                <w:rFonts w:ascii="Arial" w:cs="Arial" w:eastAsia="Arial" w:hAnsi="Arial"/>
                <w:sz w:val="14"/>
                <w:szCs w:val="14"/>
                <w:b w:val="1"/>
                <w:bCs w:val="1"/>
                <w:color w:val="auto"/>
                <w:w w:val="88"/>
              </w:rPr>
              <w:t>Nominating</w:t>
            </w:r>
          </w:p>
        </w:tc>
        <w:tc>
          <w:tcPr>
            <w:tcW w:w="172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jc w:val="center"/>
              <w:ind w:left="940"/>
              <w:spacing w:after="0" w:line="149" w:lineRule="exact"/>
              <w:rPr>
                <w:sz w:val="20"/>
                <w:szCs w:val="20"/>
                <w:color w:val="auto"/>
              </w:rPr>
            </w:pPr>
            <w:r>
              <w:rPr>
                <w:rFonts w:ascii="Arial" w:cs="Arial" w:eastAsia="Arial" w:hAnsi="Arial"/>
                <w:sz w:val="14"/>
                <w:szCs w:val="14"/>
                <w:b w:val="1"/>
                <w:bCs w:val="1"/>
                <w:color w:val="auto"/>
                <w:w w:val="88"/>
              </w:rPr>
              <w:t>and</w:t>
            </w:r>
          </w:p>
        </w:tc>
        <w:tc>
          <w:tcPr>
            <w:tcW w:w="17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619"/>
              <w:spacing w:after="0" w:line="149" w:lineRule="exact"/>
              <w:rPr>
                <w:sz w:val="20"/>
                <w:szCs w:val="20"/>
                <w:color w:val="auto"/>
              </w:rPr>
            </w:pPr>
            <w:r>
              <w:rPr>
                <w:rFonts w:ascii="Arial" w:cs="Arial" w:eastAsia="Arial" w:hAnsi="Arial"/>
                <w:sz w:val="14"/>
                <w:szCs w:val="14"/>
                <w:b w:val="1"/>
                <w:bCs w:val="1"/>
                <w:color w:val="auto"/>
                <w:w w:val="94"/>
              </w:rPr>
              <w:t>Audit</w:t>
            </w:r>
          </w:p>
        </w:tc>
        <w:tc>
          <w:tcPr>
            <w:tcW w:w="1900" w:type="dxa"/>
            <w:vAlign w:val="bottom"/>
            <w:tcBorders>
              <w:right w:val="single" w:sz="8" w:color="auto"/>
            </w:tcBorders>
          </w:tcPr>
          <w:p>
            <w:pPr>
              <w:jc w:val="center"/>
              <w:ind w:left="938"/>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60" w:type="dxa"/>
            <w:vAlign w:val="bottom"/>
            <w:tcBorders>
              <w:right w:val="single" w:sz="8" w:color="auto"/>
            </w:tcBorders>
          </w:tcPr>
          <w:p>
            <w:pPr>
              <w:jc w:val="center"/>
              <w:ind w:left="940"/>
              <w:spacing w:after="0" w:line="149" w:lineRule="exact"/>
              <w:rPr>
                <w:sz w:val="20"/>
                <w:szCs w:val="20"/>
                <w:color w:val="auto"/>
              </w:rPr>
            </w:pPr>
            <w:r>
              <w:rPr>
                <w:rFonts w:ascii="Arial" w:cs="Arial" w:eastAsia="Arial" w:hAnsi="Arial"/>
                <w:sz w:val="14"/>
                <w:szCs w:val="14"/>
                <w:b w:val="1"/>
                <w:bCs w:val="1"/>
                <w:color w:val="auto"/>
                <w:w w:val="86"/>
              </w:rPr>
              <w:t>Governance</w:t>
            </w:r>
          </w:p>
        </w:tc>
        <w:tc>
          <w:tcPr>
            <w:tcW w:w="1720" w:type="dxa"/>
            <w:vAlign w:val="bottom"/>
            <w:tcBorders>
              <w:right w:val="single" w:sz="8" w:color="auto"/>
            </w:tcBorders>
          </w:tcPr>
          <w:p>
            <w:pPr>
              <w:jc w:val="center"/>
              <w:ind w:left="958"/>
              <w:spacing w:after="0" w:line="149" w:lineRule="exact"/>
              <w:rPr>
                <w:sz w:val="20"/>
                <w:szCs w:val="20"/>
                <w:color w:val="auto"/>
              </w:rPr>
            </w:pPr>
            <w:r>
              <w:rPr>
                <w:rFonts w:ascii="Arial" w:cs="Arial" w:eastAsia="Arial" w:hAnsi="Arial"/>
                <w:sz w:val="14"/>
                <w:szCs w:val="14"/>
                <w:b w:val="1"/>
                <w:bCs w:val="1"/>
                <w:color w:val="auto"/>
                <w:w w:val="83"/>
              </w:rPr>
              <w:t>Finance</w:t>
            </w:r>
          </w:p>
        </w:tc>
        <w:tc>
          <w:tcPr>
            <w:tcW w:w="1840" w:type="dxa"/>
            <w:vAlign w:val="bottom"/>
            <w:tcBorders>
              <w:right w:val="single" w:sz="8" w:color="auto"/>
            </w:tcBorders>
          </w:tcPr>
          <w:p>
            <w:pPr>
              <w:jc w:val="center"/>
              <w:ind w:left="840"/>
              <w:spacing w:after="0" w:line="149" w:lineRule="exact"/>
              <w:rPr>
                <w:sz w:val="20"/>
                <w:szCs w:val="20"/>
                <w:color w:val="auto"/>
              </w:rPr>
            </w:pPr>
            <w:r>
              <w:rPr>
                <w:rFonts w:ascii="Arial" w:cs="Arial" w:eastAsia="Arial" w:hAnsi="Arial"/>
                <w:sz w:val="14"/>
                <w:szCs w:val="14"/>
                <w:b w:val="1"/>
                <w:bCs w:val="1"/>
                <w:color w:val="auto"/>
                <w:w w:val="81"/>
              </w:rPr>
              <w:t>Technology</w:t>
            </w:r>
          </w:p>
        </w:tc>
      </w:tr>
      <w:tr>
        <w:trPr>
          <w:trHeight w:val="174"/>
        </w:trPr>
        <w:tc>
          <w:tcPr>
            <w:tcW w:w="17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4"/>
                <w:szCs w:val="14"/>
                <w:b w:val="1"/>
                <w:bCs w:val="1"/>
                <w:color w:val="auto"/>
                <w:w w:val="85"/>
              </w:rPr>
              <w:t>Committee</w:t>
            </w:r>
          </w:p>
        </w:tc>
        <w:tc>
          <w:tcPr>
            <w:tcW w:w="1900" w:type="dxa"/>
            <w:vAlign w:val="bottom"/>
            <w:tcBorders>
              <w:bottom w:val="single" w:sz="8" w:color="auto"/>
              <w:right w:val="single" w:sz="8" w:color="auto"/>
            </w:tcBorders>
          </w:tcPr>
          <w:p>
            <w:pPr>
              <w:jc w:val="center"/>
              <w:ind w:left="938"/>
              <w:spacing w:after="0"/>
              <w:rPr>
                <w:sz w:val="20"/>
                <w:szCs w:val="20"/>
                <w:color w:val="auto"/>
              </w:rPr>
            </w:pPr>
            <w:r>
              <w:rPr>
                <w:rFonts w:ascii="Arial" w:cs="Arial" w:eastAsia="Arial" w:hAnsi="Arial"/>
                <w:sz w:val="14"/>
                <w:szCs w:val="14"/>
                <w:b w:val="1"/>
                <w:bCs w:val="1"/>
                <w:color w:val="auto"/>
                <w:w w:val="88"/>
              </w:rPr>
              <w:t>Committee</w:t>
            </w:r>
          </w:p>
        </w:tc>
        <w:tc>
          <w:tcPr>
            <w:tcW w:w="1760" w:type="dxa"/>
            <w:vAlign w:val="bottom"/>
            <w:tcBorders>
              <w:bottom w:val="single" w:sz="8" w:color="auto"/>
              <w:right w:val="single" w:sz="8" w:color="auto"/>
            </w:tcBorders>
          </w:tcPr>
          <w:p>
            <w:pPr>
              <w:jc w:val="center"/>
              <w:ind w:left="960"/>
              <w:spacing w:after="0"/>
              <w:rPr>
                <w:sz w:val="20"/>
                <w:szCs w:val="20"/>
                <w:color w:val="auto"/>
              </w:rPr>
            </w:pPr>
            <w:r>
              <w:rPr>
                <w:rFonts w:ascii="Arial" w:cs="Arial" w:eastAsia="Arial" w:hAnsi="Arial"/>
                <w:sz w:val="14"/>
                <w:szCs w:val="14"/>
                <w:b w:val="1"/>
                <w:bCs w:val="1"/>
                <w:color w:val="auto"/>
                <w:w w:val="88"/>
              </w:rPr>
              <w:t>Committee</w:t>
            </w:r>
          </w:p>
        </w:tc>
        <w:tc>
          <w:tcPr>
            <w:tcW w:w="1720" w:type="dxa"/>
            <w:vAlign w:val="bottom"/>
            <w:tcBorders>
              <w:bottom w:val="single" w:sz="8" w:color="auto"/>
              <w:right w:val="single" w:sz="8" w:color="auto"/>
            </w:tcBorders>
          </w:tcPr>
          <w:p>
            <w:pPr>
              <w:jc w:val="center"/>
              <w:ind w:left="958"/>
              <w:spacing w:after="0"/>
              <w:rPr>
                <w:sz w:val="20"/>
                <w:szCs w:val="20"/>
                <w:color w:val="auto"/>
              </w:rPr>
            </w:pPr>
            <w:r>
              <w:rPr>
                <w:rFonts w:ascii="Arial" w:cs="Arial" w:eastAsia="Arial" w:hAnsi="Arial"/>
                <w:sz w:val="14"/>
                <w:szCs w:val="14"/>
                <w:b w:val="1"/>
                <w:bCs w:val="1"/>
                <w:color w:val="auto"/>
                <w:w w:val="88"/>
              </w:rPr>
              <w:t>Committee</w:t>
            </w:r>
          </w:p>
        </w:tc>
        <w:tc>
          <w:tcPr>
            <w:tcW w:w="1840" w:type="dxa"/>
            <w:vAlign w:val="bottom"/>
            <w:tcBorders>
              <w:bottom w:val="single" w:sz="8" w:color="auto"/>
              <w:right w:val="single" w:sz="8" w:color="auto"/>
            </w:tcBorders>
          </w:tcPr>
          <w:p>
            <w:pPr>
              <w:jc w:val="center"/>
              <w:ind w:left="840"/>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2820" w:type="dxa"/>
            <w:vAlign w:val="bottom"/>
            <w:tcBorders>
              <w:right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Philippe Camus</w:t>
            </w:r>
          </w:p>
        </w:tc>
        <w:tc>
          <w:tcPr>
            <w:tcW w:w="1400" w:type="dxa"/>
            <w:vAlign w:val="bottom"/>
            <w:tcBorders>
              <w:bottom w:val="single" w:sz="8" w:color="auto"/>
              <w:right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Jamie S. Gorelick</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958"/>
              <w:spacing w:after="0"/>
              <w:rPr>
                <w:sz w:val="20"/>
                <w:szCs w:val="20"/>
                <w:color w:val="auto"/>
              </w:rPr>
            </w:pPr>
            <w:r>
              <w:rPr>
                <w:rFonts w:ascii="Arial" w:cs="Arial" w:eastAsia="Arial" w:hAnsi="Arial"/>
                <w:sz w:val="18"/>
                <w:szCs w:val="18"/>
                <w:color w:val="auto"/>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196"/>
        </w:trPr>
        <w:tc>
          <w:tcPr>
            <w:tcW w:w="2820" w:type="dxa"/>
            <w:vAlign w:val="bottom"/>
            <w:tcBorders>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Andrew Gould</w:t>
            </w: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900" w:type="dxa"/>
            <w:vAlign w:val="bottom"/>
            <w:tcBorders>
              <w:bottom w:val="single" w:sz="8" w:color="auto"/>
              <w:right w:val="single" w:sz="8" w:color="auto"/>
            </w:tcBorders>
            <w:shd w:val="clear" w:color="auto" w:fill="CCEEFF"/>
          </w:tcPr>
          <w:p>
            <w:pPr>
              <w:spacing w:after="0"/>
              <w:rPr>
                <w:sz w:val="17"/>
                <w:szCs w:val="17"/>
                <w:color w:val="auto"/>
              </w:rPr>
            </w:pPr>
          </w:p>
        </w:tc>
        <w:tc>
          <w:tcPr>
            <w:tcW w:w="1760" w:type="dxa"/>
            <w:vAlign w:val="bottom"/>
            <w:tcBorders>
              <w:bottom w:val="single" w:sz="8" w:color="auto"/>
              <w:right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spacing w:after="0"/>
              <w:rPr>
                <w:sz w:val="17"/>
                <w:szCs w:val="17"/>
                <w:color w:val="auto"/>
              </w:rPr>
            </w:pPr>
          </w:p>
        </w:tc>
        <w:tc>
          <w:tcPr>
            <w:tcW w:w="184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Tony Isaac</w:t>
            </w:r>
          </w:p>
        </w:tc>
        <w:tc>
          <w:tcPr>
            <w:tcW w:w="14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Nikolay Kudryavtsev</w:t>
            </w:r>
          </w:p>
        </w:tc>
        <w:tc>
          <w:tcPr>
            <w:tcW w:w="1400" w:type="dxa"/>
            <w:vAlign w:val="bottom"/>
            <w:tcBorders>
              <w:bottom w:val="single" w:sz="8" w:color="auto"/>
              <w:right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Adrian Lajous</w:t>
            </w:r>
          </w:p>
        </w:tc>
        <w:tc>
          <w:tcPr>
            <w:tcW w:w="1400" w:type="dxa"/>
            <w:vAlign w:val="bottom"/>
            <w:tcBorders>
              <w:bottom w:val="single" w:sz="8" w:color="auto"/>
              <w:right w:val="single" w:sz="8" w:color="auto"/>
            </w:tcBorders>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Marks</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shd w:val="clear" w:color="auto" w:fill="CCEEFF"/>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Didier Primat (1)</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Leo Rafael Reif</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Tore I. Sandvold</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Nicolas Seydoux (2)</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shd w:val="clear" w:color="auto" w:fill="CCEEFF"/>
          </w:tcPr>
          <w:p>
            <w:pPr>
              <w:jc w:val="center"/>
              <w:ind w:left="94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Linda Gillespie Stuntz</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ind w:left="938"/>
              <w:spacing w:after="0"/>
              <w:rPr>
                <w:sz w:val="20"/>
                <w:szCs w:val="20"/>
                <w:color w:val="auto"/>
              </w:rPr>
            </w:pPr>
            <w:r>
              <w:rPr>
                <w:rFonts w:ascii="Arial" w:cs="Arial" w:eastAsia="Arial" w:hAnsi="Arial"/>
                <w:sz w:val="18"/>
                <w:szCs w:val="18"/>
                <w:color w:val="auto"/>
              </w:rPr>
              <w:t>X*</w:t>
            </w: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840" w:type="dxa"/>
            <w:vAlign w:val="bottom"/>
          </w:tcPr>
          <w:p>
            <w:pPr>
              <w:spacing w:after="0"/>
              <w:rPr>
                <w:sz w:val="8"/>
                <w:szCs w:val="8"/>
                <w:color w:val="auto"/>
              </w:rPr>
            </w:pPr>
          </w:p>
        </w:tc>
      </w:tr>
    </w:tbl>
    <w:p>
      <w:pPr>
        <w:spacing w:after="0" w:line="97" w:lineRule="exact"/>
        <w:rPr>
          <w:sz w:val="20"/>
          <w:szCs w:val="20"/>
          <w:color w:val="auto"/>
        </w:rPr>
      </w:pPr>
    </w:p>
    <w:p>
      <w:pPr>
        <w:ind w:left="340" w:hanging="298"/>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Chair</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Deceased July 2008.</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Seydoux is not standing for re-election.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w:t>
      </w:r>
    </w:p>
    <w:p>
      <w:pPr>
        <w:spacing w:after="0" w:line="7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Audit Committee consists of four independent directors who meet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36" w:lineRule="exact"/>
        <w:rPr>
          <w:rFonts w:ascii="Arial" w:cs="Arial" w:eastAsia="Arial" w:hAnsi="Arial"/>
          <w:sz w:val="18"/>
          <w:szCs w:val="18"/>
          <w:color w:val="auto"/>
        </w:rPr>
      </w:pPr>
    </w:p>
    <w:p>
      <w:pPr>
        <w:ind w:left="780" w:right="98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independent registered public accounting firm the scope and results of its audit, and any audit problems or difficulties and management’s response;</w:t>
      </w:r>
    </w:p>
    <w:p>
      <w:pPr>
        <w:ind w:left="780" w:right="44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the Schlumberger annual audited financial statements and quarterly financial statements with management and the independent registered public accounting firm;</w:t>
      </w:r>
    </w:p>
    <w:p>
      <w:pPr>
        <w:ind w:left="780" w:right="280" w:hanging="326"/>
        <w:spacing w:after="0" w:line="281"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9" w:lineRule="exact"/>
        <w:rPr>
          <w:rFonts w:ascii="Arial" w:cs="Arial" w:eastAsia="Arial" w:hAnsi="Arial"/>
          <w:sz w:val="18"/>
          <w:szCs w:val="18"/>
          <w:color w:val="auto"/>
        </w:rPr>
      </w:pPr>
    </w:p>
    <w:p>
      <w:pPr>
        <w:ind w:left="780" w:right="66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ind w:left="780" w:right="48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 policies for the hiring of employees or former employees of the Company’s independent registered public accounting firm;</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74" w:right="219" w:bottom="1440" w:gutter="0" w:footer="0" w:header="0"/>
        </w:sectPr>
      </w:pPr>
    </w:p>
    <w:bookmarkStart w:id="10" w:name="page11"/>
    <w:bookmarkEnd w:id="10"/>
    <w:p>
      <w:pPr>
        <w:ind w:left="780" w:right="42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with the internal audit department the status and results of the annual internal audit plan, assessments of the adequacy and effectiveness of internal controls, and the sufficiency of the department’s resources;</w:t>
      </w:r>
    </w:p>
    <w:p>
      <w:pPr>
        <w:ind w:left="780" w:right="24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 annual audit committee report for the Schlumberger annual proxy statement.</w:t>
      </w:r>
    </w:p>
    <w:p>
      <w:pPr>
        <w:spacing w:after="0" w:line="3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ind w:right="320" w:firstLine="228"/>
        <w:spacing w:after="0" w:line="254" w:lineRule="auto"/>
        <w:rPr>
          <w:sz w:val="20"/>
          <w:szCs w:val="20"/>
          <w:color w:val="auto"/>
        </w:rPr>
      </w:pPr>
      <w:r>
        <w:rPr>
          <w:rFonts w:ascii="Arial" w:cs="Arial" w:eastAsia="Arial" w:hAnsi="Arial"/>
          <w:sz w:val="18"/>
          <w:szCs w:val="18"/>
          <w:color w:val="auto"/>
        </w:rPr>
        <w:t>The Board of Directors has determined that Messrs. Camus, Isaac and Lajous, who are independent under applicable NYSE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Committee</w:t>
      </w:r>
    </w:p>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consists of five independent directors who meet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ind w:left="780" w:right="6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36"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 (sometimes referred to as “LTIs”);</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appropriate peer groups against which the Company’s executive compensation is compared;</w:t>
      </w:r>
    </w:p>
    <w:p>
      <w:pPr>
        <w:spacing w:after="0" w:line="29" w:lineRule="exact"/>
        <w:rPr>
          <w:rFonts w:ascii="Arial" w:cs="Arial" w:eastAsia="Arial" w:hAnsi="Arial"/>
          <w:sz w:val="18"/>
          <w:szCs w:val="18"/>
          <w:color w:val="auto"/>
        </w:rPr>
      </w:pPr>
    </w:p>
    <w:p>
      <w:pPr>
        <w:ind w:left="780" w:right="74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52" w:lineRule="exact"/>
        <w:rPr>
          <w:rFonts w:ascii="Arial" w:cs="Arial" w:eastAsia="Arial" w:hAnsi="Arial"/>
          <w:sz w:val="16"/>
          <w:szCs w:val="16"/>
          <w:color w:val="auto"/>
        </w:rPr>
      </w:pPr>
    </w:p>
    <w:p>
      <w:pPr>
        <w:ind w:left="780" w:right="76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the Corporate Governance Guidelines;</w:t>
      </w:r>
    </w:p>
    <w:p>
      <w:pPr>
        <w:ind w:left="780" w:right="460" w:hanging="326"/>
        <w:spacing w:after="0" w:line="28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1" w:lineRule="exact"/>
        <w:rPr>
          <w:rFonts w:ascii="Arial" w:cs="Arial" w:eastAsia="Arial" w:hAnsi="Arial"/>
          <w:sz w:val="16"/>
          <w:szCs w:val="16"/>
          <w:color w:val="auto"/>
        </w:rPr>
      </w:pPr>
    </w:p>
    <w:p>
      <w:pPr>
        <w:ind w:left="780" w:right="62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to stockholders; and</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proxy.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380"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delegate specific responsibilities to one or more individual committee members to the extent permitted by law, NYSE listing standards and Schlumberger’s governing documents.</w:t>
      </w:r>
    </w:p>
    <w:p>
      <w:pPr>
        <w:ind w:firstLine="228"/>
        <w:spacing w:after="0" w:line="281" w:lineRule="auto"/>
        <w:rPr>
          <w:sz w:val="20"/>
          <w:szCs w:val="20"/>
          <w:color w:val="auto"/>
        </w:rPr>
      </w:pPr>
      <w:r>
        <w:rPr>
          <w:rFonts w:ascii="Arial" w:cs="Arial" w:eastAsia="Arial" w:hAnsi="Arial"/>
          <w:sz w:val="16"/>
          <w:szCs w:val="16"/>
          <w:color w:val="auto"/>
        </w:rPr>
        <w:t>The Compensation Committee has retained Towers Perrin as an independent consultant with respect to executive compensation matters. The consultant reports to and acts solely at the direction of the Compensation Committee. Schlumberger management does not direct or oversee the activities of Towers Perrin with respect to the Company’s executive compensation program and has not engaged Towers Perrin for any other matter. Towers Perrin prepares compensation surveys for review by the Compensation Committee each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 The design and day-to-day administration of all compensation and benefits plans and related policies, as applicable to executive officers and salaried employees, are handled by teams of the Company’s human resources, finance and legal department employees.</w:t>
      </w:r>
    </w:p>
    <w:p>
      <w:pPr>
        <w:spacing w:after="0" w:line="6"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financial and personal objectives with respect to the prior year’s results. The purpose is to determine if any changes in the officer’s compensation are appropriate. The CEO does not participate in the Compensation 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the current year. The Compensation Committee may, however, review and adjust salaries or grant stock options at other times as the result of new appointments or promotions during the year.</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pacing w:after="0" w:line="147"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financial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personal objectives</w:t>
      </w:r>
    </w:p>
    <w:p>
      <w:pPr>
        <w:spacing w:after="0" w:line="117" w:lineRule="exact"/>
        <w:rPr>
          <w:sz w:val="20"/>
          <w:szCs w:val="20"/>
          <w:color w:val="auto"/>
        </w:rPr>
      </w:pPr>
    </w:p>
    <w:p>
      <w:pPr>
        <w:ind w:right="1560"/>
        <w:spacing w:after="0" w:line="370" w:lineRule="auto"/>
        <w:rPr>
          <w:sz w:val="20"/>
          <w:szCs w:val="20"/>
          <w:color w:val="auto"/>
        </w:rPr>
      </w:pPr>
      <w:r>
        <w:rPr>
          <w:rFonts w:ascii="Arial" w:cs="Arial" w:eastAsia="Arial" w:hAnsi="Arial"/>
          <w:sz w:val="15"/>
          <w:szCs w:val="15"/>
          <w:color w:val="auto"/>
        </w:rPr>
        <w:t>External consultants provide analysis for compensation committee to evaluate executive compensation</w:t>
      </w:r>
    </w:p>
    <w:p>
      <w:pPr>
        <w:spacing w:after="0" w:line="22" w:lineRule="exact"/>
        <w:rPr>
          <w:sz w:val="20"/>
          <w:szCs w:val="20"/>
          <w:color w:val="auto"/>
        </w:rPr>
      </w:pPr>
    </w:p>
    <w:p>
      <w:pPr>
        <w:ind w:right="1260"/>
        <w:spacing w:after="0" w:line="259" w:lineRule="auto"/>
        <w:rPr>
          <w:sz w:val="20"/>
          <w:szCs w:val="20"/>
          <w:color w:val="auto"/>
        </w:rPr>
      </w:pPr>
      <w:r>
        <w:rPr>
          <w:rFonts w:ascii="Arial" w:cs="Arial" w:eastAsia="Arial" w:hAnsi="Arial"/>
          <w:sz w:val="18"/>
          <w:szCs w:val="18"/>
          <w:color w:val="auto"/>
        </w:rPr>
        <w:t>Evaluate executive performance (achievement of objectives established in previous fiscal year) and recommend compensation based on those results</w:t>
      </w:r>
    </w:p>
    <w:p>
      <w:pPr>
        <w:spacing w:after="0" w:line="100" w:lineRule="exact"/>
        <w:rPr>
          <w:sz w:val="20"/>
          <w:szCs w:val="20"/>
          <w:color w:val="auto"/>
        </w:rPr>
      </w:pPr>
    </w:p>
    <w:p>
      <w:pPr>
        <w:ind w:right="1460"/>
        <w:spacing w:after="0" w:line="268" w:lineRule="auto"/>
        <w:rPr>
          <w:sz w:val="20"/>
          <w:szCs w:val="20"/>
          <w:color w:val="auto"/>
        </w:rPr>
      </w:pPr>
      <w:r>
        <w:rPr>
          <w:rFonts w:ascii="Arial" w:cs="Arial" w:eastAsia="Arial" w:hAnsi="Arial"/>
          <w:sz w:val="18"/>
          <w:szCs w:val="18"/>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Early in the first quarter of the fiscal year for current year</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fiscal year</w:t>
      </w:r>
    </w:p>
    <w:p>
      <w:pPr>
        <w:spacing w:after="0" w:line="3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Results approved in January of each fiscal year for annual cash incentive with respect to prior year. Earned incentive paid in February.</w:t>
      </w:r>
    </w:p>
    <w:p>
      <w:pPr>
        <w:spacing w:after="0" w:line="4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January of each fiscal year for base salary for that year and for stock options to be granted in that year</w:t>
      </w:r>
    </w:p>
    <w:p>
      <w:pPr>
        <w:spacing w:after="0" w:line="118" w:lineRule="exact"/>
        <w:rPr>
          <w:sz w:val="20"/>
          <w:szCs w:val="20"/>
          <w:color w:val="auto"/>
        </w:rPr>
      </w:pPr>
    </w:p>
    <w:p>
      <w:pPr>
        <w:sectPr>
          <w:pgSz w:w="11900" w:h="16838" w:orient="portrait"/>
          <w:cols w:equalWidth="0" w:num="2">
            <w:col w:w="5460" w:space="720"/>
            <w:col w:w="5240"/>
          </w:cols>
          <w:pgMar w:left="240" w:top="280" w:right="239" w:bottom="1440" w:gutter="0" w:footer="0" w:header="0"/>
          <w:type w:val="continuous"/>
        </w:sectPr>
      </w:pPr>
    </w:p>
    <w:p>
      <w:pPr>
        <w:ind w:right="660" w:firstLine="228"/>
        <w:spacing w:after="0" w:line="306" w:lineRule="auto"/>
        <w:rPr>
          <w:sz w:val="20"/>
          <w:szCs w:val="20"/>
          <w:color w:val="auto"/>
        </w:rPr>
      </w:pPr>
      <w:r>
        <w:rPr>
          <w:rFonts w:ascii="Arial" w:cs="Arial" w:eastAsia="Arial" w:hAnsi="Arial"/>
          <w:sz w:val="16"/>
          <w:szCs w:val="16"/>
          <w:color w:val="auto"/>
        </w:rPr>
        <w:t>The Compensation Committee has also retained Towers Perrin as an independent consulting firm with respect to director compensation matters. The consultant reports to and acts at the direction of the Compensation Committee. The consultant prepares an analysis of competitive non-employee director compensation levels and market trends using the same peer groups as those used in the executive compensation review.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type w:val="continuous"/>
        </w:sectPr>
      </w:pPr>
    </w:p>
    <w:bookmarkStart w:id="12" w:name="page13"/>
    <w:bookmarkEnd w:id="12"/>
    <w:p>
      <w:pPr>
        <w:ind w:right="16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Nominating and Governance Committee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Governance Committee is comprised of six independent directors who meet the independence requirements of the NYSE’s listing standards.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Nominating and Governance Committee include the following:</w:t>
      </w:r>
    </w:p>
    <w:p>
      <w:pPr>
        <w:spacing w:after="0" w:line="9"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59" w:lineRule="exact"/>
        <w:rPr>
          <w:rFonts w:ascii="Arial" w:cs="Arial" w:eastAsia="Arial" w:hAnsi="Arial"/>
          <w:sz w:val="16"/>
          <w:szCs w:val="16"/>
          <w:color w:val="auto"/>
        </w:rPr>
      </w:pPr>
    </w:p>
    <w:p>
      <w:pPr>
        <w:ind w:left="780" w:right="2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ind w:left="780" w:right="1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8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59" w:lineRule="exact"/>
        <w:rPr>
          <w:rFonts w:ascii="Arial" w:cs="Arial" w:eastAsia="Arial" w:hAnsi="Arial"/>
          <w:sz w:val="16"/>
          <w:szCs w:val="16"/>
          <w:color w:val="auto"/>
        </w:rPr>
      </w:pPr>
    </w:p>
    <w:p>
      <w:pPr>
        <w:ind w:left="780" w:right="80" w:hanging="326"/>
        <w:spacing w:after="0" w:line="253"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30" w:lineRule="exact"/>
        <w:rPr>
          <w:sz w:val="20"/>
          <w:szCs w:val="20"/>
          <w:color w:val="auto"/>
        </w:rPr>
      </w:pPr>
    </w:p>
    <w:p>
      <w:pPr>
        <w:ind w:right="500" w:firstLine="228"/>
        <w:spacing w:after="0" w:line="259"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Finance Committee</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ind w:left="5620" w:right="1980" w:hanging="5166"/>
        <w:spacing w:after="0" w:line="464"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 10</w:t>
      </w:r>
    </w:p>
    <w:p>
      <w:pPr>
        <w:sectPr>
          <w:pgSz w:w="11900" w:h="16838" w:orient="portrait"/>
          <w:cols w:equalWidth="0" w:num="1">
            <w:col w:w="11380"/>
          </w:cols>
          <w:pgMar w:left="240" w:top="280" w:right="279" w:bottom="1440" w:gutter="0" w:footer="0" w:header="0"/>
        </w:sectPr>
      </w:pPr>
    </w:p>
    <w:bookmarkStart w:id="13" w:name="page14"/>
    <w:bookmarkEnd w:id="13"/>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the actual and projected financial situation and capital needs of the Company as needed, regarding:</w:t>
      </w:r>
    </w:p>
    <w:p>
      <w:pPr>
        <w:spacing w:after="0" w:line="36" w:lineRule="exact"/>
        <w:rPr>
          <w:rFonts w:ascii="Arial" w:cs="Arial" w:eastAsia="Arial" w:hAnsi="Arial"/>
          <w:sz w:val="18"/>
          <w:szCs w:val="18"/>
          <w:color w:val="auto"/>
        </w:rPr>
      </w:pPr>
    </w:p>
    <w:p>
      <w:pPr>
        <w:ind w:left="1480" w:right="760" w:hanging="446"/>
        <w:spacing w:after="0" w:line="25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36"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29" w:lineRule="exact"/>
        <w:rPr>
          <w:rFonts w:ascii="Arial" w:cs="Arial" w:eastAsia="Arial" w:hAnsi="Arial"/>
          <w:sz w:val="18"/>
          <w:szCs w:val="18"/>
          <w:color w:val="auto"/>
        </w:rPr>
      </w:pPr>
    </w:p>
    <w:p>
      <w:pPr>
        <w:ind w:left="780" w:right="54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to review and approve any acquisitions covered by such delegation;</w:t>
      </w:r>
    </w:p>
    <w:p>
      <w:pPr>
        <w:ind w:left="780" w:right="10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Finance Committee operates pursuant to a written charter, which is available on the Company’s website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www.slb.com/content/about/finance_committee.asp?. Stockholders may also obtain a copy of the charter without charge by writing to the Secretary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at 5599 San Felipe, 17th Floor, Houston, Texas 77056.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Technology Committee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5"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ind w:left="240"/>
        <w:spacing w:after="0"/>
        <w:rPr>
          <w:sz w:val="20"/>
          <w:szCs w:val="20"/>
          <w:color w:val="auto"/>
        </w:rPr>
      </w:pPr>
      <w:r>
        <w:rPr>
          <w:rFonts w:ascii="Arial" w:cs="Arial" w:eastAsia="Arial" w:hAnsi="Arial"/>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www.slb.com/content/about/tech_committee.asp?. Stockholders may also obtain a copy of the charter without charge by writing to the Secretary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has presided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in care of the Secretary, Schlumberger Limited, 5599 San Felipe, 17th Floor, Houston, Texas 77056. All such communications will be forwarded to the Board member or members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2008, no directors attended the Annual General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Policies and Procedures for Approval of Related Person Transactions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Copies of Schlumberger’s Corporate Governance Guidelines and Schlumberger’s Code of Ethics are available at the Company’s corporate governance website located at www.slb.com/content/about/corpgovernance.asp?. Stockholders may also obtain copies of Schlumberger’s Corporate Governance Guidelines and Schlumberger’s Code of Ethics without charge by writing to the Secretary of the Company at 5599 San Felipe, 17th Floor, Houston, Texas 77056.</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2008,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6"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the Public Company Oversight Board Rule 3526 (Communication with Audit Committees Concerning Independence), and the Committee discussed PricewaterhouseCoopers LLP’s independence with them.</w:t>
      </w:r>
    </w:p>
    <w:p>
      <w:pPr>
        <w:spacing w:after="0" w:line="1"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Based on the foregoing review and discussion, and relying on the expected representation of Company management and the expected independent registered public accounting firm’s report to the Audit Committee, the Audit Committee recommended that the Board include the financial statements in the Company’s Annual Report on Form 10-K for the year ended December 31, 2008 filed with the SEC.</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00"/>
          </w:cols>
          <w:pgMar w:left="240" w:top="274" w:right="35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1" w:lineRule="exact"/>
        <w:rPr>
          <w:sz w:val="20"/>
          <w:szCs w:val="20"/>
          <w:color w:val="auto"/>
        </w:rPr>
      </w:pPr>
    </w:p>
    <w:p>
      <w:pPr>
        <w:sectPr>
          <w:pgSz w:w="11900" w:h="16838" w:orient="portrait"/>
          <w:cols w:equalWidth="0" w:num="2">
            <w:col w:w="5260" w:space="720"/>
            <w:col w:w="5320"/>
          </w:cols>
          <w:pgMar w:left="240" w:top="274"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00"/>
          </w:cols>
          <w:pgMar w:left="240" w:top="274" w:right="3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6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following Compensation Discussion and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selects these elements; and how the Compensation Committee determines the relative size of each element of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Schlumberger’s longstanding compensation philosophy is to compensate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is a key principle at Schlumberger, and all executive officers, including the named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general, the same compensation philosophy is applied to all levels of exempt employees (usually employees in professional-level jobs), including the named executive officers. While the amounts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 compensation programs have been designed to ensure that the higher an executive’s position in the Company, the larger the proportion of compensation at risk and subject to performance criteria aligned with creating return for stockholders. Named executive officers receive a greater percentage of their compensation through at-risk pay tied to Company performance than other executives.</w:t>
      </w:r>
    </w:p>
    <w:p>
      <w:pPr>
        <w:spacing w:after="0" w:line="4" w:lineRule="exact"/>
        <w:rPr>
          <w:sz w:val="20"/>
          <w:szCs w:val="20"/>
          <w:color w:val="auto"/>
        </w:rPr>
      </w:pPr>
    </w:p>
    <w:p>
      <w:pPr>
        <w:ind w:right="280" w:firstLine="456"/>
        <w:spacing w:after="0" w:line="250" w:lineRule="auto"/>
        <w:rPr>
          <w:sz w:val="20"/>
          <w:szCs w:val="20"/>
          <w:color w:val="auto"/>
        </w:rPr>
      </w:pPr>
      <w:r>
        <w:rPr>
          <w:rFonts w:ascii="Arial" w:cs="Arial" w:eastAsia="Arial" w:hAnsi="Arial"/>
          <w:sz w:val="18"/>
          <w:szCs w:val="18"/>
          <w:color w:val="auto"/>
        </w:rPr>
        <w:t>Employees globally (including named executive officers) are included in an annual objectives-setting process and review, and their performance against these objectives determines the compensation they receive. Other factors affecting compensation include:</w:t>
      </w:r>
    </w:p>
    <w:p>
      <w:pPr>
        <w:spacing w:after="0" w:line="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36" w:lineRule="exact"/>
        <w:rPr>
          <w:rFonts w:ascii="Arial" w:cs="Arial" w:eastAsia="Arial" w:hAnsi="Arial"/>
          <w:sz w:val="18"/>
          <w:szCs w:val="18"/>
          <w:color w:val="auto"/>
        </w:rPr>
      </w:pPr>
    </w:p>
    <w:p>
      <w:pPr>
        <w:ind w:left="780" w:right="40" w:hanging="326"/>
        <w:spacing w:after="0" w:line="286"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the oil services, exploration and production, refining and pipeline industries and with other selected companies of comparable size and scope, known as the “comparator” or “peer” groups; and</w:t>
      </w: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leadership, management and technical expertise, performance history, complexity of the position and responsibilities, growth potential, reporting</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structure and internal pay equity.</w:t>
      </w:r>
    </w:p>
    <w:p>
      <w:pPr>
        <w:spacing w:after="0" w:line="9"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line with this philosophy, named executive officers receive minimal perquisites and have no employment agreements, “golden parachutes” or change in control agreements. In the event of a change in control, the only compensation and benefits changes for all employees are full vesting in any unexercised stock options and restricted stock units and full vesting in any account balance under the supplemental retirement savings plan. Change in control with regard to stock options is described more fully under the section “Change in Control” in the narrative following the Nonqualified Deferred Compensation table. Although Schlumberger’s stock plans provide that any restricted stock or restricted stock units (“RSUs”) granted to executive officers must be performance-based, it has not been Schlumberger’s practice to award RSUs to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Goals of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5" w:lineRule="exact"/>
        <w:rPr>
          <w:sz w:val="20"/>
          <w:szCs w:val="20"/>
          <w:color w:val="auto"/>
        </w:rPr>
      </w:pPr>
    </w:p>
    <w:p>
      <w:pPr>
        <w:ind w:left="780" w:right="320" w:hanging="326"/>
        <w:spacing w:after="0" w:line="261"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780" w:right="320" w:hanging="326"/>
        <w:spacing w:after="0" w:line="25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cash incentive and stock option awards should reflect progress toward Company-wide financial and personal objectives and should balance rewards for short-term and long-term performance;</w:t>
      </w:r>
    </w:p>
    <w:p>
      <w:pPr>
        <w:ind w:left="780" w:right="60" w:hanging="326"/>
        <w:spacing w:after="0" w:line="250"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other stockholders; and</w:t>
      </w: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overall executive compensation package should enable Schlumberger to attract, motivate and retain talented executive officers.</w:t>
      </w:r>
    </w:p>
    <w:p>
      <w:pPr>
        <w:spacing w:after="0" w:line="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the compensation of executive officer jobs at or around the median of the market for a comparable position. This means that the package remains competitive enough to attract and retain top talent but does not over-reward average performance. Compensation is set between the 50th and 75th percentiles or higher for exceptional business performance, for key skills in critical demand, and for positions that are of high internal value. In exceptional circumstances, the Company pays above the 75th percentile for performance that significantly exceeds the Company’s and the individual’s goals for purposes of motivation, reward and retention.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2008 Summary</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a decrease in profitability in the fourth quarter of 2008 due to the global financial crisis, reduced exploration &amp; production budgets and lower spending by customers, as well as the more difficult business outlook for 2009, base salaries for the named executive officers were frozen for 2009, pay-out for the financial part of their 2008 annual cash incentive was zero, and the value of the 2009 stock option grants awarded to them was reduced by approximately 20% in comparison with their 2008 grants.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Schlumberger executive compensation program is managed by the Compensation Committee. The specific duties and responsibilities of the Compensation Committee are described in this proxy statement under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83"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Compensation Committee has engaged the independent consulting firm of Towers Perrin with respect to executive compensation matters. Towers Perrin does no other work for Schlumberger. For more information on this engagement, see “Corporate Governance—Board Committees—Compensation Committee” above.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executive compensation program consists of three primary elements:</w:t>
      </w:r>
    </w:p>
    <w:p>
      <w:pPr>
        <w:spacing w:after="0" w:line="15"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equity incentives (only stock option awards for executive officers).</w:t>
      </w:r>
    </w:p>
    <w:p>
      <w:pPr>
        <w:spacing w:after="0" w:line="36"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These elements allow the Company to remain competitive in attracting and retaining executive talent, and to motivate executives with current and potential future financial rewards. At the same time, this relatively simple compensation plan can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Relative Size of Direct Compensation Elements</w:t>
      </w:r>
    </w:p>
    <w:p>
      <w:pPr>
        <w:spacing w:after="0" w:line="77"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the form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 w:lineRule="exact"/>
        <w:rPr>
          <w:sz w:val="20"/>
          <w:szCs w:val="20"/>
          <w:color w:val="auto"/>
        </w:rPr>
      </w:pPr>
    </w:p>
    <w:p>
      <w:pPr>
        <w:ind w:right="120" w:firstLine="228"/>
        <w:spacing w:after="0" w:line="302" w:lineRule="auto"/>
        <w:rPr>
          <w:sz w:val="20"/>
          <w:szCs w:val="20"/>
          <w:color w:val="auto"/>
        </w:rPr>
      </w:pPr>
      <w:r>
        <w:rPr>
          <w:rFonts w:ascii="Arial" w:cs="Arial" w:eastAsia="Arial" w:hAnsi="Arial"/>
          <w:sz w:val="16"/>
          <w:szCs w:val="16"/>
          <w:color w:val="auto"/>
        </w:rPr>
        <w:t>The pie charts below show the average percentage of 2008 base salary, cash incentive and long-term equity incentive (LTI) award for the named executive officer positions in comparison with the two external peer groups described below, and indicate that Schlumberger’s current pay mix is very close to that of both peer groups. This table is based on compensation data as it appears in the consultant’s September 2008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137150" cy="1003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Committee relies on its own judgment in making compensation decisions for the named executive officers after reviewing the size and mix of the compensation elements for executive officers against those of companies in the comparator groups. The size and mix of each element in total direct compensation is based on:</w:t>
      </w: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market practice;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36"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The level of incentive compensation typically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ind w:right="380" w:firstLine="228"/>
        <w:spacing w:after="0" w:line="30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otherwise adjust the total compensation to best fit an executive officer’s specific circumstances. For example, the Committee may award more cash and not award a stock option grant to an executive officer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 grants does not adequately reflect the executive’s current position with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Towers Perrin. The surveys are based on criteria established and provided by the Committee, which include:</w:t>
      </w: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36" w:lineRule="exact"/>
        <w:rPr>
          <w:sz w:val="20"/>
          <w:szCs w:val="20"/>
          <w:color w:val="auto"/>
        </w:rPr>
      </w:pPr>
    </w:p>
    <w:p>
      <w:pPr>
        <w:ind w:right="260" w:firstLine="228"/>
        <w:spacing w:after="0" w:line="286" w:lineRule="auto"/>
        <w:rPr>
          <w:sz w:val="20"/>
          <w:szCs w:val="20"/>
          <w:color w:val="auto"/>
        </w:rPr>
      </w:pPr>
      <w:r>
        <w:rPr>
          <w:rFonts w:ascii="Arial" w:cs="Arial" w:eastAsia="Arial" w:hAnsi="Arial"/>
          <w:sz w:val="16"/>
          <w:szCs w:val="16"/>
          <w:color w:val="auto"/>
        </w:rPr>
        <w:t>To prepare for the compensation analysis, the Company’s human resources function works with the executive compensation consultants to match Company positions and responsibilities against survey positions and responsibilities and to compile the annual compensation data for each executive officer.</w:t>
      </w:r>
    </w:p>
    <w:p>
      <w:pPr>
        <w:ind w:right="40" w:firstLine="228"/>
        <w:spacing w:after="0" w:line="300" w:lineRule="auto"/>
        <w:rPr>
          <w:sz w:val="20"/>
          <w:szCs w:val="20"/>
          <w:color w:val="auto"/>
        </w:rPr>
      </w:pPr>
      <w:r>
        <w:rPr>
          <w:rFonts w:ascii="Arial" w:cs="Arial" w:eastAsia="Arial" w:hAnsi="Arial"/>
          <w:sz w:val="15"/>
          <w:szCs w:val="15"/>
          <w:color w:val="auto"/>
        </w:rPr>
        <w:t>While the comparator market data provide guidance in making decisions on executive compensation, the Compensation Committee does not set compensation based on market data alone. The Committee also considers the value of an executive officer’s position to the Company and the market demand for those skills.</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Two peer groups are used for the compensation analysis. The first peer group currently comprises 30 companies in the oil services, exploration and production, refining and pipeline industries, including 10 direct competitors in the oilfield services industry, all of which are part of Value Line’s Oilfield Services Industry Group. Nine international energy and energy-related companies that also meet the established criteria are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the oilfield services industry, the addition of the exploration &amp; production companies provides a more complete comparator group.</w:t>
      </w:r>
    </w:p>
    <w:p>
      <w:pPr>
        <w:spacing w:after="0" w:line="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Because the revenue of these companies varies significantly, Towers Perrin uses regression analysis to adjust the data and make it possible to include both larger and smaller companies in the peer group. Regression analysis is a statistical tool for examining the relationship between two or more variables, in this case, compensation and company scope as measured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115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145"/>
        </w:trPr>
        <w:tc>
          <w:tcPr>
            <w:tcW w:w="1980" w:type="dxa"/>
            <w:vAlign w:val="bottom"/>
            <w:tcBorders>
              <w:top w:val="single" w:sz="8" w:color="auto"/>
              <w:left w:val="single" w:sz="8" w:color="auto"/>
              <w:bottom w:val="single" w:sz="8" w:color="auto"/>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Anadarko Petroleum</w:t>
            </w:r>
          </w:p>
        </w:tc>
        <w:tc>
          <w:tcPr>
            <w:tcW w:w="2420" w:type="dxa"/>
            <w:vAlign w:val="bottom"/>
            <w:tcBorders>
              <w:top w:val="single" w:sz="8" w:color="auto"/>
              <w:bottom w:val="single" w:sz="8" w:color="auto"/>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Baker Hughes</w:t>
            </w:r>
          </w:p>
        </w:tc>
        <w:tc>
          <w:tcPr>
            <w:tcW w:w="238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BG Group</w:t>
            </w:r>
          </w:p>
        </w:tc>
        <w:tc>
          <w:tcPr>
            <w:tcW w:w="240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BHP Billiton</w:t>
            </w:r>
          </w:p>
        </w:tc>
        <w:tc>
          <w:tcPr>
            <w:tcW w:w="224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BJ Services</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BP</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Cameron International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Canadian Natural Resources</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Chevron</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CITGO</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ConocoPhillips</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ENI, SPA</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Exxon Mobil</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Halliburton</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Hess</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Marathon Oil</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Murphy Oil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Nabors Industries</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Noble</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Occidental Petroleum</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Parker Drilling</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Repsol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Royal Dutch Shell</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Smith International</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Sunoco</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Statoil Hydro</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Transocean</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Valero</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Weatherford</w:t>
            </w:r>
          </w:p>
        </w:tc>
      </w:tr>
    </w:tbl>
    <w:p>
      <w:pPr>
        <w:spacing w:after="0" w:line="140"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 The second group is also particularly relevant for staff positions.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jc w:val="both"/>
        <w:ind w:right="20" w:firstLine="228"/>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2007, the general industry peer group included 50 companies with revenues from $10-$30 billion and a median revenue of $17.7 billion. As Schlumberger’s total revenue for 2007 grew to $23.3 billion, the Compensation Committee decided that it was appropriate in 2008 to alter the revenue range to include companies with revenues from $15-$40 billion, of which there were 38. The median revenue of this revised group was $23.3 billion. Prior to the change, Schlumberger’s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revenue ranked at approximately the 79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group, which was considered high in the range. After the change, Schlumberger was placed at</w:t>
      </w:r>
    </w:p>
    <w:p>
      <w:pPr>
        <w:spacing w:after="0" w:line="14" w:lineRule="exact"/>
        <w:rPr>
          <w:sz w:val="20"/>
          <w:szCs w:val="20"/>
          <w:color w:val="auto"/>
        </w:rPr>
      </w:pPr>
    </w:p>
    <w:p>
      <w:pPr>
        <w:ind w:right="300"/>
        <w:spacing w:after="0" w:line="220" w:lineRule="auto"/>
        <w:rPr>
          <w:sz w:val="20"/>
          <w:szCs w:val="20"/>
          <w:color w:val="auto"/>
        </w:rPr>
      </w:pPr>
      <w:r>
        <w:rPr>
          <w:rFonts w:ascii="Arial" w:cs="Arial" w:eastAsia="Arial" w:hAnsi="Arial"/>
          <w:sz w:val="18"/>
          <w:szCs w:val="18"/>
          <w:color w:val="auto"/>
        </w:rPr>
        <w:t>approximately the 62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percentile in terms of revenue, which was considered to be a better position in the range.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03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$15B to $40B sales with technical and global focus</w:t>
      </w:r>
    </w:p>
    <w:tbl>
      <w:tblPr>
        <w:tblLayout w:type="fixed"/>
        <w:tblInd w:w="0" w:type="dxa"/>
        <w:tblCellMar>
          <w:top w:w="0" w:type="dxa"/>
          <w:left w:w="0" w:type="dxa"/>
          <w:bottom w:w="0" w:type="dxa"/>
          <w:right w:w="0" w:type="dxa"/>
        </w:tblCellMar>
      </w:tblPr>
      <w:tr>
        <w:trPr>
          <w:trHeight w:val="142"/>
        </w:trPr>
        <w:tc>
          <w:tcPr>
            <w:tcW w:w="1980" w:type="dxa"/>
            <w:vAlign w:val="bottom"/>
            <w:tcBorders>
              <w:top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3M</w:t>
            </w:r>
          </w:p>
        </w:tc>
        <w:tc>
          <w:tcPr>
            <w:tcW w:w="2400" w:type="dxa"/>
            <w:vAlign w:val="bottom"/>
            <w:tcBorders>
              <w:top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Abbot Laboratories</w:t>
            </w:r>
          </w:p>
        </w:tc>
        <w:tc>
          <w:tcPr>
            <w:tcW w:w="2400" w:type="dxa"/>
            <w:vAlign w:val="bottom"/>
            <w:tcBorders>
              <w:top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Accenture</w:t>
            </w:r>
          </w:p>
        </w:tc>
        <w:tc>
          <w:tcPr>
            <w:tcW w:w="2380" w:type="dxa"/>
            <w:vAlign w:val="bottom"/>
            <w:tcBorders>
              <w:top w:val="single" w:sz="8" w:color="auto"/>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Alcatel-Lucent</w:t>
            </w:r>
          </w:p>
        </w:tc>
        <w:tc>
          <w:tcPr>
            <w:tcW w:w="22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Alcoa</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Apple</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BAE Systems</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Bayer</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Bristol-Myers Squibb</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Canon</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Cisco Systems</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DuPont</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EDS</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Eli Lilly</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Emerson Electric</w:t>
            </w:r>
          </w:p>
        </w:tc>
      </w:tr>
      <w:tr>
        <w:trPr>
          <w:trHeight w:val="131"/>
        </w:trPr>
        <w:tc>
          <w:tcPr>
            <w:tcW w:w="1980" w:type="dxa"/>
            <w:vAlign w:val="bottom"/>
            <w:tcBorders>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Freeport-McMoran</w:t>
            </w:r>
          </w:p>
        </w:tc>
        <w:tc>
          <w:tcPr>
            <w:tcW w:w="2400" w:type="dxa"/>
            <w:vAlign w:val="bottom"/>
            <w:tcBorders>
              <w:right w:val="single" w:sz="8" w:color="auto"/>
            </w:tcBorders>
          </w:tcPr>
          <w:p>
            <w:pPr>
              <w:ind w:left="100"/>
              <w:spacing w:after="0" w:line="131" w:lineRule="exact"/>
              <w:rPr>
                <w:sz w:val="20"/>
                <w:szCs w:val="20"/>
                <w:color w:val="auto"/>
              </w:rPr>
            </w:pPr>
            <w:r>
              <w:rPr>
                <w:rFonts w:ascii="Arial" w:cs="Arial" w:eastAsia="Arial" w:hAnsi="Arial"/>
                <w:sz w:val="14"/>
                <w:szCs w:val="14"/>
                <w:color w:val="auto"/>
              </w:rPr>
              <w:t>Goodyear Tire &amp; Rubber</w:t>
            </w:r>
          </w:p>
        </w:tc>
        <w:tc>
          <w:tcPr>
            <w:tcW w:w="2400" w:type="dxa"/>
            <w:vAlign w:val="bottom"/>
            <w:tcBorders>
              <w:right w:val="single" w:sz="8" w:color="auto"/>
            </w:tcBorders>
          </w:tcPr>
          <w:p>
            <w:pPr>
              <w:ind w:left="100"/>
              <w:spacing w:after="0" w:line="131" w:lineRule="exact"/>
              <w:rPr>
                <w:sz w:val="20"/>
                <w:szCs w:val="20"/>
                <w:color w:val="auto"/>
              </w:rPr>
            </w:pPr>
            <w:r>
              <w:rPr>
                <w:rFonts w:ascii="Arial" w:cs="Arial" w:eastAsia="Arial" w:hAnsi="Arial"/>
                <w:sz w:val="14"/>
                <w:szCs w:val="14"/>
                <w:color w:val="auto"/>
              </w:rPr>
              <w:t>Henkel</w:t>
            </w:r>
          </w:p>
        </w:tc>
        <w:tc>
          <w:tcPr>
            <w:tcW w:w="238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Honeywell</w:t>
            </w:r>
          </w:p>
        </w:tc>
        <w:tc>
          <w:tcPr>
            <w:tcW w:w="2260" w:type="dxa"/>
            <w:vAlign w:val="bottom"/>
          </w:tcPr>
          <w:p>
            <w:pPr>
              <w:ind w:left="100"/>
              <w:spacing w:after="0" w:line="131" w:lineRule="exact"/>
              <w:rPr>
                <w:sz w:val="20"/>
                <w:szCs w:val="20"/>
                <w:color w:val="auto"/>
              </w:rPr>
            </w:pPr>
            <w:r>
              <w:rPr>
                <w:rFonts w:ascii="Arial" w:cs="Arial" w:eastAsia="Arial" w:hAnsi="Arial"/>
                <w:sz w:val="14"/>
                <w:szCs w:val="14"/>
                <w:color w:val="auto"/>
              </w:rPr>
              <w:t>Intel</w:t>
            </w:r>
          </w:p>
        </w:tc>
      </w:tr>
      <w:tr>
        <w:trPr>
          <w:trHeight w:val="173"/>
        </w:trPr>
        <w:tc>
          <w:tcPr>
            <w:tcW w:w="1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Copper &amp; Gold</w:t>
            </w:r>
          </w:p>
        </w:tc>
        <w:tc>
          <w:tcPr>
            <w:tcW w:w="240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142"/>
        </w:trPr>
        <w:tc>
          <w:tcPr>
            <w:tcW w:w="1980" w:type="dxa"/>
            <w:vAlign w:val="bottom"/>
            <w:tcBorders>
              <w:bottom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International Paper</w:t>
            </w:r>
          </w:p>
        </w:tc>
        <w:tc>
          <w:tcPr>
            <w:tcW w:w="240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Kimberly-Clark</w:t>
            </w:r>
          </w:p>
        </w:tc>
        <w:tc>
          <w:tcPr>
            <w:tcW w:w="240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Phillips Electronics</w:t>
            </w:r>
          </w:p>
        </w:tc>
        <w:tc>
          <w:tcPr>
            <w:tcW w:w="2380" w:type="dxa"/>
            <w:vAlign w:val="bottom"/>
            <w:tcBorders>
              <w:bottom w:val="single" w:sz="8" w:color="auto"/>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Lenovo</w:t>
            </w:r>
          </w:p>
        </w:tc>
        <w:tc>
          <w:tcPr>
            <w:tcW w:w="226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4"/>
                <w:szCs w:val="14"/>
                <w:color w:val="auto"/>
              </w:rPr>
              <w:t>Merck</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Motorola</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NIKE</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Novartis</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Oracle</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Rio Tinto</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SCA</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Schneider Electric</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Tech Data</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Unilever</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US Steel</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Whirlpool</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Wyeth</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Xerox</w:t>
            </w:r>
          </w:p>
        </w:tc>
        <w:tc>
          <w:tcPr>
            <w:tcW w:w="238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r>
    </w:tbl>
    <w:p>
      <w:pPr>
        <w:spacing w:after="0" w:line="140"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Apart from the change to the general industry revenue range, the Compensation Committee decided to retain the same peer group criteria as in the previous year in order to provide a stable basis for comparison. Even if the peer group criteria do not change, the companies included in these peer groups may vary from year to year depending on companies’ participation in salary surveys and the quality of available compensation data.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Internal Pay Equity</w:t>
      </w:r>
    </w:p>
    <w:p>
      <w:pPr>
        <w:spacing w:after="0" w:line="8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 review of internal pay equity was carried out and was discussed by the Compensation Committee at its October 2008 meeting. The Committee reviewed the CEO position in relation to the other named executive officers positions and concluded that in view of the breadth and complexity of the position, its impact on Company performance in comparison with the other named executive officer positions, and the extensive experience of the CEO, internal pay differences were equitable.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Pay-for-Performance</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2008, the Compensation Committee completed a review of the 2008 compensation elements of executive officers, including the named executive officers, in comparison with both peer groups. In order to specifically focus on pay-for-performance, the Committee reviewed the average percentage of annual incentive paid to Schlumberger’s executive officers in 2008 for 2007 performance as a percentage of their target incentive, in comparison with the percentage of Schlumberger’s 2007 revenue and net income growth. The Committee then compared Schlumberger’s data to similar data for oil industry peer group companies as provided by Towers Perrin. In making this comparison, the Compensation Committee reviewed the position of Schlumberger’s CEO against other CEOs in the oil industry peer group. It then separately reviewed all other executive officers including the named executive officers against other executive officers in the oil industry peer group. As a result of this review, the Compensation Committee concluded that Schlumberger’s pay practices were aligned with its pay-for-performance philosophy.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Base salary is the fixed portion of an executive’s annual cash compensation. The fact that base salary is fixed means that the executive officer has some stability of income when the other compensation elements are variable and not guaranteed. On appointment to an executive officer position, the base salary is set at a level competitive with base salaries in the two peer groups and takes into account factors such as the performance, experience and long-term potential of the individual</w:t>
      </w:r>
    </w:p>
    <w:p>
      <w:pPr>
        <w:spacing w:after="0" w:line="1" w:lineRule="exact"/>
        <w:rPr>
          <w:sz w:val="20"/>
          <w:szCs w:val="20"/>
          <w:color w:val="auto"/>
        </w:rPr>
      </w:pPr>
    </w:p>
    <w:p>
      <w:pPr>
        <w:ind w:right="400"/>
        <w:spacing w:after="0" w:line="221" w:lineRule="auto"/>
        <w:rPr>
          <w:sz w:val="20"/>
          <w:szCs w:val="20"/>
          <w:color w:val="auto"/>
        </w:rPr>
      </w:pPr>
      <w:r>
        <w:rPr>
          <w:rFonts w:ascii="Arial" w:cs="Arial" w:eastAsia="Arial" w:hAnsi="Arial"/>
          <w:sz w:val="18"/>
          <w:szCs w:val="18"/>
          <w:color w:val="auto"/>
        </w:rPr>
        <w:t>as well as internal pay equity and Company performance. This means typically that base salary is set between the median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w:t>
      </w:r>
    </w:p>
    <w:p>
      <w:pPr>
        <w:spacing w:after="0" w:line="2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 salaries for each executive officer position are compared annually with similar jobs in both peer groups. A base salary change for an executive officer, except the Chief Executive Officer, is both recommended by the CEO and approved by the Compensation Committee according to:</w:t>
      </w: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performance against objectives.</w:t>
      </w:r>
    </w:p>
    <w:p>
      <w:pPr>
        <w:spacing w:after="0" w:line="36"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The base salary of the CEO is reviewed and recommended by the Compensation Committee in executive session for approval by the independent members of the Board of Directors based on the same criteria as above.</w:t>
      </w:r>
    </w:p>
    <w:p>
      <w:pPr>
        <w:ind w:firstLine="228"/>
        <w:spacing w:after="0" w:line="300" w:lineRule="auto"/>
        <w:rPr>
          <w:sz w:val="20"/>
          <w:szCs w:val="20"/>
          <w:color w:val="auto"/>
        </w:rPr>
      </w:pPr>
      <w:r>
        <w:rPr>
          <w:rFonts w:ascii="Arial" w:cs="Arial" w:eastAsia="Arial" w:hAnsi="Arial"/>
          <w:sz w:val="15"/>
          <w:szCs w:val="15"/>
          <w:color w:val="auto"/>
        </w:rPr>
        <w:t>A base salary for an executive position is generally fixed for several years, which means that increases are usually more significant when they occur. Less frequent changes of base salary also put more emphasis on the at-risk, or variable, portion of compensation, namely annual cash incentive and stock options. If business or individual performance is below target, the Compensation Committee has the discretion to award no base salary increase as is described further below.</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Compensation Committee may, on occasion, adjust an executive officer’s base salary during the year when the executive officer is promoted or if there is a significant change in his or her responsibilities. In this situation, the CEO (in the case of executive officers other than himself) and the Compensation Committee carefully consider new responsibilities, external pay practices, retention considerations and internal pay equity, as well as past performance and experience.</w:t>
      </w:r>
    </w:p>
    <w:p>
      <w:pPr>
        <w:spacing w:after="0" w:line="2"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There are occasions when a base salary may be reduced such as when an executive officer moves to a position of lesser responsibility in the organization. Alternatively, the base salary can be frozen for a number of years until it falls in line with comparable positions in the peer groups. This depends on individual situations.</w:t>
      </w:r>
    </w:p>
    <w:p>
      <w:pPr>
        <w:spacing w:after="0" w:line="1" w:lineRule="exact"/>
        <w:rPr>
          <w:sz w:val="20"/>
          <w:szCs w:val="20"/>
          <w:color w:val="auto"/>
        </w:rPr>
      </w:pPr>
    </w:p>
    <w:p>
      <w:pPr>
        <w:ind w:right="20" w:firstLine="228"/>
        <w:spacing w:after="0" w:line="289" w:lineRule="auto"/>
        <w:rPr>
          <w:sz w:val="20"/>
          <w:szCs w:val="20"/>
          <w:color w:val="auto"/>
        </w:rPr>
      </w:pPr>
      <w:r>
        <w:rPr>
          <w:rFonts w:ascii="Arial" w:cs="Arial" w:eastAsia="Arial" w:hAnsi="Arial"/>
          <w:sz w:val="15"/>
          <w:szCs w:val="15"/>
          <w:color w:val="auto"/>
        </w:rPr>
        <w:t>As explained in “2008 Summary” above in this CD&amp;A, the Compensation Committee decided in January 2009 that due to the difficult global business and Company specific operating conditions, it was not appropriate to award the named executive officers base salary increases for 2009. Prior to making this decision, the Compensation Committee reviewed, in October 2008, each of the compensation elements of the named executive officers as well as their total direct compensation against the corresponding benchmark positions of the oil industry and the general industry peer groups. The Committee decided that in view of</w:t>
      </w:r>
    </w:p>
    <w:p>
      <w:pPr>
        <w:ind w:right="20"/>
        <w:spacing w:after="0" w:line="228" w:lineRule="auto"/>
        <w:rPr>
          <w:sz w:val="20"/>
          <w:szCs w:val="20"/>
          <w:color w:val="auto"/>
        </w:rPr>
      </w:pPr>
      <w:r>
        <w:rPr>
          <w:rFonts w:ascii="Arial" w:cs="Arial" w:eastAsia="Arial" w:hAnsi="Arial"/>
          <w:sz w:val="18"/>
          <w:szCs w:val="18"/>
          <w:color w:val="auto"/>
        </w:rPr>
        <w:t>decreased profitability for 2008, the uncertain outlook for 2009 and the fact that the base salaries for all named executive officers were above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 no base salary increases would be awarded to any of the named executive officers for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7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pays performance-based bonuses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to drive profitable long-term Company growth and value for the stockholders.</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The annual cash incentive for executive officers ranges from 0% to 60% to 0% to 100% of base salary, depending on the position. Half of the potential range is based on the satisfactory completion of personal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jc w:val="both"/>
        <w:ind w:right="3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objectives and the other half of the potential range is based on the achievement of Company financial objectives, which is described below in “2008 Annual Incentive”. The incentive is performance-based and is paid out in February according to the achievement of both personal and financial objectives during the previous fiscal year.</w:t>
      </w:r>
    </w:p>
    <w:p>
      <w:pPr>
        <w:ind w:firstLine="228"/>
        <w:spacing w:after="0" w:line="288" w:lineRule="auto"/>
        <w:rPr>
          <w:sz w:val="20"/>
          <w:szCs w:val="20"/>
          <w:color w:val="auto"/>
        </w:rPr>
      </w:pPr>
      <w:r>
        <w:rPr>
          <w:rFonts w:ascii="Arial" w:cs="Arial" w:eastAsia="Arial" w:hAnsi="Arial"/>
          <w:sz w:val="16"/>
          <w:szCs w:val="16"/>
          <w:color w:val="auto"/>
        </w:rPr>
        <w:t>The financial half of the incentive has an incremental financial element, which can double the payout on achievement of superior financial results. This enhanced incentive is only applied to operations and staff positions reporting to the CEO, to positions reporting to executive officers and to certain categories of operations and staff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actual level of the annual cash incentive award, which is approved by the Board. The CEO approves the personal objectives for the other executive officers, including the other named executive officers, and the Committee reviews and approves the results. The half of the incentive based on personal objectives has no incremental element.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2008 Annual Incentive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2008, the financial half of the annual cash incentive for all executive officers was based on earnings per share goals.</w:t>
      </w:r>
    </w:p>
    <w:p>
      <w:pPr>
        <w:spacing w:after="0" w:line="15" w:lineRule="exact"/>
        <w:rPr>
          <w:sz w:val="20"/>
          <w:szCs w:val="20"/>
          <w:color w:val="auto"/>
        </w:rPr>
      </w:pPr>
    </w:p>
    <w:p>
      <w:pPr>
        <w:ind w:right="140" w:firstLine="228"/>
        <w:spacing w:after="0" w:line="300" w:lineRule="auto"/>
        <w:rPr>
          <w:sz w:val="20"/>
          <w:szCs w:val="20"/>
          <w:color w:val="auto"/>
        </w:rPr>
      </w:pPr>
      <w:r>
        <w:rPr>
          <w:rFonts w:ascii="Arial" w:cs="Arial" w:eastAsia="Arial" w:hAnsi="Arial"/>
          <w:sz w:val="15"/>
          <w:szCs w:val="15"/>
          <w:color w:val="auto"/>
        </w:rPr>
        <w:t>Earnings per share (“EPS”) was selected as the most appropriate measure upon which to base the financial portion of the annual cash incentive because it is currently the metric that Schlumberger believes is most widely used by investors and analysts to evaluate the performance of Schlumberger. (The Compensation Committee has the discretion to decide whether to take into account the effect of unusual charges or gains on EPS depending on the nature of the item.)</w:t>
      </w:r>
    </w:p>
    <w:p>
      <w:pPr>
        <w:spacing w:after="0" w:line="1"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color w:val="auto"/>
        </w:rPr>
        <w:t>The process used to set these EPS targets starts with a review of plans and projections following bottom-up planning from the field which looks at factors including:</w:t>
      </w:r>
    </w:p>
    <w:p>
      <w:pPr>
        <w:spacing w:after="0" w:line="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activity growth as measured by the number of rigs;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exploration and production (E&amp;P) spending;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36"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Taking into account all of the above, together with Schlumberger’s leadership position in the oilfield services industry, management set aggressive EPS objectives for 2008, which were approved by the Compensation Committee, to exceed the average expected growth of the industry. These objectives provided the opportunity to increase the financial half of the incentive from 100% to 300% of the incentive potential for those eligible. No incentive would be paid if the minimum EPS target was not met.</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In order for 100% of the financial incentive to be paid in 2009 for goals set in early 2008, the EPS achieved had to be at least $4.80. An EPS of at least $4.96 was needed to achieve 200% of the financial incentive, and $5.16 was necessary to achieve the maximum 300% level. An EPS of at least $4.60 was needed to trigger an 80% financial incentive payment and below that no financial annual incentive would be paid. If the EPS result achieved was between two targets, then the financial incentive payment would be pro-rated.</w:t>
      </w:r>
    </w:p>
    <w:p>
      <w:pPr>
        <w:spacing w:after="0" w:line="2" w:lineRule="exact"/>
        <w:rPr>
          <w:sz w:val="20"/>
          <w:szCs w:val="20"/>
          <w:color w:val="auto"/>
        </w:rPr>
      </w:pPr>
    </w:p>
    <w:p>
      <w:pPr>
        <w:ind w:right="300" w:firstLine="228"/>
        <w:spacing w:after="0" w:line="323" w:lineRule="auto"/>
        <w:rPr>
          <w:sz w:val="20"/>
          <w:szCs w:val="20"/>
          <w:color w:val="auto"/>
        </w:rPr>
      </w:pPr>
      <w:r>
        <w:rPr>
          <w:rFonts w:ascii="Arial" w:cs="Arial" w:eastAsia="Arial" w:hAnsi="Arial"/>
          <w:sz w:val="16"/>
          <w:szCs w:val="16"/>
          <w:color w:val="auto"/>
        </w:rPr>
        <w:t>For 2008, EPS achieved was $4.42, resulting in zero incentive payment. This result was a consequence of the current difficult global economic conditions, which have reduced worldwide demand for energy, significantly lowered crude oil and natural gas prices and led to client curtailment of spending.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half of the incentive is related to personal objectives that are specific to each executive officer position and may relate to:</w:t>
      </w:r>
    </w:p>
    <w:p>
      <w:pPr>
        <w:spacing w:after="0" w:line="15"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2008, all of the named executive officers, with the exception of Mr. Ayat, had objectives regarding people. These included objectives on the retention of key populations, diversity, compensation management and the development of specific competencies. These were mostly achieved. The same named executive officers had objectives on strategic business development with regard to particular product offerings and geographic areas, which they completed to a significant extent. Messrs. Sbiti and Pai also had objectives on safety, which were partially achieved.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Messrs. Gould and Ayat had objectives relating to acquisitions, which were largely achieved, including the acquisition of Saxon Energy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Mr. Gould had objectives on business projects, which among other things, resulted in an alliance between Schlumberger and Gazprom.</w:t>
      </w:r>
    </w:p>
    <w:p>
      <w:pPr>
        <w:spacing w:after="0" w:line="3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Messrs. Gould and Sbiti had objectives relating to research, development and manufacturing, which covered a number of aspects including quality and geographic capability, and were partly achieved. Messrs. Sbiti and Pai had additional objectives on quality in field operations and cost management, which were mostly completed.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Ayat had additional objectives including currency management and a review of deferred benefit programs, which he achieved.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award for the personal half of the objectives was based on the specific results each named executive officer achieved.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Total Cash Compensation</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compensation comprises base salary and annual cash incentive. Typically the higher the job is in the management hierarchy, the smaller the base salary as a percentage of total compensation. In other words, the greater the job’s impact on Company results, the larger the variable portion of compensation as a percentage of total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2008 Annual Incentive as a Percentage of Base Salary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9"/>
        </w:trPr>
        <w:tc>
          <w:tcPr>
            <w:tcW w:w="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Financial</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Personal</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Half</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Half</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Half</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49"/>
        </w:trPr>
        <w:tc>
          <w:tcPr>
            <w:tcW w:w="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7"/>
              </w:rPr>
              <w:t>Total Incentive</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Base</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spacing w:after="0"/>
              <w:rPr>
                <w:sz w:val="15"/>
                <w:szCs w:val="15"/>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8"/>
              </w:rPr>
              <w:t>Range Eligibility</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Eligibility</w:t>
            </w: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Achieved</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Eligibility</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Achieved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r>
      <w:tr>
        <w:trPr>
          <w:trHeight w:val="95"/>
        </w:trPr>
        <w:tc>
          <w:tcPr>
            <w:tcW w:w="46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 Ayat</w:t>
            </w:r>
          </w:p>
        </w:tc>
        <w:tc>
          <w:tcPr>
            <w:tcW w:w="2680" w:type="dxa"/>
            <w:vAlign w:val="bottom"/>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 Boutte</w:t>
            </w:r>
          </w:p>
        </w:tc>
        <w:tc>
          <w:tcPr>
            <w:tcW w:w="2680" w:type="dxa"/>
            <w:vAlign w:val="bottom"/>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0-75</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37.5</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37.5</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363"/>
        </w:trPr>
        <w:tc>
          <w:tcPr>
            <w:tcW w:w="2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20" w:type="dxa"/>
            <w:vAlign w:val="bottom"/>
          </w:tcPr>
          <w:p>
            <w:pPr>
              <w:jc w:val="right"/>
              <w:ind w:right="912"/>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Stock options are a vital piece of the Company’s total compensation package and are designed to give high-value employees, including named executive officers, a longer-term stake in the Company, provide incentives for future performance, act as a long-term retention tool and align employee and stockholder interests. Schlumberger currently uses stock options as its sole long-term incentive for executive officers as it believes that they align employee incentives with stockholders interests. This is because options only have value if the stock price increases over time. Since a financial gain from stock options is possible only after the price of the common stock has increased, the Company believes that grants of stock options motivate executives and other employees towards behavior and activities that benefit all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 Granting Process</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Compensation Committee is responsible for option grants under Schlumberger’s stock option and incentive plans. The Committee approves a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of making stock option grant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5"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NYSE on the date of grant, which has been the practice for many years. The potential gain with any increase in stock price is the same as the stockholders’ gain.</w:t>
      </w:r>
    </w:p>
    <w:p>
      <w:pPr>
        <w:spacing w:after="0" w:line="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Stock options have five-year ratable vesting, except for those granted to employees in France, which have four-year cliff vesting (meaning that all of those options vest at a single point in time). 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financial and personal objectives and the desire to 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Factors in Understanding Schlumberger’s Use of Stock Options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5"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grants with a reload vehicle;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acceleration of vesting upon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Executive Stock Ownership Guidelines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800" w:type="dxa"/>
            <w:vAlign w:val="bottom"/>
          </w:tcPr>
          <w:p>
            <w:pPr>
              <w:spacing w:after="0"/>
              <w:rPr>
                <w:sz w:val="20"/>
                <w:szCs w:val="20"/>
                <w:color w:val="auto"/>
              </w:rPr>
            </w:pPr>
            <w:r>
              <w:rPr>
                <w:rFonts w:ascii="Arial" w:cs="Arial" w:eastAsia="Arial" w:hAnsi="Arial"/>
                <w:sz w:val="14"/>
                <w:szCs w:val="14"/>
                <w:b w:val="1"/>
                <w:bCs w:val="1"/>
                <w:color w:val="auto"/>
              </w:rPr>
              <w:t>Stock Ownership Guidelines</w:t>
            </w:r>
          </w:p>
        </w:tc>
      </w:tr>
      <w:tr>
        <w:trPr>
          <w:trHeight w:val="95"/>
        </w:trPr>
        <w:tc>
          <w:tcPr>
            <w:tcW w:w="4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8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28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34" w:lineRule="exact"/>
        <w:rPr>
          <w:sz w:val="20"/>
          <w:szCs w:val="20"/>
          <w:color w:val="auto"/>
        </w:rPr>
      </w:pPr>
    </w:p>
    <w:p>
      <w:pPr>
        <w:ind w:right="120" w:firstLine="228"/>
        <w:spacing w:after="0" w:line="284" w:lineRule="auto"/>
        <w:rPr>
          <w:sz w:val="20"/>
          <w:szCs w:val="20"/>
          <w:color w:val="auto"/>
        </w:rPr>
      </w:pPr>
      <w:r>
        <w:rPr>
          <w:rFonts w:ascii="Arial" w:cs="Arial" w:eastAsia="Arial" w:hAnsi="Arial"/>
          <w:sz w:val="16"/>
          <w:szCs w:val="16"/>
          <w:color w:val="auto"/>
        </w:rPr>
        <w:t>Each executive covered by the guidelines must hold in shares at least 30% of their entire gain on the stock option exercise for a period of six months. Those who do not meet the guidelines after the six-month period must continue to hold the shares until the guidelines are met. There is no specified timeline to achieve the guidelines, as many of the executives do not exercise their stock options until the later part of their option term.</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Granted to Executive Officers with Respect to 2008 Performance</w:t>
      </w:r>
    </w:p>
    <w:p>
      <w:pPr>
        <w:spacing w:after="0" w:line="7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Compensation Committee makes grants of stock options to reward prior performance but also to retain executive officers and provide incentives for future exceptional performance. The size of a stock option grant increases with the level of position, and for the CEO is typically the largest element of the total compensation package. In determining the number, if any, of stock options granted to executive officers, the Compensation Committee considers numerous factors, including:</w:t>
      </w:r>
    </w:p>
    <w:p>
      <w:pPr>
        <w:spacing w:after="0" w:line="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review of compensation for comparable positions in the comparator groups;</w:t>
      </w:r>
    </w:p>
    <w:p>
      <w:pPr>
        <w:spacing w:after="0" w:line="36"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30" w:lineRule="exact"/>
        <w:rPr>
          <w:sz w:val="20"/>
          <w:szCs w:val="20"/>
          <w:color w:val="auto"/>
        </w:rPr>
      </w:pPr>
    </w:p>
    <w:p>
      <w:pPr>
        <w:ind w:right="120" w:firstLine="228"/>
        <w:spacing w:after="0" w:line="251" w:lineRule="auto"/>
        <w:rPr>
          <w:sz w:val="20"/>
          <w:szCs w:val="20"/>
          <w:color w:val="auto"/>
        </w:rPr>
      </w:pPr>
      <w:r>
        <w:rPr>
          <w:rFonts w:ascii="Arial" w:cs="Arial" w:eastAsia="Arial" w:hAnsi="Arial"/>
          <w:sz w:val="18"/>
          <w:szCs w:val="18"/>
          <w:color w:val="auto"/>
        </w:rPr>
        <w:t>In January 2008, the Compensation Committee established a new stock option grant value methodology for Schlumberger executive officers, including the named executive officers. Since then, grant values have been determined on a fair value basis using the Black-Scholes formula, taking into account the two peer group surveys. Prior to this, grant sizes were determined based on the number of stock options awarded in relation to previous grant sizes, internal equity comparisons between named executive officers, both Company and individual officer performance, and other factors described above. The Compensation Committee decided that by changing from a grant size to a grant value methodology, it would be better able to achieve its intended compensation goals by allowing it to more effectively address changes in the value of the stock option component of the compensation package due to stock price movement and to ensure market competitiveness.</w:t>
      </w:r>
    </w:p>
    <w:p>
      <w:pPr>
        <w:spacing w:after="0" w:line="4"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In determining the values for the 2009 stock option grants to named executive officers, the Compensation Committee first took into consideration the factors listed immediately above, giving particular weight to the overall strong performance of the Company and of each named executive officer in 2008. In particular, the Compensation Committee considered that despite the very difficult operating environment in late 2008, Schlumberger’s leadership was able to deliver more than $27 billion in revenue during the year, an increase over 2007 revenue, and earnings per share of $4.42, another increase over 2007. As a result, the Compensation Committee felt that it was appropriate to use the stock option grant values for options granted in January 2008 as guidance for setting the values of the 2009 LTI awards.</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While the Compensation Committee would normally also take into account the Towers Perrin comparator group LTI data, due to the severe market conditions, the Compensation Committee decided that the survey information collected earlier in 2008 with respect to LTI awards was no longer current. In light of the rapidly changing and deteriorating economic conditions, the Compensation Committee in December 2008 requested Towers Perrin to provide market information about the likely compensation decisions to be made by companies in the difficult economic environment. Towers Perrin then delivered to the Compensation Committee the results of its polls of companies in both the general industry and oil industry sectors, conducted in December 2008 and early January 2009. The polls revealed that many of the companies were considering lowering their LTI value for awards in 2009, with an average reduction of approximately 20%. The Compensation Committee also considered Schlumberger’s lower-than-expected growth and profitability in the fourth quarter of 2008, the significant fall in Schlumberger’s share price and an uncertain business outlook for 2009 due to extraordinarily difficult business conditions. Based on these considerations, and in spite of the Company’s overall strong operational performance in 2008, the Compensation Committee decided to reduce by 20 percent the stock option grant values in January 2009 relative to the target stock option award values established in January 2008. Mr. Boutte was the only exception to this and his reduction in LTI value was more than 20%.</w:t>
      </w:r>
    </w:p>
    <w:p>
      <w:pPr>
        <w:spacing w:after="0" w:line="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following table sets forth both the approximate fair value of these stock option grants to the named executive officers on January 22, 2009 and the number of shares granted with respect to each named executive officer’s performance in 2008. The methodology used to convert the dollar value to shares is based on the Black-Scholes value of the grant price.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Stock Option Grants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Value of Grant</w:t>
            </w:r>
          </w:p>
        </w:tc>
        <w:tc>
          <w:tcPr>
            <w:tcW w:w="1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Shares Granted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3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8,800,000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3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1,600,000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3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3,200,000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3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900,000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3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1,088,000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20" w:type="dxa"/>
            <w:vAlign w:val="bottom"/>
          </w:tcPr>
          <w:p>
            <w:pPr>
              <w:jc w:val="right"/>
              <w:ind w:right="812"/>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Recoupment of Performance-based Bonuses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bonuses in the event of specified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7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In line with Schlumberger’s aim to provide careers and to promote retention, retirement plans are provided, where possible, for all employees, including named executive officers, according to local market practice.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6"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00" w:firstLine="228"/>
        <w:spacing w:after="0" w:line="331"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Practices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Schlumberger seeks to provide benefit plans, such as medical coverage and life and disability insurance, on a country basis in line with market conditions. Where the local practice is considered to be less than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No Employment Agreements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Many companies use employment contracts for their top executives. Generally, Schlumberger believes that these arrangements encourage a short-term rather than a long-term focus, provide inappropriate security to executives and undermine the other incentive features of the executive compensation program. Therefore, Schlumberger does not have employment, severance or change-in-control agreements for any of the named executive officers, except for those in connection with phased retirement as described above. The named executive officers serve at the will of the Board of Directors, which enables the Company to terminate their employment using judgment as to the terms of any severance arrangement and based on specific circumstances at the time. This is in line with the overall philosophy, previously discussed, that executive officers, including the CEO, be given the same elements of compensation as other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Schlumberger provides only minimum perquisites to executive officers, which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Impact of Accounting and Tax Treatment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in accordance with FAS 123R. Once the fair value of each award is determined, it is expensed in the income statement ratably over the vesting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3"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five named executive officers will not result in any material loss of tax deduction relative to the flexibility gained.</w:t>
      </w:r>
    </w:p>
    <w:p>
      <w:pPr>
        <w:spacing w:after="0" w:line="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Section 409A of the Internal Revenue Code requires that “deferred compensation” either comply with certain deferral election and payment rules or be subject to a 20% additional tax. The Company has amended its compensation programs and awards, including the employment agreements, to the extent necessary to make them exempt from or compliant with Section 409A.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27" w:lineRule="exact"/>
        <w:rPr>
          <w:sz w:val="20"/>
          <w:szCs w:val="20"/>
          <w:color w:val="auto"/>
        </w:rPr>
      </w:pPr>
    </w:p>
    <w:p>
      <w:pPr>
        <w:ind w:left="20" w:right="506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60"/>
          </w:cols>
          <w:pgMar w:left="240" w:top="274" w:right="29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Michael E. Marks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390" w:lineRule="exact"/>
        <w:rPr>
          <w:sz w:val="20"/>
          <w:szCs w:val="20"/>
          <w:color w:val="auto"/>
        </w:rPr>
      </w:pPr>
    </w:p>
    <w:p>
      <w:pPr>
        <w:sectPr>
          <w:pgSz w:w="11900" w:h="16838" w:orient="portrait"/>
          <w:cols w:equalWidth="0" w:num="2">
            <w:col w:w="5260" w:space="720"/>
            <w:col w:w="5380"/>
          </w:cols>
          <w:pgMar w:left="240" w:top="274"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274" w:right="29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2008 to the Chief Executive Officer, the Chief Financial Officer and the next three most highly compensated executive officers as of December 31, 2008 (collectively, the “named executive officers”).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gridSpan w:val="4"/>
          </w:tcPr>
          <w:p>
            <w:pPr>
              <w:jc w:val="center"/>
              <w:ind w:right="1540"/>
              <w:spacing w:after="0" w:line="149" w:lineRule="exact"/>
              <w:rPr>
                <w:sz w:val="20"/>
                <w:szCs w:val="20"/>
                <w:color w:val="auto"/>
              </w:rPr>
            </w:pPr>
            <w:r>
              <w:rPr>
                <w:rFonts w:ascii="Arial" w:cs="Arial" w:eastAsia="Arial" w:hAnsi="Arial"/>
                <w:sz w:val="14"/>
                <w:szCs w:val="14"/>
                <w:b w:val="1"/>
                <w:bCs w:val="1"/>
                <w:color w:val="auto"/>
                <w:w w:val="86"/>
              </w:rPr>
              <w:t>Name and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77"/>
              </w:rPr>
              <w:t>Bonus</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Awards</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Principal Position</w:t>
            </w: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($)(5)</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Earnings ($)(6)</w:t>
            </w:r>
          </w:p>
        </w:tc>
        <w:tc>
          <w:tcPr>
            <w:tcW w:w="10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 Gould</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8,918,008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1,168,399</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437,500(8)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14,148,907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9,485,019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1,360,865</w:t>
            </w:r>
          </w:p>
        </w:tc>
        <w:tc>
          <w:tcPr>
            <w:tcW w:w="10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591,307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8,689,859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955,156</w:t>
            </w:r>
          </w:p>
        </w:tc>
        <w:tc>
          <w:tcPr>
            <w:tcW w:w="10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510,980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17,530,995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18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80" w:type="dxa"/>
            <w:vAlign w:val="bottom"/>
            <w:gridSpan w:val="6"/>
          </w:tcPr>
          <w:p>
            <w:pPr>
              <w:spacing w:after="0"/>
              <w:rPr>
                <w:sz w:val="20"/>
                <w:szCs w:val="20"/>
                <w:color w:val="auto"/>
              </w:rPr>
            </w:pPr>
            <w:r>
              <w:rPr>
                <w:rFonts w:ascii="Arial" w:cs="Arial" w:eastAsia="Arial" w:hAnsi="Arial"/>
                <w:sz w:val="18"/>
                <w:szCs w:val="18"/>
                <w:color w:val="auto"/>
              </w:rPr>
              <w:t>S. Ayat</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1,233,856</w:t>
            </w:r>
          </w:p>
        </w:tc>
        <w:tc>
          <w:tcPr>
            <w:tcW w:w="840" w:type="dxa"/>
            <w:vAlign w:val="bottom"/>
          </w:tcPr>
          <w:p>
            <w:pPr>
              <w:jc w:val="right"/>
              <w:spacing w:after="0"/>
              <w:rPr>
                <w:sz w:val="20"/>
                <w:szCs w:val="20"/>
                <w:color w:val="auto"/>
              </w:rPr>
            </w:pPr>
            <w:r>
              <w:rPr>
                <w:rFonts w:ascii="Arial" w:cs="Arial" w:eastAsia="Arial" w:hAnsi="Arial"/>
                <w:sz w:val="18"/>
                <w:szCs w:val="18"/>
                <w:color w:val="auto"/>
              </w:rPr>
              <w:t>315,000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374,420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161,064(9)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2,834,340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w w:val="98"/>
              </w:rPr>
              <w:t>Executive Vice President and Chief Financial</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575,000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1,040,967</w:t>
            </w:r>
          </w:p>
        </w:tc>
        <w:tc>
          <w:tcPr>
            <w:tcW w:w="840" w:type="dxa"/>
            <w:vAlign w:val="bottom"/>
          </w:tcPr>
          <w:p>
            <w:pPr>
              <w:jc w:val="right"/>
              <w:spacing w:after="0"/>
              <w:rPr>
                <w:sz w:val="20"/>
                <w:szCs w:val="20"/>
                <w:color w:val="auto"/>
              </w:rPr>
            </w:pPr>
            <w:r>
              <w:rPr>
                <w:rFonts w:ascii="Arial" w:cs="Arial" w:eastAsia="Arial" w:hAnsi="Arial"/>
                <w:sz w:val="18"/>
                <w:szCs w:val="18"/>
                <w:color w:val="auto"/>
              </w:rPr>
              <w:t>845,300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213,223</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147,483</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2,821,973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 Sbiti (1)</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1,032,478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3,212,378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547,786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173,436(10)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5,410,031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Executive Vice President OFS</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964,516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2,928,390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851,533</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213,489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6,359,835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748,130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2,376,617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474,079</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157,322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5,192,556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18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80" w:type="dxa"/>
            <w:vAlign w:val="bottom"/>
            <w:gridSpan w:val="6"/>
          </w:tcPr>
          <w:p>
            <w:pPr>
              <w:spacing w:after="0"/>
              <w:rPr>
                <w:sz w:val="20"/>
                <w:szCs w:val="20"/>
                <w:color w:val="auto"/>
              </w:rPr>
            </w:pPr>
            <w:r>
              <w:rPr>
                <w:rFonts w:ascii="Arial" w:cs="Arial" w:eastAsia="Arial" w:hAnsi="Arial"/>
                <w:sz w:val="18"/>
                <w:szCs w:val="18"/>
                <w:color w:val="auto"/>
              </w:rPr>
              <w:t>D. Boutte (2)</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1,675,697</w:t>
            </w:r>
          </w:p>
        </w:tc>
        <w:tc>
          <w:tcPr>
            <w:tcW w:w="840" w:type="dxa"/>
            <w:vAlign w:val="bottom"/>
          </w:tcPr>
          <w:p>
            <w:pPr>
              <w:jc w:val="right"/>
              <w:spacing w:after="0"/>
              <w:rPr>
                <w:sz w:val="20"/>
                <w:szCs w:val="20"/>
                <w:color w:val="auto"/>
              </w:rPr>
            </w:pPr>
            <w:r>
              <w:rPr>
                <w:rFonts w:ascii="Arial" w:cs="Arial" w:eastAsia="Arial" w:hAnsi="Arial"/>
                <w:sz w:val="18"/>
                <w:szCs w:val="18"/>
                <w:color w:val="auto"/>
              </w:rPr>
              <w:t>273,000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462,758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101,231(11)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3,162,686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President WesternGeco</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1,589,489</w:t>
            </w:r>
          </w:p>
        </w:tc>
        <w:tc>
          <w:tcPr>
            <w:tcW w:w="840" w:type="dxa"/>
            <w:vAlign w:val="bottom"/>
          </w:tcPr>
          <w:p>
            <w:pPr>
              <w:jc w:val="right"/>
              <w:spacing w:after="0"/>
              <w:rPr>
                <w:sz w:val="20"/>
                <w:szCs w:val="20"/>
                <w:color w:val="auto"/>
              </w:rPr>
            </w:pPr>
            <w:r>
              <w:rPr>
                <w:rFonts w:ascii="Arial" w:cs="Arial" w:eastAsia="Arial" w:hAnsi="Arial"/>
                <w:sz w:val="18"/>
                <w:szCs w:val="18"/>
                <w:color w:val="auto"/>
              </w:rPr>
              <w:t>685,100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106,877</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416,398</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3,427,864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520,073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1,631,745</w:t>
            </w:r>
          </w:p>
        </w:tc>
        <w:tc>
          <w:tcPr>
            <w:tcW w:w="840" w:type="dxa"/>
            <w:vAlign w:val="bottom"/>
          </w:tcPr>
          <w:p>
            <w:pPr>
              <w:jc w:val="right"/>
              <w:spacing w:after="0"/>
              <w:rPr>
                <w:sz w:val="20"/>
                <w:szCs w:val="20"/>
                <w:color w:val="auto"/>
              </w:rPr>
            </w:pPr>
            <w:r>
              <w:rPr>
                <w:rFonts w:ascii="Arial" w:cs="Arial" w:eastAsia="Arial" w:hAnsi="Arial"/>
                <w:sz w:val="18"/>
                <w:szCs w:val="18"/>
                <w:color w:val="auto"/>
              </w:rPr>
              <w:t>741,058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18,330</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211,555</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3,122,761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 Pai (3)</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717,844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929,324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275,071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207,566(12)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2,359,599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Vice President Operating Oilfield Services</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567,332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1,089,205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165,248</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127,574</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2,780,531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60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Sbiti is paid in Euros. For purposes of this table, the compensation for Mr. Sbiti has been determined using the 2008, 2007 and 2006 average exchange rates of 1 U.S. Dollar = 0.678 Euros, 1 U.S. Dollar = 0.734 Euros and 1 U.S. Dollar = 0.802 Euros, respectively.</w:t>
      </w:r>
    </w:p>
    <w:p>
      <w:pPr>
        <w:spacing w:after="0" w:line="43" w:lineRule="exact"/>
        <w:rPr>
          <w:rFonts w:ascii="Arial" w:cs="Arial" w:eastAsia="Arial" w:hAnsi="Arial"/>
          <w:sz w:val="14"/>
          <w:szCs w:val="14"/>
          <w:color w:val="auto"/>
        </w:rPr>
      </w:pPr>
    </w:p>
    <w:p>
      <w:pPr>
        <w:ind w:left="340" w:right="200" w:hanging="332"/>
        <w:spacing w:after="0" w:line="317"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Three months of Mr. Boutte’s 2007 salary was paid in Pounds Sterling. In 2006, Mr. Boutte was paid in Pounds Sterling. For purposes of this table, the compensation for Mr. Boutte has been determined using the 2007 and 2006 average exchange rates of 1 U.S. Dollar = 0.500 Pounds Sterling and 1 U.S. Dollar = 0.548 Pounds Sterling, respectively.</w:t>
      </w:r>
    </w:p>
    <w:p>
      <w:pPr>
        <w:ind w:left="340" w:right="28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Pai is paid in Euros. For purposes of this table, the compensation for Mr. Pai has been determined using the 2008 and 2006 exchange rate of 1 U.S. Dollar = 0.678 and 1 U.S. Dollar = 0.802 Euros, respectively.</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annual cash incentive paid to Schlumberger’s named executive officers is included in the column “Non-Equity Incentive Plan Compensation.”</w:t>
      </w:r>
    </w:p>
    <w:p>
      <w:pPr>
        <w:spacing w:after="0" w:line="55" w:lineRule="exact"/>
        <w:rPr>
          <w:rFonts w:ascii="Arial" w:cs="Arial" w:eastAsia="Arial" w:hAnsi="Arial"/>
          <w:sz w:val="14"/>
          <w:szCs w:val="14"/>
          <w:color w:val="auto"/>
        </w:rPr>
      </w:pPr>
    </w:p>
    <w:p>
      <w:pPr>
        <w:ind w:left="340" w:right="180" w:hanging="332"/>
        <w:spacing w:after="0" w:line="233"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reflected in this column is the compensation cost recognized by the Company during fiscal 2008 under Statement of Financial Accounting Standard No. 123R (</w:t>
      </w:r>
      <w:r>
        <w:rPr>
          <w:rFonts w:ascii="Arial" w:cs="Arial" w:eastAsia="Arial" w:hAnsi="Arial"/>
          <w:sz w:val="14"/>
          <w:szCs w:val="14"/>
          <w:i w:val="1"/>
          <w:iCs w:val="1"/>
          <w:color w:val="auto"/>
        </w:rPr>
        <w:t>Share-Based Payment</w:t>
      </w:r>
      <w:r>
        <w:rPr>
          <w:rFonts w:ascii="Arial" w:cs="Arial" w:eastAsia="Arial" w:hAnsi="Arial"/>
          <w:sz w:val="14"/>
          <w:szCs w:val="14"/>
          <w:color w:val="auto"/>
        </w:rPr>
        <w:t>) for grants made in 2008 and prior years. The fair value of each grant is estimated on the date of grant using the Black-Scholes option-pricing model with the following weighted-average assumptions for the years indicated:</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31.40%</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7.0 years</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7.0 years</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6.0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4.9 years</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6.6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29.21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22.82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18.75</w:t>
            </w: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460" w:hanging="332"/>
        <w:spacing w:after="0" w:line="317"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 2007 or 2008.</w:t>
      </w:r>
    </w:p>
    <w:p>
      <w:pPr>
        <w:ind w:left="340" w:right="12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of the perquisites included and described in All Other Compensation are generally available to all of the Company’s exempt employees. Relocation assistance is provided to employees on a company-wide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7300" w:type="dxa"/>
            <w:vAlign w:val="bottom"/>
            <w:gridSpan w:val="3"/>
          </w:tcPr>
          <w:p>
            <w:pPr>
              <w:spacing w:after="0"/>
              <w:rPr>
                <w:sz w:val="20"/>
                <w:szCs w:val="20"/>
                <w:color w:val="auto"/>
              </w:rPr>
            </w:pPr>
            <w:r>
              <w:rPr>
                <w:rFonts w:ascii="Arial" w:cs="Arial" w:eastAsia="Arial" w:hAnsi="Arial"/>
                <w:sz w:val="14"/>
                <w:szCs w:val="14"/>
                <w:color w:val="auto"/>
              </w:rPr>
              <w:t>(8)   The amount disclosed for Mr. Gould includes the following:</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20" w:type="dxa"/>
            <w:vAlign w:val="bottom"/>
            <w:gridSpan w:val="2"/>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240,800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357,500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267,300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180,600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214,500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133,650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Closing costs on sale of home</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86,411</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80" w:type="dxa"/>
            <w:vAlign w:val="bottom"/>
          </w:tcPr>
          <w:p>
            <w:pPr>
              <w:ind w:left="180"/>
              <w:spacing w:after="0"/>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1,307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84"/>
        </w:trPr>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437,500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591,307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510,980</w:t>
            </w:r>
          </w:p>
        </w:tc>
        <w:tc>
          <w:tcPr>
            <w:tcW w:w="0" w:type="dxa"/>
            <w:vAlign w:val="bottom"/>
          </w:tcPr>
          <w:p>
            <w:pPr>
              <w:spacing w:after="0"/>
              <w:rPr>
                <w:sz w:val="1"/>
                <w:szCs w:val="1"/>
                <w:color w:val="auto"/>
              </w:rPr>
            </w:pPr>
          </w:p>
        </w:tc>
      </w:tr>
      <w:tr>
        <w:trPr>
          <w:trHeight w:val="229"/>
        </w:trPr>
        <w:tc>
          <w:tcPr>
            <w:tcW w:w="7300" w:type="dxa"/>
            <w:vAlign w:val="bottom"/>
            <w:gridSpan w:val="3"/>
          </w:tcPr>
          <w:p>
            <w:pPr>
              <w:spacing w:after="0"/>
              <w:rPr>
                <w:sz w:val="20"/>
                <w:szCs w:val="20"/>
                <w:color w:val="auto"/>
              </w:rPr>
            </w:pPr>
            <w:r>
              <w:rPr>
                <w:rFonts w:ascii="Arial" w:cs="Arial" w:eastAsia="Arial" w:hAnsi="Arial"/>
                <w:sz w:val="14"/>
                <w:szCs w:val="14"/>
                <w:color w:val="auto"/>
              </w:rPr>
              <w:t>(9)   The amount disclosed for Mr. Ayat includes the following:</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730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2007</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42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54,612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43,055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40,959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40,735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37,602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Child education expenses and cost of annual trip home</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44,865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42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161,064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147,483</w:t>
            </w:r>
          </w:p>
        </w:tc>
        <w:tc>
          <w:tcPr>
            <w:tcW w:w="0" w:type="dxa"/>
            <w:vAlign w:val="bottom"/>
          </w:tcPr>
          <w:p>
            <w:pPr>
              <w:spacing w:after="0"/>
              <w:rPr>
                <w:sz w:val="1"/>
                <w:szCs w:val="1"/>
                <w:color w:val="auto"/>
              </w:rPr>
            </w:pPr>
          </w:p>
        </w:tc>
      </w:tr>
    </w:tbl>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disclosed for Mr. Sbiti reflects contributions to International Schlumberger Profit Sharing Plans.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disclosed for Mr. Boutte includes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20" w:type="dxa"/>
            <w:vAlign w:val="bottom"/>
            <w:gridSpan w:val="2"/>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4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44,204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93,012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75,733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33,153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the Schlumberger US Citizens Abroad Profit Sharing Plan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18,739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the Schlumberger International Staff Pension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74,441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86,172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North American relocation payment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20,000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20" w:type="dxa"/>
            <w:vAlign w:val="bottom"/>
          </w:tcPr>
          <w:p>
            <w:pPr>
              <w:ind w:left="180"/>
              <w:spacing w:after="0" w:line="149" w:lineRule="exact"/>
              <w:rPr>
                <w:sz w:val="20"/>
                <w:szCs w:val="20"/>
                <w:color w:val="auto"/>
              </w:rPr>
            </w:pPr>
            <w:r>
              <w:rPr>
                <w:rFonts w:ascii="Arial" w:cs="Arial" w:eastAsia="Arial" w:hAnsi="Arial"/>
                <w:sz w:val="14"/>
                <w:szCs w:val="14"/>
                <w:color w:val="auto"/>
              </w:rPr>
              <w:t>Lump-sum payment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108,333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Payment for accrued vacation time in connection with relocation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65,769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20" w:type="dxa"/>
            <w:vAlign w:val="bottom"/>
          </w:tcPr>
          <w:p>
            <w:pPr>
              <w:ind w:left="18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18,104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32,050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101,231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416,398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211,555</w:t>
            </w:r>
          </w:p>
        </w:tc>
        <w:tc>
          <w:tcPr>
            <w:tcW w:w="0" w:type="dxa"/>
            <w:vAlign w:val="bottom"/>
          </w:tcPr>
          <w:p>
            <w:pPr>
              <w:spacing w:after="0"/>
              <w:rPr>
                <w:sz w:val="1"/>
                <w:szCs w:val="1"/>
                <w:color w:val="auto"/>
              </w:rPr>
            </w:pPr>
          </w:p>
        </w:tc>
      </w:tr>
      <w:tr>
        <w:trPr>
          <w:trHeight w:val="229"/>
        </w:trPr>
        <w:tc>
          <w:tcPr>
            <w:tcW w:w="7840" w:type="dxa"/>
            <w:vAlign w:val="bottom"/>
            <w:gridSpan w:val="3"/>
          </w:tcPr>
          <w:p>
            <w:pPr>
              <w:spacing w:after="0"/>
              <w:rPr>
                <w:sz w:val="20"/>
                <w:szCs w:val="20"/>
                <w:color w:val="auto"/>
              </w:rPr>
            </w:pPr>
            <w:r>
              <w:rPr>
                <w:rFonts w:ascii="Arial" w:cs="Arial" w:eastAsia="Arial" w:hAnsi="Arial"/>
                <w:sz w:val="14"/>
                <w:szCs w:val="14"/>
                <w:color w:val="auto"/>
              </w:rPr>
              <w:t>(12)  The amount disclosed for Mr. Pai includes the following:</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784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4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47,512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56,267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35,634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28,133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20" w:type="dxa"/>
            <w:vAlign w:val="bottom"/>
          </w:tcPr>
          <w:p>
            <w:pPr>
              <w:ind w:left="180"/>
              <w:spacing w:after="0" w:line="149" w:lineRule="exact"/>
              <w:rPr>
                <w:sz w:val="20"/>
                <w:szCs w:val="20"/>
                <w:color w:val="auto"/>
              </w:rPr>
            </w:pPr>
            <w:r>
              <w:rPr>
                <w:rFonts w:ascii="Arial" w:cs="Arial" w:eastAsia="Arial" w:hAnsi="Arial"/>
                <w:sz w:val="14"/>
                <w:szCs w:val="14"/>
                <w:color w:val="auto"/>
                <w:w w:val="95"/>
              </w:rPr>
              <w:t>Taxes and tax preparation expenses in connection with international assignment and cost of annual trips home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27,730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23,374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child education expenses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80,590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207,566</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127,574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240" w:top="277" w:right="10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 for Fiscal Year 2008</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2008.</w:t>
      </w:r>
    </w:p>
    <w:p>
      <w:pPr>
        <w:spacing w:after="0" w:line="10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5"/>
              </w:rPr>
              <w:t>Estimated Possible Payouts Under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6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Closing</w:t>
            </w: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Non-Equity Incentive Plan Awards (1)</w:t>
            </w: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440" w:type="dxa"/>
            <w:vAlign w:val="bottom"/>
          </w:tcPr>
          <w:p>
            <w:pPr>
              <w:spacing w:after="0"/>
              <w:rPr>
                <w:sz w:val="9"/>
                <w:szCs w:val="9"/>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40" w:type="dxa"/>
            <w:vAlign w:val="bottom"/>
          </w:tcPr>
          <w:p>
            <w:pPr>
              <w:spacing w:after="0"/>
              <w:rPr>
                <w:sz w:val="9"/>
                <w:szCs w:val="9"/>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vMerge w:val="restart"/>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440" w:type="dxa"/>
            <w:vAlign w:val="bottom"/>
            <w:vMerge w:val="restart"/>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440" w:type="dxa"/>
            <w:vAlign w:val="bottom"/>
            <w:vMerge w:val="restart"/>
          </w:tcPr>
          <w:p>
            <w:pPr>
              <w:spacing w:after="0"/>
              <w:rPr>
                <w:sz w:val="4"/>
                <w:szCs w:val="4"/>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75"/>
        </w:trPr>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on Grant</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4"/>
        </w:trPr>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4"/>
              </w:rPr>
              <w:t>Threshold ($)</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Target ($)</w:t>
            </w:r>
          </w:p>
        </w:tc>
        <w:tc>
          <w:tcPr>
            <w:tcW w:w="2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Maximum ($)</w:t>
            </w:r>
          </w:p>
        </w:tc>
        <w:tc>
          <w:tcPr>
            <w:tcW w:w="10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($/Sh)(3)</w:t>
            </w:r>
          </w:p>
        </w:tc>
        <w:tc>
          <w:tcPr>
            <w:tcW w:w="4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4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0" w:type="dxa"/>
            <w:vAlign w:val="bottom"/>
          </w:tcPr>
          <w:p>
            <w:pPr>
              <w:spacing w:after="0"/>
              <w:rPr>
                <w:sz w:val="1"/>
                <w:szCs w:val="1"/>
                <w:color w:val="auto"/>
              </w:rPr>
            </w:pPr>
          </w:p>
        </w:tc>
      </w:tr>
      <w:tr>
        <w:trPr>
          <w:trHeight w:val="95"/>
        </w:trPr>
        <w:tc>
          <w:tcPr>
            <w:tcW w:w="5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1,012,500</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2,187,500</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5,000,000</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9,636,575</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 Ayat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303,750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656,250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60,000</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tcPr>
          <w:p>
            <w:pPr>
              <w:jc w:val="right"/>
              <w:spacing w:after="0"/>
              <w:rPr>
                <w:sz w:val="20"/>
                <w:szCs w:val="20"/>
                <w:color w:val="auto"/>
              </w:rPr>
            </w:pPr>
            <w:r>
              <w:rPr>
                <w:rFonts w:ascii="Arial" w:cs="Arial" w:eastAsia="Arial" w:hAnsi="Arial"/>
                <w:sz w:val="18"/>
                <w:szCs w:val="18"/>
                <w:color w:val="auto"/>
              </w:rPr>
              <w:t>1,779,060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418,142</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903,392</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2,064,897</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3,263,400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263,250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568,750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1,300,000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60,000</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tcPr>
          <w:p>
            <w:pPr>
              <w:jc w:val="right"/>
              <w:spacing w:after="0"/>
              <w:rPr>
                <w:sz w:val="20"/>
                <w:szCs w:val="20"/>
                <w:color w:val="auto"/>
              </w:rPr>
            </w:pPr>
            <w:r>
              <w:rPr>
                <w:rFonts w:ascii="Arial" w:cs="Arial" w:eastAsia="Arial" w:hAnsi="Arial"/>
                <w:sz w:val="18"/>
                <w:szCs w:val="18"/>
                <w:color w:val="auto"/>
              </w:rPr>
              <w:t>1,779,060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218,031</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471,054</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1,076,695</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1,186,040</w:t>
            </w:r>
          </w:p>
        </w:tc>
      </w:tr>
      <w:tr>
        <w:trPr>
          <w:trHeight w:val="108"/>
        </w:trPr>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97" w:lineRule="exact"/>
        <w:rPr>
          <w:sz w:val="20"/>
          <w:szCs w:val="20"/>
          <w:color w:val="auto"/>
        </w:rPr>
      </w:pPr>
    </w:p>
    <w:p>
      <w:pPr>
        <w:ind w:left="340" w:right="260" w:hanging="332"/>
        <w:spacing w:after="0" w:line="225"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named executive officer for fiscal 2008 based on goals set in January 2008. The possible payouts are performance-driven and completely at risk. The incentive amounts earned in 2008 and payable in 2009 are reflected in the Non-Equity Incentive Plan column of the Summary Compensation Table. For information regarding the annual cash incentive paid to Schlumberger’s named executive officers with respect to 2008 performance, please read “Compensation Discussion and Analysis—Cash Compensation—2008 Annual Incentive—Total Cash Compensation.”</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disclosed in this column include option grants made pursuant to the following stock option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5"/>
              </w:rPr>
              <w:t>Schlumberger 1998</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Schlumberger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Option Plan</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Stock 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Mr. Ayat</w:t>
            </w:r>
          </w:p>
        </w:tc>
        <w:tc>
          <w:tcPr>
            <w:tcW w:w="2420" w:type="dxa"/>
            <w:vAlign w:val="bottom"/>
            <w:gridSpan w:val="2"/>
          </w:tcPr>
          <w:p>
            <w:pPr>
              <w:jc w:val="right"/>
              <w:ind w:right="1300"/>
              <w:spacing w:after="0" w:line="149" w:lineRule="exact"/>
              <w:rPr>
                <w:sz w:val="20"/>
                <w:szCs w:val="20"/>
                <w:color w:val="auto"/>
              </w:rPr>
            </w:pPr>
            <w:r>
              <w:rPr>
                <w:rFonts w:ascii="Arial" w:cs="Arial" w:eastAsia="Arial" w:hAnsi="Arial"/>
                <w:sz w:val="14"/>
                <w:szCs w:val="14"/>
                <w:color w:val="auto"/>
              </w:rPr>
              <w:t>60,000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2420" w:type="dxa"/>
            <w:vAlign w:val="bottom"/>
            <w:gridSpan w:val="2"/>
          </w:tcPr>
          <w:p>
            <w:pPr>
              <w:jc w:val="right"/>
              <w:ind w:right="1300"/>
              <w:spacing w:after="0" w:line="149" w:lineRule="exact"/>
              <w:rPr>
                <w:sz w:val="20"/>
                <w:szCs w:val="20"/>
                <w:color w:val="auto"/>
              </w:rPr>
            </w:pPr>
            <w:r>
              <w:rPr>
                <w:rFonts w:ascii="Arial" w:cs="Arial" w:eastAsia="Arial" w:hAnsi="Arial"/>
                <w:sz w:val="14"/>
                <w:szCs w:val="14"/>
                <w:color w:val="auto"/>
              </w:rPr>
              <w:t>60,000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Pai</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10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Stock options granted in January 2008 vest in five equal annual installments (except those granted in France subject to four-year cliff vesting) and are not subject to a profit cap.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 2008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named executive officers concerning options outstanding as of December 31, 2008.</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Grant</w:t>
            </w:r>
          </w:p>
        </w:tc>
        <w:tc>
          <w:tcPr>
            <w:tcW w:w="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6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74"/>
        </w:trPr>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2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 Exercisable (1)</w:t>
            </w:r>
          </w:p>
        </w:tc>
        <w:tc>
          <w:tcPr>
            <w:tcW w:w="6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 Unexercisable (1)</w:t>
            </w:r>
          </w:p>
        </w:tc>
        <w:tc>
          <w:tcPr>
            <w:tcW w:w="6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Price ($)</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95"/>
        </w:trPr>
        <w:tc>
          <w:tcPr>
            <w:tcW w:w="4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1/15/2003</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700" w:type="dxa"/>
            <w:vAlign w:val="bottom"/>
            <w:gridSpan w:val="3"/>
          </w:tcPr>
          <w:p>
            <w:pPr>
              <w:spacing w:after="0"/>
              <w:rPr>
                <w:sz w:val="20"/>
                <w:szCs w:val="20"/>
                <w:color w:val="auto"/>
              </w:rPr>
            </w:pPr>
            <w:r>
              <w:rPr>
                <w:rFonts w:ascii="Arial" w:cs="Arial" w:eastAsia="Arial" w:hAnsi="Arial"/>
                <w:sz w:val="18"/>
                <w:szCs w:val="18"/>
                <w:color w:val="auto"/>
              </w:rPr>
              <w:t>S. Ayat</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10/19/2000</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41.141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10/19/2010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7/21/2004</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32.618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1/18/2006</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30,000</w:t>
            </w:r>
          </w:p>
        </w:tc>
        <w:tc>
          <w:tcPr>
            <w:tcW w:w="1220" w:type="dxa"/>
            <w:vAlign w:val="bottom"/>
          </w:tcPr>
          <w:p>
            <w:pPr>
              <w:jc w:val="right"/>
              <w:spacing w:after="0"/>
              <w:rPr>
                <w:sz w:val="20"/>
                <w:szCs w:val="20"/>
                <w:color w:val="auto"/>
              </w:rPr>
            </w:pPr>
            <w:r>
              <w:rPr>
                <w:rFonts w:ascii="Arial" w:cs="Arial" w:eastAsia="Arial" w:hAnsi="Arial"/>
                <w:sz w:val="18"/>
                <w:szCs w:val="18"/>
                <w:color w:val="auto"/>
              </w:rPr>
              <w:t>30,000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54.235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1/17/2007</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20,000</w:t>
            </w:r>
          </w:p>
        </w:tc>
        <w:tc>
          <w:tcPr>
            <w:tcW w:w="1220" w:type="dxa"/>
            <w:vAlign w:val="bottom"/>
          </w:tcPr>
          <w:p>
            <w:pPr>
              <w:jc w:val="right"/>
              <w:spacing w:after="0"/>
              <w:rPr>
                <w:sz w:val="20"/>
                <w:szCs w:val="20"/>
                <w:color w:val="auto"/>
              </w:rPr>
            </w:pPr>
            <w:r>
              <w:rPr>
                <w:rFonts w:ascii="Arial" w:cs="Arial" w:eastAsia="Arial" w:hAnsi="Arial"/>
                <w:sz w:val="18"/>
                <w:szCs w:val="18"/>
                <w:color w:val="auto"/>
              </w:rPr>
              <w:t>80,000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1/17/2008</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84.930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1/15/2003</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700" w:type="dxa"/>
            <w:vAlign w:val="bottom"/>
            <w:gridSpan w:val="3"/>
          </w:tcPr>
          <w:p>
            <w:pPr>
              <w:spacing w:after="0"/>
              <w:rPr>
                <w:sz w:val="20"/>
                <w:szCs w:val="20"/>
                <w:color w:val="auto"/>
              </w:rPr>
            </w:pPr>
            <w:r>
              <w:rPr>
                <w:rFonts w:ascii="Arial" w:cs="Arial" w:eastAsia="Arial" w:hAnsi="Arial"/>
                <w:sz w:val="18"/>
                <w:szCs w:val="18"/>
                <w:color w:val="auto"/>
              </w:rPr>
              <w:t>D. Boutte</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4/21/1999</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32,968</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4/21/2009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4/19/2000</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36.516</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4/18/2011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200,000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1/18/2006</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70,000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54.235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1/17/2007</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14,000</w:t>
            </w:r>
          </w:p>
        </w:tc>
        <w:tc>
          <w:tcPr>
            <w:tcW w:w="1220" w:type="dxa"/>
            <w:vAlign w:val="bottom"/>
          </w:tcPr>
          <w:p>
            <w:pPr>
              <w:jc w:val="right"/>
              <w:spacing w:after="0"/>
              <w:rPr>
                <w:sz w:val="20"/>
                <w:szCs w:val="20"/>
                <w:color w:val="auto"/>
              </w:rPr>
            </w:pPr>
            <w:r>
              <w:rPr>
                <w:rFonts w:ascii="Arial" w:cs="Arial" w:eastAsia="Arial" w:hAnsi="Arial"/>
                <w:sz w:val="18"/>
                <w:szCs w:val="18"/>
                <w:color w:val="auto"/>
              </w:rPr>
              <w:t>56,000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1/17/2008</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84.930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7/21/2004</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39,080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7/19/2006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80" w:hanging="332"/>
        <w:spacing w:after="0" w:line="239"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Options granted from July 2003 to January 2006 have four-year ratable vesting and stock price appreciation is capped at 125% of the exercise price on the date of grant. Grants made before and after these dates have five-year ratable vesting and no profit cap, except for those granted to employees in France, which have four-year cliff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for Fiscal Year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stock options exercised by named executive officers during 2008.</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gridSpan w:val="2"/>
          </w:tcPr>
          <w:p>
            <w:pPr>
              <w:ind w:left="11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5"/>
        </w:trPr>
        <w:tc>
          <w:tcPr>
            <w:tcW w:w="3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37"/>
        </w:trPr>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Number of Shares</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w w:val="85"/>
              </w:rPr>
              <w:t>Value Realized</w:t>
            </w:r>
          </w:p>
        </w:tc>
      </w:t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gridSpan w:val="3"/>
          </w:tcPr>
          <w:p>
            <w:pPr>
              <w:jc w:val="center"/>
              <w:ind w:left="2192"/>
              <w:spacing w:after="0"/>
              <w:rPr>
                <w:sz w:val="20"/>
                <w:szCs w:val="20"/>
                <w:color w:val="auto"/>
              </w:rPr>
            </w:pPr>
            <w:r>
              <w:rPr>
                <w:rFonts w:ascii="Arial" w:cs="Arial" w:eastAsia="Arial" w:hAnsi="Arial"/>
                <w:sz w:val="14"/>
                <w:szCs w:val="14"/>
                <w:b w:val="1"/>
                <w:bCs w:val="1"/>
                <w:color w:val="auto"/>
                <w:w w:val="86"/>
              </w:rPr>
              <w:t>Acquired on Exercise (#)</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w w:val="84"/>
              </w:rPr>
              <w:t>on Exercise ($)</w:t>
            </w:r>
          </w:p>
        </w:tc>
      </w:tr>
      <w:tr>
        <w:trPr>
          <w:trHeight w:val="95"/>
        </w:trPr>
        <w:tc>
          <w:tcPr>
            <w:tcW w:w="3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4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508,908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35,906,220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Ayat</w:t>
            </w:r>
          </w:p>
        </w:tc>
        <w:tc>
          <w:tcPr>
            <w:tcW w:w="4400" w:type="dxa"/>
            <w:vAlign w:val="bottom"/>
          </w:tcPr>
          <w:p>
            <w:pPr>
              <w:jc w:val="right"/>
              <w:ind w:right="412"/>
              <w:spacing w:after="0"/>
              <w:rPr>
                <w:sz w:val="20"/>
                <w:szCs w:val="20"/>
                <w:color w:val="auto"/>
              </w:rPr>
            </w:pPr>
            <w:r>
              <w:rPr>
                <w:rFonts w:ascii="Arial" w:cs="Arial" w:eastAsia="Arial" w:hAnsi="Arial"/>
                <w:sz w:val="18"/>
                <w:szCs w:val="18"/>
                <w:color w:val="auto"/>
              </w:rPr>
              <w:t>105,366</w:t>
            </w:r>
          </w:p>
        </w:tc>
        <w:tc>
          <w:tcPr>
            <w:tcW w:w="1300" w:type="dxa"/>
            <w:vAlign w:val="bottom"/>
          </w:tcPr>
          <w:p>
            <w:pPr>
              <w:jc w:val="right"/>
              <w:spacing w:after="0"/>
              <w:rPr>
                <w:sz w:val="20"/>
                <w:szCs w:val="20"/>
                <w:color w:val="auto"/>
              </w:rPr>
            </w:pPr>
            <w:r>
              <w:rPr>
                <w:rFonts w:ascii="Arial" w:cs="Arial" w:eastAsia="Arial" w:hAnsi="Arial"/>
                <w:sz w:val="18"/>
                <w:szCs w:val="18"/>
                <w:color w:val="auto"/>
              </w:rPr>
              <w:t>7,318,220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44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 Boutte</w:t>
            </w:r>
          </w:p>
        </w:tc>
        <w:tc>
          <w:tcPr>
            <w:tcW w:w="4400" w:type="dxa"/>
            <w:vAlign w:val="bottom"/>
          </w:tcPr>
          <w:p>
            <w:pPr>
              <w:jc w:val="right"/>
              <w:ind w:right="412"/>
              <w:spacing w:after="0"/>
              <w:rPr>
                <w:sz w:val="20"/>
                <w:szCs w:val="20"/>
                <w:color w:val="auto"/>
              </w:rPr>
            </w:pPr>
            <w:r>
              <w:rPr>
                <w:rFonts w:ascii="Arial" w:cs="Arial" w:eastAsia="Arial" w:hAnsi="Arial"/>
                <w:sz w:val="18"/>
                <w:szCs w:val="18"/>
                <w:color w:val="auto"/>
              </w:rPr>
              <w:t>117,223</w:t>
            </w:r>
          </w:p>
        </w:tc>
        <w:tc>
          <w:tcPr>
            <w:tcW w:w="1300" w:type="dxa"/>
            <w:vAlign w:val="bottom"/>
          </w:tcPr>
          <w:p>
            <w:pPr>
              <w:jc w:val="right"/>
              <w:spacing w:after="0"/>
              <w:rPr>
                <w:sz w:val="20"/>
                <w:szCs w:val="20"/>
                <w:color w:val="auto"/>
              </w:rPr>
            </w:pPr>
            <w:r>
              <w:rPr>
                <w:rFonts w:ascii="Arial" w:cs="Arial" w:eastAsia="Arial" w:hAnsi="Arial"/>
                <w:sz w:val="18"/>
                <w:szCs w:val="18"/>
                <w:color w:val="auto"/>
              </w:rPr>
              <w:t>5,880,434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4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41,684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2,329,719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Pension Benefits</w:t>
      </w:r>
    </w:p>
    <w:p>
      <w:pPr>
        <w:spacing w:after="0" w:line="8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Present</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Value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Years of</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860" w:type="dxa"/>
            <w:vAlign w:val="bottom"/>
          </w:tcPr>
          <w:p>
            <w:pPr>
              <w:spacing w:after="0"/>
              <w:rPr>
                <w:sz w:val="12"/>
                <w:szCs w:val="12"/>
                <w:color w:val="auto"/>
              </w:rPr>
            </w:pPr>
          </w:p>
        </w:tc>
        <w:tc>
          <w:tcPr>
            <w:tcW w:w="16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Benefits ($)</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5"/>
                <w:szCs w:val="15"/>
                <w:color w:val="auto"/>
              </w:rPr>
            </w:pPr>
          </w:p>
        </w:tc>
        <w:tc>
          <w:tcPr>
            <w:tcW w:w="2880" w:type="dxa"/>
            <w:vAlign w:val="bottom"/>
          </w:tcPr>
          <w:p>
            <w:pPr>
              <w:ind w:left="1880"/>
              <w:spacing w:after="0"/>
              <w:rPr>
                <w:sz w:val="20"/>
                <w:szCs w:val="20"/>
                <w:color w:val="auto"/>
              </w:rPr>
            </w:pPr>
            <w:r>
              <w:rPr>
                <w:rFonts w:ascii="Arial" w:cs="Arial" w:eastAsia="Arial" w:hAnsi="Arial"/>
                <w:sz w:val="14"/>
                <w:szCs w:val="14"/>
                <w:b w:val="1"/>
                <w:bCs w:val="1"/>
                <w:color w:val="auto"/>
              </w:rPr>
              <w:t>Plan Name</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Service (#)</w:t>
            </w:r>
          </w:p>
        </w:tc>
        <w:tc>
          <w:tcPr>
            <w:tcW w:w="1620" w:type="dxa"/>
            <w:vAlign w:val="bottom"/>
            <w:gridSpan w:val="2"/>
          </w:tcPr>
          <w:p>
            <w:pPr>
              <w:jc w:val="center"/>
              <w:ind w:left="773"/>
              <w:spacing w:after="0"/>
              <w:rPr>
                <w:sz w:val="20"/>
                <w:szCs w:val="20"/>
                <w:color w:val="auto"/>
              </w:rPr>
            </w:pPr>
            <w:r>
              <w:rPr>
                <w:rFonts w:ascii="Arial" w:cs="Arial" w:eastAsia="Arial" w:hAnsi="Arial"/>
                <w:sz w:val="14"/>
                <w:szCs w:val="14"/>
                <w:b w:val="1"/>
                <w:bCs w:val="1"/>
                <w:color w:val="auto"/>
                <w:w w:val="93"/>
              </w:rPr>
              <w:t>(1)</w:t>
            </w:r>
          </w:p>
        </w:tc>
        <w:tc>
          <w:tcPr>
            <w:tcW w:w="8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Fiscal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540,838</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6,052,036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1,612,550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gridSpan w:val="3"/>
          </w:tcPr>
          <w:p>
            <w:pPr>
              <w:spacing w:after="0"/>
              <w:rPr>
                <w:sz w:val="9"/>
                <w:szCs w:val="9"/>
                <w:color w:val="auto"/>
              </w:rPr>
            </w:pPr>
          </w:p>
        </w:tc>
        <w:tc>
          <w:tcPr>
            <w:tcW w:w="84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gridSpan w:val="4"/>
          </w:tcPr>
          <w:p>
            <w:pPr>
              <w:spacing w:after="0"/>
              <w:rPr>
                <w:sz w:val="20"/>
                <w:szCs w:val="20"/>
                <w:color w:val="auto"/>
              </w:rPr>
            </w:pPr>
            <w:r>
              <w:rPr>
                <w:rFonts w:ascii="Arial" w:cs="Arial" w:eastAsia="Arial" w:hAnsi="Arial"/>
                <w:sz w:val="18"/>
                <w:szCs w:val="18"/>
                <w:color w:val="auto"/>
              </w:rPr>
              <w:t>C. Sbiti</w:t>
            </w: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0.92</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55,116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French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1,808,117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1,149,330</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20" w:type="dxa"/>
            <w:vAlign w:val="bottom"/>
            <w:gridSpan w:val="2"/>
          </w:tcPr>
          <w:p>
            <w:pPr>
              <w:spacing w:after="0"/>
              <w:rPr>
                <w:sz w:val="9"/>
                <w:szCs w:val="9"/>
                <w:color w:val="auto"/>
              </w:rPr>
            </w:pPr>
          </w:p>
        </w:tc>
        <w:tc>
          <w:tcPr>
            <w:tcW w:w="1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Boutte</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254,633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261,521</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577,849</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2,057,350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gridSpan w:val="3"/>
          </w:tcPr>
          <w:p>
            <w:pPr>
              <w:spacing w:after="0"/>
              <w:rPr>
                <w:sz w:val="9"/>
                <w:szCs w:val="9"/>
                <w:color w:val="auto"/>
              </w:rPr>
            </w:pPr>
          </w:p>
        </w:tc>
        <w:tc>
          <w:tcPr>
            <w:tcW w:w="84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gridSpan w:val="4"/>
          </w:tcPr>
          <w:p>
            <w:pPr>
              <w:spacing w:after="0"/>
              <w:rPr>
                <w:sz w:val="20"/>
                <w:szCs w:val="20"/>
                <w:color w:val="auto"/>
              </w:rPr>
            </w:pPr>
            <w:r>
              <w:rPr>
                <w:rFonts w:ascii="Arial" w:cs="Arial" w:eastAsia="Arial" w:hAnsi="Arial"/>
                <w:sz w:val="18"/>
                <w:szCs w:val="18"/>
                <w:color w:val="auto"/>
              </w:rPr>
              <w:t>S. Ayat</w:t>
            </w: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115,502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51,677</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451,950</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3,738</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French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137,521</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10.60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624,156</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20" w:type="dxa"/>
            <w:vAlign w:val="bottom"/>
            <w:gridSpan w:val="2"/>
          </w:tcPr>
          <w:p>
            <w:pPr>
              <w:spacing w:after="0"/>
              <w:rPr>
                <w:sz w:val="9"/>
                <w:szCs w:val="9"/>
                <w:color w:val="auto"/>
              </w:rPr>
            </w:pPr>
          </w:p>
        </w:tc>
        <w:tc>
          <w:tcPr>
            <w:tcW w:w="2960" w:type="dxa"/>
            <w:vAlign w:val="bottom"/>
            <w:gridSpan w:val="3"/>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Pai</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133,353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153,876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219,470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jc w:val="right"/>
              <w:ind w:right="952"/>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ind w:left="460" w:hanging="452"/>
        <w:spacing w:after="0" w:line="298"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t>The present value of accumulated benefits is calculated using the 1994 Group Annuity Mortality Table and a discount rate of 6.50% at both December 31, 2007 and December 31, 2008. Retirement in each case is assumed to be the earlier of normal retirement age or December 31, 2008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Tax-Qualified Pension Plans</w:t>
      </w:r>
    </w:p>
    <w:p>
      <w:pPr>
        <w:spacing w:after="0" w:line="77" w:lineRule="exact"/>
        <w:rPr>
          <w:sz w:val="20"/>
          <w:szCs w:val="20"/>
          <w:color w:val="auto"/>
        </w:rPr>
      </w:pPr>
    </w:p>
    <w:p>
      <w:pPr>
        <w:ind w:right="40" w:firstLine="228"/>
        <w:spacing w:after="0" w:line="301" w:lineRule="auto"/>
        <w:rPr>
          <w:sz w:val="20"/>
          <w:szCs w:val="20"/>
          <w:color w:val="auto"/>
        </w:rPr>
      </w:pPr>
      <w:r>
        <w:rPr>
          <w:rFonts w:ascii="Arial" w:cs="Arial" w:eastAsia="Arial" w:hAnsi="Arial"/>
          <w:sz w:val="15"/>
          <w:szCs w:val="15"/>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Mr. Gould is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4"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US were affected by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77"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Mr. Gould is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Effective January 2006, the Company adopted a French Supplementary Pension Plan for exempt employees in France. The plan complements existing national plans and provides a pension from age 60 when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01" w:right="239" w:bottom="1440" w:gutter="0" w:footer="0" w:header="0"/>
        </w:sectPr>
      </w:pPr>
    </w:p>
    <w:bookmarkStart w:id="36" w:name="page37"/>
    <w:bookmarkEnd w:id="3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7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have either been in the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Benefits under this plan are based on a participant’s admissible compensation (generally, base salary, incentive and geographical coefficient) for each year in which the employee participates in the plan and the employee’s length of service. Since January 1, 1993, the benefit earned has been 2.4% of admissible compensation prior to completion of 15 years of service and 3.2% of admissible compensation for each year of service after 15 years. Those employees who remain with Schlumberger beyond 20 years of service have the first 15 years of service upgraded to 3.2%. Benefits are payable upon normal retirement age, at or after age 55, or upon early retirement, at or after age 50 with 20 years of service.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Nonqualified Deferred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named executive officers.</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Withdrawals/</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49"/>
        </w:trPr>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FYE</w:t>
            </w:r>
          </w:p>
        </w:tc>
      </w:tr>
      <w:tr>
        <w:trPr>
          <w:trHeight w:val="174"/>
        </w:trPr>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3100" w:type="dxa"/>
            <w:vAlign w:val="bottom"/>
            <w:gridSpan w:val="2"/>
          </w:tcPr>
          <w:p>
            <w:pPr>
              <w:jc w:val="center"/>
              <w:ind w:left="2212"/>
              <w:spacing w:after="0"/>
              <w:rPr>
                <w:sz w:val="20"/>
                <w:szCs w:val="20"/>
                <w:color w:val="auto"/>
              </w:rPr>
            </w:pPr>
            <w:r>
              <w:rPr>
                <w:rFonts w:ascii="Arial" w:cs="Arial" w:eastAsia="Arial" w:hAnsi="Arial"/>
                <w:sz w:val="14"/>
                <w:szCs w:val="14"/>
                <w:b w:val="1"/>
                <w:bCs w:val="1"/>
                <w:color w:val="auto"/>
                <w:w w:val="81"/>
              </w:rPr>
              <w:t>($)</w:t>
            </w:r>
          </w:p>
        </w:tc>
        <w:tc>
          <w:tcPr>
            <w:tcW w:w="150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7"/>
              </w:rPr>
              <w:t>($)(1)</w:t>
            </w:r>
          </w:p>
        </w:tc>
        <w:tc>
          <w:tcPr>
            <w:tcW w:w="1300" w:type="dxa"/>
            <w:vAlign w:val="bottom"/>
            <w:gridSpan w:val="2"/>
          </w:tcPr>
          <w:p>
            <w:pPr>
              <w:jc w:val="center"/>
              <w:ind w:left="632"/>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7"/>
              </w:rPr>
              <w:t>($)(1)</w:t>
            </w:r>
          </w:p>
        </w:tc>
      </w:tr>
      <w:tr>
        <w:trPr>
          <w:trHeight w:val="95"/>
        </w:trPr>
        <w:tc>
          <w:tcPr>
            <w:tcW w:w="46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8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361,200</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421,400</w:t>
            </w:r>
          </w:p>
        </w:tc>
        <w:tc>
          <w:tcPr>
            <w:tcW w:w="19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(311,704)</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5,485,860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 Ayat</w:t>
            </w:r>
          </w:p>
        </w:tc>
        <w:tc>
          <w:tcPr>
            <w:tcW w:w="3880" w:type="dxa"/>
            <w:vAlign w:val="bottom"/>
          </w:tcPr>
          <w:p>
            <w:pPr>
              <w:jc w:val="right"/>
              <w:ind w:right="372"/>
              <w:spacing w:after="0"/>
              <w:rPr>
                <w:sz w:val="20"/>
                <w:szCs w:val="20"/>
                <w:color w:val="auto"/>
              </w:rPr>
            </w:pPr>
            <w:r>
              <w:rPr>
                <w:rFonts w:ascii="Arial" w:cs="Arial" w:eastAsia="Arial" w:hAnsi="Arial"/>
                <w:sz w:val="18"/>
                <w:szCs w:val="18"/>
                <w:color w:val="auto"/>
              </w:rPr>
              <w:t>81,918</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95,571</w:t>
            </w:r>
          </w:p>
        </w:tc>
        <w:tc>
          <w:tcPr>
            <w:tcW w:w="1900" w:type="dxa"/>
            <w:vAlign w:val="bottom"/>
          </w:tcPr>
          <w:p>
            <w:pPr>
              <w:jc w:val="right"/>
              <w:ind w:right="792"/>
              <w:spacing w:after="0"/>
              <w:rPr>
                <w:sz w:val="20"/>
                <w:szCs w:val="20"/>
                <w:color w:val="auto"/>
              </w:rPr>
            </w:pPr>
            <w:r>
              <w:rPr>
                <w:rFonts w:ascii="Arial" w:cs="Arial" w:eastAsia="Arial" w:hAnsi="Arial"/>
                <w:sz w:val="18"/>
                <w:szCs w:val="18"/>
                <w:color w:val="auto"/>
              </w:rPr>
              <w:t>(198,296)</w:t>
            </w: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922,719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3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173,436</w:t>
            </w:r>
          </w:p>
        </w:tc>
        <w:tc>
          <w:tcPr>
            <w:tcW w:w="19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(454,467)</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1,261,390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3880" w:type="dxa"/>
            <w:vAlign w:val="bottom"/>
          </w:tcPr>
          <w:p>
            <w:pPr>
              <w:jc w:val="right"/>
              <w:ind w:right="372"/>
              <w:spacing w:after="0"/>
              <w:rPr>
                <w:sz w:val="20"/>
                <w:szCs w:val="20"/>
                <w:color w:val="auto"/>
              </w:rPr>
            </w:pPr>
            <w:r>
              <w:rPr>
                <w:rFonts w:ascii="Arial" w:cs="Arial" w:eastAsia="Arial" w:hAnsi="Arial"/>
                <w:sz w:val="18"/>
                <w:szCs w:val="18"/>
                <w:color w:val="auto"/>
              </w:rPr>
              <w:t>66,306</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77,357</w:t>
            </w:r>
          </w:p>
        </w:tc>
        <w:tc>
          <w:tcPr>
            <w:tcW w:w="1900" w:type="dxa"/>
            <w:vAlign w:val="bottom"/>
          </w:tcPr>
          <w:p>
            <w:pPr>
              <w:jc w:val="right"/>
              <w:ind w:right="852"/>
              <w:spacing w:after="0"/>
              <w:rPr>
                <w:sz w:val="20"/>
                <w:szCs w:val="20"/>
                <w:color w:val="auto"/>
              </w:rPr>
            </w:pPr>
            <w:r>
              <w:rPr>
                <w:rFonts w:ascii="Arial" w:cs="Arial" w:eastAsia="Arial" w:hAnsi="Arial"/>
                <w:sz w:val="18"/>
                <w:szCs w:val="18"/>
                <w:color w:val="auto"/>
              </w:rPr>
              <w:t>27,882</w:t>
            </w: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519,339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38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178,170</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84,146</w:t>
            </w:r>
          </w:p>
        </w:tc>
        <w:tc>
          <w:tcPr>
            <w:tcW w:w="190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rPr>
              <w:t>38,214</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1,445,776</w:t>
            </w:r>
          </w:p>
        </w:tc>
      </w:tr>
      <w:tr>
        <w:trPr>
          <w:trHeight w:val="108"/>
        </w:trPr>
        <w:tc>
          <w:tcPr>
            <w:tcW w:w="176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97" w:lineRule="exact"/>
        <w:rPr>
          <w:sz w:val="20"/>
          <w:szCs w:val="20"/>
          <w:color w:val="auto"/>
        </w:rPr>
      </w:pPr>
    </w:p>
    <w:p>
      <w:pPr>
        <w:ind w:left="340" w:right="30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Company contributions and aggregate balances include amounts contributed by Schlumberger to nonqualified deferred compensation plans in 2009 with respect to fiscal 2008 compensation. For more information on the amount of company contributions, please read footnotes (8) through (12) to the Summary Compensation Table.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maintains the following nonqualified deferred compensation plans for employees, including executive officers:</w:t>
      </w:r>
    </w:p>
    <w:p>
      <w:pPr>
        <w:spacing w:after="0" w:line="15"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Limited Supplementary Benefit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3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Supplementary Benefit Plans—Non-Qualified Profit Sharing</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ind w:firstLine="228"/>
        <w:spacing w:after="0" w:line="288"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Restoration Savings Plans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4"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Profit Sharing Plan</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Additional Payments Upon Termination or Change in Control</w:t>
      </w:r>
    </w:p>
    <w:p>
      <w:pPr>
        <w:spacing w:after="0" w:line="7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Phased Retirement</w:t>
      </w:r>
    </w:p>
    <w:p>
      <w:pPr>
        <w:spacing w:after="0" w:line="77"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77"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terminates. The following summary reflects amendments made by the Board of Directors in January 2008 which provided for accelerated vesting on a termination due to death or disability.</w:t>
      </w:r>
    </w:p>
    <w:p>
      <w:pPr>
        <w:spacing w:after="0" w:line="122" w:lineRule="exact"/>
        <w:rPr>
          <w:sz w:val="20"/>
          <w:szCs w:val="20"/>
          <w:color w:val="auto"/>
        </w:rPr>
      </w:pPr>
    </w:p>
    <w:p>
      <w:pPr>
        <w:ind w:left="860"/>
        <w:spacing w:after="0"/>
        <w:tabs>
          <w:tab w:leader="none" w:pos="5900" w:val="left"/>
          <w:tab w:leader="none" w:pos="882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520" w:space="720"/>
            <w:col w:w="318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3600" w:type="dxa"/>
            <w:vAlign w:val="bottom"/>
          </w:tcPr>
          <w:p>
            <w:pPr>
              <w:ind w:left="580"/>
              <w:spacing w:after="0"/>
              <w:rPr>
                <w:sz w:val="20"/>
                <w:szCs w:val="20"/>
                <w:color w:val="auto"/>
              </w:rPr>
            </w:pPr>
            <w:r>
              <w:rPr>
                <w:rFonts w:ascii="Arial" w:cs="Arial" w:eastAsia="Arial" w:hAnsi="Arial"/>
                <w:sz w:val="18"/>
                <w:szCs w:val="18"/>
                <w:color w:val="auto"/>
              </w:rPr>
              <w:t>Options forfeited immediately.</w:t>
            </w:r>
          </w:p>
        </w:tc>
        <w:tc>
          <w:tcPr>
            <w:tcW w:w="4040" w:type="dxa"/>
            <w:vAlign w:val="bottom"/>
          </w:tcPr>
          <w:p>
            <w:pPr>
              <w:ind w:left="860"/>
              <w:spacing w:after="0"/>
              <w:rPr>
                <w:sz w:val="20"/>
                <w:szCs w:val="20"/>
                <w:color w:val="auto"/>
              </w:rPr>
            </w:pPr>
            <w:r>
              <w:rPr>
                <w:rFonts w:ascii="Arial" w:cs="Arial" w:eastAsia="Arial" w:hAnsi="Arial"/>
                <w:sz w:val="18"/>
                <w:szCs w:val="18"/>
                <w:color w:val="auto"/>
              </w:rPr>
              <w:t>None.</w:t>
            </w:r>
          </w:p>
        </w:tc>
      </w:tr>
      <w:tr>
        <w:trPr>
          <w:trHeight w:val="318"/>
        </w:trPr>
        <w:tc>
          <w:tcPr>
            <w:tcW w:w="3780" w:type="dxa"/>
            <w:vAlign w:val="bottom"/>
          </w:tcPr>
          <w:p>
            <w:pPr>
              <w:spacing w:after="0"/>
              <w:rPr>
                <w:sz w:val="20"/>
                <w:szCs w:val="20"/>
                <w:color w:val="auto"/>
              </w:rPr>
            </w:pPr>
            <w:r>
              <w:rPr>
                <w:rFonts w:ascii="Arial" w:cs="Arial" w:eastAsia="Arial" w:hAnsi="Arial"/>
                <w:sz w:val="18"/>
                <w:szCs w:val="18"/>
                <w:color w:val="auto"/>
              </w:rPr>
              <w:t>Disability</w:t>
            </w:r>
          </w:p>
        </w:tc>
        <w:tc>
          <w:tcPr>
            <w:tcW w:w="3600" w:type="dxa"/>
            <w:vAlign w:val="bottom"/>
          </w:tcPr>
          <w:p>
            <w:pPr>
              <w:ind w:left="580"/>
              <w:spacing w:after="0"/>
              <w:rPr>
                <w:sz w:val="20"/>
                <w:szCs w:val="20"/>
                <w:color w:val="auto"/>
              </w:rPr>
            </w:pPr>
            <w:r>
              <w:rPr>
                <w:rFonts w:ascii="Arial" w:cs="Arial" w:eastAsia="Arial" w:hAnsi="Arial"/>
                <w:sz w:val="18"/>
                <w:szCs w:val="18"/>
                <w:color w:val="auto"/>
              </w:rPr>
              <w:t>Full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Exercisable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period after termination by disability or</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5"/>
              </w:rPr>
              <w:t>during the remainder of the option period,</w:t>
            </w:r>
          </w:p>
        </w:tc>
      </w:tr>
      <w:tr>
        <w:trPr>
          <w:trHeight w:val="299"/>
        </w:trPr>
        <w:tc>
          <w:tcPr>
            <w:tcW w:w="3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r>
              <w:rPr>
                <w:rFonts w:ascii="Arial" w:cs="Arial" w:eastAsia="Arial" w:hAnsi="Arial"/>
                <w:sz w:val="22"/>
                <w:szCs w:val="22"/>
                <w:color w:val="auto"/>
                <w:vertAlign w:val="superscript"/>
              </w:rPr>
              <w:t>*</w:t>
            </w:r>
          </w:p>
        </w:tc>
      </w:tr>
      <w:tr>
        <w:trPr>
          <w:trHeight w:val="241"/>
        </w:trPr>
        <w:tc>
          <w:tcPr>
            <w:tcW w:w="3780" w:type="dxa"/>
            <w:vAlign w:val="bottom"/>
          </w:tcPr>
          <w:p>
            <w:pPr>
              <w:spacing w:after="0"/>
              <w:rPr>
                <w:sz w:val="20"/>
                <w:szCs w:val="20"/>
                <w:color w:val="auto"/>
              </w:rPr>
            </w:pPr>
            <w:r>
              <w:rPr>
                <w:rFonts w:ascii="Arial" w:cs="Arial" w:eastAsia="Arial" w:hAnsi="Arial"/>
                <w:sz w:val="18"/>
                <w:szCs w:val="18"/>
                <w:color w:val="auto"/>
              </w:rPr>
              <w:t>Retirement (as defined in the applicable plan)</w:t>
            </w:r>
          </w:p>
        </w:tc>
        <w:tc>
          <w:tcPr>
            <w:tcW w:w="3600" w:type="dxa"/>
            <w:vAlign w:val="bottom"/>
          </w:tcPr>
          <w:p>
            <w:pPr>
              <w:ind w:left="580"/>
              <w:spacing w:after="0"/>
              <w:rPr>
                <w:sz w:val="20"/>
                <w:szCs w:val="20"/>
                <w:color w:val="auto"/>
              </w:rPr>
            </w:pPr>
            <w:r>
              <w:rPr>
                <w:rFonts w:ascii="Arial" w:cs="Arial" w:eastAsia="Arial" w:hAnsi="Arial"/>
                <w:sz w:val="18"/>
                <w:szCs w:val="18"/>
                <w:color w:val="auto"/>
              </w:rPr>
              <w:t>No additional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99"/>
              </w:rPr>
              <w:t>Exercisable (to the extent exercisable at</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termination)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9"/>
              </w:rPr>
              <w:t>period after termination by retirement or</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5"/>
              </w:rPr>
              <w:t>during the remainder of the option period,</w:t>
            </w:r>
          </w:p>
        </w:tc>
      </w:tr>
      <w:tr>
        <w:trPr>
          <w:trHeight w:val="222"/>
        </w:trPr>
        <w:tc>
          <w:tcPr>
            <w:tcW w:w="3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p>
        </w:tc>
      </w:tr>
      <w:tr>
        <w:trPr>
          <w:trHeight w:val="318"/>
        </w:trPr>
        <w:tc>
          <w:tcPr>
            <w:tcW w:w="3780" w:type="dxa"/>
            <w:vAlign w:val="bottom"/>
          </w:tcPr>
          <w:p>
            <w:pPr>
              <w:spacing w:after="0"/>
              <w:rPr>
                <w:sz w:val="20"/>
                <w:szCs w:val="20"/>
                <w:color w:val="auto"/>
              </w:rPr>
            </w:pPr>
            <w:r>
              <w:rPr>
                <w:rFonts w:ascii="Arial" w:cs="Arial" w:eastAsia="Arial" w:hAnsi="Arial"/>
                <w:sz w:val="18"/>
                <w:szCs w:val="18"/>
                <w:color w:val="auto"/>
              </w:rPr>
              <w:t>Death</w:t>
            </w:r>
          </w:p>
        </w:tc>
        <w:tc>
          <w:tcPr>
            <w:tcW w:w="3600" w:type="dxa"/>
            <w:vAlign w:val="bottom"/>
          </w:tcPr>
          <w:p>
            <w:pPr>
              <w:ind w:left="580"/>
              <w:spacing w:after="0"/>
              <w:rPr>
                <w:sz w:val="20"/>
                <w:szCs w:val="20"/>
                <w:color w:val="auto"/>
              </w:rPr>
            </w:pPr>
            <w:r>
              <w:rPr>
                <w:rFonts w:ascii="Arial" w:cs="Arial" w:eastAsia="Arial" w:hAnsi="Arial"/>
                <w:sz w:val="18"/>
                <w:szCs w:val="18"/>
                <w:color w:val="auto"/>
              </w:rPr>
              <w:t>Full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Exercisable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4"/>
              </w:rPr>
              <w:t>period after termination by death or during</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the remainder of the option period,</w:t>
            </w:r>
          </w:p>
        </w:tc>
      </w:tr>
      <w:tr>
        <w:trPr>
          <w:trHeight w:val="222"/>
        </w:trPr>
        <w:tc>
          <w:tcPr>
            <w:tcW w:w="3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0" w:lineRule="exact"/>
        <w:rPr>
          <w:sz w:val="20"/>
          <w:szCs w:val="20"/>
          <w:color w:val="auto"/>
        </w:rPr>
      </w:pPr>
    </w:p>
    <w:p>
      <w:pPr>
        <w:ind w:left="340" w:right="260" w:hanging="332"/>
        <w:spacing w:after="0" w:line="258" w:lineRule="auto"/>
        <w:tabs>
          <w:tab w:leader="none" w:pos="340" w:val="left"/>
        </w:tabs>
        <w:numPr>
          <w:ilvl w:val="0"/>
          <w:numId w:val="44"/>
        </w:numPr>
        <w:rPr>
          <w:rFonts w:ascii="Arial" w:cs="Arial" w:eastAsia="Arial" w:hAnsi="Arial"/>
          <w:sz w:val="11"/>
          <w:szCs w:val="11"/>
          <w:color w:val="auto"/>
        </w:rPr>
      </w:pPr>
      <w:r>
        <w:rPr>
          <w:rFonts w:ascii="Arial" w:cs="Arial" w:eastAsia="Arial" w:hAnsi="Arial"/>
          <w:sz w:val="14"/>
          <w:szCs w:val="14"/>
          <w:color w:val="auto"/>
        </w:rPr>
        <w:t>In order to preserve U.S. preferential tax treatment, the additional 60-month exercise period following a termination due to disability is not applicable to incentive stock options granted prior to January 2008, and such awards are only exercisable for 3 months following termination of employment.</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type w:val="continuous"/>
        </w:sectPr>
      </w:pPr>
    </w:p>
    <w:bookmarkStart w:id="39" w:name="page40"/>
    <w:bookmarkEnd w:id="39"/>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77"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31, 2008 that would become vested upon the occurrence of one of the events described in the preceding sentence.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Amount ($)(1)</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S. Ayat</w:t>
            </w:r>
          </w:p>
        </w:tc>
        <w:tc>
          <w:tcPr>
            <w:tcW w:w="1560" w:type="dxa"/>
            <w:vAlign w:val="bottom"/>
          </w:tcPr>
          <w:p>
            <w:pPr>
              <w:jc w:val="right"/>
              <w:spacing w:after="0"/>
              <w:rPr>
                <w:sz w:val="20"/>
                <w:szCs w:val="20"/>
                <w:color w:val="auto"/>
              </w:rPr>
            </w:pPr>
            <w:r>
              <w:rPr>
                <w:rFonts w:ascii="Arial" w:cs="Arial" w:eastAsia="Arial" w:hAnsi="Arial"/>
                <w:sz w:val="18"/>
                <w:szCs w:val="18"/>
                <w:color w:val="auto"/>
              </w:rPr>
              <w:t>148,125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Sbiti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D. Boutte</w:t>
            </w:r>
          </w:p>
        </w:tc>
        <w:tc>
          <w:tcPr>
            <w:tcW w:w="1560" w:type="dxa"/>
            <w:vAlign w:val="bottom"/>
          </w:tcPr>
          <w:p>
            <w:pPr>
              <w:jc w:val="right"/>
              <w:spacing w:after="0"/>
              <w:rPr>
                <w:sz w:val="20"/>
                <w:szCs w:val="20"/>
                <w:color w:val="auto"/>
              </w:rPr>
            </w:pPr>
            <w:r>
              <w:rPr>
                <w:rFonts w:ascii="Arial" w:cs="Arial" w:eastAsia="Arial" w:hAnsi="Arial"/>
                <w:sz w:val="18"/>
                <w:szCs w:val="18"/>
                <w:color w:val="auto"/>
              </w:rPr>
              <w:t>246,875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Pai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148,125</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Calculated based on the difference between the closing price of Schlumberger common stock on December 31, 2008 ($42.33) and the exercise price of unvested stock options as of such date.</w:t>
      </w:r>
    </w:p>
    <w:p>
      <w:pPr>
        <w:spacing w:after="0" w:line="16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Retirement Plans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Retiree Medical</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80"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2008.</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&amp; Nonqualified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52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Awards(3)</w:t>
            </w:r>
          </w:p>
        </w:tc>
        <w:tc>
          <w:tcPr>
            <w:tcW w:w="5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93"/>
              </w:rPr>
              <w:t>(4)</w:t>
            </w:r>
          </w:p>
        </w:tc>
        <w:tc>
          <w:tcPr>
            <w:tcW w:w="5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(5)</w:t>
            </w:r>
          </w:p>
        </w:tc>
      </w:tr>
      <w:tr>
        <w:trPr>
          <w:trHeight w:val="174"/>
        </w:trPr>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gridSpan w:val="2"/>
          </w:tcPr>
          <w:p>
            <w:pPr>
              <w:jc w:val="center"/>
              <w:ind w:left="1692"/>
              <w:spacing w:after="0"/>
              <w:rPr>
                <w:sz w:val="20"/>
                <w:szCs w:val="20"/>
                <w:color w:val="auto"/>
              </w:rPr>
            </w:pPr>
            <w:r>
              <w:rPr>
                <w:rFonts w:ascii="Arial" w:cs="Arial" w:eastAsia="Arial" w:hAnsi="Arial"/>
                <w:sz w:val="14"/>
                <w:szCs w:val="14"/>
                <w:b w:val="1"/>
                <w:bCs w:val="1"/>
                <w:color w:val="auto"/>
                <w:w w:val="89"/>
              </w:rPr>
              <w:t>($)(1)(2)</w:t>
            </w:r>
          </w:p>
        </w:tc>
        <w:tc>
          <w:tcPr>
            <w:tcW w:w="11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81"/>
              </w:rPr>
              <w:t>($)</w:t>
            </w:r>
          </w:p>
        </w:tc>
        <w:tc>
          <w:tcPr>
            <w:tcW w:w="136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r>
      <w:tr>
        <w:trPr>
          <w:trHeight w:val="95"/>
        </w:trPr>
        <w:tc>
          <w:tcPr>
            <w:tcW w:w="4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Jamie S. Gorelick</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107,500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117,500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 Kudryavtsev</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Adrian Lajous</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Michael Marks</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301,100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Didier Primat(6)</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Leo Rafael Reif</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Nicolas Seydoux(7)</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311,100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Rana Talwar(8)</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22,500</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140" w:hanging="332"/>
        <w:spacing w:after="0" w:line="28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Directors receive an annual retainer of $100,000 plus an additional annual fee of $10,000 for membership on each committee. The chair of each committee receives an additional annual fee of $20,000 in lieu of the additional annual fee of $10,000 for committee membership. In July 2008, the Compensation Committee reviewed the then-current director compensation program and increased the director retainer’s fee from $60,000 to $100,000, effective September 1, 2008. Neither the annual fee for committee membership nor the chair fee changed as a result.</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Gorelick and Mr. Marks each deferred receipt of their director fees until no earlier than the time each such person ceases to be a director.</w:t>
      </w:r>
    </w:p>
    <w:p>
      <w:pPr>
        <w:spacing w:after="0" w:line="55"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Schlumberger’s current practice is to grant each non-employee director shares of Schlumberger common stock each April. On April 30, 2008, Schlumberger granted each non-employee director 2,000 shares of Schlumberger common stock. Each amount set forth in the “Stock Awards” column in the Director Compensation table is equal to the number of shares of common stock issued, multiplied by $100.55, which was the closing price of Schlumberger’s common stock on April 30, 2008, the date of grant.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25" w:lineRule="exact"/>
        <w:rPr>
          <w:rFonts w:ascii="Arial" w:cs="Arial" w:eastAsia="Arial" w:hAnsi="Arial"/>
          <w:sz w:val="12"/>
          <w:szCs w:val="12"/>
          <w:color w:val="auto"/>
        </w:rPr>
      </w:pPr>
    </w:p>
    <w:p>
      <w:pPr>
        <w:ind w:left="340" w:right="20"/>
        <w:spacing w:after="0" w:line="233" w:lineRule="auto"/>
        <w:rPr>
          <w:rFonts w:ascii="Arial" w:cs="Arial" w:eastAsia="Arial" w:hAnsi="Arial"/>
          <w:sz w:val="12"/>
          <w:szCs w:val="12"/>
          <w:color w:val="auto"/>
        </w:rPr>
      </w:pPr>
      <w:r>
        <w:rPr>
          <w:rFonts w:ascii="Arial" w:cs="Arial" w:eastAsia="Arial" w:hAnsi="Arial"/>
          <w:sz w:val="14"/>
          <w:szCs w:val="14"/>
          <w:color w:val="auto"/>
        </w:rPr>
        <w:t>In July 2008, the Compensation Committee increased the annual grant of Schlumberger common stock to non-employee directors, to 2,250 shares of Schlumberger common stock. A non-employee director may elect to defer the receipt of all or part of a stock award. For information on the number of shares of Schlumberger common stock deferred by directors, please read the footnotes to the table under “Security Ownership of Certain Beneficial Owners and Management” on page 4.</w:t>
      </w:r>
    </w:p>
    <w:p>
      <w:pPr>
        <w:spacing w:after="0" w:line="44" w:lineRule="exact"/>
        <w:rPr>
          <w:rFonts w:ascii="Arial" w:cs="Arial" w:eastAsia="Arial" w:hAnsi="Arial"/>
          <w:sz w:val="12"/>
          <w:szCs w:val="12"/>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Gorelick and Messrs. Lajous and Marks each deferred receipt of 2,000 shares until no earlier than the time each such person ceases to be a director.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Schlumberger also reimburses directors for out-of-pocket expenses attendant to Board membership.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Primat passed away in July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Seydoux is not standing for re-election at the 2009 Annual General Meeting of Stockholders.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Talwar was a director for part of 2008. He did not stand for re-election at the 2008 Annual General Meeting of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2008, its Consolidated Statement of Income for the year ended December 31, 2008, as audited by PricewaterhouseCoopers LLP, and the amount of dividends declared by the Board of Directors during 2008 are submitted to the stockholders pursuant to Schlumberger’s Articles of Incorporation.</w:t>
      </w:r>
    </w:p>
    <w:p>
      <w:pPr>
        <w:spacing w:after="0" w:line="1"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2008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Shareholder Proposal on Advisory Vote on Named Executive Officer Compensation</w:t>
      </w:r>
    </w:p>
    <w:p>
      <w:pPr>
        <w:spacing w:after="0" w:line="164"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James McRitchie and Myra K. Young, 9295 Yorkship Court, Elk Grove, CA 95758, owners of at least $2,000 in market value of shares of common stock, have advised the Company that they have designated John Chevedden as proxy and intend to present the following resolution at the Annual General Meeting of Stockholders. Approval of this proposal would require a vote in favor by a majority of the votes cast (excluding any abstentions) at the Annual General Meeting of Stockholders. Rule 14a-8(h)(1) of the Exchange Act requires that the shareholder proponent or his or her qualified representative attend the meeting to present the proposal. Failure to attend the meeting and present the proposal will result in the proposal not being called for a vote at the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Shareholder Resolution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344274"/>
        </w:rPr>
        <w:t>Shareholder Say on Executive Pay</w:t>
      </w:r>
    </w:p>
    <w:p>
      <w:pPr>
        <w:spacing w:after="0" w:line="83"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RESOLVED, that shareholders request our board of directors to adopt a policy that provides shareholders the opportunity at each annual shareholder meeting to vote on an advisory resolution, proposed by management, to ratify the compensation of the named executive officers set forth in the proxy statement’s Summary Compensation Table and the accompanying narrative disclosure of material factors provided to understand the Summary Compensation Table (but not the Compensation Discussion and Analysis). The proposal submitted to shareholders should make clear that the vote is non-binding and would not affect any compensation paid or awarded to any named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Shareholder Statement Supporting Item 3</w:t>
      </w:r>
    </w:p>
    <w:p>
      <w:pPr>
        <w:spacing w:after="0" w:line="83" w:lineRule="exact"/>
        <w:rPr>
          <w:sz w:val="20"/>
          <w:szCs w:val="20"/>
          <w:color w:val="auto"/>
        </w:rPr>
      </w:pPr>
    </w:p>
    <w:p>
      <w:pPr>
        <w:ind w:right="140" w:firstLine="228"/>
        <w:spacing w:after="0" w:line="286" w:lineRule="auto"/>
        <w:rPr>
          <w:sz w:val="20"/>
          <w:szCs w:val="20"/>
          <w:color w:val="auto"/>
        </w:rPr>
      </w:pPr>
      <w:r>
        <w:rPr>
          <w:rFonts w:ascii="Arial" w:cs="Arial" w:eastAsia="Arial" w:hAnsi="Arial"/>
          <w:sz w:val="16"/>
          <w:szCs w:val="16"/>
          <w:color w:val="auto"/>
        </w:rPr>
        <w:t>Investors are increasingly concerned about mushrooming executive pay especially when it is insufficiently linked to performance. In 2008, shareholders filed close to 100 “Say on Pay” resolutions. Votes on these resolutions averaged 43% in favor, with ten votes over 50%, demonstrating strong shareholder support.</w:t>
      </w:r>
    </w:p>
    <w:p>
      <w:pPr>
        <w:ind w:right="60" w:firstLine="228"/>
        <w:spacing w:after="0" w:line="250" w:lineRule="auto"/>
        <w:rPr>
          <w:sz w:val="20"/>
          <w:szCs w:val="20"/>
          <w:color w:val="auto"/>
        </w:rPr>
      </w:pPr>
      <w:r>
        <w:rPr>
          <w:rFonts w:ascii="Arial" w:cs="Arial" w:eastAsia="Arial" w:hAnsi="Arial"/>
          <w:sz w:val="18"/>
          <w:szCs w:val="18"/>
          <w:color w:val="auto"/>
        </w:rPr>
        <w:t>To date eight companies have agreed to an Advisory Vote, including Verizon, MBIA, H&amp;R Block, Blockbuster, and Tech Data. TIAA-CREF, the country’s largest pension fund, has successfully utilized the Advisory Vote twice. On the other hand shareholders at Wachovia and Merrill Lynch did not support 2008 “Say on Pay” ballot proposals. Now these shareholders don’t have much of a say on anything.</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“There should be no doubt that executive compensation lies at the root of the current financial crisis,” wrote Paul Hodgson, a senior research associate with The Corporate Library, an independent investment research firm. “There is a direct link between the behaviors that led to this financial collapse and the short-term compensation programs so common in financial services companies that rewarded short-term gains and short-term stock price increases with extremely generous pay levels.”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Nell Minow said, “If the board can’t get executive compensation right, it’s been shown it won’t get anything else right either.”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ind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Corporate Library (TCL) www.thecorporatelibrary.com rated our company “High Concern” in CEO pay—$17 million and said this raised, concerns about the link between executive pay and company performance and in some cases was difficult to justify.</w:t>
      </w:r>
    </w:p>
    <w:p>
      <w:pPr>
        <w:ind w:right="560" w:firstLine="228"/>
        <w:spacing w:after="0" w:line="281" w:lineRule="auto"/>
        <w:rPr>
          <w:sz w:val="20"/>
          <w:szCs w:val="20"/>
          <w:color w:val="auto"/>
        </w:rPr>
      </w:pPr>
      <w:r>
        <w:rPr>
          <w:rFonts w:ascii="Arial" w:cs="Arial" w:eastAsia="Arial" w:hAnsi="Arial"/>
          <w:sz w:val="16"/>
          <w:szCs w:val="16"/>
          <w:color w:val="auto"/>
        </w:rPr>
        <w:t>The merits of this Shareholder Say on Executive Pay proposal should also be considered in the context of the need for improvements in our company’s corporate governance and in individual director performance. In 2008 the following governance and performance issues were identified:</w:t>
      </w:r>
    </w:p>
    <w:p>
      <w:pPr>
        <w:spacing w:after="0" w:line="1"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did not have an Independent Chairman—Independence concern.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Three directors had 15 to 26 years tenure (Independence concern) and two of these directors served on our executive pay committee:</w:t>
      </w:r>
    </w:p>
    <w:p>
      <w:pPr>
        <w:spacing w:after="0" w:line="59" w:lineRule="exact"/>
        <w:rPr>
          <w:rFonts w:ascii="Arial" w:cs="Arial" w:eastAsia="Arial" w:hAnsi="Arial"/>
          <w:sz w:val="16"/>
          <w:szCs w:val="16"/>
          <w:color w:val="auto"/>
        </w:rPr>
      </w:pPr>
    </w:p>
    <w:p>
      <w:pPr>
        <w:ind w:left="920" w:right="8900"/>
        <w:spacing w:after="0" w:line="284" w:lineRule="auto"/>
        <w:rPr>
          <w:rFonts w:ascii="Arial" w:cs="Arial" w:eastAsia="Arial" w:hAnsi="Arial"/>
          <w:sz w:val="16"/>
          <w:szCs w:val="16"/>
          <w:color w:val="auto"/>
        </w:rPr>
      </w:pPr>
      <w:r>
        <w:rPr>
          <w:rFonts w:ascii="Arial" w:cs="Arial" w:eastAsia="Arial" w:hAnsi="Arial"/>
          <w:sz w:val="16"/>
          <w:szCs w:val="16"/>
          <w:color w:val="auto"/>
        </w:rPr>
        <w:t>Linda Gillespie Stuntz Didier Primat Nicolas Seydoux</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 other directors on the same executive pay committee also served on boards rated “D” by The Corporate Library:</w:t>
      </w:r>
    </w:p>
    <w:p>
      <w:pPr>
        <w:sectPr>
          <w:pgSz w:w="11900" w:h="16838" w:orient="portrait"/>
          <w:cols w:equalWidth="0" w:num="1">
            <w:col w:w="11400"/>
          </w:cols>
          <w:pgMar w:left="240" w:top="280" w:right="259" w:bottom="1440" w:gutter="0" w:footer="0" w:header="0"/>
        </w:sectPr>
      </w:pPr>
    </w:p>
    <w:p>
      <w:pPr>
        <w:spacing w:after="0" w:line="30" w:lineRule="exact"/>
        <w:rPr>
          <w:sz w:val="20"/>
          <w:szCs w:val="20"/>
          <w:color w:val="auto"/>
        </w:rPr>
      </w:pPr>
    </w:p>
    <w:p>
      <w:pPr>
        <w:ind w:left="860"/>
        <w:spacing w:after="0"/>
        <w:tabs>
          <w:tab w:leader="none" w:pos="6180" w:val="left"/>
        </w:tabs>
        <w:rPr>
          <w:sz w:val="20"/>
          <w:szCs w:val="20"/>
          <w:color w:val="auto"/>
        </w:rPr>
      </w:pPr>
      <w:r>
        <w:rPr>
          <w:rFonts w:ascii="Arial" w:cs="Arial" w:eastAsia="Arial" w:hAnsi="Arial"/>
          <w:sz w:val="18"/>
          <w:szCs w:val="18"/>
          <w:color w:val="auto"/>
        </w:rPr>
        <w:t>Jamie Gorelick</w:t>
      </w:r>
      <w:r>
        <w:rPr>
          <w:sz w:val="20"/>
          <w:szCs w:val="20"/>
          <w:color w:val="auto"/>
        </w:rPr>
        <w:tab/>
      </w:r>
      <w:r>
        <w:rPr>
          <w:rFonts w:ascii="Arial" w:cs="Arial" w:eastAsia="Arial" w:hAnsi="Arial"/>
          <w:sz w:val="16"/>
          <w:szCs w:val="16"/>
          <w:color w:val="auto"/>
        </w:rPr>
        <w:t>United Technologies (UTX)</w:t>
      </w:r>
    </w:p>
    <w:p>
      <w:pPr>
        <w:spacing w:after="0" w:line="15" w:lineRule="exact"/>
        <w:rPr>
          <w:sz w:val="20"/>
          <w:szCs w:val="20"/>
          <w:color w:val="auto"/>
        </w:rPr>
      </w:pPr>
    </w:p>
    <w:p>
      <w:pPr>
        <w:ind w:left="860"/>
        <w:spacing w:after="0"/>
        <w:tabs>
          <w:tab w:leader="none" w:pos="6180" w:val="left"/>
        </w:tabs>
        <w:rPr>
          <w:sz w:val="20"/>
          <w:szCs w:val="20"/>
          <w:color w:val="auto"/>
        </w:rPr>
      </w:pPr>
      <w:r>
        <w:rPr>
          <w:rFonts w:ascii="Arial" w:cs="Arial" w:eastAsia="Arial" w:hAnsi="Arial"/>
          <w:sz w:val="18"/>
          <w:szCs w:val="18"/>
          <w:color w:val="auto"/>
        </w:rPr>
        <w:t>Adrian Lajous</w:t>
      </w:r>
      <w:r>
        <w:rPr>
          <w:sz w:val="20"/>
          <w:szCs w:val="20"/>
          <w:color w:val="auto"/>
        </w:rPr>
        <w:tab/>
      </w:r>
      <w:r>
        <w:rPr>
          <w:rFonts w:ascii="Arial" w:cs="Arial" w:eastAsia="Arial" w:hAnsi="Arial"/>
          <w:sz w:val="16"/>
          <w:szCs w:val="16"/>
          <w:color w:val="auto"/>
        </w:rPr>
        <w:t>Trinity Industries (TRN)</w:t>
      </w:r>
    </w:p>
    <w:p>
      <w:pPr>
        <w:sectPr>
          <w:pgSz w:w="11900" w:h="16838" w:orient="portrait"/>
          <w:cols w:equalWidth="0" w:num="1">
            <w:col w:w="11400"/>
          </w:cols>
          <w:pgMar w:left="240" w:top="280" w:right="259" w:bottom="1440" w:gutter="0" w:footer="0" w:header="0"/>
          <w:type w:val="continuous"/>
        </w:sectPr>
      </w:pPr>
    </w:p>
    <w:p>
      <w:pPr>
        <w:spacing w:after="0" w:line="9" w:lineRule="exact"/>
        <w:rPr>
          <w:sz w:val="20"/>
          <w:szCs w:val="20"/>
          <w:color w:val="auto"/>
        </w:rPr>
      </w:pPr>
    </w:p>
    <w:p>
      <w:pPr>
        <w:jc w:val="center"/>
        <w:ind w:left="460" w:right="2980" w:hanging="6"/>
        <w:spacing w:after="0" w:line="517" w:lineRule="auto"/>
        <w:tabs>
          <w:tab w:leader="none" w:pos="773" w:val="left"/>
        </w:tabs>
        <w:numPr>
          <w:ilvl w:val="0"/>
          <w:numId w:val="48"/>
        </w:numPr>
        <w:rPr>
          <w:rFonts w:ascii="Arial" w:cs="Arial" w:eastAsia="Arial" w:hAnsi="Arial"/>
          <w:sz w:val="15"/>
          <w:szCs w:val="15"/>
          <w:color w:val="auto"/>
        </w:rPr>
      </w:pPr>
      <w:r>
        <w:rPr>
          <w:rFonts w:ascii="Arial" w:cs="Arial" w:eastAsia="Arial" w:hAnsi="Arial"/>
          <w:sz w:val="15"/>
          <w:szCs w:val="15"/>
          <w:color w:val="auto"/>
        </w:rPr>
        <w:t>Nicolas Seydoux, with 26-years tenure (independence concern), chaired our key nomination committee. The above concerns shows there is need for improvement. I urge our board to respond positively to this proposal: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Shareholder Say on Executive Pay—Yes 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177800</wp:posOffset>
            </wp:positionV>
            <wp:extent cx="10375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Board of Directors’ Response</w:t>
      </w:r>
    </w:p>
    <w:p>
      <w:pPr>
        <w:spacing w:after="0" w:line="83"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The Schlumberger Board of Directors recognizes that executive compensation is of significant concern to shareholders of public companies and has considered this proposal and the issues surrounding shareholder ratification of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AGAINST Item No. 3 for the following reasons.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Schlumberger’s executive compensation policies and practices are balanced and responsible.</w:t>
      </w:r>
    </w:p>
    <w:p>
      <w:pPr>
        <w:spacing w:after="0" w:line="77" w:lineRule="exact"/>
        <w:rPr>
          <w:sz w:val="20"/>
          <w:szCs w:val="20"/>
          <w:color w:val="auto"/>
        </w:rPr>
      </w:pPr>
    </w:p>
    <w:p>
      <w:pPr>
        <w:ind w:left="780" w:right="80" w:hanging="326"/>
        <w:spacing w:after="0" w:line="284"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more fully explained in our Compensation Discussion and Analysis (“CD&amp;A”) beginning on page 14 of this proxy statement, a significant portion of the total pay of our named executive officers is “at risk” (contingent on positive annual results and positive stock price performance). Approximately 65% to 80% of total pay opportunities for our named executive officers in 2008 depended on company and individual performance.</w:t>
      </w:r>
    </w:p>
    <w:p>
      <w:pPr>
        <w:spacing w:after="0" w:line="1" w:lineRule="exact"/>
        <w:rPr>
          <w:rFonts w:ascii="Arial" w:cs="Arial" w:eastAsia="Arial" w:hAnsi="Arial"/>
          <w:sz w:val="16"/>
          <w:szCs w:val="16"/>
          <w:color w:val="auto"/>
        </w:rPr>
      </w:pPr>
    </w:p>
    <w:p>
      <w:pPr>
        <w:ind w:left="780" w:right="20" w:hanging="326"/>
        <w:spacing w:after="0" w:line="250"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Schlumberger uses stock options as its sole long-term incentive for its named executive officers, as it believes that they align employee incentives with the interests of our other stockholders.</w:t>
      </w:r>
    </w:p>
    <w:p>
      <w:pPr>
        <w:ind w:left="920"/>
        <w:spacing w:after="0"/>
        <w:rPr>
          <w:rFonts w:ascii="Arial" w:cs="Arial" w:eastAsia="Arial" w:hAnsi="Arial"/>
          <w:sz w:val="18"/>
          <w:szCs w:val="18"/>
          <w:color w:val="auto"/>
        </w:rPr>
      </w:pPr>
      <w:r>
        <w:rPr>
          <w:rFonts w:ascii="Arial" w:cs="Arial" w:eastAsia="Arial" w:hAnsi="Arial"/>
          <w:sz w:val="16"/>
          <w:szCs w:val="16"/>
          <w:color w:val="auto"/>
        </w:rPr>
        <w:t>The Compensation Committee believes that making a significant portion of an executive officer’s compensation at risk has the following benefits:</w:t>
      </w:r>
    </w:p>
    <w:p>
      <w:pPr>
        <w:spacing w:after="0" w:line="32"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fosters a results-driven, pay for performance culture;</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creates a sense of ownership among our executives in the financial health and long-term success of the Company;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properly aligns the interests of our executives with those of our other stockholders.</w:t>
      </w:r>
    </w:p>
    <w:p>
      <w:pPr>
        <w:spacing w:after="0" w:line="36" w:lineRule="exact"/>
        <w:rPr>
          <w:rFonts w:ascii="Arial" w:cs="Arial" w:eastAsia="Arial" w:hAnsi="Arial"/>
          <w:sz w:val="18"/>
          <w:szCs w:val="18"/>
          <w:color w:val="auto"/>
        </w:rPr>
      </w:pPr>
    </w:p>
    <w:p>
      <w:pPr>
        <w:ind w:left="780" w:right="140" w:hanging="326"/>
        <w:spacing w:after="0" w:line="25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Schlumberger’s results-driven, pay for performance approach means that executive compensation can increase or decrease significantly from year to year. Additionally, aggressive target setting has most recently resulted in zero payout of the financial half of annual cash incentive for 2008 performance; below-target payout of the financial half of annual cash incentive for 2003 performance; and zero-payout of the financial half of annual cash incentive for 2002 performance.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type w:val="continuous"/>
        </w:sectPr>
      </w:pPr>
    </w:p>
    <w:bookmarkStart w:id="43" w:name="page44"/>
    <w:bookmarkEnd w:id="43"/>
    <w:p>
      <w:pPr>
        <w:ind w:left="780" w:right="240" w:hanging="326"/>
        <w:spacing w:after="0" w:line="286"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Schlumberger’s named executive officers have employment agreements, or any “golden parachute” or other severance or change in control agreements. All of Schlumberger’s named executive officers are “at-will” employees, meaning that they serve at the will of our Board.</w:t>
      </w:r>
    </w:p>
    <w:p>
      <w:pPr>
        <w:ind w:left="780" w:right="240" w:hanging="326"/>
        <w:spacing w:after="0" w:line="250"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does not reset performance targets because of market deterioration or less-than-expected Company performance, and neither have we done so this year for 2008 executive compensation.</w:t>
      </w:r>
    </w:p>
    <w:p>
      <w:pPr>
        <w:ind w:left="780" w:right="260" w:hanging="326"/>
        <w:spacing w:after="0" w:line="281"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Schlumberger’s stock option plans do not permit the granting of stock options at a price below the fair market value on the grant date; re-pricing, or reducing the exercise price of a stock option; substituting a new option grant with an exercise price lower than the exercise price of an outstanding option grant; providing grants with a reload vehicle; or acceleration of vesting upon retirement.</w:t>
      </w:r>
    </w:p>
    <w:p>
      <w:pPr>
        <w:spacing w:after="0" w:line="2" w:lineRule="exact"/>
        <w:rPr>
          <w:rFonts w:ascii="Arial" w:cs="Arial" w:eastAsia="Arial" w:hAnsi="Arial"/>
          <w:sz w:val="16"/>
          <w:szCs w:val="16"/>
          <w:color w:val="auto"/>
        </w:rPr>
      </w:pPr>
    </w:p>
    <w:p>
      <w:pPr>
        <w:ind w:left="780" w:right="180" w:hanging="326"/>
        <w:spacing w:after="0" w:line="250"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provides only minimum perquisites to its named executive officers. The same perquisites enjoyed by our named executive officers are generally available to all of our professional-level employees.</w:t>
      </w: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has a policy of recouping performance-based bonuses in the event of specified restatements of financial results.</w:t>
      </w:r>
    </w:p>
    <w:p>
      <w:pPr>
        <w:spacing w:after="0" w:line="29" w:lineRule="exact"/>
        <w:rPr>
          <w:rFonts w:ascii="Arial" w:cs="Arial" w:eastAsia="Arial" w:hAnsi="Arial"/>
          <w:sz w:val="18"/>
          <w:szCs w:val="18"/>
          <w:color w:val="auto"/>
        </w:rPr>
      </w:pPr>
    </w:p>
    <w:p>
      <w:pPr>
        <w:ind w:left="780" w:hanging="326"/>
        <w:spacing w:after="0" w:line="252"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date, Schlumberger has not awarded any restricted stock or restricted stock units (collectively, “RSUs”) to any of its executive officers. Schlumberger believes that time-based RSUs are more geared to retention than to future motivation and performance and thus are less well suited to motivating our executive officers. Because RSUs typically are time-vested and are not linked to future performance, they would potentially allow executives to be rewarded even when other shareholders are not. Our applicable stock option plans provide that any RSUs granted to executive officers must be performance based.</w:t>
      </w:r>
    </w:p>
    <w:p>
      <w:pPr>
        <w:ind w:left="780" w:right="240" w:hanging="326"/>
        <w:spacing w:after="0" w:line="255"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believes strongly in linking long-term rewards for executives with stockholder value. As a result, our Compensation Committee established stock ownership guidelines applicable to executive officers and other key employees, which range from 1 times base salary for key staff positions to 5 times base salary for our CEO, as more particularly explained in our CD&amp;A.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There are already effective means for shareholders to express their views on our executive compensation programs.</w:t>
      </w:r>
    </w:p>
    <w:p>
      <w:pPr>
        <w:spacing w:after="0" w:line="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believe that our shareholders already have direct and effective means of communicating their concerns to our Board and the Compensation Committee. For example, shareholders can contact our Board members in writing through the Company’s General Counsel and Secretary, as described elsewhere in this proxy statement. In addition, shareholders may contact our investor relations department and attend our annual shareholder meetings. Schlumberger responds to shareholder inquiries; engages in real-time dialogue with shareholders about various corporate governance issues; and adopts policies or practices in response to shareholder concerns when we believe that it is in the best interests of all of our shareholders. As stated above, in response to a shareholder letter to our Compensation Committee in 2006, we adopted a policy of recouping performance-based bonuses in the event of specified restatements of financial results. Schlumberger believes that this type of active engagement, rather than an advisory vote (which would not provide any specific guidance on areas of dissatisfaction), truly enables shareholders to effectively address their specific concerns.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Schlumberger’s strong governance practices already provide effective director accountability.</w:t>
      </w:r>
    </w:p>
    <w:p>
      <w:pPr>
        <w:spacing w:after="0" w:line="77" w:lineRule="exact"/>
        <w:rPr>
          <w:sz w:val="20"/>
          <w:szCs w:val="20"/>
          <w:color w:val="auto"/>
        </w:rPr>
      </w:pPr>
    </w:p>
    <w:p>
      <w:pPr>
        <w:jc w:val="both"/>
        <w:ind w:right="180"/>
        <w:spacing w:after="0" w:line="305" w:lineRule="auto"/>
        <w:rPr>
          <w:sz w:val="20"/>
          <w:szCs w:val="20"/>
          <w:color w:val="auto"/>
        </w:rPr>
      </w:pPr>
      <w:r>
        <w:rPr>
          <w:rFonts w:ascii="Arial" w:cs="Arial" w:eastAsia="Arial" w:hAnsi="Arial"/>
          <w:sz w:val="15"/>
          <w:szCs w:val="15"/>
          <w:color w:val="auto"/>
        </w:rPr>
        <w:t>We believe that an advisory vote on executive compensation is unnecessary at this time because there is already director accountability in setting executive pay. For example, (a) Schlumberger long ago adopted majority voting for the election of directors, thereby providing full Board accountability for our shareholders;</w:t>
      </w:r>
    </w:p>
    <w:p>
      <w:pPr>
        <w:ind w:right="140" w:firstLine="8"/>
        <w:spacing w:after="0" w:line="295"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Schlumberger’s Board is declassified, which means that if shareholders are displeased with the governance of the Company or its compensation programs in particular, shareholders have the ability each year to vote against the entire Board or any member of the Board; (c) Schlumberger engages in dialogue between shareholders and the Company on corporate governance issues, including executive compensation; and (d) the SEC and the NYSE require that all members of compensation committees be independent, as is the case with Schlumberger’s compensation committee.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4" w:name="page45"/>
    <w:bookmarkEnd w:id="44"/>
    <w:p>
      <w:pPr>
        <w:spacing w:after="0" w:line="347" w:lineRule="auto"/>
        <w:rPr>
          <w:sz w:val="20"/>
          <w:szCs w:val="20"/>
          <w:color w:val="auto"/>
        </w:rPr>
      </w:pPr>
      <w:r>
        <w:rPr>
          <w:rFonts w:ascii="Arial" w:cs="Arial" w:eastAsia="Arial" w:hAnsi="Arial"/>
          <w:sz w:val="15"/>
          <w:szCs w:val="15"/>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is in the best position to make judgments about Schlumberger’s executive compensation programs; an advisory vote on executive compensation would not provide the Company with clear or meaningful guidance regarding shareholders’ opinions of our compensation programs.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that an independent, well-informed and experienced committee of the Board is in the best position to make judgments about the amount and form of executive compensation appropriate for Schlumberger, a global company of more than 80,000 employees, working in approximately 80 countries and representing more than 140 nationalities. The Compensation Committee, which is comprised of directors with tenures ranging from 4 years to 27 years, considers and balances numerous complex and interrelated factors in arriving at executive compensation that is competitive and equitable. It also relies upon the advice of independent executive compensation consultants.</w:t>
      </w:r>
    </w:p>
    <w:p>
      <w:pPr>
        <w:ind w:firstLine="228"/>
        <w:spacing w:after="0" w:line="252" w:lineRule="auto"/>
        <w:rPr>
          <w:sz w:val="20"/>
          <w:szCs w:val="20"/>
          <w:color w:val="auto"/>
        </w:rPr>
      </w:pPr>
      <w:r>
        <w:rPr>
          <w:rFonts w:ascii="Arial" w:cs="Arial" w:eastAsia="Arial" w:hAnsi="Arial"/>
          <w:sz w:val="18"/>
          <w:szCs w:val="18"/>
          <w:color w:val="auto"/>
        </w:rPr>
        <w:t>A non-binding advisory vote on selected portions of our overall executive compensation disclosures would not provide the Board or the Compensation Committee with a clear insight into our shareholders’ specific concerns, or provide specific input about pay decisions that our Compensation Committee could act upon in making future executive compensation decisions. A simple negative vote would not assist the Board in identifying any specific compensation element or practice with which shareholders are dissatisfied. For these reasons, the Board believes that this proposal, if passed, would not improve shareholder communication with the Board but would instead cause confusion; it would also make it more difficult for the Company to attract and retain talented leaders for its highly technical, global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Approval of this proposal could put the Company at a competitive disadvantage.</w:t>
      </w:r>
    </w:p>
    <w:p>
      <w:pPr>
        <w:spacing w:after="0" w:line="7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success is dependent on its ability to attract and retain top executive talent in a global marketplace. As a result, the Company may be competitively harmed by unilaterally adopting an advisory vote on executive compensation unless and until the same requirement also applies uniformly to our competitors. To the Board’s knowledge, none of the Company’s peers or competitors in the oil and gas service industry are similarly bound to seek an advisory vote on executive compensation. We believe that such a requirement could make it more difficult for Schlumberger to attract and retain top executive talent by creating the impression among the Company’s senior executives that their compensation opportunities could be limited or adversely affected, while opportunities at the Company’s competitors would not be similarly constrained. The Board believes that this result could negatively affect shareholder value.</w:t>
      </w:r>
    </w:p>
    <w:p>
      <w:pPr>
        <w:spacing w:after="0" w:line="1" w:lineRule="exact"/>
        <w:rPr>
          <w:sz w:val="20"/>
          <w:szCs w:val="20"/>
          <w:color w:val="auto"/>
        </w:rPr>
      </w:pPr>
    </w:p>
    <w:p>
      <w:pPr>
        <w:ind w:right="140" w:firstLine="228"/>
        <w:spacing w:after="0" w:line="290" w:lineRule="auto"/>
        <w:rPr>
          <w:sz w:val="20"/>
          <w:szCs w:val="20"/>
          <w:color w:val="auto"/>
        </w:rPr>
      </w:pPr>
      <w:r>
        <w:rPr>
          <w:rFonts w:ascii="Arial" w:cs="Arial" w:eastAsia="Arial" w:hAnsi="Arial"/>
          <w:sz w:val="16"/>
          <w:szCs w:val="16"/>
          <w:color w:val="auto"/>
        </w:rPr>
        <w:t>Because (i) Schlumberger’s current compensation practices and policies are responsible and disciplined, and already address the concerns expressed in the proposal; (ii) there are already effective means for shareholders to express their views about executive compensation; (iii) Schlumberger’s corporate governance practices already provide director accountability for executive compensation decisions; (iv) the Compensation Committee is best qualified to make judgments about executive compensation in a highly technical, global company; (v) the proposal, if passed, would be of little value in discerning real shareholder concerns and discussing means to address them, and (vi) the proposal, if passed, could put Schlumberger at a competitive disadvantage, the Board recommends that you vote AGAINST Item No. 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Independent Registered Public Accounting Firm</w:t>
      </w:r>
    </w:p>
    <w:p>
      <w:pPr>
        <w:spacing w:after="0" w:line="16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PricewaterhouseCoopers LLP has been selected by the Board of Directors as the independent registered public accounting firm to audit the accounts of the Company for the year 2009. A majority of the votes cast is required to approve the appointment of PricewaterhouseCoopers LLP. A representative of PricewaterhouseCoopers LLP will attend the 2009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2008 and 2007 annual financial statements and reviews of quarterly financial statements and other audit services and (ii) the other services described below that were billed in 2008 and 2007.</w:t>
      </w:r>
    </w:p>
    <w:p>
      <w:pPr>
        <w:spacing w:after="0" w:line="122"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60325</wp:posOffset>
            </wp:positionV>
            <wp:extent cx="10293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tcPr>
          <w:p>
            <w:pPr>
              <w:spacing w:after="0"/>
              <w:rPr>
                <w:sz w:val="18"/>
                <w:szCs w:val="18"/>
                <w:color w:val="auto"/>
              </w:rPr>
            </w:pPr>
          </w:p>
        </w:tc>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37274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permitted tax services.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2008, no matters were taken on without pre-approval under the de minimis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2010 Annual General Meeting</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2010 Annual General Meeting of Stockholders, written proposals must be received by the Secretary of the Company, 5599 San Felipe, 17th Floor, Houston, Texas 77056, no later than November 13, 2009.</w:t>
      </w:r>
    </w:p>
    <w:p>
      <w:pPr>
        <w:ind w:right="120" w:firstLine="228"/>
        <w:spacing w:after="0" w:line="323" w:lineRule="auto"/>
        <w:rPr>
          <w:sz w:val="20"/>
          <w:szCs w:val="20"/>
          <w:color w:val="auto"/>
        </w:rPr>
      </w:pPr>
      <w:r>
        <w:rPr>
          <w:rFonts w:ascii="Arial" w:cs="Arial" w:eastAsia="Arial" w:hAnsi="Arial"/>
          <w:sz w:val="16"/>
          <w:szCs w:val="16"/>
          <w:color w:val="auto"/>
        </w:rPr>
        <w:t>Pursuant to the rules under the Exchange Act, the Company may use discretionary authority to vote with respect to stockholder proposals presented in person at the 2010 Annual General Meeting if the stockholder making the proposal has not given notice to the Company by January 27, 2010.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may obtain a copy of Schlumberger’s most recent Form 10-K filed with the SEC without charge by writing to the Secretary of the Company at 5599 San Felipe, 17th Floor, Houston, Texas 77056.</w:t>
      </w:r>
    </w:p>
    <w:p>
      <w:pPr>
        <w:ind w:right="180" w:firstLine="228"/>
        <w:spacing w:after="0" w:line="250"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49"/>
        </w:trPr>
        <w:tc>
          <w:tcPr>
            <w:tcW w:w="200" w:type="dxa"/>
            <w:vAlign w:val="bottom"/>
            <w:tcBorders>
              <w:top w:val="single" w:sz="8" w:color="auto"/>
              <w:left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380" w:type="dxa"/>
            <w:vAlign w:val="bottom"/>
            <w:tcBorders>
              <w:top w:val="single" w:sz="8" w:color="auto"/>
            </w:tcBorders>
            <w:gridSpan w:val="6"/>
          </w:tcPr>
          <w:p>
            <w:pPr>
              <w:ind w:left="80"/>
              <w:spacing w:after="0" w:line="149" w:lineRule="exact"/>
              <w:rPr>
                <w:sz w:val="20"/>
                <w:szCs w:val="20"/>
                <w:color w:val="auto"/>
              </w:rPr>
            </w:pPr>
            <w:r>
              <w:rPr>
                <w:rFonts w:ascii="Arial" w:cs="Arial" w:eastAsia="Arial" w:hAnsi="Arial"/>
                <w:sz w:val="14"/>
                <w:szCs w:val="14"/>
                <w:color w:val="auto"/>
              </w:rPr>
              <w:t>VOTE BY INTERNET – www.proxyvote.com</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3"/>
            <w:vMerge w:val="restart"/>
          </w:tcPr>
          <w:p>
            <w:pPr>
              <w:ind w:left="80"/>
              <w:spacing w:after="0" w:line="151" w:lineRule="exact"/>
              <w:rPr>
                <w:sz w:val="20"/>
                <w:szCs w:val="20"/>
                <w:color w:val="auto"/>
              </w:rPr>
            </w:pPr>
            <w:r>
              <w:rPr>
                <w:rFonts w:ascii="Arial" w:cs="Arial" w:eastAsia="Arial" w:hAnsi="Arial"/>
                <w:sz w:val="14"/>
                <w:szCs w:val="14"/>
                <w:color w:val="auto"/>
                <w:w w:val="81"/>
              </w:rPr>
              <w:t>Use the Internet to transmit</w:t>
            </w:r>
          </w:p>
        </w:tc>
        <w:tc>
          <w:tcPr>
            <w:tcW w:w="1140" w:type="dxa"/>
            <w:vAlign w:val="bottom"/>
            <w:gridSpan w:val="2"/>
            <w:shd w:val="clear" w:color="auto" w:fill="000000"/>
          </w:tcPr>
          <w:p>
            <w:pPr>
              <w:spacing w:after="0" w:line="20" w:lineRule="exact"/>
              <w:rPr>
                <w:sz w:val="1"/>
                <w:szCs w:val="1"/>
                <w:color w:val="auto"/>
              </w:rPr>
            </w:pPr>
          </w:p>
        </w:tc>
        <w:tc>
          <w:tcPr>
            <w:tcW w:w="292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0" w:type="dxa"/>
            <w:vAlign w:val="bottom"/>
            <w:tcBorders>
              <w:lef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4060" w:type="dxa"/>
            <w:vAlign w:val="bottom"/>
            <w:tcBorders>
              <w:right w:val="single" w:sz="8" w:color="auto"/>
            </w:tcBorders>
            <w:gridSpan w:val="7"/>
          </w:tcPr>
          <w:p>
            <w:pPr>
              <w:ind w:left="100"/>
              <w:spacing w:after="0" w:line="131" w:lineRule="exact"/>
              <w:rPr>
                <w:sz w:val="20"/>
                <w:szCs w:val="20"/>
                <w:color w:val="auto"/>
              </w:rPr>
            </w:pPr>
            <w:r>
              <w:rPr>
                <w:rFonts w:ascii="Arial" w:cs="Arial" w:eastAsia="Arial" w:hAnsi="Arial"/>
                <w:sz w:val="14"/>
                <w:szCs w:val="14"/>
                <w:color w:val="auto"/>
                <w:w w:val="94"/>
              </w:rPr>
              <w:t>your voting instructions and for electronic delivery of information up</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2"/>
              </w:rPr>
              <w:t>until 11:59 P.M. Eastern Time the day before the cut-off date or meeting date. Have your proxy</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0"/>
              </w:rPr>
              <w:t>card in hand when you access the web site and follow the instructions to obtain your records and</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to create an electronic voting instruction form.</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b w:val="1"/>
                <w:bCs w:val="1"/>
                <w:i w:val="1"/>
                <w:iCs w:val="1"/>
                <w:color w:val="auto"/>
              </w:rPr>
              <w:t>5599 San Felipe, 17th Floor</w:t>
            </w: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8"/>
          </w:tcPr>
          <w:p>
            <w:pPr>
              <w:ind w:left="80"/>
              <w:spacing w:after="0"/>
              <w:rPr>
                <w:sz w:val="20"/>
                <w:szCs w:val="20"/>
                <w:color w:val="auto"/>
              </w:rPr>
            </w:pPr>
            <w:r>
              <w:rPr>
                <w:rFonts w:ascii="Arial" w:cs="Arial" w:eastAsia="Arial" w:hAnsi="Arial"/>
                <w:sz w:val="14"/>
                <w:szCs w:val="14"/>
                <w:color w:val="auto"/>
                <w:w w:val="98"/>
              </w:rPr>
              <w:t>ELECTRONIC DELIVERY OF FUTURE SHAREHOLDER COMMUNICATIONS</w:t>
            </w: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940" w:type="dxa"/>
            <w:vAlign w:val="bottom"/>
            <w:gridSpan w:val="8"/>
          </w:tcPr>
          <w:p>
            <w:pPr>
              <w:ind w:left="80"/>
              <w:spacing w:after="0" w:line="149" w:lineRule="exact"/>
              <w:rPr>
                <w:sz w:val="20"/>
                <w:szCs w:val="20"/>
                <w:color w:val="auto"/>
              </w:rPr>
            </w:pPr>
            <w:r>
              <w:rPr>
                <w:rFonts w:ascii="Arial" w:cs="Arial" w:eastAsia="Arial" w:hAnsi="Arial"/>
                <w:sz w:val="14"/>
                <w:szCs w:val="14"/>
                <w:color w:val="auto"/>
                <w:w w:val="90"/>
              </w:rPr>
              <w:t>If you would like to reduce the costs incurred by Schlumberger Limited in mailing proxy</w:t>
            </w: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i w:val="1"/>
                <w:iCs w:val="1"/>
                <w:color w:val="auto"/>
              </w:rPr>
              <w:t>Houston, Texas 77056</w:t>
            </w: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88"/>
              </w:rPr>
              <w:t>materials, you 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w w:val="90"/>
              </w:rPr>
              <w:t>receive or access shareholder communications electronically in future years.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VOTE BY PHONE – 1-800-690-6903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89"/>
              </w:rPr>
              <w:t>Time the day before the cut-off date or meeting date. Have your proxy card in hand when you call</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and then follow the instructions.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color w:val="auto"/>
              </w:rPr>
              <w:t>VOTE BY MAIL</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0"/>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73"/>
        </w:trPr>
        <w:tc>
          <w:tcPr>
            <w:tcW w:w="200" w:type="dxa"/>
            <w:vAlign w:val="bottom"/>
            <w:tcBorders>
              <w:left w:val="single" w:sz="8" w:color="auto"/>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540" w:type="dxa"/>
            <w:vAlign w:val="bottom"/>
            <w:tcBorders>
              <w:bottom w:val="single" w:sz="8" w:color="auto"/>
              <w:right w:val="single" w:sz="8" w:color="auto"/>
            </w:tcBorders>
            <w:gridSpan w:val="10"/>
          </w:tcPr>
          <w:p>
            <w:pPr>
              <w:ind w:left="80"/>
              <w:spacing w:after="0"/>
              <w:rPr>
                <w:sz w:val="20"/>
                <w:szCs w:val="20"/>
                <w:color w:val="auto"/>
              </w:rPr>
            </w:pPr>
            <w:r>
              <w:rPr>
                <w:rFonts w:ascii="Arial" w:cs="Arial" w:eastAsia="Arial" w:hAnsi="Arial"/>
                <w:sz w:val="14"/>
                <w:szCs w:val="14"/>
                <w:color w:val="auto"/>
                <w:w w:val="91"/>
              </w:rPr>
              <w:t>or return it to Schlumberger Limited, c/o Broadbridge, 51 Mercedes Way, Edgewood, NY 11717</w:t>
            </w:r>
          </w:p>
        </w:tc>
        <w:tc>
          <w:tcPr>
            <w:tcW w:w="0" w:type="dxa"/>
            <w:vAlign w:val="bottom"/>
          </w:tcPr>
          <w:p>
            <w:pPr>
              <w:spacing w:after="0"/>
              <w:rPr>
                <w:sz w:val="1"/>
                <w:szCs w:val="1"/>
                <w:color w:val="auto"/>
              </w:rPr>
            </w:pPr>
          </w:p>
        </w:tc>
      </w:tr>
      <w:tr>
        <w:trPr>
          <w:trHeight w:val="304"/>
        </w:trPr>
        <w:tc>
          <w:tcPr>
            <w:tcW w:w="5880" w:type="dxa"/>
            <w:vAlign w:val="bottom"/>
            <w:gridSpan w:val="6"/>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5"/>
          </w:tcPr>
          <w:p>
            <w:pPr>
              <w:jc w:val="center"/>
              <w:ind w:left="218"/>
              <w:spacing w:after="0"/>
              <w:rPr>
                <w:sz w:val="20"/>
                <w:szCs w:val="20"/>
                <w:color w:val="auto"/>
              </w:rPr>
            </w:pPr>
            <w:r>
              <w:rPr>
                <w:rFonts w:ascii="Arial" w:cs="Arial" w:eastAsia="Arial" w:hAnsi="Arial"/>
                <w:sz w:val="14"/>
                <w:szCs w:val="14"/>
                <w:color w:val="auto"/>
                <w:w w:val="90"/>
              </w:rPr>
              <w:t>KEEP THIS PORTION FOR YOUR RECORDS</w:t>
            </w:r>
          </w:p>
        </w:tc>
        <w:tc>
          <w:tcPr>
            <w:tcW w:w="0" w:type="dxa"/>
            <w:vAlign w:val="bottom"/>
          </w:tcPr>
          <w:p>
            <w:pPr>
              <w:spacing w:after="0"/>
              <w:rPr>
                <w:sz w:val="1"/>
                <w:szCs w:val="1"/>
                <w:color w:val="auto"/>
              </w:rPr>
            </w:pPr>
          </w:p>
        </w:tc>
      </w:tr>
      <w:tr>
        <w:trPr>
          <w:trHeight w:val="163"/>
        </w:trPr>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color w:val="auto"/>
                <w:w w:val="91"/>
              </w:rPr>
              <w:t>DETACH AND RETURN THIS PORTION ONLY</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60" w:type="dxa"/>
            <w:vAlign w:val="bottom"/>
            <w:gridSpan w:val="8"/>
          </w:tcPr>
          <w:p>
            <w:pPr>
              <w:ind w:left="320"/>
              <w:spacing w:after="0"/>
              <w:rPr>
                <w:sz w:val="20"/>
                <w:szCs w:val="20"/>
                <w:color w:val="auto"/>
              </w:rPr>
            </w:pPr>
            <w:r>
              <w:rPr>
                <w:rFonts w:ascii="Arial" w:cs="Arial" w:eastAsia="Arial" w:hAnsi="Arial"/>
                <w:sz w:val="14"/>
                <w:szCs w:val="14"/>
                <w:color w:val="auto"/>
              </w:rPr>
              <w:t>THIS PROXY CARD IS VALID ONLY WHEN SIGNED AND DATED.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SCHLUMBERGER LIMITED</w:t>
            </w:r>
          </w:p>
        </w:tc>
        <w:tc>
          <w:tcPr>
            <w:tcW w:w="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rPr>
              <w:t>THE BOARD OF DIRECTORS RECOMMEND A VOTE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left w:val="single" w:sz="8" w:color="auto"/>
            </w:tcBorders>
            <w:gridSpan w:val="7"/>
          </w:tcPr>
          <w:p>
            <w:pPr>
              <w:ind w:left="120"/>
              <w:spacing w:after="0" w:line="149" w:lineRule="exact"/>
              <w:rPr>
                <w:sz w:val="20"/>
                <w:szCs w:val="20"/>
                <w:color w:val="auto"/>
              </w:rPr>
            </w:pPr>
            <w:r>
              <w:rPr>
                <w:rFonts w:ascii="Arial" w:cs="Arial" w:eastAsia="Arial" w:hAnsi="Arial"/>
                <w:sz w:val="14"/>
                <w:szCs w:val="14"/>
                <w:color w:val="auto"/>
                <w:w w:val="94"/>
              </w:rPr>
              <w:t>“FOR” ITEMS 1, 2 AND 4. THE BOARD OF DIRECTORS RECOMMENDS A VOTE “AGAINST” ITEM 3.</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Vote on Directors</w:t>
            </w: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1.   ELECTION OF DIRECTORS</w:t>
            </w: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ind w:left="40"/>
              <w:spacing w:after="0" w:line="149" w:lineRule="exact"/>
              <w:rPr>
                <w:sz w:val="20"/>
                <w:szCs w:val="20"/>
                <w:color w:val="auto"/>
              </w:rPr>
            </w:pPr>
            <w:r>
              <w:rPr>
                <w:rFonts w:ascii="Arial" w:cs="Arial" w:eastAsia="Arial" w:hAnsi="Arial"/>
                <w:sz w:val="14"/>
                <w:szCs w:val="14"/>
                <w:color w:val="auto"/>
              </w:rPr>
              <w:t>For</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1"/>
              </w:rPr>
              <w:t>Withhold</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For All</w:t>
            </w: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9"/>
              </w:rPr>
              <w:t>To withhold authority to vote for any individual nominee(s), mark</w:t>
            </w:r>
          </w:p>
        </w:tc>
        <w:tc>
          <w:tcPr>
            <w:tcW w:w="0" w:type="dxa"/>
            <w:vAlign w:val="bottom"/>
          </w:tcPr>
          <w:p>
            <w:pPr>
              <w:spacing w:after="0"/>
              <w:rPr>
                <w:sz w:val="1"/>
                <w:szCs w:val="1"/>
                <w:color w:val="auto"/>
              </w:rPr>
            </w:pPr>
          </w:p>
        </w:tc>
      </w:tr>
      <w:tr>
        <w:trPr>
          <w:trHeight w:val="137"/>
        </w:trPr>
        <w:tc>
          <w:tcPr>
            <w:tcW w:w="200" w:type="dxa"/>
            <w:vAlign w:val="bottom"/>
            <w:tcBorders>
              <w:left w:val="single" w:sz="8" w:color="auto"/>
            </w:tcBorders>
          </w:tcPr>
          <w:p>
            <w:pPr>
              <w:spacing w:after="0"/>
              <w:rPr>
                <w:sz w:val="11"/>
                <w:szCs w:val="11"/>
                <w:color w:val="auto"/>
              </w:rPr>
            </w:pPr>
          </w:p>
        </w:tc>
        <w:tc>
          <w:tcPr>
            <w:tcW w:w="2600" w:type="dxa"/>
            <w:vAlign w:val="bottom"/>
            <w:gridSpan w:val="2"/>
          </w:tcPr>
          <w:p>
            <w:pPr>
              <w:ind w:left="240"/>
              <w:spacing w:after="0" w:line="137" w:lineRule="exact"/>
              <w:rPr>
                <w:sz w:val="20"/>
                <w:szCs w:val="20"/>
                <w:color w:val="auto"/>
              </w:rPr>
            </w:pPr>
            <w:r>
              <w:rPr>
                <w:rFonts w:ascii="Arial" w:cs="Arial" w:eastAsia="Arial" w:hAnsi="Arial"/>
                <w:sz w:val="14"/>
                <w:szCs w:val="14"/>
                <w:color w:val="auto"/>
              </w:rPr>
              <w:t>Nominees:</w:t>
            </w:r>
          </w:p>
        </w:tc>
        <w:tc>
          <w:tcPr>
            <w:tcW w:w="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ind w:left="40"/>
              <w:spacing w:after="0" w:line="137" w:lineRule="exact"/>
              <w:rPr>
                <w:sz w:val="20"/>
                <w:szCs w:val="20"/>
                <w:color w:val="auto"/>
              </w:rPr>
            </w:pPr>
            <w:r>
              <w:rPr>
                <w:rFonts w:ascii="Arial" w:cs="Arial" w:eastAsia="Arial" w:hAnsi="Arial"/>
                <w:sz w:val="14"/>
                <w:szCs w:val="14"/>
                <w:color w:val="auto"/>
              </w:rPr>
              <w:t>All</w:t>
            </w:r>
          </w:p>
        </w:tc>
        <w:tc>
          <w:tcPr>
            <w:tcW w:w="600" w:type="dxa"/>
            <w:vAlign w:val="bottom"/>
          </w:tcPr>
          <w:p>
            <w:pPr>
              <w:jc w:val="center"/>
              <w:spacing w:after="0" w:line="137" w:lineRule="exact"/>
              <w:rPr>
                <w:sz w:val="20"/>
                <w:szCs w:val="20"/>
                <w:color w:val="auto"/>
              </w:rPr>
            </w:pPr>
            <w:r>
              <w:rPr>
                <w:rFonts w:ascii="Arial" w:cs="Arial" w:eastAsia="Arial" w:hAnsi="Arial"/>
                <w:sz w:val="14"/>
                <w:szCs w:val="14"/>
                <w:color w:val="auto"/>
              </w:rPr>
              <w:t>All</w:t>
            </w:r>
          </w:p>
        </w:tc>
        <w:tc>
          <w:tcPr>
            <w:tcW w:w="6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84"/>
              </w:rPr>
              <w:t>Except</w:t>
            </w:r>
          </w:p>
        </w:tc>
        <w:tc>
          <w:tcPr>
            <w:tcW w:w="3980" w:type="dxa"/>
            <w:vAlign w:val="bottom"/>
            <w:tcBorders>
              <w:right w:val="single" w:sz="8" w:color="auto"/>
            </w:tcBorders>
            <w:gridSpan w:val="6"/>
          </w:tcPr>
          <w:p>
            <w:pPr>
              <w:spacing w:after="0" w:line="137" w:lineRule="exact"/>
              <w:rPr>
                <w:sz w:val="20"/>
                <w:szCs w:val="20"/>
                <w:color w:val="auto"/>
              </w:rPr>
            </w:pPr>
            <w:r>
              <w:rPr>
                <w:rFonts w:ascii="Arial" w:cs="Arial" w:eastAsia="Arial" w:hAnsi="Arial"/>
                <w:sz w:val="14"/>
                <w:szCs w:val="14"/>
                <w:color w:val="auto"/>
                <w:w w:val="91"/>
              </w:rPr>
              <w:t>“For All Except” and write the number(s) of the nominee(s) on the line</w:t>
            </w:r>
          </w:p>
        </w:tc>
        <w:tc>
          <w:tcPr>
            <w:tcW w:w="0" w:type="dxa"/>
            <w:vAlign w:val="bottom"/>
          </w:tcPr>
          <w:p>
            <w:pPr>
              <w:spacing w:after="0"/>
              <w:rPr>
                <w:sz w:val="1"/>
                <w:szCs w:val="1"/>
                <w:color w:val="auto"/>
              </w:rPr>
            </w:pPr>
          </w:p>
        </w:tc>
      </w:tr>
      <w:tr>
        <w:trPr>
          <w:trHeight w:val="160"/>
        </w:trPr>
        <w:tc>
          <w:tcPr>
            <w:tcW w:w="200" w:type="dxa"/>
            <w:vAlign w:val="bottom"/>
            <w:tcBorders>
              <w:left w:val="single" w:sz="8" w:color="auto"/>
            </w:tcBorders>
          </w:tcPr>
          <w:p>
            <w:pPr>
              <w:spacing w:after="0"/>
              <w:rPr>
                <w:sz w:val="13"/>
                <w:szCs w:val="13"/>
                <w:color w:val="auto"/>
              </w:rPr>
            </w:pPr>
          </w:p>
        </w:tc>
        <w:tc>
          <w:tcPr>
            <w:tcW w:w="2600" w:type="dxa"/>
            <w:vAlign w:val="bottom"/>
            <w:gridSpan w:val="2"/>
          </w:tcPr>
          <w:p>
            <w:pPr>
              <w:ind w:left="240"/>
              <w:spacing w:after="0"/>
              <w:rPr>
                <w:sz w:val="20"/>
                <w:szCs w:val="20"/>
                <w:color w:val="auto"/>
              </w:rPr>
            </w:pPr>
            <w:r>
              <w:rPr>
                <w:rFonts w:ascii="Arial" w:cs="Arial" w:eastAsia="Arial" w:hAnsi="Arial"/>
                <w:sz w:val="14"/>
                <w:szCs w:val="14"/>
                <w:color w:val="auto"/>
              </w:rPr>
              <w:t>01) P. CAMUS</w:t>
            </w:r>
          </w:p>
        </w:tc>
        <w:tc>
          <w:tcPr>
            <w:tcW w:w="600" w:type="dxa"/>
            <w:vAlign w:val="bottom"/>
          </w:tcPr>
          <w:p>
            <w:pPr>
              <w:spacing w:after="0"/>
              <w:rPr>
                <w:sz w:val="13"/>
                <w:szCs w:val="13"/>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color w:val="auto"/>
              </w:rPr>
              <w:t>07) M. E. MARKS</w:t>
            </w:r>
          </w:p>
        </w:tc>
        <w:tc>
          <w:tcPr>
            <w:tcW w:w="34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gridSpan w:val="2"/>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820" w:type="dxa"/>
            <w:vAlign w:val="bottom"/>
            <w:gridSpan w:val="2"/>
          </w:tcPr>
          <w:p>
            <w:pPr>
              <w:spacing w:after="0"/>
              <w:rPr>
                <w:sz w:val="20"/>
                <w:szCs w:val="20"/>
                <w:color w:val="auto"/>
              </w:rPr>
            </w:pPr>
            <w:r>
              <w:rPr>
                <w:rFonts w:ascii="Arial" w:cs="Arial" w:eastAsia="Arial" w:hAnsi="Arial"/>
                <w:sz w:val="14"/>
                <w:szCs w:val="14"/>
                <w:color w:val="auto"/>
              </w:rPr>
              <w:t>below.</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02) J. S. GORELICK</w:t>
            </w:r>
          </w:p>
        </w:tc>
        <w:tc>
          <w:tcPr>
            <w:tcW w:w="600" w:type="dxa"/>
            <w:vAlign w:val="bottom"/>
          </w:tcPr>
          <w:p>
            <w:pPr>
              <w:spacing w:after="0"/>
              <w:rPr>
                <w:sz w:val="12"/>
                <w:szCs w:val="12"/>
                <w:color w:val="auto"/>
              </w:rPr>
            </w:pPr>
          </w:p>
        </w:tc>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 L. R. REIF</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03) A. GOULD</w:t>
            </w:r>
          </w:p>
        </w:tc>
        <w:tc>
          <w:tcPr>
            <w:tcW w:w="600" w:type="dxa"/>
            <w:vAlign w:val="bottom"/>
          </w:tcPr>
          <w:p>
            <w:pPr>
              <w:spacing w:after="0"/>
              <w:rPr>
                <w:sz w:val="12"/>
                <w:szCs w:val="12"/>
                <w:color w:val="auto"/>
              </w:rPr>
            </w:pPr>
          </w:p>
        </w:tc>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09) T. I. SANDVOLD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 w:type="dxa"/>
            <w:vAlign w:val="bottom"/>
            <w:tcBorders>
              <w:left w:val="single" w:sz="8" w:color="auto"/>
            </w:tcBorders>
          </w:tcPr>
          <w:p>
            <w:pPr>
              <w:spacing w:after="0"/>
              <w:rPr>
                <w:sz w:val="10"/>
                <w:szCs w:val="10"/>
                <w:color w:val="auto"/>
              </w:rPr>
            </w:pPr>
          </w:p>
        </w:tc>
        <w:tc>
          <w:tcPr>
            <w:tcW w:w="2600" w:type="dxa"/>
            <w:vAlign w:val="bottom"/>
            <w:gridSpan w:val="2"/>
          </w:tcPr>
          <w:p>
            <w:pPr>
              <w:ind w:left="240"/>
              <w:spacing w:after="0" w:line="113" w:lineRule="exact"/>
              <w:rPr>
                <w:sz w:val="20"/>
                <w:szCs w:val="20"/>
                <w:color w:val="auto"/>
              </w:rPr>
            </w:pPr>
            <w:r>
              <w:rPr>
                <w:rFonts w:ascii="Arial" w:cs="Arial" w:eastAsia="Arial" w:hAnsi="Arial"/>
                <w:sz w:val="12"/>
                <w:szCs w:val="12"/>
                <w:color w:val="auto"/>
              </w:rPr>
              <w:t>04) T. ISAAC</w:t>
            </w:r>
          </w:p>
        </w:tc>
        <w:tc>
          <w:tcPr>
            <w:tcW w:w="600" w:type="dxa"/>
            <w:vAlign w:val="bottom"/>
          </w:tcPr>
          <w:p>
            <w:pPr>
              <w:spacing w:after="0"/>
              <w:rPr>
                <w:sz w:val="10"/>
                <w:szCs w:val="10"/>
                <w:color w:val="auto"/>
              </w:rPr>
            </w:pPr>
          </w:p>
        </w:tc>
        <w:tc>
          <w:tcPr>
            <w:tcW w:w="2480" w:type="dxa"/>
            <w:vAlign w:val="bottom"/>
            <w:gridSpan w:val="2"/>
          </w:tcPr>
          <w:p>
            <w:pPr>
              <w:ind w:left="40"/>
              <w:spacing w:after="0" w:line="113" w:lineRule="exact"/>
              <w:rPr>
                <w:sz w:val="20"/>
                <w:szCs w:val="20"/>
                <w:color w:val="auto"/>
              </w:rPr>
            </w:pPr>
            <w:r>
              <w:rPr>
                <w:rFonts w:ascii="Arial" w:cs="Arial" w:eastAsia="Arial" w:hAnsi="Arial"/>
                <w:sz w:val="12"/>
                <w:szCs w:val="12"/>
                <w:color w:val="auto"/>
              </w:rPr>
              <w:t>10) H. SEYDOUX</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0" w:type="dxa"/>
            <w:vAlign w:val="bottom"/>
            <w:tcBorders>
              <w:left w:val="single" w:sz="8" w:color="auto"/>
            </w:tcBorders>
          </w:tcPr>
          <w:p>
            <w:pPr>
              <w:spacing w:after="0"/>
              <w:rPr>
                <w:sz w:val="13"/>
                <w:szCs w:val="13"/>
                <w:color w:val="auto"/>
              </w:rPr>
            </w:pPr>
          </w:p>
        </w:tc>
        <w:tc>
          <w:tcPr>
            <w:tcW w:w="260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05) N. KUDRYAVTSEV</w:t>
            </w:r>
          </w:p>
        </w:tc>
        <w:tc>
          <w:tcPr>
            <w:tcW w:w="600" w:type="dxa"/>
            <w:vAlign w:val="bottom"/>
          </w:tcPr>
          <w:p>
            <w:pPr>
              <w:spacing w:after="0"/>
              <w:rPr>
                <w:sz w:val="13"/>
                <w:szCs w:val="13"/>
                <w:color w:val="auto"/>
              </w:rPr>
            </w:pPr>
          </w:p>
        </w:tc>
        <w:tc>
          <w:tcPr>
            <w:tcW w:w="24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11) L. G. STUNTZ</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600" w:type="dxa"/>
            <w:vAlign w:val="bottom"/>
            <w:gridSpan w:val="2"/>
          </w:tcPr>
          <w:p>
            <w:pPr>
              <w:ind w:left="240"/>
              <w:spacing w:after="0"/>
              <w:rPr>
                <w:sz w:val="20"/>
                <w:szCs w:val="20"/>
                <w:color w:val="auto"/>
              </w:rPr>
            </w:pPr>
            <w:r>
              <w:rPr>
                <w:rFonts w:ascii="Arial" w:cs="Arial" w:eastAsia="Arial" w:hAnsi="Arial"/>
                <w:sz w:val="14"/>
                <w:szCs w:val="14"/>
                <w:color w:val="auto"/>
              </w:rPr>
              <w:t>06) A. LAJOUS</w:t>
            </w: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Vote on Proposals</w:t>
            </w:r>
          </w:p>
        </w:tc>
        <w:tc>
          <w:tcPr>
            <w:tcW w:w="6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60" w:type="dxa"/>
            <w:vAlign w:val="bottom"/>
          </w:tcPr>
          <w:p>
            <w:pPr>
              <w:jc w:val="center"/>
              <w:ind w:left="1378"/>
              <w:spacing w:after="0"/>
              <w:rPr>
                <w:sz w:val="20"/>
                <w:szCs w:val="20"/>
                <w:color w:val="auto"/>
              </w:rPr>
            </w:pPr>
            <w:r>
              <w:rPr>
                <w:rFonts w:ascii="Arial" w:cs="Arial" w:eastAsia="Arial" w:hAnsi="Arial"/>
                <w:sz w:val="14"/>
                <w:szCs w:val="14"/>
                <w:color w:val="auto"/>
                <w:w w:val="95"/>
              </w:rPr>
              <w:t>For</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Against</w:t>
            </w:r>
          </w:p>
        </w:tc>
        <w:tc>
          <w:tcPr>
            <w:tcW w:w="6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62"/>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rPr>
              <w:t>2.   Proposal to adopt and approve of Financials and Dividends.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4"/>
                <w:szCs w:val="14"/>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62"/>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w w:val="98"/>
              </w:rPr>
              <w:t>3.   Proposal regarding a stockholder advisory vote on named executive officer compensation.</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4"/>
                <w:szCs w:val="14"/>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74"/>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rPr>
              <w:t>4.   Proposal to approve of independent registered public accounting firm.</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5"/>
                <w:szCs w:val="15"/>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49"/>
        </w:trPr>
        <w:tc>
          <w:tcPr>
            <w:tcW w:w="10260" w:type="dxa"/>
            <w:vAlign w:val="bottom"/>
            <w:tcBorders>
              <w:left w:val="single" w:sz="8" w:color="auto"/>
            </w:tcBorders>
            <w:gridSpan w:val="12"/>
          </w:tcPr>
          <w:p>
            <w:pPr>
              <w:ind w:left="120"/>
              <w:spacing w:after="0" w:line="149" w:lineRule="exact"/>
              <w:rPr>
                <w:sz w:val="20"/>
                <w:szCs w:val="20"/>
                <w:color w:val="auto"/>
              </w:rPr>
            </w:pPr>
            <w:r>
              <w:rPr>
                <w:rFonts w:ascii="Arial" w:cs="Arial" w:eastAsia="Arial" w:hAnsi="Arial"/>
                <w:sz w:val="14"/>
                <w:szCs w:val="14"/>
                <w:color w:val="auto"/>
                <w:w w:val="91"/>
              </w:rPr>
              <w:t>The shares represented by this proxy when properly executed will be voted in the manner directed herein by the undersigned Stockholder(s). If no direction is made, this proxy will</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60" w:type="dxa"/>
            <w:vAlign w:val="bottom"/>
            <w:tcBorders>
              <w:left w:val="single" w:sz="8" w:color="auto"/>
            </w:tcBorders>
            <w:gridSpan w:val="12"/>
          </w:tcPr>
          <w:p>
            <w:pPr>
              <w:ind w:left="120"/>
              <w:spacing w:after="0" w:line="149" w:lineRule="exact"/>
              <w:rPr>
                <w:sz w:val="20"/>
                <w:szCs w:val="20"/>
                <w:color w:val="auto"/>
              </w:rPr>
            </w:pPr>
            <w:r>
              <w:rPr>
                <w:rFonts w:ascii="Arial" w:cs="Arial" w:eastAsia="Arial" w:hAnsi="Arial"/>
                <w:sz w:val="14"/>
                <w:szCs w:val="14"/>
                <w:color w:val="auto"/>
                <w:w w:val="96"/>
              </w:rPr>
              <w:t>be voted FOR items 1, 2 and 4. If any other matters properly come before the meeting, or if cumulative voting is required, the person named in this proxy will vote in their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discretion.</w:t>
            </w: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w w:val="86"/>
              </w:rPr>
              <w:t>For address changes and/or comments, please check this box and write them on the back where indicated.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1"/>
              </w:rPr>
              <w:t>Please sign your name exactly as it appears hereon. When signing as</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color w:val="auto"/>
              </w:rPr>
              <w:t>Yes</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0"/>
              </w:rPr>
              <w:t>attorney, executor, administrator, trustee or guardian, please add your</w:t>
            </w:r>
          </w:p>
        </w:tc>
        <w:tc>
          <w:tcPr>
            <w:tcW w:w="0" w:type="dxa"/>
            <w:vAlign w:val="bottom"/>
          </w:tcPr>
          <w:p>
            <w:pPr>
              <w:spacing w:after="0"/>
              <w:rPr>
                <w:sz w:val="1"/>
                <w:szCs w:val="1"/>
                <w:color w:val="auto"/>
              </w:rPr>
            </w:pPr>
          </w:p>
        </w:tc>
      </w:tr>
      <w:tr>
        <w:trPr>
          <w:trHeight w:val="96"/>
        </w:trPr>
        <w:tc>
          <w:tcPr>
            <w:tcW w:w="280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4"/>
                <w:szCs w:val="14"/>
                <w:color w:val="auto"/>
                <w:w w:val="87"/>
              </w:rPr>
              <w:t>Please indicate if you plan to attend this meeting.</w:t>
            </w:r>
          </w:p>
        </w:tc>
        <w:tc>
          <w:tcPr>
            <w:tcW w:w="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tcBorders>
              <w:right w:val="single" w:sz="8" w:color="auto"/>
            </w:tcBorders>
            <w:gridSpan w:val="6"/>
            <w:vMerge w:val="restart"/>
          </w:tcPr>
          <w:p>
            <w:pPr>
              <w:spacing w:after="0" w:line="149" w:lineRule="exact"/>
              <w:rPr>
                <w:sz w:val="20"/>
                <w:szCs w:val="20"/>
                <w:color w:val="auto"/>
              </w:rPr>
            </w:pPr>
            <w:r>
              <w:rPr>
                <w:rFonts w:ascii="Arial" w:cs="Arial" w:eastAsia="Arial" w:hAnsi="Arial"/>
                <w:sz w:val="14"/>
                <w:szCs w:val="14"/>
                <w:color w:val="auto"/>
                <w:w w:val="98"/>
              </w:rPr>
              <w:t>title as such. When signing as joint tenants, all parties in the joint</w:t>
            </w:r>
          </w:p>
        </w:tc>
        <w:tc>
          <w:tcPr>
            <w:tcW w:w="0" w:type="dxa"/>
            <w:vAlign w:val="bottom"/>
          </w:tcPr>
          <w:p>
            <w:pPr>
              <w:spacing w:after="0"/>
              <w:rPr>
                <w:sz w:val="1"/>
                <w:szCs w:val="1"/>
                <w:color w:val="auto"/>
              </w:rPr>
            </w:pPr>
          </w:p>
        </w:tc>
      </w:tr>
      <w:tr>
        <w:trPr>
          <w:trHeight w:val="52"/>
        </w:trPr>
        <w:tc>
          <w:tcPr>
            <w:tcW w:w="2800" w:type="dxa"/>
            <w:vAlign w:val="bottom"/>
            <w:tcBorders>
              <w:left w:val="single" w:sz="8" w:color="auto"/>
            </w:tcBorders>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9"/>
              </w:rPr>
              <w:t>tenancy must sign. If a signer is a corporation, please sign in full</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corporate name by duly authorized officer.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0" w:type="dxa"/>
            <w:vAlign w:val="bottom"/>
            <w:tcBorders>
              <w:lef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right w:val="single" w:sz="8" w:color="auto"/>
            </w:tcBorders>
          </w:tcPr>
          <w:p>
            <w:pPr>
              <w:spacing w:after="0"/>
              <w:rPr>
                <w:sz w:val="12"/>
                <w:szCs w:val="12"/>
                <w:color w:val="auto"/>
              </w:rPr>
            </w:pPr>
          </w:p>
        </w:tc>
        <w:tc>
          <w:tcPr>
            <w:tcW w:w="2520" w:type="dxa"/>
            <w:vAlign w:val="bottom"/>
            <w:tcBorders>
              <w:top w:val="single" w:sz="8" w:color="auto"/>
              <w:bottom w:val="single" w:sz="8" w:color="auto"/>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right w:val="single" w:sz="8" w:color="auto"/>
            </w:tcBorders>
          </w:tcPr>
          <w:p>
            <w:pPr>
              <w:spacing w:after="0"/>
              <w:rPr>
                <w:sz w:val="12"/>
                <w:szCs w:val="12"/>
                <w:color w:val="auto"/>
              </w:rPr>
            </w:pPr>
          </w:p>
        </w:tc>
        <w:tc>
          <w:tcPr>
            <w:tcW w:w="2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right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right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2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Signature [PLEASE SIGN WITHIN BOX]</w:t>
            </w:r>
          </w:p>
        </w:tc>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Date</w:t>
            </w:r>
          </w:p>
        </w:tc>
        <w:tc>
          <w:tcPr>
            <w:tcW w:w="248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Signature [PLEASE SIGN WITHIN BOX]</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Date</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-5616575</wp:posOffset>
            </wp:positionV>
            <wp:extent cx="1475105"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75105" cy="28321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383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833495"/>
                    </a:xfrm>
                    <a:prstGeom prst="rect">
                      <a:avLst/>
                    </a:prstGeom>
                    <a:noFill/>
                  </pic:spPr>
                </pic:pic>
              </a:graphicData>
            </a:graphic>
          </wp:anchor>
        </w:drawing>
        <w:t>SCHLUMBERGER LIMITED (SCHLUMBERGER N.V.)</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ANNUAL GENERAL MEETING OF STOCKHOLDERS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APRIL 8, 2009</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undersigned hereby appoints Robin van Bokhorst, Aede Gerbranda, Jan A.E. Koning and Martijn Moerdijk, and each of them, as proxies, each with the power of substitution, and hereby authorizes them to represent and to vote, as designated on the reverse side of this ballot, all of the shares of Common Stock of Schlumberger Limited (Schlumberger N.V.) that the undersigned is entitled to vote at the Annual General Meeting of Stockholders to be held at the Avila Beach Hotel, Penstraat 130, Willemstad, Curaçao, Netherlands Antilles on April 8, 2009, and any adjournment or postponement thereof.</w:t>
      </w:r>
    </w:p>
    <w:p>
      <w:pPr>
        <w:spacing w:after="0" w:line="99"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THIS PROXY, WHEN PROPERLY EXECUTED, WILL BE VOTED AS DIRECTED BY THE UNDERSIGNED. IF NO SUCH DIRECTIONS ARE MADE, THIS PROXY WILL BE VOTED FOR THE ELECTION OF THE NOMINEES LISTED ON THE REVERSE SIDE FOR THE BOARD OF DIRECTORS AND FOR ITEMS 2 AND 4.</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 Changes/Comments:</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 AND TO BE SIGNED ON REVERSE SIDE</w:t>
      </w:r>
    </w:p>
    <w:sectPr>
      <w:pgSz w:w="11900" w:h="16838" w:orient="portrait"/>
      <w:cols w:equalWidth="0" w:num="1">
        <w:col w:w="11060"/>
      </w:cols>
      <w:pgMar w:left="360" w:top="9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lvl w:ilvl="1">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lvl w:ilvl="1">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decimal"/>
      <w:start w:val="10"/>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3"/>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lvl w:ilvl="1">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lowerLetter"/>
      <w:start w:val="2"/>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2019-12-10T03:03:18Z</dcterms:created>
  <dcterms:modified xsi:type="dcterms:W3CDTF">2019-12-10T03:03:18Z</dcterms:modified>
</cp:coreProperties>
</file>