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91821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9182100"/>
                    </a:xfrm>
                    <a:prstGeom prst="rect">
                      <a:avLst/>
                    </a:prstGeom>
                    <a:noFill/>
                  </pic:spPr>
                </pic:pic>
              </a:graphicData>
            </a:graphic>
          </wp:anchor>
        </w:drawing>
      </w:r>
    </w:p>
    <w:p>
      <w:pPr>
        <w:sectPr>
          <w:pgSz w:w="11900" w:h="16838" w:orient="portrait"/>
          <w:cols w:equalWidth="0" w:num="1">
            <w:col w:w="11420"/>
          </w:cols>
          <w:pgMar w:left="240" w:top="226" w:right="239" w:bottom="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Cox Stephanie</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280" w:type="dxa"/>
            <w:vAlign w:val="bottom"/>
            <w:tcBorders>
              <w:top w:val="single" w:sz="8" w:color="0000EE"/>
              <w:bottom w:val="single" w:sz="8" w:color="9A9A9A"/>
            </w:tcBorders>
          </w:tcPr>
          <w:p>
            <w:pPr>
              <w:spacing w:after="0"/>
              <w:rPr>
                <w:sz w:val="15"/>
                <w:szCs w:val="15"/>
                <w:color w:val="auto"/>
              </w:rPr>
            </w:pPr>
          </w:p>
        </w:tc>
        <w:tc>
          <w:tcPr>
            <w:tcW w:w="194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06/05/2017</w:t>
            </w:r>
          </w:p>
        </w:tc>
        <w:tc>
          <w:tcPr>
            <w:tcW w:w="0" w:type="dxa"/>
            <w:vAlign w:val="bottom"/>
          </w:tcPr>
          <w:p>
            <w:pPr>
              <w:spacing w:after="0"/>
              <w:rPr>
                <w:sz w:val="1"/>
                <w:szCs w:val="1"/>
                <w:color w:val="auto"/>
              </w:rPr>
            </w:pPr>
          </w:p>
        </w:tc>
      </w:tr>
    </w:tbl>
    <w:p>
      <w:pPr>
        <w:spacing w:after="0" w:line="148"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980" w:type="dxa"/>
            <w:vAlign w:val="bottom"/>
          </w:tcPr>
          <w:p>
            <w:pPr>
              <w:ind w:left="20"/>
              <w:spacing w:after="0"/>
              <w:rPr>
                <w:sz w:val="20"/>
                <w:szCs w:val="20"/>
                <w:color w:val="auto"/>
              </w:rPr>
            </w:pPr>
            <w:r>
              <w:rPr>
                <w:rFonts w:ascii="Arial" w:cs="Arial" w:eastAsia="Arial" w:hAnsi="Arial"/>
                <w:sz w:val="14"/>
                <w:szCs w:val="14"/>
                <w:color w:val="auto"/>
              </w:rPr>
              <w:t>(Last)</w:t>
            </w:r>
          </w:p>
        </w:tc>
        <w:tc>
          <w:tcPr>
            <w:tcW w:w="880" w:type="dxa"/>
            <w:vAlign w:val="bottom"/>
          </w:tcPr>
          <w:p>
            <w:pPr>
              <w:ind w:left="140"/>
              <w:spacing w:after="0"/>
              <w:rPr>
                <w:sz w:val="20"/>
                <w:szCs w:val="20"/>
                <w:color w:val="auto"/>
              </w:rPr>
            </w:pPr>
            <w:r>
              <w:rPr>
                <w:rFonts w:ascii="Arial" w:cs="Arial" w:eastAsia="Arial" w:hAnsi="Arial"/>
                <w:sz w:val="14"/>
                <w:szCs w:val="14"/>
                <w:color w:val="auto"/>
              </w:rPr>
              <w:t>(First)</w:t>
            </w:r>
          </w:p>
        </w:tc>
        <w:tc>
          <w:tcPr>
            <w:tcW w:w="1380" w:type="dxa"/>
            <w:vAlign w:val="bottom"/>
          </w:tcPr>
          <w:p>
            <w:pPr>
              <w:ind w:left="340"/>
              <w:spacing w:after="0"/>
              <w:rPr>
                <w:sz w:val="20"/>
                <w:szCs w:val="20"/>
                <w:color w:val="auto"/>
              </w:rPr>
            </w:pPr>
            <w:r>
              <w:rPr>
                <w:rFonts w:ascii="Arial" w:cs="Arial" w:eastAsia="Arial" w:hAnsi="Arial"/>
                <w:sz w:val="14"/>
                <w:szCs w:val="14"/>
                <w:color w:val="auto"/>
              </w:rPr>
              <w:t>(Middle)</w:t>
            </w:r>
          </w:p>
        </w:tc>
      </w:tr>
      <w:tr>
        <w:trPr>
          <w:trHeight w:val="282"/>
        </w:trPr>
        <w:tc>
          <w:tcPr>
            <w:tcW w:w="20" w:type="dxa"/>
            <w:vAlign w:val="bottom"/>
          </w:tcPr>
          <w:p>
            <w:pPr>
              <w:spacing w:after="0"/>
              <w:rPr>
                <w:sz w:val="24"/>
                <w:szCs w:val="24"/>
                <w:color w:val="auto"/>
              </w:rPr>
            </w:pPr>
          </w:p>
        </w:tc>
        <w:tc>
          <w:tcPr>
            <w:tcW w:w="3240" w:type="dxa"/>
            <w:vAlign w:val="bottom"/>
            <w:gridSpan w:val="3"/>
          </w:tcPr>
          <w:p>
            <w:pPr>
              <w:ind w:left="20"/>
              <w:spacing w:after="0"/>
              <w:rPr>
                <w:sz w:val="20"/>
                <w:szCs w:val="20"/>
                <w:color w:val="auto"/>
              </w:rPr>
            </w:pPr>
            <w:r>
              <w:rPr>
                <w:rFonts w:ascii="Arial" w:cs="Arial" w:eastAsia="Arial" w:hAnsi="Arial"/>
                <w:sz w:val="18"/>
                <w:szCs w:val="18"/>
                <w:color w:val="0000FF"/>
              </w:rPr>
              <w:t>5599 SAN FELIPE, 17TH FLOOR</w:t>
            </w:r>
          </w:p>
        </w:tc>
      </w:tr>
      <w:tr>
        <w:trPr>
          <w:trHeight w:val="212"/>
        </w:trPr>
        <w:tc>
          <w:tcPr>
            <w:tcW w:w="20" w:type="dxa"/>
            <w:vAlign w:val="bottom"/>
          </w:tcPr>
          <w:p>
            <w:pPr>
              <w:spacing w:after="0"/>
              <w:rPr>
                <w:sz w:val="18"/>
                <w:szCs w:val="18"/>
                <w:color w:val="auto"/>
              </w:rPr>
            </w:pPr>
          </w:p>
        </w:tc>
        <w:tc>
          <w:tcPr>
            <w:tcW w:w="980" w:type="dxa"/>
            <w:vAlign w:val="bottom"/>
            <w:tcBorders>
              <w:bottom w:val="single" w:sz="8" w:color="9A9A9A"/>
            </w:tcBorders>
          </w:tcPr>
          <w:p>
            <w:pPr>
              <w:spacing w:after="0"/>
              <w:rPr>
                <w:sz w:val="18"/>
                <w:szCs w:val="18"/>
                <w:color w:val="auto"/>
              </w:rPr>
            </w:pPr>
          </w:p>
        </w:tc>
        <w:tc>
          <w:tcPr>
            <w:tcW w:w="880" w:type="dxa"/>
            <w:vAlign w:val="bottom"/>
            <w:tcBorders>
              <w:bottom w:val="single" w:sz="8" w:color="9A9A9A"/>
            </w:tcBorders>
          </w:tcPr>
          <w:p>
            <w:pPr>
              <w:spacing w:after="0"/>
              <w:rPr>
                <w:sz w:val="18"/>
                <w:szCs w:val="18"/>
                <w:color w:val="auto"/>
              </w:rPr>
            </w:pPr>
          </w:p>
        </w:tc>
        <w:tc>
          <w:tcPr>
            <w:tcW w:w="1380" w:type="dxa"/>
            <w:vAlign w:val="bottom"/>
            <w:tcBorders>
              <w:bottom w:val="single" w:sz="8" w:color="9A9A9A"/>
            </w:tcBorders>
          </w:tcPr>
          <w:p>
            <w:pPr>
              <w:spacing w:after="0"/>
              <w:rPr>
                <w:sz w:val="18"/>
                <w:szCs w:val="18"/>
                <w:color w:val="auto"/>
              </w:rPr>
            </w:pPr>
          </w:p>
        </w:tc>
      </w:tr>
      <w:tr>
        <w:trPr>
          <w:trHeight w:val="270"/>
        </w:trPr>
        <w:tc>
          <w:tcPr>
            <w:tcW w:w="1000" w:type="dxa"/>
            <w:vAlign w:val="bottom"/>
            <w:gridSpan w:val="2"/>
          </w:tcPr>
          <w:p>
            <w:pPr>
              <w:spacing w:after="0"/>
              <w:rPr>
                <w:sz w:val="20"/>
                <w:szCs w:val="20"/>
                <w:color w:val="auto"/>
              </w:rPr>
            </w:pPr>
            <w:r>
              <w:rPr>
                <w:rFonts w:ascii="Arial" w:cs="Arial" w:eastAsia="Arial" w:hAnsi="Arial"/>
                <w:sz w:val="14"/>
                <w:szCs w:val="14"/>
                <w:color w:val="auto"/>
              </w:rPr>
              <w:t>(Street)</w:t>
            </w:r>
          </w:p>
        </w:tc>
        <w:tc>
          <w:tcPr>
            <w:tcW w:w="880" w:type="dxa"/>
            <w:vAlign w:val="bottom"/>
          </w:tcPr>
          <w:p>
            <w:pPr>
              <w:spacing w:after="0"/>
              <w:rPr>
                <w:sz w:val="23"/>
                <w:szCs w:val="23"/>
                <w:color w:val="auto"/>
              </w:rPr>
            </w:pPr>
          </w:p>
        </w:tc>
        <w:tc>
          <w:tcPr>
            <w:tcW w:w="1380" w:type="dxa"/>
            <w:vAlign w:val="bottom"/>
          </w:tcPr>
          <w:p>
            <w:pPr>
              <w:spacing w:after="0"/>
              <w:rPr>
                <w:sz w:val="23"/>
                <w:szCs w:val="23"/>
                <w:color w:val="auto"/>
              </w:rPr>
            </w:pPr>
          </w:p>
        </w:tc>
      </w:tr>
      <w:tr>
        <w:trPr>
          <w:trHeight w:val="242"/>
        </w:trPr>
        <w:tc>
          <w:tcPr>
            <w:tcW w:w="20" w:type="dxa"/>
            <w:vAlign w:val="bottom"/>
          </w:tcPr>
          <w:p>
            <w:pPr>
              <w:spacing w:after="0"/>
              <w:rPr>
                <w:sz w:val="21"/>
                <w:szCs w:val="21"/>
                <w:color w:val="auto"/>
              </w:rPr>
            </w:pPr>
          </w:p>
        </w:tc>
        <w:tc>
          <w:tcPr>
            <w:tcW w:w="980" w:type="dxa"/>
            <w:vAlign w:val="bottom"/>
          </w:tcPr>
          <w:p>
            <w:pPr>
              <w:ind w:left="20"/>
              <w:spacing w:after="0"/>
              <w:rPr>
                <w:sz w:val="20"/>
                <w:szCs w:val="20"/>
                <w:color w:val="auto"/>
              </w:rPr>
            </w:pPr>
            <w:r>
              <w:rPr>
                <w:rFonts w:ascii="Arial" w:cs="Arial" w:eastAsia="Arial" w:hAnsi="Arial"/>
                <w:sz w:val="18"/>
                <w:szCs w:val="18"/>
                <w:color w:val="0000FF"/>
              </w:rPr>
              <w:t>HOUSTON</w:t>
            </w:r>
          </w:p>
        </w:tc>
        <w:tc>
          <w:tcPr>
            <w:tcW w:w="880" w:type="dxa"/>
            <w:vAlign w:val="bottom"/>
          </w:tcPr>
          <w:p>
            <w:pPr>
              <w:ind w:left="140"/>
              <w:spacing w:after="0"/>
              <w:rPr>
                <w:sz w:val="20"/>
                <w:szCs w:val="20"/>
                <w:color w:val="auto"/>
              </w:rPr>
            </w:pPr>
            <w:r>
              <w:rPr>
                <w:rFonts w:ascii="Arial" w:cs="Arial" w:eastAsia="Arial" w:hAnsi="Arial"/>
                <w:sz w:val="18"/>
                <w:szCs w:val="18"/>
                <w:color w:val="0000FF"/>
              </w:rPr>
              <w:t>TX</w:t>
            </w:r>
          </w:p>
        </w:tc>
        <w:tc>
          <w:tcPr>
            <w:tcW w:w="1380" w:type="dxa"/>
            <w:vAlign w:val="bottom"/>
          </w:tcPr>
          <w:p>
            <w:pPr>
              <w:ind w:left="340"/>
              <w:spacing w:after="0"/>
              <w:rPr>
                <w:sz w:val="20"/>
                <w:szCs w:val="20"/>
                <w:color w:val="auto"/>
              </w:rPr>
            </w:pPr>
            <w:r>
              <w:rPr>
                <w:rFonts w:ascii="Arial" w:cs="Arial" w:eastAsia="Arial" w:hAnsi="Arial"/>
                <w:sz w:val="18"/>
                <w:szCs w:val="18"/>
                <w:color w:val="0000FF"/>
              </w:rPr>
              <w:t>77056</w:t>
            </w:r>
          </w:p>
        </w:tc>
      </w:tr>
      <w:tr>
        <w:trPr>
          <w:trHeight w:val="158"/>
        </w:trPr>
        <w:tc>
          <w:tcPr>
            <w:tcW w:w="20" w:type="dxa"/>
            <w:vAlign w:val="bottom"/>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r>
      <w:tr>
        <w:trPr>
          <w:trHeight w:val="310"/>
        </w:trPr>
        <w:tc>
          <w:tcPr>
            <w:tcW w:w="20" w:type="dxa"/>
            <w:vAlign w:val="bottom"/>
          </w:tcPr>
          <w:p>
            <w:pPr>
              <w:spacing w:after="0"/>
              <w:rPr>
                <w:sz w:val="24"/>
                <w:szCs w:val="24"/>
                <w:color w:val="auto"/>
              </w:rPr>
            </w:pPr>
          </w:p>
        </w:tc>
        <w:tc>
          <w:tcPr>
            <w:tcW w:w="980" w:type="dxa"/>
            <w:vAlign w:val="bottom"/>
          </w:tcPr>
          <w:p>
            <w:pPr>
              <w:ind w:left="20"/>
              <w:spacing w:after="0"/>
              <w:rPr>
                <w:sz w:val="20"/>
                <w:szCs w:val="20"/>
                <w:color w:val="auto"/>
              </w:rPr>
            </w:pPr>
            <w:r>
              <w:rPr>
                <w:rFonts w:ascii="Arial" w:cs="Arial" w:eastAsia="Arial" w:hAnsi="Arial"/>
                <w:sz w:val="14"/>
                <w:szCs w:val="14"/>
                <w:color w:val="auto"/>
              </w:rPr>
              <w:t>(City)</w:t>
            </w:r>
          </w:p>
        </w:tc>
        <w:tc>
          <w:tcPr>
            <w:tcW w:w="880" w:type="dxa"/>
            <w:vAlign w:val="bottom"/>
          </w:tcPr>
          <w:p>
            <w:pPr>
              <w:ind w:left="140"/>
              <w:spacing w:after="0"/>
              <w:rPr>
                <w:sz w:val="20"/>
                <w:szCs w:val="20"/>
                <w:color w:val="auto"/>
              </w:rPr>
            </w:pPr>
            <w:r>
              <w:rPr>
                <w:rFonts w:ascii="Arial" w:cs="Arial" w:eastAsia="Arial" w:hAnsi="Arial"/>
                <w:sz w:val="14"/>
                <w:szCs w:val="14"/>
                <w:color w:val="auto"/>
              </w:rPr>
              <w:t>(State)</w:t>
            </w:r>
          </w:p>
        </w:tc>
        <w:tc>
          <w:tcPr>
            <w:tcW w:w="1380" w:type="dxa"/>
            <w:vAlign w:val="bottom"/>
          </w:tcPr>
          <w:p>
            <w:pPr>
              <w:ind w:left="34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2">
        <w:r>
          <w:rPr>
            <w:rFonts w:ascii="Arial" w:cs="Arial" w:eastAsia="Arial" w:hAnsi="Arial"/>
            <w:sz w:val="22"/>
            <w:szCs w:val="22"/>
            <w:u w:val="single" w:color="auto"/>
            <w:color w:val="0000EE"/>
          </w:rPr>
          <w:t>SCHLUMBERGER LIMITED/NV</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SLB</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264"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3320" w:type="dxa"/>
            <w:vAlign w:val="bottom"/>
            <w:gridSpan w:val="3"/>
          </w:tcPr>
          <w:p>
            <w:pPr>
              <w:spacing w:after="0"/>
              <w:rPr>
                <w:sz w:val="20"/>
                <w:szCs w:val="20"/>
                <w:color w:val="auto"/>
              </w:rPr>
            </w:pPr>
            <w:r>
              <w:rPr>
                <w:rFonts w:ascii="Arial" w:cs="Arial" w:eastAsia="Arial" w:hAnsi="Arial"/>
                <w:sz w:val="14"/>
                <w:szCs w:val="14"/>
                <w:color w:val="auto"/>
              </w:rPr>
              <w:t>4. Relationship of Reporting Person(s) to Issuer</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5.</w:t>
            </w:r>
          </w:p>
        </w:tc>
        <w:tc>
          <w:tcPr>
            <w:tcW w:w="2680" w:type="dxa"/>
            <w:vAlign w:val="bottom"/>
          </w:tcPr>
          <w:p>
            <w:pPr>
              <w:ind w:left="20"/>
              <w:spacing w:after="0"/>
              <w:rPr>
                <w:sz w:val="20"/>
                <w:szCs w:val="20"/>
                <w:color w:val="auto"/>
              </w:rPr>
            </w:pPr>
            <w:r>
              <w:rPr>
                <w:rFonts w:ascii="Arial" w:cs="Arial" w:eastAsia="Arial" w:hAnsi="Arial"/>
                <w:sz w:val="14"/>
                <w:szCs w:val="14"/>
                <w:color w:val="auto"/>
              </w:rPr>
              <w:t>If Amendment, Date of Original Filed</w:t>
            </w:r>
          </w:p>
        </w:tc>
      </w:tr>
      <w:tr>
        <w:trPr>
          <w:trHeight w:val="162"/>
        </w:trPr>
        <w:tc>
          <w:tcPr>
            <w:tcW w:w="1840" w:type="dxa"/>
            <w:vAlign w:val="bottom"/>
            <w:gridSpan w:val="2"/>
          </w:tcPr>
          <w:p>
            <w:pPr>
              <w:spacing w:after="0"/>
              <w:rPr>
                <w:sz w:val="20"/>
                <w:szCs w:val="20"/>
                <w:color w:val="auto"/>
              </w:rPr>
            </w:pPr>
            <w:r>
              <w:rPr>
                <w:rFonts w:ascii="Arial" w:cs="Arial" w:eastAsia="Arial" w:hAnsi="Arial"/>
                <w:sz w:val="14"/>
                <w:szCs w:val="14"/>
                <w:color w:val="auto"/>
              </w:rPr>
              <w:t>(Check all applicable)</w:t>
            </w:r>
          </w:p>
        </w:tc>
        <w:tc>
          <w:tcPr>
            <w:tcW w:w="1480" w:type="dxa"/>
            <w:vAlign w:val="bottom"/>
          </w:tcPr>
          <w:p>
            <w:pPr>
              <w:spacing w:after="0"/>
              <w:rPr>
                <w:sz w:val="14"/>
                <w:szCs w:val="14"/>
                <w:color w:val="auto"/>
              </w:rPr>
            </w:pPr>
          </w:p>
        </w:tc>
        <w:tc>
          <w:tcPr>
            <w:tcW w:w="2880" w:type="dxa"/>
            <w:vAlign w:val="bottom"/>
            <w:gridSpan w:val="2"/>
          </w:tcPr>
          <w:p>
            <w:pPr>
              <w:ind w:left="80"/>
              <w:spacing w:after="0"/>
              <w:rPr>
                <w:sz w:val="20"/>
                <w:szCs w:val="20"/>
                <w:color w:val="auto"/>
              </w:rPr>
            </w:pPr>
            <w:r>
              <w:rPr>
                <w:rFonts w:ascii="Arial" w:cs="Arial" w:eastAsia="Arial" w:hAnsi="Arial"/>
                <w:sz w:val="14"/>
                <w:szCs w:val="14"/>
                <w:color w:val="auto"/>
              </w:rPr>
              <w:t>(Month/Day/Year)</w:t>
            </w:r>
          </w:p>
        </w:tc>
      </w:tr>
      <w:tr>
        <w:trPr>
          <w:trHeight w:val="170"/>
        </w:trPr>
        <w:tc>
          <w:tcPr>
            <w:tcW w:w="380" w:type="dxa"/>
            <w:vAlign w:val="bottom"/>
          </w:tcPr>
          <w:p>
            <w:pPr>
              <w:spacing w:after="0"/>
              <w:rPr>
                <w:sz w:val="14"/>
                <w:szCs w:val="14"/>
                <w:color w:val="auto"/>
              </w:rPr>
            </w:pPr>
          </w:p>
        </w:tc>
        <w:tc>
          <w:tcPr>
            <w:tcW w:w="1460" w:type="dxa"/>
            <w:vAlign w:val="bottom"/>
          </w:tcPr>
          <w:p>
            <w:pPr>
              <w:ind w:left="160"/>
              <w:spacing w:after="0"/>
              <w:rPr>
                <w:sz w:val="20"/>
                <w:szCs w:val="20"/>
                <w:color w:val="auto"/>
              </w:rPr>
            </w:pPr>
            <w:r>
              <w:rPr>
                <w:rFonts w:ascii="Arial" w:cs="Arial" w:eastAsia="Arial" w:hAnsi="Arial"/>
                <w:sz w:val="14"/>
                <w:szCs w:val="14"/>
                <w:color w:val="auto"/>
              </w:rPr>
              <w:t>Director</w:t>
            </w:r>
          </w:p>
        </w:tc>
        <w:tc>
          <w:tcPr>
            <w:tcW w:w="1480" w:type="dxa"/>
            <w:vAlign w:val="bottom"/>
          </w:tcPr>
          <w:p>
            <w:pPr>
              <w:ind w:left="320"/>
              <w:spacing w:after="0"/>
              <w:rPr>
                <w:sz w:val="20"/>
                <w:szCs w:val="20"/>
                <w:color w:val="auto"/>
              </w:rPr>
            </w:pPr>
            <w:r>
              <w:rPr>
                <w:rFonts w:ascii="Arial" w:cs="Arial" w:eastAsia="Arial" w:hAnsi="Arial"/>
                <w:sz w:val="14"/>
                <w:szCs w:val="14"/>
                <w:color w:val="auto"/>
              </w:rPr>
              <w:t>10% Owner</w:t>
            </w:r>
          </w:p>
        </w:tc>
        <w:tc>
          <w:tcPr>
            <w:tcW w:w="200" w:type="dxa"/>
            <w:vAlign w:val="bottom"/>
            <w:tcBorders>
              <w:bottom w:val="single" w:sz="8" w:color="2C2C2C"/>
            </w:tcBorders>
          </w:tcPr>
          <w:p>
            <w:pPr>
              <w:spacing w:after="0"/>
              <w:rPr>
                <w:sz w:val="14"/>
                <w:szCs w:val="14"/>
                <w:color w:val="auto"/>
              </w:rPr>
            </w:pPr>
          </w:p>
        </w:tc>
        <w:tc>
          <w:tcPr>
            <w:tcW w:w="2680" w:type="dxa"/>
            <w:vAlign w:val="bottom"/>
            <w:tcBorders>
              <w:bottom w:val="single" w:sz="8" w:color="2C2C2C"/>
            </w:tcBorders>
          </w:tcPr>
          <w:p>
            <w:pPr>
              <w:spacing w:after="0"/>
              <w:rPr>
                <w:sz w:val="14"/>
                <w:szCs w:val="14"/>
                <w:color w:val="auto"/>
              </w:rPr>
            </w:pPr>
          </w:p>
        </w:tc>
      </w:tr>
      <w:tr>
        <w:trPr>
          <w:trHeight w:val="188"/>
        </w:trPr>
        <w:tc>
          <w:tcPr>
            <w:tcW w:w="380" w:type="dxa"/>
            <w:vAlign w:val="bottom"/>
          </w:tcPr>
          <w:p>
            <w:pPr>
              <w:ind w:left="200"/>
              <w:spacing w:after="0" w:line="189" w:lineRule="exact"/>
              <w:rPr>
                <w:sz w:val="20"/>
                <w:szCs w:val="20"/>
                <w:color w:val="auto"/>
              </w:rPr>
            </w:pPr>
            <w:r>
              <w:rPr>
                <w:rFonts w:ascii="Arial" w:cs="Arial" w:eastAsia="Arial" w:hAnsi="Arial"/>
                <w:sz w:val="18"/>
                <w:szCs w:val="18"/>
                <w:color w:val="0000FF"/>
              </w:rPr>
              <w:t>X</w:t>
            </w:r>
          </w:p>
        </w:tc>
        <w:tc>
          <w:tcPr>
            <w:tcW w:w="1460" w:type="dxa"/>
            <w:vAlign w:val="bottom"/>
          </w:tcPr>
          <w:p>
            <w:pPr>
              <w:ind w:left="160"/>
              <w:spacing w:after="0"/>
              <w:rPr>
                <w:sz w:val="20"/>
                <w:szCs w:val="20"/>
                <w:color w:val="auto"/>
              </w:rPr>
            </w:pPr>
            <w:r>
              <w:rPr>
                <w:rFonts w:ascii="Arial" w:cs="Arial" w:eastAsia="Arial" w:hAnsi="Arial"/>
                <w:sz w:val="14"/>
                <w:szCs w:val="14"/>
                <w:color w:val="auto"/>
              </w:rPr>
              <w:t>Officer (give title</w:t>
            </w:r>
          </w:p>
        </w:tc>
        <w:tc>
          <w:tcPr>
            <w:tcW w:w="1480" w:type="dxa"/>
            <w:vAlign w:val="bottom"/>
          </w:tcPr>
          <w:p>
            <w:pPr>
              <w:ind w:left="320"/>
              <w:spacing w:after="0"/>
              <w:rPr>
                <w:sz w:val="20"/>
                <w:szCs w:val="20"/>
                <w:color w:val="auto"/>
              </w:rPr>
            </w:pPr>
            <w:r>
              <w:rPr>
                <w:rFonts w:ascii="Arial" w:cs="Arial" w:eastAsia="Arial" w:hAnsi="Arial"/>
                <w:sz w:val="14"/>
                <w:szCs w:val="14"/>
                <w:color w:val="auto"/>
              </w:rPr>
              <w:t>Other (specify</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6.</w:t>
            </w:r>
          </w:p>
        </w:tc>
        <w:tc>
          <w:tcPr>
            <w:tcW w:w="2680" w:type="dxa"/>
            <w:vAlign w:val="bottom"/>
          </w:tcPr>
          <w:p>
            <w:pPr>
              <w:ind w:left="20"/>
              <w:spacing w:after="0"/>
              <w:rPr>
                <w:sz w:val="20"/>
                <w:szCs w:val="20"/>
                <w:color w:val="auto"/>
              </w:rPr>
            </w:pPr>
            <w:r>
              <w:rPr>
                <w:rFonts w:ascii="Arial" w:cs="Arial" w:eastAsia="Arial" w:hAnsi="Arial"/>
                <w:sz w:val="14"/>
                <w:szCs w:val="14"/>
                <w:color w:val="auto"/>
              </w:rPr>
              <w:t>Individual or Joint/Group Filing (Check</w:t>
            </w:r>
          </w:p>
        </w:tc>
      </w:tr>
      <w:tr>
        <w:trPr>
          <w:trHeight w:val="176"/>
        </w:trPr>
        <w:tc>
          <w:tcPr>
            <w:tcW w:w="380" w:type="dxa"/>
            <w:vAlign w:val="bottom"/>
          </w:tcPr>
          <w:p>
            <w:pPr>
              <w:spacing w:after="0"/>
              <w:rPr>
                <w:sz w:val="15"/>
                <w:szCs w:val="15"/>
                <w:color w:val="auto"/>
              </w:rPr>
            </w:pPr>
          </w:p>
        </w:tc>
        <w:tc>
          <w:tcPr>
            <w:tcW w:w="1460" w:type="dxa"/>
            <w:vAlign w:val="bottom"/>
          </w:tcPr>
          <w:p>
            <w:pPr>
              <w:ind w:left="160"/>
              <w:spacing w:after="0"/>
              <w:rPr>
                <w:sz w:val="20"/>
                <w:szCs w:val="20"/>
                <w:color w:val="auto"/>
              </w:rPr>
            </w:pPr>
            <w:r>
              <w:rPr>
                <w:rFonts w:ascii="Arial" w:cs="Arial" w:eastAsia="Arial" w:hAnsi="Arial"/>
                <w:sz w:val="14"/>
                <w:szCs w:val="14"/>
                <w:color w:val="auto"/>
              </w:rPr>
              <w:t>below)</w:t>
            </w:r>
          </w:p>
        </w:tc>
        <w:tc>
          <w:tcPr>
            <w:tcW w:w="1480" w:type="dxa"/>
            <w:vAlign w:val="bottom"/>
          </w:tcPr>
          <w:p>
            <w:pPr>
              <w:ind w:left="320"/>
              <w:spacing w:after="0"/>
              <w:rPr>
                <w:sz w:val="20"/>
                <w:szCs w:val="20"/>
                <w:color w:val="auto"/>
              </w:rPr>
            </w:pPr>
            <w:r>
              <w:rPr>
                <w:rFonts w:ascii="Arial" w:cs="Arial" w:eastAsia="Arial" w:hAnsi="Arial"/>
                <w:sz w:val="14"/>
                <w:szCs w:val="14"/>
                <w:color w:val="auto"/>
              </w:rPr>
              <w:t>below)</w:t>
            </w:r>
          </w:p>
        </w:tc>
        <w:tc>
          <w:tcPr>
            <w:tcW w:w="2880" w:type="dxa"/>
            <w:vAlign w:val="bottom"/>
            <w:gridSpan w:val="2"/>
          </w:tcPr>
          <w:p>
            <w:pPr>
              <w:ind w:left="80"/>
              <w:spacing w:after="0"/>
              <w:rPr>
                <w:sz w:val="20"/>
                <w:szCs w:val="20"/>
                <w:color w:val="auto"/>
              </w:rPr>
            </w:pPr>
            <w:r>
              <w:rPr>
                <w:rFonts w:ascii="Arial" w:cs="Arial" w:eastAsia="Arial" w:hAnsi="Arial"/>
                <w:sz w:val="14"/>
                <w:szCs w:val="14"/>
                <w:color w:val="auto"/>
              </w:rPr>
              <w:t>Applicable Line)</w:t>
            </w:r>
          </w:p>
        </w:tc>
      </w:tr>
      <w:tr>
        <w:trPr>
          <w:trHeight w:val="242"/>
        </w:trPr>
        <w:tc>
          <w:tcPr>
            <w:tcW w:w="380" w:type="dxa"/>
            <w:vAlign w:val="bottom"/>
          </w:tcPr>
          <w:p>
            <w:pPr>
              <w:spacing w:after="0"/>
              <w:rPr>
                <w:sz w:val="21"/>
                <w:szCs w:val="21"/>
                <w:color w:val="auto"/>
              </w:rPr>
            </w:pPr>
          </w:p>
        </w:tc>
        <w:tc>
          <w:tcPr>
            <w:tcW w:w="2940" w:type="dxa"/>
            <w:vAlign w:val="bottom"/>
            <w:gridSpan w:val="2"/>
          </w:tcPr>
          <w:p>
            <w:pPr>
              <w:ind w:left="80"/>
              <w:spacing w:after="0"/>
              <w:rPr>
                <w:sz w:val="20"/>
                <w:szCs w:val="20"/>
                <w:color w:val="auto"/>
              </w:rPr>
            </w:pPr>
            <w:r>
              <w:rPr>
                <w:rFonts w:ascii="Arial" w:cs="Arial" w:eastAsia="Arial" w:hAnsi="Arial"/>
                <w:sz w:val="18"/>
                <w:szCs w:val="18"/>
                <w:color w:val="0000FF"/>
              </w:rPr>
              <w:t>Vice President Human Resources</w:t>
            </w:r>
          </w:p>
        </w:tc>
        <w:tc>
          <w:tcPr>
            <w:tcW w:w="200" w:type="dxa"/>
            <w:vAlign w:val="bottom"/>
          </w:tcPr>
          <w:p>
            <w:pPr>
              <w:spacing w:after="0"/>
              <w:rPr>
                <w:sz w:val="21"/>
                <w:szCs w:val="21"/>
                <w:color w:val="auto"/>
              </w:rPr>
            </w:pPr>
          </w:p>
        </w:tc>
        <w:tc>
          <w:tcPr>
            <w:tcW w:w="2680" w:type="dxa"/>
            <w:vAlign w:val="bottom"/>
          </w:tcPr>
          <w:p>
            <w:pPr>
              <w:ind w:left="4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r>
      <w:tr>
        <w:trPr>
          <w:trHeight w:val="204"/>
        </w:trPr>
        <w:tc>
          <w:tcPr>
            <w:tcW w:w="3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80" w:type="dxa"/>
            <w:vAlign w:val="bottom"/>
          </w:tcPr>
          <w:p>
            <w:pPr>
              <w:ind w:left="360"/>
              <w:spacing w:after="0"/>
              <w:rPr>
                <w:sz w:val="20"/>
                <w:szCs w:val="20"/>
                <w:color w:val="auto"/>
              </w:rPr>
            </w:pPr>
            <w:r>
              <w:rPr>
                <w:rFonts w:ascii="Arial" w:cs="Arial" w:eastAsia="Arial" w:hAnsi="Arial"/>
                <w:sz w:val="14"/>
                <w:szCs w:val="14"/>
                <w:color w:val="auto"/>
              </w:rPr>
              <w:t>Form filed by More than One</w:t>
            </w:r>
          </w:p>
        </w:tc>
      </w:tr>
      <w:tr>
        <w:trPr>
          <w:trHeight w:val="162"/>
        </w:trPr>
        <w:tc>
          <w:tcPr>
            <w:tcW w:w="3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80" w:type="dxa"/>
            <w:vAlign w:val="bottom"/>
          </w:tcPr>
          <w:p>
            <w:pPr>
              <w:ind w:left="360"/>
              <w:spacing w:after="0"/>
              <w:rPr>
                <w:sz w:val="20"/>
                <w:szCs w:val="20"/>
                <w:color w:val="auto"/>
              </w:rPr>
            </w:pPr>
            <w:r>
              <w:rPr>
                <w:rFonts w:ascii="Arial" w:cs="Arial" w:eastAsia="Arial" w:hAnsi="Arial"/>
                <w:sz w:val="14"/>
                <w:szCs w:val="14"/>
                <w:color w:val="auto"/>
              </w:rPr>
              <w:t>Reporting Person</w:t>
            </w:r>
          </w:p>
        </w:tc>
      </w:tr>
    </w:tbl>
    <w:p>
      <w:pPr>
        <w:spacing w:after="0" w:line="495" w:lineRule="exact"/>
        <w:rPr>
          <w:sz w:val="24"/>
          <w:szCs w:val="24"/>
          <w:color w:val="auto"/>
        </w:rPr>
      </w:pPr>
    </w:p>
    <w:p>
      <w:pPr>
        <w:sectPr>
          <w:pgSz w:w="11900" w:h="16838" w:orient="portrait"/>
          <w:cols w:equalWidth="0" w:num="2">
            <w:col w:w="4720" w:space="480"/>
            <w:col w:w="6220"/>
          </w:cols>
          <w:pgMar w:left="240" w:top="226" w:right="239" w:bottom="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00" w:type="dxa"/>
            <w:vAlign w:val="bottom"/>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00" w:type="dxa"/>
            <w:vAlign w:val="bottom"/>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r>
      <w:tr>
        <w:trPr>
          <w:trHeight w:val="178"/>
        </w:trPr>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r>
      <w:tr>
        <w:trPr>
          <w:trHeight w:val="48"/>
        </w:trPr>
        <w:tc>
          <w:tcPr>
            <w:tcW w:w="3440" w:type="dxa"/>
            <w:vAlign w:val="bottom"/>
            <w:tcBorders>
              <w:bottom w:val="single" w:sz="8" w:color="2C2C2C"/>
            </w:tcBorders>
          </w:tcPr>
          <w:p>
            <w:pPr>
              <w:spacing w:after="0"/>
              <w:rPr>
                <w:sz w:val="4"/>
                <w:szCs w:val="4"/>
                <w:color w:val="auto"/>
              </w:rPr>
            </w:pPr>
          </w:p>
        </w:tc>
        <w:tc>
          <w:tcPr>
            <w:tcW w:w="362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tcPr>
          <w:p>
            <w:pPr>
              <w:spacing w:after="0"/>
              <w:rPr>
                <w:sz w:val="4"/>
                <w:szCs w:val="4"/>
                <w:color w:val="auto"/>
              </w:rPr>
            </w:pPr>
          </w:p>
        </w:tc>
        <w:tc>
          <w:tcPr>
            <w:tcW w:w="3000" w:type="dxa"/>
            <w:vAlign w:val="bottom"/>
            <w:tcBorders>
              <w:bottom w:val="single" w:sz="8" w:color="2C2C2C"/>
            </w:tcBorders>
          </w:tcPr>
          <w:p>
            <w:pPr>
              <w:spacing w:after="0"/>
              <w:rPr>
                <w:sz w:val="4"/>
                <w:szCs w:val="4"/>
                <w:color w:val="auto"/>
              </w:rPr>
            </w:pPr>
          </w:p>
        </w:tc>
      </w:tr>
    </w:tbl>
    <w:p>
      <w:pPr>
        <w:spacing w:after="0" w:line="46" w:lineRule="exact"/>
        <w:rPr>
          <w:sz w:val="24"/>
          <w:szCs w:val="24"/>
          <w:color w:val="auto"/>
        </w:r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3200" w:type="dxa"/>
            <w:vAlign w:val="bottom"/>
          </w:tcPr>
          <w:p>
            <w:pPr>
              <w:ind w:left="60"/>
              <w:spacing w:after="0"/>
              <w:rPr>
                <w:sz w:val="20"/>
                <w:szCs w:val="20"/>
                <w:color w:val="auto"/>
              </w:rPr>
            </w:pPr>
            <w:r>
              <w:rPr>
                <w:rFonts w:ascii="Arial" w:cs="Arial" w:eastAsia="Arial" w:hAnsi="Arial"/>
                <w:sz w:val="18"/>
                <w:szCs w:val="18"/>
                <w:color w:val="0000FF"/>
                <w:w w:val="89"/>
              </w:rPr>
              <w:t>Common Stock, $0.01 Par Value Per Share</w:t>
            </w:r>
          </w:p>
        </w:tc>
        <w:tc>
          <w:tcPr>
            <w:tcW w:w="3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60" w:type="dxa"/>
            <w:vAlign w:val="bottom"/>
          </w:tcPr>
          <w:p>
            <w:pPr>
              <w:jc w:val="right"/>
              <w:ind w:right="914"/>
              <w:spacing w:after="0"/>
              <w:rPr>
                <w:sz w:val="20"/>
                <w:szCs w:val="20"/>
                <w:color w:val="auto"/>
              </w:rPr>
            </w:pPr>
            <w:r>
              <w:rPr>
                <w:rFonts w:ascii="Arial" w:cs="Arial" w:eastAsia="Arial" w:hAnsi="Arial"/>
                <w:sz w:val="18"/>
                <w:szCs w:val="18"/>
                <w:color w:val="0000FF"/>
              </w:rPr>
              <w:t>2,711</w:t>
            </w:r>
          </w:p>
        </w:tc>
        <w:tc>
          <w:tcPr>
            <w:tcW w:w="700" w:type="dxa"/>
            <w:vAlign w:val="bottom"/>
          </w:tcPr>
          <w:p>
            <w:pPr>
              <w:ind w:left="440"/>
              <w:spacing w:after="0"/>
              <w:rPr>
                <w:sz w:val="20"/>
                <w:szCs w:val="20"/>
                <w:color w:val="auto"/>
              </w:rPr>
            </w:pPr>
            <w:r>
              <w:rPr>
                <w:rFonts w:ascii="Arial" w:cs="Arial" w:eastAsia="Arial" w:hAnsi="Arial"/>
                <w:sz w:val="18"/>
                <w:szCs w:val="18"/>
                <w:color w:val="0000FF"/>
              </w:rPr>
              <w:t>D</w:t>
            </w:r>
          </w:p>
        </w:tc>
        <w:tc>
          <w:tcPr>
            <w:tcW w:w="8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3200" w:type="dxa"/>
            <w:vAlign w:val="bottom"/>
            <w:tcBorders>
              <w:bottom w:val="single" w:sz="8" w:color="2C2C2C"/>
            </w:tcBorders>
          </w:tcPr>
          <w:p>
            <w:pPr>
              <w:spacing w:after="0"/>
              <w:rPr>
                <w:sz w:val="8"/>
                <w:szCs w:val="8"/>
                <w:color w:val="auto"/>
              </w:rPr>
            </w:pPr>
          </w:p>
        </w:tc>
        <w:tc>
          <w:tcPr>
            <w:tcW w:w="360" w:type="dxa"/>
            <w:vAlign w:val="bottom"/>
            <w:tcBorders>
              <w:bottom w:val="single" w:sz="8" w:color="2C2C2C"/>
            </w:tcBorders>
          </w:tcPr>
          <w:p>
            <w:pPr>
              <w:spacing w:after="0"/>
              <w:rPr>
                <w:sz w:val="8"/>
                <w:szCs w:val="8"/>
                <w:color w:val="auto"/>
              </w:rPr>
            </w:pPr>
          </w:p>
        </w:tc>
        <w:tc>
          <w:tcPr>
            <w:tcW w:w="4440" w:type="dxa"/>
            <w:vAlign w:val="bottom"/>
            <w:tcBorders>
              <w:bottom w:val="single" w:sz="8" w:color="2C2C2C"/>
            </w:tcBorders>
            <w:gridSpan w:val="4"/>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16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3200" w:type="dxa"/>
            <w:vAlign w:val="bottom"/>
            <w:tcBorders>
              <w:top w:val="single" w:sz="8" w:color="2C2C2C"/>
            </w:tcBorders>
          </w:tcPr>
          <w:p>
            <w:pPr>
              <w:spacing w:after="0"/>
              <w:rPr>
                <w:sz w:val="19"/>
                <w:szCs w:val="19"/>
                <w:color w:val="auto"/>
              </w:rPr>
            </w:pPr>
          </w:p>
        </w:tc>
        <w:tc>
          <w:tcPr>
            <w:tcW w:w="360" w:type="dxa"/>
            <w:vAlign w:val="bottom"/>
            <w:tcBorders>
              <w:top w:val="single" w:sz="8" w:color="2C2C2C"/>
            </w:tcBorders>
          </w:tcPr>
          <w:p>
            <w:pPr>
              <w:spacing w:after="0"/>
              <w:rPr>
                <w:sz w:val="19"/>
                <w:szCs w:val="19"/>
                <w:color w:val="auto"/>
              </w:rPr>
            </w:pPr>
          </w:p>
        </w:tc>
        <w:tc>
          <w:tcPr>
            <w:tcW w:w="4440" w:type="dxa"/>
            <w:vAlign w:val="bottom"/>
            <w:tcBorders>
              <w:top w:val="single" w:sz="8" w:color="2C2C2C"/>
            </w:tcBorders>
            <w:gridSpan w:val="4"/>
          </w:tcPr>
          <w:p>
            <w:pPr>
              <w:ind w:left="60"/>
              <w:spacing w:after="0"/>
              <w:rPr>
                <w:sz w:val="20"/>
                <w:szCs w:val="20"/>
                <w:color w:val="auto"/>
              </w:rPr>
            </w:pPr>
            <w:r>
              <w:rPr>
                <w:rFonts w:ascii="Arial" w:cs="Arial" w:eastAsia="Arial" w:hAnsi="Arial"/>
                <w:sz w:val="18"/>
                <w:szCs w:val="18"/>
                <w:b w:val="1"/>
                <w:bCs w:val="1"/>
                <w:color w:val="auto"/>
              </w:rPr>
              <w:t>Table II - Derivative Securities Beneficially Owned</w:t>
            </w:r>
          </w:p>
        </w:tc>
        <w:tc>
          <w:tcPr>
            <w:tcW w:w="88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162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3200" w:type="dxa"/>
            <w:vAlign w:val="bottom"/>
          </w:tcPr>
          <w:p>
            <w:pPr>
              <w:spacing w:after="0"/>
              <w:rPr>
                <w:sz w:val="20"/>
                <w:szCs w:val="20"/>
                <w:color w:val="auto"/>
              </w:rPr>
            </w:pPr>
          </w:p>
        </w:tc>
        <w:tc>
          <w:tcPr>
            <w:tcW w:w="5680" w:type="dxa"/>
            <w:vAlign w:val="bottom"/>
            <w:gridSpan w:val="6"/>
          </w:tcPr>
          <w:p>
            <w:pPr>
              <w:ind w:left="8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8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320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276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3200" w:type="dxa"/>
            <w:vAlign w:val="bottom"/>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360" w:type="dxa"/>
            <w:vAlign w:val="bottom"/>
          </w:tcPr>
          <w:p>
            <w:pPr>
              <w:spacing w:after="0"/>
              <w:rPr>
                <w:sz w:val="16"/>
                <w:szCs w:val="16"/>
                <w:color w:val="auto"/>
              </w:rPr>
            </w:pP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760" w:type="dxa"/>
            <w:vAlign w:val="bottom"/>
            <w:gridSpan w:val="2"/>
          </w:tcPr>
          <w:p>
            <w:pPr>
              <w:ind w:left="60"/>
              <w:spacing w:after="0"/>
              <w:rPr>
                <w:sz w:val="20"/>
                <w:szCs w:val="20"/>
                <w:color w:val="auto"/>
              </w:rPr>
            </w:pPr>
            <w:r>
              <w:rPr>
                <w:rFonts w:ascii="Arial" w:cs="Arial" w:eastAsia="Arial" w:hAnsi="Arial"/>
                <w:sz w:val="14"/>
                <w:szCs w:val="14"/>
                <w:b w:val="1"/>
                <w:bCs w:val="1"/>
                <w:color w:val="auto"/>
              </w:rPr>
              <w:t>3. Title and Amount of Securities</w:t>
            </w: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4.</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5.</w:t>
            </w:r>
          </w:p>
        </w:tc>
        <w:tc>
          <w:tcPr>
            <w:tcW w:w="1640" w:type="dxa"/>
            <w:vAlign w:val="bottom"/>
            <w:gridSpan w:val="2"/>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76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Underlying Derivative Security (Instr. 4)</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Ownership</w:t>
            </w:r>
          </w:p>
        </w:tc>
        <w:tc>
          <w:tcPr>
            <w:tcW w:w="164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20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Form:</w:t>
            </w:r>
          </w:p>
        </w:tc>
        <w:tc>
          <w:tcPr>
            <w:tcW w:w="164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3200" w:type="dxa"/>
            <w:vAlign w:val="bottom"/>
          </w:tcPr>
          <w:p>
            <w:pPr>
              <w:spacing w:after="0"/>
              <w:rPr>
                <w:sz w:val="6"/>
                <w:szCs w:val="6"/>
                <w:color w:val="auto"/>
              </w:rPr>
            </w:pPr>
          </w:p>
        </w:tc>
        <w:tc>
          <w:tcPr>
            <w:tcW w:w="36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20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880" w:type="dxa"/>
            <w:vAlign w:val="bottom"/>
            <w:vMerge w:val="restart"/>
          </w:tcPr>
          <w:p>
            <w:pPr>
              <w:ind w:left="6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Direct (D)</w:t>
            </w:r>
          </w:p>
        </w:tc>
        <w:tc>
          <w:tcPr>
            <w:tcW w:w="162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3200" w:type="dxa"/>
            <w:vAlign w:val="bottom"/>
          </w:tcPr>
          <w:p>
            <w:pPr>
              <w:spacing w:after="0"/>
              <w:rPr>
                <w:sz w:val="4"/>
                <w:szCs w:val="4"/>
                <w:color w:val="auto"/>
              </w:rPr>
            </w:pPr>
          </w:p>
        </w:tc>
        <w:tc>
          <w:tcPr>
            <w:tcW w:w="36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2060" w:type="dxa"/>
            <w:vAlign w:val="bottom"/>
          </w:tcPr>
          <w:p>
            <w:pPr>
              <w:spacing w:after="0"/>
              <w:rPr>
                <w:sz w:val="4"/>
                <w:szCs w:val="4"/>
                <w:color w:val="auto"/>
              </w:rPr>
            </w:pPr>
          </w:p>
        </w:tc>
        <w:tc>
          <w:tcPr>
            <w:tcW w:w="70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Amount</w:t>
            </w:r>
          </w:p>
        </w:tc>
        <w:tc>
          <w:tcPr>
            <w:tcW w:w="88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6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880" w:type="dxa"/>
            <w:vAlign w:val="bottom"/>
          </w:tcPr>
          <w:p>
            <w:pPr>
              <w:ind w:left="60"/>
              <w:spacing w:after="0" w:line="139"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or Indirect</w:t>
            </w: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7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or</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(I) (Instr. 5)</w:t>
            </w: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700" w:type="dxa"/>
            <w:vAlign w:val="bottom"/>
          </w:tcPr>
          <w:p>
            <w:pPr>
              <w:ind w:left="80"/>
              <w:spacing w:after="0" w:line="145" w:lineRule="exact"/>
              <w:rPr>
                <w:sz w:val="20"/>
                <w:szCs w:val="20"/>
                <w:color w:val="auto"/>
              </w:rPr>
            </w:pPr>
            <w:r>
              <w:rPr>
                <w:rFonts w:ascii="Arial" w:cs="Arial" w:eastAsia="Arial" w:hAnsi="Arial"/>
                <w:sz w:val="14"/>
                <w:szCs w:val="14"/>
                <w:b w:val="1"/>
                <w:bCs w:val="1"/>
                <w:color w:val="auto"/>
              </w:rPr>
              <w:t>Number</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Expiration</w:t>
            </w:r>
          </w:p>
        </w:tc>
        <w:tc>
          <w:tcPr>
            <w:tcW w:w="2060" w:type="dxa"/>
            <w:vAlign w:val="bottom"/>
          </w:tcPr>
          <w:p>
            <w:pPr>
              <w:spacing w:after="0"/>
              <w:rPr>
                <w:sz w:val="12"/>
                <w:szCs w:val="12"/>
                <w:color w:val="auto"/>
              </w:rPr>
            </w:pPr>
          </w:p>
        </w:tc>
        <w:tc>
          <w:tcPr>
            <w:tcW w:w="7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of</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2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2060" w:type="dxa"/>
            <w:vAlign w:val="bottom"/>
          </w:tcPr>
          <w:p>
            <w:pPr>
              <w:ind w:left="60"/>
              <w:spacing w:after="0"/>
              <w:rPr>
                <w:sz w:val="20"/>
                <w:szCs w:val="20"/>
                <w:color w:val="auto"/>
              </w:rPr>
            </w:pPr>
            <w:r>
              <w:rPr>
                <w:rFonts w:ascii="Arial" w:cs="Arial" w:eastAsia="Arial" w:hAnsi="Arial"/>
                <w:sz w:val="14"/>
                <w:szCs w:val="14"/>
                <w:b w:val="1"/>
                <w:bCs w:val="1"/>
                <w:color w:val="auto"/>
              </w:rPr>
              <w:t>Title</w:t>
            </w:r>
          </w:p>
        </w:tc>
        <w:tc>
          <w:tcPr>
            <w:tcW w:w="700" w:type="dxa"/>
            <w:vAlign w:val="bottom"/>
          </w:tcPr>
          <w:p>
            <w:pPr>
              <w:ind w:left="80"/>
              <w:spacing w:after="0"/>
              <w:rPr>
                <w:sz w:val="20"/>
                <w:szCs w:val="20"/>
                <w:color w:val="auto"/>
              </w:rPr>
            </w:pPr>
            <w:r>
              <w:rPr>
                <w:rFonts w:ascii="Arial" w:cs="Arial" w:eastAsia="Arial" w:hAnsi="Arial"/>
                <w:sz w:val="14"/>
                <w:szCs w:val="14"/>
                <w:b w:val="1"/>
                <w:bCs w:val="1"/>
                <w:color w:val="auto"/>
              </w:rPr>
              <w:t>Shares</w:t>
            </w: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320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20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200" w:type="dxa"/>
            <w:vAlign w:val="bottom"/>
            <w:vMerge w:val="restart"/>
          </w:tcPr>
          <w:p>
            <w:pPr>
              <w:ind w:left="60"/>
              <w:spacing w:after="0"/>
              <w:rPr>
                <w:sz w:val="20"/>
                <w:szCs w:val="20"/>
                <w:color w:val="auto"/>
              </w:rPr>
            </w:pPr>
            <w:r>
              <w:rPr>
                <w:rFonts w:ascii="Arial" w:cs="Arial" w:eastAsia="Arial" w:hAnsi="Arial"/>
                <w:sz w:val="18"/>
                <w:szCs w:val="18"/>
                <w:color w:val="0000FF"/>
              </w:rPr>
              <w:t>Incentive Stock Option (Right to Buy)</w:t>
            </w:r>
          </w:p>
        </w:tc>
        <w:tc>
          <w:tcPr>
            <w:tcW w:w="1240" w:type="dxa"/>
            <w:vAlign w:val="bottom"/>
            <w:gridSpan w:val="2"/>
            <w:vMerge w:val="restart"/>
          </w:tcPr>
          <w:p>
            <w:pPr>
              <w:jc w:val="center"/>
              <w:ind w:left="299"/>
              <w:spacing w:after="0"/>
              <w:rPr>
                <w:sz w:val="20"/>
                <w:szCs w:val="20"/>
                <w:color w:val="auto"/>
              </w:rPr>
            </w:pPr>
            <w:r>
              <w:rPr>
                <w:rFonts w:ascii="Arial" w:cs="Arial" w:eastAsia="Arial" w:hAnsi="Arial"/>
                <w:sz w:val="11"/>
                <w:szCs w:val="11"/>
                <w:color w:val="008000"/>
                <w:w w:val="88"/>
              </w:rPr>
              <w:t>(1)</w:t>
            </w:r>
          </w:p>
        </w:tc>
        <w:tc>
          <w:tcPr>
            <w:tcW w:w="800" w:type="dxa"/>
            <w:vAlign w:val="bottom"/>
            <w:vMerge w:val="restart"/>
          </w:tcPr>
          <w:p>
            <w:pPr>
              <w:jc w:val="center"/>
              <w:spacing w:after="0"/>
              <w:rPr>
                <w:sz w:val="20"/>
                <w:szCs w:val="20"/>
                <w:color w:val="auto"/>
              </w:rPr>
            </w:pPr>
            <w:r>
              <w:rPr>
                <w:rFonts w:ascii="Arial" w:cs="Arial" w:eastAsia="Arial" w:hAnsi="Arial"/>
                <w:sz w:val="14"/>
                <w:szCs w:val="14"/>
                <w:color w:val="0000FF"/>
                <w:w w:val="88"/>
              </w:rPr>
              <w:t>01/17/2018</w:t>
            </w:r>
          </w:p>
        </w:tc>
        <w:tc>
          <w:tcPr>
            <w:tcW w:w="2060" w:type="dxa"/>
            <w:vAlign w:val="bottom"/>
          </w:tcPr>
          <w:p>
            <w:pPr>
              <w:jc w:val="center"/>
              <w:spacing w:after="0"/>
              <w:rPr>
                <w:sz w:val="20"/>
                <w:szCs w:val="20"/>
                <w:color w:val="auto"/>
              </w:rPr>
            </w:pPr>
            <w:r>
              <w:rPr>
                <w:rFonts w:ascii="Arial" w:cs="Arial" w:eastAsia="Arial" w:hAnsi="Arial"/>
                <w:sz w:val="18"/>
                <w:szCs w:val="18"/>
                <w:color w:val="0000FF"/>
                <w:w w:val="88"/>
              </w:rPr>
              <w:t>Common Stock, $0.01 Par</w:t>
            </w:r>
          </w:p>
        </w:tc>
        <w:tc>
          <w:tcPr>
            <w:tcW w:w="700" w:type="dxa"/>
            <w:vAlign w:val="bottom"/>
            <w:vMerge w:val="restart"/>
          </w:tcPr>
          <w:p>
            <w:pPr>
              <w:jc w:val="center"/>
              <w:spacing w:after="0"/>
              <w:rPr>
                <w:sz w:val="20"/>
                <w:szCs w:val="20"/>
                <w:color w:val="auto"/>
              </w:rPr>
            </w:pPr>
            <w:r>
              <w:rPr>
                <w:rFonts w:ascii="Arial" w:cs="Arial" w:eastAsia="Arial" w:hAnsi="Arial"/>
                <w:sz w:val="18"/>
                <w:szCs w:val="18"/>
                <w:color w:val="0000FF"/>
                <w:w w:val="88"/>
              </w:rPr>
              <w:t>2,399</w:t>
            </w:r>
          </w:p>
        </w:tc>
        <w:tc>
          <w:tcPr>
            <w:tcW w:w="880" w:type="dxa"/>
            <w:vAlign w:val="bottom"/>
            <w:vMerge w:val="restart"/>
          </w:tcPr>
          <w:p>
            <w:pPr>
              <w:jc w:val="center"/>
              <w:spacing w:after="0"/>
              <w:rPr>
                <w:sz w:val="20"/>
                <w:szCs w:val="20"/>
                <w:color w:val="auto"/>
              </w:rPr>
            </w:pPr>
            <w:r>
              <w:rPr>
                <w:rFonts w:ascii="Arial" w:cs="Arial" w:eastAsia="Arial" w:hAnsi="Arial"/>
                <w:sz w:val="18"/>
                <w:szCs w:val="18"/>
                <w:color w:val="0000FF"/>
                <w:w w:val="88"/>
              </w:rPr>
              <w:t>84.93</w:t>
            </w:r>
          </w:p>
        </w:tc>
        <w:tc>
          <w:tcPr>
            <w:tcW w:w="880" w:type="dxa"/>
            <w:vAlign w:val="bottom"/>
            <w:vMerge w:val="restart"/>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200" w:type="dxa"/>
            <w:vAlign w:val="bottom"/>
            <w:vMerge w:val="continue"/>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800" w:type="dxa"/>
            <w:vAlign w:val="bottom"/>
            <w:vMerge w:val="continue"/>
          </w:tcPr>
          <w:p>
            <w:pPr>
              <w:spacing w:after="0"/>
              <w:rPr>
                <w:sz w:val="9"/>
                <w:szCs w:val="9"/>
                <w:color w:val="auto"/>
              </w:rPr>
            </w:pPr>
          </w:p>
        </w:tc>
        <w:tc>
          <w:tcPr>
            <w:tcW w:w="2060" w:type="dxa"/>
            <w:vAlign w:val="bottom"/>
            <w:vMerge w:val="restart"/>
          </w:tcPr>
          <w:p>
            <w:pPr>
              <w:jc w:val="center"/>
              <w:spacing w:after="0"/>
              <w:rPr>
                <w:sz w:val="20"/>
                <w:szCs w:val="20"/>
                <w:color w:val="auto"/>
              </w:rPr>
            </w:pPr>
            <w:r>
              <w:rPr>
                <w:rFonts w:ascii="Arial" w:cs="Arial" w:eastAsia="Arial" w:hAnsi="Arial"/>
                <w:sz w:val="18"/>
                <w:szCs w:val="18"/>
                <w:color w:val="0000FF"/>
                <w:w w:val="84"/>
              </w:rPr>
              <w:t>Value Per Share</w:t>
            </w:r>
          </w:p>
        </w:tc>
        <w:tc>
          <w:tcPr>
            <w:tcW w:w="70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16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200" w:type="dxa"/>
            <w:vAlign w:val="bottom"/>
          </w:tcPr>
          <w:p>
            <w:pPr>
              <w:spacing w:after="0"/>
              <w:rPr>
                <w:sz w:val="9"/>
                <w:szCs w:val="9"/>
                <w:color w:val="auto"/>
              </w:rPr>
            </w:pPr>
          </w:p>
        </w:tc>
        <w:tc>
          <w:tcPr>
            <w:tcW w:w="360" w:type="dxa"/>
            <w:vAlign w:val="bottom"/>
          </w:tcPr>
          <w:p>
            <w:pPr>
              <w:spacing w:after="0"/>
              <w:rPr>
                <w:sz w:val="9"/>
                <w:szCs w:val="9"/>
                <w:color w:val="auto"/>
              </w:rPr>
            </w:pPr>
          </w:p>
        </w:tc>
        <w:tc>
          <w:tcPr>
            <w:tcW w:w="88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6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880" w:type="dxa"/>
            <w:vAlign w:val="bottom"/>
          </w:tcPr>
          <w:p>
            <w:pPr>
              <w:spacing w:after="0"/>
              <w:rPr>
                <w:sz w:val="9"/>
                <w:szCs w:val="9"/>
                <w:color w:val="auto"/>
              </w:rPr>
            </w:pPr>
          </w:p>
        </w:tc>
        <w:tc>
          <w:tcPr>
            <w:tcW w:w="880" w:type="dxa"/>
            <w:vAlign w:val="bottom"/>
          </w:tcPr>
          <w:p>
            <w:pPr>
              <w:spacing w:after="0"/>
              <w:rPr>
                <w:sz w:val="9"/>
                <w:szCs w:val="9"/>
                <w:color w:val="auto"/>
              </w:rPr>
            </w:pPr>
          </w:p>
        </w:tc>
        <w:tc>
          <w:tcPr>
            <w:tcW w:w="16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20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200" w:type="dxa"/>
            <w:vAlign w:val="bottom"/>
            <w:vMerge w:val="restart"/>
          </w:tcPr>
          <w:p>
            <w:pPr>
              <w:ind w:left="60"/>
              <w:spacing w:after="0"/>
              <w:rPr>
                <w:sz w:val="20"/>
                <w:szCs w:val="20"/>
                <w:color w:val="auto"/>
              </w:rPr>
            </w:pPr>
            <w:r>
              <w:rPr>
                <w:rFonts w:ascii="Arial" w:cs="Arial" w:eastAsia="Arial" w:hAnsi="Arial"/>
                <w:sz w:val="18"/>
                <w:szCs w:val="18"/>
                <w:color w:val="0000FF"/>
              </w:rPr>
              <w:t>Incentive Stock Option (Right to Buy)</w:t>
            </w:r>
          </w:p>
        </w:tc>
        <w:tc>
          <w:tcPr>
            <w:tcW w:w="1240" w:type="dxa"/>
            <w:vAlign w:val="bottom"/>
            <w:gridSpan w:val="2"/>
            <w:vMerge w:val="restart"/>
          </w:tcPr>
          <w:p>
            <w:pPr>
              <w:jc w:val="center"/>
              <w:ind w:left="299"/>
              <w:spacing w:after="0"/>
              <w:rPr>
                <w:sz w:val="20"/>
                <w:szCs w:val="20"/>
                <w:color w:val="auto"/>
              </w:rPr>
            </w:pPr>
            <w:r>
              <w:rPr>
                <w:rFonts w:ascii="Arial" w:cs="Arial" w:eastAsia="Arial" w:hAnsi="Arial"/>
                <w:sz w:val="11"/>
                <w:szCs w:val="11"/>
                <w:color w:val="008000"/>
                <w:w w:val="88"/>
              </w:rPr>
              <w:t>(2)</w:t>
            </w:r>
          </w:p>
        </w:tc>
        <w:tc>
          <w:tcPr>
            <w:tcW w:w="800" w:type="dxa"/>
            <w:vAlign w:val="bottom"/>
            <w:vMerge w:val="restart"/>
          </w:tcPr>
          <w:p>
            <w:pPr>
              <w:jc w:val="center"/>
              <w:spacing w:after="0"/>
              <w:rPr>
                <w:sz w:val="20"/>
                <w:szCs w:val="20"/>
                <w:color w:val="auto"/>
              </w:rPr>
            </w:pPr>
            <w:r>
              <w:rPr>
                <w:rFonts w:ascii="Arial" w:cs="Arial" w:eastAsia="Arial" w:hAnsi="Arial"/>
                <w:sz w:val="14"/>
                <w:szCs w:val="14"/>
                <w:color w:val="0000FF"/>
                <w:w w:val="88"/>
              </w:rPr>
              <w:t>01/22/2019</w:t>
            </w:r>
          </w:p>
        </w:tc>
        <w:tc>
          <w:tcPr>
            <w:tcW w:w="2060" w:type="dxa"/>
            <w:vAlign w:val="bottom"/>
          </w:tcPr>
          <w:p>
            <w:pPr>
              <w:jc w:val="center"/>
              <w:spacing w:after="0"/>
              <w:rPr>
                <w:sz w:val="20"/>
                <w:szCs w:val="20"/>
                <w:color w:val="auto"/>
              </w:rPr>
            </w:pPr>
            <w:r>
              <w:rPr>
                <w:rFonts w:ascii="Arial" w:cs="Arial" w:eastAsia="Arial" w:hAnsi="Arial"/>
                <w:sz w:val="18"/>
                <w:szCs w:val="18"/>
                <w:color w:val="0000FF"/>
                <w:w w:val="88"/>
              </w:rPr>
              <w:t>Common Stock, $0.01 Par</w:t>
            </w:r>
          </w:p>
        </w:tc>
        <w:tc>
          <w:tcPr>
            <w:tcW w:w="700" w:type="dxa"/>
            <w:vAlign w:val="bottom"/>
            <w:vMerge w:val="restart"/>
          </w:tcPr>
          <w:p>
            <w:pPr>
              <w:jc w:val="center"/>
              <w:spacing w:after="0"/>
              <w:rPr>
                <w:sz w:val="20"/>
                <w:szCs w:val="20"/>
                <w:color w:val="auto"/>
              </w:rPr>
            </w:pPr>
            <w:r>
              <w:rPr>
                <w:rFonts w:ascii="Arial" w:cs="Arial" w:eastAsia="Arial" w:hAnsi="Arial"/>
                <w:sz w:val="18"/>
                <w:szCs w:val="18"/>
                <w:color w:val="0000FF"/>
                <w:w w:val="88"/>
              </w:rPr>
              <w:t>2,398</w:t>
            </w:r>
          </w:p>
        </w:tc>
        <w:tc>
          <w:tcPr>
            <w:tcW w:w="880" w:type="dxa"/>
            <w:vAlign w:val="bottom"/>
            <w:vMerge w:val="restart"/>
          </w:tcPr>
          <w:p>
            <w:pPr>
              <w:jc w:val="center"/>
              <w:spacing w:after="0"/>
              <w:rPr>
                <w:sz w:val="20"/>
                <w:szCs w:val="20"/>
                <w:color w:val="auto"/>
              </w:rPr>
            </w:pPr>
            <w:r>
              <w:rPr>
                <w:rFonts w:ascii="Arial" w:cs="Arial" w:eastAsia="Arial" w:hAnsi="Arial"/>
                <w:sz w:val="18"/>
                <w:szCs w:val="18"/>
                <w:color w:val="0000FF"/>
                <w:w w:val="87"/>
              </w:rPr>
              <w:t>37.845</w:t>
            </w:r>
          </w:p>
        </w:tc>
        <w:tc>
          <w:tcPr>
            <w:tcW w:w="880" w:type="dxa"/>
            <w:vAlign w:val="bottom"/>
            <w:vMerge w:val="restart"/>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200" w:type="dxa"/>
            <w:vAlign w:val="bottom"/>
            <w:vMerge w:val="continue"/>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800" w:type="dxa"/>
            <w:vAlign w:val="bottom"/>
            <w:vMerge w:val="continue"/>
          </w:tcPr>
          <w:p>
            <w:pPr>
              <w:spacing w:after="0"/>
              <w:rPr>
                <w:sz w:val="9"/>
                <w:szCs w:val="9"/>
                <w:color w:val="auto"/>
              </w:rPr>
            </w:pPr>
          </w:p>
        </w:tc>
        <w:tc>
          <w:tcPr>
            <w:tcW w:w="2060" w:type="dxa"/>
            <w:vAlign w:val="bottom"/>
            <w:vMerge w:val="restart"/>
          </w:tcPr>
          <w:p>
            <w:pPr>
              <w:jc w:val="center"/>
              <w:spacing w:after="0"/>
              <w:rPr>
                <w:sz w:val="20"/>
                <w:szCs w:val="20"/>
                <w:color w:val="auto"/>
              </w:rPr>
            </w:pPr>
            <w:r>
              <w:rPr>
                <w:rFonts w:ascii="Arial" w:cs="Arial" w:eastAsia="Arial" w:hAnsi="Arial"/>
                <w:sz w:val="18"/>
                <w:szCs w:val="18"/>
                <w:color w:val="0000FF"/>
                <w:w w:val="84"/>
              </w:rPr>
              <w:t>Value Per Share</w:t>
            </w:r>
          </w:p>
        </w:tc>
        <w:tc>
          <w:tcPr>
            <w:tcW w:w="70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16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200" w:type="dxa"/>
            <w:vAlign w:val="bottom"/>
          </w:tcPr>
          <w:p>
            <w:pPr>
              <w:spacing w:after="0"/>
              <w:rPr>
                <w:sz w:val="9"/>
                <w:szCs w:val="9"/>
                <w:color w:val="auto"/>
              </w:rPr>
            </w:pPr>
          </w:p>
        </w:tc>
        <w:tc>
          <w:tcPr>
            <w:tcW w:w="360" w:type="dxa"/>
            <w:vAlign w:val="bottom"/>
          </w:tcPr>
          <w:p>
            <w:pPr>
              <w:spacing w:after="0"/>
              <w:rPr>
                <w:sz w:val="9"/>
                <w:szCs w:val="9"/>
                <w:color w:val="auto"/>
              </w:rPr>
            </w:pPr>
          </w:p>
        </w:tc>
        <w:tc>
          <w:tcPr>
            <w:tcW w:w="88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6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880" w:type="dxa"/>
            <w:vAlign w:val="bottom"/>
          </w:tcPr>
          <w:p>
            <w:pPr>
              <w:spacing w:after="0"/>
              <w:rPr>
                <w:sz w:val="9"/>
                <w:szCs w:val="9"/>
                <w:color w:val="auto"/>
              </w:rPr>
            </w:pPr>
          </w:p>
        </w:tc>
        <w:tc>
          <w:tcPr>
            <w:tcW w:w="880" w:type="dxa"/>
            <w:vAlign w:val="bottom"/>
          </w:tcPr>
          <w:p>
            <w:pPr>
              <w:spacing w:after="0"/>
              <w:rPr>
                <w:sz w:val="9"/>
                <w:szCs w:val="9"/>
                <w:color w:val="auto"/>
              </w:rPr>
            </w:pPr>
          </w:p>
        </w:tc>
        <w:tc>
          <w:tcPr>
            <w:tcW w:w="16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20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200" w:type="dxa"/>
            <w:vAlign w:val="bottom"/>
            <w:vMerge w:val="restart"/>
          </w:tcPr>
          <w:p>
            <w:pPr>
              <w:ind w:left="60"/>
              <w:spacing w:after="0"/>
              <w:rPr>
                <w:sz w:val="20"/>
                <w:szCs w:val="20"/>
                <w:color w:val="auto"/>
              </w:rPr>
            </w:pPr>
            <w:r>
              <w:rPr>
                <w:rFonts w:ascii="Arial" w:cs="Arial" w:eastAsia="Arial" w:hAnsi="Arial"/>
                <w:sz w:val="18"/>
                <w:szCs w:val="18"/>
                <w:color w:val="0000FF"/>
              </w:rPr>
              <w:t>Incentive Stock Option (Right to Buy)</w:t>
            </w:r>
          </w:p>
        </w:tc>
        <w:tc>
          <w:tcPr>
            <w:tcW w:w="1240" w:type="dxa"/>
            <w:vAlign w:val="bottom"/>
            <w:gridSpan w:val="2"/>
            <w:vMerge w:val="restart"/>
          </w:tcPr>
          <w:p>
            <w:pPr>
              <w:jc w:val="center"/>
              <w:ind w:left="299"/>
              <w:spacing w:after="0"/>
              <w:rPr>
                <w:sz w:val="20"/>
                <w:szCs w:val="20"/>
                <w:color w:val="auto"/>
              </w:rPr>
            </w:pPr>
            <w:r>
              <w:rPr>
                <w:rFonts w:ascii="Arial" w:cs="Arial" w:eastAsia="Arial" w:hAnsi="Arial"/>
                <w:sz w:val="11"/>
                <w:szCs w:val="11"/>
                <w:color w:val="008000"/>
                <w:w w:val="88"/>
              </w:rPr>
              <w:t>(3)</w:t>
            </w:r>
          </w:p>
        </w:tc>
        <w:tc>
          <w:tcPr>
            <w:tcW w:w="800" w:type="dxa"/>
            <w:vAlign w:val="bottom"/>
            <w:vMerge w:val="restart"/>
          </w:tcPr>
          <w:p>
            <w:pPr>
              <w:jc w:val="center"/>
              <w:spacing w:after="0"/>
              <w:rPr>
                <w:sz w:val="20"/>
                <w:szCs w:val="20"/>
                <w:color w:val="auto"/>
              </w:rPr>
            </w:pPr>
            <w:r>
              <w:rPr>
                <w:rFonts w:ascii="Arial" w:cs="Arial" w:eastAsia="Arial" w:hAnsi="Arial"/>
                <w:sz w:val="14"/>
                <w:szCs w:val="14"/>
                <w:color w:val="0000FF"/>
                <w:w w:val="88"/>
              </w:rPr>
              <w:t>04/23/2019</w:t>
            </w:r>
          </w:p>
        </w:tc>
        <w:tc>
          <w:tcPr>
            <w:tcW w:w="2060" w:type="dxa"/>
            <w:vAlign w:val="bottom"/>
          </w:tcPr>
          <w:p>
            <w:pPr>
              <w:jc w:val="center"/>
              <w:spacing w:after="0"/>
              <w:rPr>
                <w:sz w:val="20"/>
                <w:szCs w:val="20"/>
                <w:color w:val="auto"/>
              </w:rPr>
            </w:pPr>
            <w:r>
              <w:rPr>
                <w:rFonts w:ascii="Arial" w:cs="Arial" w:eastAsia="Arial" w:hAnsi="Arial"/>
                <w:sz w:val="18"/>
                <w:szCs w:val="18"/>
                <w:color w:val="0000FF"/>
                <w:w w:val="88"/>
              </w:rPr>
              <w:t>Common Stock, $0.01 Par</w:t>
            </w:r>
          </w:p>
        </w:tc>
        <w:tc>
          <w:tcPr>
            <w:tcW w:w="700" w:type="dxa"/>
            <w:vAlign w:val="bottom"/>
            <w:vMerge w:val="restart"/>
          </w:tcPr>
          <w:p>
            <w:pPr>
              <w:jc w:val="center"/>
              <w:spacing w:after="0"/>
              <w:rPr>
                <w:sz w:val="20"/>
                <w:szCs w:val="20"/>
                <w:color w:val="auto"/>
              </w:rPr>
            </w:pPr>
            <w:r>
              <w:rPr>
                <w:rFonts w:ascii="Arial" w:cs="Arial" w:eastAsia="Arial" w:hAnsi="Arial"/>
                <w:sz w:val="18"/>
                <w:szCs w:val="18"/>
                <w:color w:val="0000FF"/>
                <w:w w:val="93"/>
              </w:rPr>
              <w:t>859</w:t>
            </w:r>
          </w:p>
        </w:tc>
        <w:tc>
          <w:tcPr>
            <w:tcW w:w="880" w:type="dxa"/>
            <w:vAlign w:val="bottom"/>
            <w:vMerge w:val="restart"/>
          </w:tcPr>
          <w:p>
            <w:pPr>
              <w:jc w:val="center"/>
              <w:spacing w:after="0"/>
              <w:rPr>
                <w:sz w:val="20"/>
                <w:szCs w:val="20"/>
                <w:color w:val="auto"/>
              </w:rPr>
            </w:pPr>
            <w:r>
              <w:rPr>
                <w:rFonts w:ascii="Arial" w:cs="Arial" w:eastAsia="Arial" w:hAnsi="Arial"/>
                <w:sz w:val="18"/>
                <w:szCs w:val="18"/>
                <w:color w:val="0000FF"/>
                <w:w w:val="88"/>
              </w:rPr>
              <w:t>45.88</w:t>
            </w:r>
          </w:p>
        </w:tc>
        <w:tc>
          <w:tcPr>
            <w:tcW w:w="880" w:type="dxa"/>
            <w:vAlign w:val="bottom"/>
            <w:vMerge w:val="restart"/>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200" w:type="dxa"/>
            <w:vAlign w:val="bottom"/>
            <w:vMerge w:val="continue"/>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800" w:type="dxa"/>
            <w:vAlign w:val="bottom"/>
            <w:vMerge w:val="continue"/>
          </w:tcPr>
          <w:p>
            <w:pPr>
              <w:spacing w:after="0"/>
              <w:rPr>
                <w:sz w:val="9"/>
                <w:szCs w:val="9"/>
                <w:color w:val="auto"/>
              </w:rPr>
            </w:pPr>
          </w:p>
        </w:tc>
        <w:tc>
          <w:tcPr>
            <w:tcW w:w="2060" w:type="dxa"/>
            <w:vAlign w:val="bottom"/>
            <w:vMerge w:val="restart"/>
          </w:tcPr>
          <w:p>
            <w:pPr>
              <w:jc w:val="center"/>
              <w:spacing w:after="0"/>
              <w:rPr>
                <w:sz w:val="20"/>
                <w:szCs w:val="20"/>
                <w:color w:val="auto"/>
              </w:rPr>
            </w:pPr>
            <w:r>
              <w:rPr>
                <w:rFonts w:ascii="Arial" w:cs="Arial" w:eastAsia="Arial" w:hAnsi="Arial"/>
                <w:sz w:val="18"/>
                <w:szCs w:val="18"/>
                <w:color w:val="0000FF"/>
                <w:w w:val="84"/>
              </w:rPr>
              <w:t>Value Per Share</w:t>
            </w:r>
          </w:p>
        </w:tc>
        <w:tc>
          <w:tcPr>
            <w:tcW w:w="70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16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200" w:type="dxa"/>
            <w:vAlign w:val="bottom"/>
          </w:tcPr>
          <w:p>
            <w:pPr>
              <w:spacing w:after="0"/>
              <w:rPr>
                <w:sz w:val="9"/>
                <w:szCs w:val="9"/>
                <w:color w:val="auto"/>
              </w:rPr>
            </w:pPr>
          </w:p>
        </w:tc>
        <w:tc>
          <w:tcPr>
            <w:tcW w:w="360" w:type="dxa"/>
            <w:vAlign w:val="bottom"/>
          </w:tcPr>
          <w:p>
            <w:pPr>
              <w:spacing w:after="0"/>
              <w:rPr>
                <w:sz w:val="9"/>
                <w:szCs w:val="9"/>
                <w:color w:val="auto"/>
              </w:rPr>
            </w:pPr>
          </w:p>
        </w:tc>
        <w:tc>
          <w:tcPr>
            <w:tcW w:w="88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6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880" w:type="dxa"/>
            <w:vAlign w:val="bottom"/>
          </w:tcPr>
          <w:p>
            <w:pPr>
              <w:spacing w:after="0"/>
              <w:rPr>
                <w:sz w:val="9"/>
                <w:szCs w:val="9"/>
                <w:color w:val="auto"/>
              </w:rPr>
            </w:pPr>
          </w:p>
        </w:tc>
        <w:tc>
          <w:tcPr>
            <w:tcW w:w="880" w:type="dxa"/>
            <w:vAlign w:val="bottom"/>
          </w:tcPr>
          <w:p>
            <w:pPr>
              <w:spacing w:after="0"/>
              <w:rPr>
                <w:sz w:val="9"/>
                <w:szCs w:val="9"/>
                <w:color w:val="auto"/>
              </w:rPr>
            </w:pPr>
          </w:p>
        </w:tc>
        <w:tc>
          <w:tcPr>
            <w:tcW w:w="16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20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200" w:type="dxa"/>
            <w:vAlign w:val="bottom"/>
            <w:vMerge w:val="restart"/>
          </w:tcPr>
          <w:p>
            <w:pPr>
              <w:ind w:left="60"/>
              <w:spacing w:after="0"/>
              <w:rPr>
                <w:sz w:val="20"/>
                <w:szCs w:val="20"/>
                <w:color w:val="auto"/>
              </w:rPr>
            </w:pPr>
            <w:r>
              <w:rPr>
                <w:rFonts w:ascii="Arial" w:cs="Arial" w:eastAsia="Arial" w:hAnsi="Arial"/>
                <w:sz w:val="18"/>
                <w:szCs w:val="18"/>
                <w:color w:val="0000FF"/>
              </w:rPr>
              <w:t>Incentive Stock Option (Right to Buy)</w:t>
            </w:r>
          </w:p>
        </w:tc>
        <w:tc>
          <w:tcPr>
            <w:tcW w:w="1240" w:type="dxa"/>
            <w:vAlign w:val="bottom"/>
            <w:gridSpan w:val="2"/>
            <w:vMerge w:val="restart"/>
          </w:tcPr>
          <w:p>
            <w:pPr>
              <w:jc w:val="center"/>
              <w:ind w:left="299"/>
              <w:spacing w:after="0"/>
              <w:rPr>
                <w:sz w:val="20"/>
                <w:szCs w:val="20"/>
                <w:color w:val="auto"/>
              </w:rPr>
            </w:pPr>
            <w:r>
              <w:rPr>
                <w:rFonts w:ascii="Arial" w:cs="Arial" w:eastAsia="Arial" w:hAnsi="Arial"/>
                <w:sz w:val="11"/>
                <w:szCs w:val="11"/>
                <w:color w:val="008000"/>
                <w:w w:val="88"/>
              </w:rPr>
              <w:t>(4)</w:t>
            </w:r>
          </w:p>
        </w:tc>
        <w:tc>
          <w:tcPr>
            <w:tcW w:w="800" w:type="dxa"/>
            <w:vAlign w:val="bottom"/>
            <w:vMerge w:val="restart"/>
          </w:tcPr>
          <w:p>
            <w:pPr>
              <w:jc w:val="center"/>
              <w:spacing w:after="0"/>
              <w:rPr>
                <w:sz w:val="20"/>
                <w:szCs w:val="20"/>
                <w:color w:val="auto"/>
              </w:rPr>
            </w:pPr>
            <w:r>
              <w:rPr>
                <w:rFonts w:ascii="Arial" w:cs="Arial" w:eastAsia="Arial" w:hAnsi="Arial"/>
                <w:sz w:val="14"/>
                <w:szCs w:val="14"/>
                <w:color w:val="0000FF"/>
                <w:w w:val="88"/>
              </w:rPr>
              <w:t>01/21/2020</w:t>
            </w:r>
          </w:p>
        </w:tc>
        <w:tc>
          <w:tcPr>
            <w:tcW w:w="2060" w:type="dxa"/>
            <w:vAlign w:val="bottom"/>
          </w:tcPr>
          <w:p>
            <w:pPr>
              <w:jc w:val="center"/>
              <w:spacing w:after="0"/>
              <w:rPr>
                <w:sz w:val="20"/>
                <w:szCs w:val="20"/>
                <w:color w:val="auto"/>
              </w:rPr>
            </w:pPr>
            <w:r>
              <w:rPr>
                <w:rFonts w:ascii="Arial" w:cs="Arial" w:eastAsia="Arial" w:hAnsi="Arial"/>
                <w:sz w:val="18"/>
                <w:szCs w:val="18"/>
                <w:color w:val="0000FF"/>
                <w:w w:val="88"/>
              </w:rPr>
              <w:t>Common Stock, $0.01 Par</w:t>
            </w:r>
          </w:p>
        </w:tc>
        <w:tc>
          <w:tcPr>
            <w:tcW w:w="700" w:type="dxa"/>
            <w:vAlign w:val="bottom"/>
            <w:vMerge w:val="restart"/>
          </w:tcPr>
          <w:p>
            <w:pPr>
              <w:jc w:val="center"/>
              <w:spacing w:after="0"/>
              <w:rPr>
                <w:sz w:val="20"/>
                <w:szCs w:val="20"/>
                <w:color w:val="auto"/>
              </w:rPr>
            </w:pPr>
            <w:r>
              <w:rPr>
                <w:rFonts w:ascii="Arial" w:cs="Arial" w:eastAsia="Arial" w:hAnsi="Arial"/>
                <w:sz w:val="18"/>
                <w:szCs w:val="18"/>
                <w:color w:val="0000FF"/>
                <w:w w:val="88"/>
              </w:rPr>
              <w:t>1,459</w:t>
            </w:r>
          </w:p>
        </w:tc>
        <w:tc>
          <w:tcPr>
            <w:tcW w:w="880" w:type="dxa"/>
            <w:vAlign w:val="bottom"/>
            <w:vMerge w:val="restart"/>
          </w:tcPr>
          <w:p>
            <w:pPr>
              <w:jc w:val="center"/>
              <w:spacing w:after="0"/>
              <w:rPr>
                <w:sz w:val="20"/>
                <w:szCs w:val="20"/>
                <w:color w:val="auto"/>
              </w:rPr>
            </w:pPr>
            <w:r>
              <w:rPr>
                <w:rFonts w:ascii="Arial" w:cs="Arial" w:eastAsia="Arial" w:hAnsi="Arial"/>
                <w:sz w:val="18"/>
                <w:szCs w:val="18"/>
                <w:color w:val="0000FF"/>
                <w:w w:val="87"/>
              </w:rPr>
              <w:t>68.505</w:t>
            </w:r>
          </w:p>
        </w:tc>
        <w:tc>
          <w:tcPr>
            <w:tcW w:w="880" w:type="dxa"/>
            <w:vAlign w:val="bottom"/>
            <w:vMerge w:val="restart"/>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200" w:type="dxa"/>
            <w:vAlign w:val="bottom"/>
            <w:vMerge w:val="continue"/>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800" w:type="dxa"/>
            <w:vAlign w:val="bottom"/>
            <w:vMerge w:val="continue"/>
          </w:tcPr>
          <w:p>
            <w:pPr>
              <w:spacing w:after="0"/>
              <w:rPr>
                <w:sz w:val="9"/>
                <w:szCs w:val="9"/>
                <w:color w:val="auto"/>
              </w:rPr>
            </w:pPr>
          </w:p>
        </w:tc>
        <w:tc>
          <w:tcPr>
            <w:tcW w:w="2060" w:type="dxa"/>
            <w:vAlign w:val="bottom"/>
            <w:vMerge w:val="restart"/>
          </w:tcPr>
          <w:p>
            <w:pPr>
              <w:jc w:val="center"/>
              <w:spacing w:after="0"/>
              <w:rPr>
                <w:sz w:val="20"/>
                <w:szCs w:val="20"/>
                <w:color w:val="auto"/>
              </w:rPr>
            </w:pPr>
            <w:r>
              <w:rPr>
                <w:rFonts w:ascii="Arial" w:cs="Arial" w:eastAsia="Arial" w:hAnsi="Arial"/>
                <w:sz w:val="18"/>
                <w:szCs w:val="18"/>
                <w:color w:val="0000FF"/>
                <w:w w:val="84"/>
              </w:rPr>
              <w:t>Value Per Share</w:t>
            </w:r>
          </w:p>
        </w:tc>
        <w:tc>
          <w:tcPr>
            <w:tcW w:w="70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16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200" w:type="dxa"/>
            <w:vAlign w:val="bottom"/>
          </w:tcPr>
          <w:p>
            <w:pPr>
              <w:spacing w:after="0"/>
              <w:rPr>
                <w:sz w:val="9"/>
                <w:szCs w:val="9"/>
                <w:color w:val="auto"/>
              </w:rPr>
            </w:pPr>
          </w:p>
        </w:tc>
        <w:tc>
          <w:tcPr>
            <w:tcW w:w="360" w:type="dxa"/>
            <w:vAlign w:val="bottom"/>
          </w:tcPr>
          <w:p>
            <w:pPr>
              <w:spacing w:after="0"/>
              <w:rPr>
                <w:sz w:val="9"/>
                <w:szCs w:val="9"/>
                <w:color w:val="auto"/>
              </w:rPr>
            </w:pPr>
          </w:p>
        </w:tc>
        <w:tc>
          <w:tcPr>
            <w:tcW w:w="88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6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880" w:type="dxa"/>
            <w:vAlign w:val="bottom"/>
          </w:tcPr>
          <w:p>
            <w:pPr>
              <w:spacing w:after="0"/>
              <w:rPr>
                <w:sz w:val="9"/>
                <w:szCs w:val="9"/>
                <w:color w:val="auto"/>
              </w:rPr>
            </w:pPr>
          </w:p>
        </w:tc>
        <w:tc>
          <w:tcPr>
            <w:tcW w:w="880" w:type="dxa"/>
            <w:vAlign w:val="bottom"/>
          </w:tcPr>
          <w:p>
            <w:pPr>
              <w:spacing w:after="0"/>
              <w:rPr>
                <w:sz w:val="9"/>
                <w:szCs w:val="9"/>
                <w:color w:val="auto"/>
              </w:rPr>
            </w:pPr>
          </w:p>
        </w:tc>
        <w:tc>
          <w:tcPr>
            <w:tcW w:w="16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20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200" w:type="dxa"/>
            <w:vAlign w:val="bottom"/>
            <w:vMerge w:val="restart"/>
          </w:tcPr>
          <w:p>
            <w:pPr>
              <w:ind w:left="60"/>
              <w:spacing w:after="0"/>
              <w:rPr>
                <w:sz w:val="20"/>
                <w:szCs w:val="20"/>
                <w:color w:val="auto"/>
              </w:rPr>
            </w:pPr>
            <w:r>
              <w:rPr>
                <w:rFonts w:ascii="Arial" w:cs="Arial" w:eastAsia="Arial" w:hAnsi="Arial"/>
                <w:sz w:val="18"/>
                <w:szCs w:val="18"/>
                <w:color w:val="0000FF"/>
              </w:rPr>
              <w:t>Incentive Stock Option (Right to Buy)</w:t>
            </w:r>
          </w:p>
        </w:tc>
        <w:tc>
          <w:tcPr>
            <w:tcW w:w="1240" w:type="dxa"/>
            <w:vAlign w:val="bottom"/>
            <w:gridSpan w:val="2"/>
            <w:vMerge w:val="restart"/>
          </w:tcPr>
          <w:p>
            <w:pPr>
              <w:jc w:val="center"/>
              <w:ind w:left="299"/>
              <w:spacing w:after="0"/>
              <w:rPr>
                <w:sz w:val="20"/>
                <w:szCs w:val="20"/>
                <w:color w:val="auto"/>
              </w:rPr>
            </w:pPr>
            <w:r>
              <w:rPr>
                <w:rFonts w:ascii="Arial" w:cs="Arial" w:eastAsia="Arial" w:hAnsi="Arial"/>
                <w:sz w:val="11"/>
                <w:szCs w:val="11"/>
                <w:color w:val="008000"/>
                <w:w w:val="88"/>
              </w:rPr>
              <w:t>(5)</w:t>
            </w:r>
          </w:p>
        </w:tc>
        <w:tc>
          <w:tcPr>
            <w:tcW w:w="800" w:type="dxa"/>
            <w:vAlign w:val="bottom"/>
            <w:vMerge w:val="restart"/>
          </w:tcPr>
          <w:p>
            <w:pPr>
              <w:jc w:val="center"/>
              <w:spacing w:after="0"/>
              <w:rPr>
                <w:sz w:val="20"/>
                <w:szCs w:val="20"/>
                <w:color w:val="auto"/>
              </w:rPr>
            </w:pPr>
            <w:r>
              <w:rPr>
                <w:rFonts w:ascii="Arial" w:cs="Arial" w:eastAsia="Arial" w:hAnsi="Arial"/>
                <w:sz w:val="14"/>
                <w:szCs w:val="14"/>
                <w:color w:val="0000FF"/>
                <w:w w:val="88"/>
              </w:rPr>
              <w:t>01/20/2021</w:t>
            </w:r>
          </w:p>
        </w:tc>
        <w:tc>
          <w:tcPr>
            <w:tcW w:w="2060" w:type="dxa"/>
            <w:vAlign w:val="bottom"/>
          </w:tcPr>
          <w:p>
            <w:pPr>
              <w:jc w:val="center"/>
              <w:spacing w:after="0"/>
              <w:rPr>
                <w:sz w:val="20"/>
                <w:szCs w:val="20"/>
                <w:color w:val="auto"/>
              </w:rPr>
            </w:pPr>
            <w:r>
              <w:rPr>
                <w:rFonts w:ascii="Arial" w:cs="Arial" w:eastAsia="Arial" w:hAnsi="Arial"/>
                <w:sz w:val="18"/>
                <w:szCs w:val="18"/>
                <w:color w:val="0000FF"/>
                <w:w w:val="88"/>
              </w:rPr>
              <w:t>Common Stock, $0.01 Par</w:t>
            </w:r>
          </w:p>
        </w:tc>
        <w:tc>
          <w:tcPr>
            <w:tcW w:w="700" w:type="dxa"/>
            <w:vAlign w:val="bottom"/>
            <w:vMerge w:val="restart"/>
          </w:tcPr>
          <w:p>
            <w:pPr>
              <w:jc w:val="center"/>
              <w:spacing w:after="0"/>
              <w:rPr>
                <w:sz w:val="20"/>
                <w:szCs w:val="20"/>
                <w:color w:val="auto"/>
              </w:rPr>
            </w:pPr>
            <w:r>
              <w:rPr>
                <w:rFonts w:ascii="Arial" w:cs="Arial" w:eastAsia="Arial" w:hAnsi="Arial"/>
                <w:sz w:val="18"/>
                <w:szCs w:val="18"/>
                <w:color w:val="0000FF"/>
                <w:w w:val="88"/>
              </w:rPr>
              <w:t>1,192</w:t>
            </w:r>
          </w:p>
        </w:tc>
        <w:tc>
          <w:tcPr>
            <w:tcW w:w="880" w:type="dxa"/>
            <w:vAlign w:val="bottom"/>
            <w:vMerge w:val="restart"/>
          </w:tcPr>
          <w:p>
            <w:pPr>
              <w:jc w:val="center"/>
              <w:spacing w:after="0"/>
              <w:rPr>
                <w:sz w:val="20"/>
                <w:szCs w:val="20"/>
                <w:color w:val="auto"/>
              </w:rPr>
            </w:pPr>
            <w:r>
              <w:rPr>
                <w:rFonts w:ascii="Arial" w:cs="Arial" w:eastAsia="Arial" w:hAnsi="Arial"/>
                <w:sz w:val="18"/>
                <w:szCs w:val="18"/>
                <w:color w:val="0000FF"/>
                <w:w w:val="87"/>
              </w:rPr>
              <w:t>83.885</w:t>
            </w:r>
          </w:p>
        </w:tc>
        <w:tc>
          <w:tcPr>
            <w:tcW w:w="880" w:type="dxa"/>
            <w:vAlign w:val="bottom"/>
            <w:vMerge w:val="restart"/>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200" w:type="dxa"/>
            <w:vAlign w:val="bottom"/>
            <w:vMerge w:val="continue"/>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800" w:type="dxa"/>
            <w:vAlign w:val="bottom"/>
            <w:vMerge w:val="continue"/>
          </w:tcPr>
          <w:p>
            <w:pPr>
              <w:spacing w:after="0"/>
              <w:rPr>
                <w:sz w:val="9"/>
                <w:szCs w:val="9"/>
                <w:color w:val="auto"/>
              </w:rPr>
            </w:pPr>
          </w:p>
        </w:tc>
        <w:tc>
          <w:tcPr>
            <w:tcW w:w="2060" w:type="dxa"/>
            <w:vAlign w:val="bottom"/>
            <w:vMerge w:val="restart"/>
          </w:tcPr>
          <w:p>
            <w:pPr>
              <w:jc w:val="center"/>
              <w:spacing w:after="0"/>
              <w:rPr>
                <w:sz w:val="20"/>
                <w:szCs w:val="20"/>
                <w:color w:val="auto"/>
              </w:rPr>
            </w:pPr>
            <w:r>
              <w:rPr>
                <w:rFonts w:ascii="Arial" w:cs="Arial" w:eastAsia="Arial" w:hAnsi="Arial"/>
                <w:sz w:val="18"/>
                <w:szCs w:val="18"/>
                <w:color w:val="0000FF"/>
                <w:w w:val="84"/>
              </w:rPr>
              <w:t>Value Per Share</w:t>
            </w:r>
          </w:p>
        </w:tc>
        <w:tc>
          <w:tcPr>
            <w:tcW w:w="70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16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200" w:type="dxa"/>
            <w:vAlign w:val="bottom"/>
          </w:tcPr>
          <w:p>
            <w:pPr>
              <w:spacing w:after="0"/>
              <w:rPr>
                <w:sz w:val="9"/>
                <w:szCs w:val="9"/>
                <w:color w:val="auto"/>
              </w:rPr>
            </w:pPr>
          </w:p>
        </w:tc>
        <w:tc>
          <w:tcPr>
            <w:tcW w:w="360" w:type="dxa"/>
            <w:vAlign w:val="bottom"/>
          </w:tcPr>
          <w:p>
            <w:pPr>
              <w:spacing w:after="0"/>
              <w:rPr>
                <w:sz w:val="9"/>
                <w:szCs w:val="9"/>
                <w:color w:val="auto"/>
              </w:rPr>
            </w:pPr>
          </w:p>
        </w:tc>
        <w:tc>
          <w:tcPr>
            <w:tcW w:w="88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6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880" w:type="dxa"/>
            <w:vAlign w:val="bottom"/>
          </w:tcPr>
          <w:p>
            <w:pPr>
              <w:spacing w:after="0"/>
              <w:rPr>
                <w:sz w:val="9"/>
                <w:szCs w:val="9"/>
                <w:color w:val="auto"/>
              </w:rPr>
            </w:pPr>
          </w:p>
        </w:tc>
        <w:tc>
          <w:tcPr>
            <w:tcW w:w="880" w:type="dxa"/>
            <w:vAlign w:val="bottom"/>
          </w:tcPr>
          <w:p>
            <w:pPr>
              <w:spacing w:after="0"/>
              <w:rPr>
                <w:sz w:val="9"/>
                <w:szCs w:val="9"/>
                <w:color w:val="auto"/>
              </w:rPr>
            </w:pPr>
          </w:p>
        </w:tc>
        <w:tc>
          <w:tcPr>
            <w:tcW w:w="16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20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200" w:type="dxa"/>
            <w:vAlign w:val="bottom"/>
            <w:vMerge w:val="restart"/>
          </w:tcPr>
          <w:p>
            <w:pPr>
              <w:ind w:left="60"/>
              <w:spacing w:after="0"/>
              <w:rPr>
                <w:sz w:val="20"/>
                <w:szCs w:val="20"/>
                <w:color w:val="auto"/>
              </w:rPr>
            </w:pPr>
            <w:r>
              <w:rPr>
                <w:rFonts w:ascii="Arial" w:cs="Arial" w:eastAsia="Arial" w:hAnsi="Arial"/>
                <w:sz w:val="18"/>
                <w:szCs w:val="18"/>
                <w:color w:val="0000FF"/>
              </w:rPr>
              <w:t>Incentive Stock Option (Right to Buy)</w:t>
            </w:r>
          </w:p>
        </w:tc>
        <w:tc>
          <w:tcPr>
            <w:tcW w:w="1240" w:type="dxa"/>
            <w:vAlign w:val="bottom"/>
            <w:gridSpan w:val="2"/>
            <w:vMerge w:val="restart"/>
          </w:tcPr>
          <w:p>
            <w:pPr>
              <w:jc w:val="center"/>
              <w:ind w:left="299"/>
              <w:spacing w:after="0"/>
              <w:rPr>
                <w:sz w:val="20"/>
                <w:szCs w:val="20"/>
                <w:color w:val="auto"/>
              </w:rPr>
            </w:pPr>
            <w:r>
              <w:rPr>
                <w:rFonts w:ascii="Arial" w:cs="Arial" w:eastAsia="Arial" w:hAnsi="Arial"/>
                <w:sz w:val="11"/>
                <w:szCs w:val="11"/>
                <w:color w:val="008000"/>
                <w:w w:val="88"/>
              </w:rPr>
              <w:t>(6)</w:t>
            </w:r>
          </w:p>
        </w:tc>
        <w:tc>
          <w:tcPr>
            <w:tcW w:w="800" w:type="dxa"/>
            <w:vAlign w:val="bottom"/>
            <w:vMerge w:val="restart"/>
          </w:tcPr>
          <w:p>
            <w:pPr>
              <w:jc w:val="center"/>
              <w:spacing w:after="0"/>
              <w:rPr>
                <w:sz w:val="20"/>
                <w:szCs w:val="20"/>
                <w:color w:val="auto"/>
              </w:rPr>
            </w:pPr>
            <w:r>
              <w:rPr>
                <w:rFonts w:ascii="Arial" w:cs="Arial" w:eastAsia="Arial" w:hAnsi="Arial"/>
                <w:sz w:val="14"/>
                <w:szCs w:val="14"/>
                <w:color w:val="0000FF"/>
                <w:w w:val="88"/>
              </w:rPr>
              <w:t>01/19/2022</w:t>
            </w:r>
          </w:p>
        </w:tc>
        <w:tc>
          <w:tcPr>
            <w:tcW w:w="2060" w:type="dxa"/>
            <w:vAlign w:val="bottom"/>
          </w:tcPr>
          <w:p>
            <w:pPr>
              <w:jc w:val="center"/>
              <w:spacing w:after="0"/>
              <w:rPr>
                <w:sz w:val="20"/>
                <w:szCs w:val="20"/>
                <w:color w:val="auto"/>
              </w:rPr>
            </w:pPr>
            <w:r>
              <w:rPr>
                <w:rFonts w:ascii="Arial" w:cs="Arial" w:eastAsia="Arial" w:hAnsi="Arial"/>
                <w:sz w:val="18"/>
                <w:szCs w:val="18"/>
                <w:color w:val="0000FF"/>
                <w:w w:val="88"/>
              </w:rPr>
              <w:t>Common Stock, $0.01 Par</w:t>
            </w:r>
          </w:p>
        </w:tc>
        <w:tc>
          <w:tcPr>
            <w:tcW w:w="700" w:type="dxa"/>
            <w:vAlign w:val="bottom"/>
            <w:vMerge w:val="restart"/>
          </w:tcPr>
          <w:p>
            <w:pPr>
              <w:jc w:val="center"/>
              <w:spacing w:after="0"/>
              <w:rPr>
                <w:sz w:val="20"/>
                <w:szCs w:val="20"/>
                <w:color w:val="auto"/>
              </w:rPr>
            </w:pPr>
            <w:r>
              <w:rPr>
                <w:rFonts w:ascii="Arial" w:cs="Arial" w:eastAsia="Arial" w:hAnsi="Arial"/>
                <w:sz w:val="18"/>
                <w:szCs w:val="18"/>
                <w:color w:val="0000FF"/>
                <w:w w:val="88"/>
              </w:rPr>
              <w:t>1,386</w:t>
            </w:r>
          </w:p>
        </w:tc>
        <w:tc>
          <w:tcPr>
            <w:tcW w:w="880" w:type="dxa"/>
            <w:vAlign w:val="bottom"/>
            <w:vMerge w:val="restart"/>
          </w:tcPr>
          <w:p>
            <w:pPr>
              <w:jc w:val="center"/>
              <w:spacing w:after="0"/>
              <w:rPr>
                <w:sz w:val="20"/>
                <w:szCs w:val="20"/>
                <w:color w:val="auto"/>
              </w:rPr>
            </w:pPr>
            <w:r>
              <w:rPr>
                <w:rFonts w:ascii="Arial" w:cs="Arial" w:eastAsia="Arial" w:hAnsi="Arial"/>
                <w:sz w:val="18"/>
                <w:szCs w:val="18"/>
                <w:color w:val="0000FF"/>
                <w:w w:val="88"/>
              </w:rPr>
              <w:t>72.11</w:t>
            </w:r>
          </w:p>
        </w:tc>
        <w:tc>
          <w:tcPr>
            <w:tcW w:w="880" w:type="dxa"/>
            <w:vAlign w:val="bottom"/>
            <w:vMerge w:val="restart"/>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200" w:type="dxa"/>
            <w:vAlign w:val="bottom"/>
            <w:vMerge w:val="continue"/>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800" w:type="dxa"/>
            <w:vAlign w:val="bottom"/>
            <w:vMerge w:val="continue"/>
          </w:tcPr>
          <w:p>
            <w:pPr>
              <w:spacing w:after="0"/>
              <w:rPr>
                <w:sz w:val="9"/>
                <w:szCs w:val="9"/>
                <w:color w:val="auto"/>
              </w:rPr>
            </w:pPr>
          </w:p>
        </w:tc>
        <w:tc>
          <w:tcPr>
            <w:tcW w:w="2060" w:type="dxa"/>
            <w:vAlign w:val="bottom"/>
            <w:vMerge w:val="restart"/>
          </w:tcPr>
          <w:p>
            <w:pPr>
              <w:jc w:val="center"/>
              <w:spacing w:after="0"/>
              <w:rPr>
                <w:sz w:val="20"/>
                <w:szCs w:val="20"/>
                <w:color w:val="auto"/>
              </w:rPr>
            </w:pPr>
            <w:r>
              <w:rPr>
                <w:rFonts w:ascii="Arial" w:cs="Arial" w:eastAsia="Arial" w:hAnsi="Arial"/>
                <w:sz w:val="18"/>
                <w:szCs w:val="18"/>
                <w:color w:val="0000FF"/>
                <w:w w:val="84"/>
              </w:rPr>
              <w:t>Value Per Share</w:t>
            </w:r>
          </w:p>
        </w:tc>
        <w:tc>
          <w:tcPr>
            <w:tcW w:w="70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16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200" w:type="dxa"/>
            <w:vAlign w:val="bottom"/>
          </w:tcPr>
          <w:p>
            <w:pPr>
              <w:spacing w:after="0"/>
              <w:rPr>
                <w:sz w:val="9"/>
                <w:szCs w:val="9"/>
                <w:color w:val="auto"/>
              </w:rPr>
            </w:pPr>
          </w:p>
        </w:tc>
        <w:tc>
          <w:tcPr>
            <w:tcW w:w="360" w:type="dxa"/>
            <w:vAlign w:val="bottom"/>
          </w:tcPr>
          <w:p>
            <w:pPr>
              <w:spacing w:after="0"/>
              <w:rPr>
                <w:sz w:val="9"/>
                <w:szCs w:val="9"/>
                <w:color w:val="auto"/>
              </w:rPr>
            </w:pPr>
          </w:p>
        </w:tc>
        <w:tc>
          <w:tcPr>
            <w:tcW w:w="88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6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880" w:type="dxa"/>
            <w:vAlign w:val="bottom"/>
          </w:tcPr>
          <w:p>
            <w:pPr>
              <w:spacing w:after="0"/>
              <w:rPr>
                <w:sz w:val="9"/>
                <w:szCs w:val="9"/>
                <w:color w:val="auto"/>
              </w:rPr>
            </w:pPr>
          </w:p>
        </w:tc>
        <w:tc>
          <w:tcPr>
            <w:tcW w:w="880" w:type="dxa"/>
            <w:vAlign w:val="bottom"/>
          </w:tcPr>
          <w:p>
            <w:pPr>
              <w:spacing w:after="0"/>
              <w:rPr>
                <w:sz w:val="9"/>
                <w:szCs w:val="9"/>
                <w:color w:val="auto"/>
              </w:rPr>
            </w:pPr>
          </w:p>
        </w:tc>
        <w:tc>
          <w:tcPr>
            <w:tcW w:w="16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20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200" w:type="dxa"/>
            <w:vAlign w:val="bottom"/>
            <w:vMerge w:val="restart"/>
          </w:tcPr>
          <w:p>
            <w:pPr>
              <w:ind w:left="60"/>
              <w:spacing w:after="0"/>
              <w:rPr>
                <w:sz w:val="20"/>
                <w:szCs w:val="20"/>
                <w:color w:val="auto"/>
              </w:rPr>
            </w:pPr>
            <w:r>
              <w:rPr>
                <w:rFonts w:ascii="Arial" w:cs="Arial" w:eastAsia="Arial" w:hAnsi="Arial"/>
                <w:sz w:val="18"/>
                <w:szCs w:val="18"/>
                <w:color w:val="0000FF"/>
              </w:rPr>
              <w:t>Incentive Stock Option (Right to Buy)</w:t>
            </w:r>
          </w:p>
        </w:tc>
        <w:tc>
          <w:tcPr>
            <w:tcW w:w="1240" w:type="dxa"/>
            <w:vAlign w:val="bottom"/>
            <w:gridSpan w:val="2"/>
            <w:vMerge w:val="restart"/>
          </w:tcPr>
          <w:p>
            <w:pPr>
              <w:jc w:val="center"/>
              <w:ind w:left="299"/>
              <w:spacing w:after="0"/>
              <w:rPr>
                <w:sz w:val="20"/>
                <w:szCs w:val="20"/>
                <w:color w:val="auto"/>
              </w:rPr>
            </w:pPr>
            <w:r>
              <w:rPr>
                <w:rFonts w:ascii="Arial" w:cs="Arial" w:eastAsia="Arial" w:hAnsi="Arial"/>
                <w:sz w:val="14"/>
                <w:szCs w:val="14"/>
                <w:color w:val="0000FF"/>
                <w:w w:val="85"/>
              </w:rPr>
              <w:t>01/16/2019</w:t>
            </w:r>
          </w:p>
        </w:tc>
        <w:tc>
          <w:tcPr>
            <w:tcW w:w="800" w:type="dxa"/>
            <w:vAlign w:val="bottom"/>
            <w:vMerge w:val="restart"/>
          </w:tcPr>
          <w:p>
            <w:pPr>
              <w:jc w:val="center"/>
              <w:spacing w:after="0"/>
              <w:rPr>
                <w:sz w:val="20"/>
                <w:szCs w:val="20"/>
                <w:color w:val="auto"/>
              </w:rPr>
            </w:pPr>
            <w:r>
              <w:rPr>
                <w:rFonts w:ascii="Arial" w:cs="Arial" w:eastAsia="Arial" w:hAnsi="Arial"/>
                <w:sz w:val="14"/>
                <w:szCs w:val="14"/>
                <w:color w:val="0000FF"/>
                <w:w w:val="88"/>
              </w:rPr>
              <w:t>01/16/2024</w:t>
            </w:r>
          </w:p>
        </w:tc>
        <w:tc>
          <w:tcPr>
            <w:tcW w:w="2060" w:type="dxa"/>
            <w:vAlign w:val="bottom"/>
          </w:tcPr>
          <w:p>
            <w:pPr>
              <w:jc w:val="center"/>
              <w:spacing w:after="0"/>
              <w:rPr>
                <w:sz w:val="20"/>
                <w:szCs w:val="20"/>
                <w:color w:val="auto"/>
              </w:rPr>
            </w:pPr>
            <w:r>
              <w:rPr>
                <w:rFonts w:ascii="Arial" w:cs="Arial" w:eastAsia="Arial" w:hAnsi="Arial"/>
                <w:sz w:val="18"/>
                <w:szCs w:val="18"/>
                <w:color w:val="0000FF"/>
                <w:w w:val="88"/>
              </w:rPr>
              <w:t>Common Stock, $0.01 Par</w:t>
            </w:r>
          </w:p>
        </w:tc>
        <w:tc>
          <w:tcPr>
            <w:tcW w:w="700" w:type="dxa"/>
            <w:vAlign w:val="bottom"/>
            <w:vMerge w:val="restart"/>
          </w:tcPr>
          <w:p>
            <w:pPr>
              <w:jc w:val="center"/>
              <w:spacing w:after="0"/>
              <w:rPr>
                <w:sz w:val="20"/>
                <w:szCs w:val="20"/>
                <w:color w:val="auto"/>
              </w:rPr>
            </w:pPr>
            <w:r>
              <w:rPr>
                <w:rFonts w:ascii="Arial" w:cs="Arial" w:eastAsia="Arial" w:hAnsi="Arial"/>
                <w:sz w:val="18"/>
                <w:szCs w:val="18"/>
                <w:color w:val="0000FF"/>
                <w:w w:val="88"/>
              </w:rPr>
              <w:t>1,126</w:t>
            </w:r>
          </w:p>
        </w:tc>
        <w:tc>
          <w:tcPr>
            <w:tcW w:w="880" w:type="dxa"/>
            <w:vAlign w:val="bottom"/>
            <w:vMerge w:val="restart"/>
          </w:tcPr>
          <w:p>
            <w:pPr>
              <w:jc w:val="center"/>
              <w:spacing w:after="0"/>
              <w:rPr>
                <w:sz w:val="20"/>
                <w:szCs w:val="20"/>
                <w:color w:val="auto"/>
              </w:rPr>
            </w:pPr>
            <w:r>
              <w:rPr>
                <w:rFonts w:ascii="Arial" w:cs="Arial" w:eastAsia="Arial" w:hAnsi="Arial"/>
                <w:sz w:val="18"/>
                <w:szCs w:val="18"/>
                <w:color w:val="0000FF"/>
                <w:w w:val="87"/>
              </w:rPr>
              <w:t>88.765</w:t>
            </w:r>
          </w:p>
        </w:tc>
        <w:tc>
          <w:tcPr>
            <w:tcW w:w="880" w:type="dxa"/>
            <w:vAlign w:val="bottom"/>
            <w:vMerge w:val="restart"/>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200" w:type="dxa"/>
            <w:vAlign w:val="bottom"/>
            <w:vMerge w:val="continue"/>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800" w:type="dxa"/>
            <w:vAlign w:val="bottom"/>
            <w:vMerge w:val="continue"/>
          </w:tcPr>
          <w:p>
            <w:pPr>
              <w:spacing w:after="0"/>
              <w:rPr>
                <w:sz w:val="9"/>
                <w:szCs w:val="9"/>
                <w:color w:val="auto"/>
              </w:rPr>
            </w:pPr>
          </w:p>
        </w:tc>
        <w:tc>
          <w:tcPr>
            <w:tcW w:w="2060" w:type="dxa"/>
            <w:vAlign w:val="bottom"/>
            <w:vMerge w:val="restart"/>
          </w:tcPr>
          <w:p>
            <w:pPr>
              <w:jc w:val="center"/>
              <w:spacing w:after="0"/>
              <w:rPr>
                <w:sz w:val="20"/>
                <w:szCs w:val="20"/>
                <w:color w:val="auto"/>
              </w:rPr>
            </w:pPr>
            <w:r>
              <w:rPr>
                <w:rFonts w:ascii="Arial" w:cs="Arial" w:eastAsia="Arial" w:hAnsi="Arial"/>
                <w:sz w:val="18"/>
                <w:szCs w:val="18"/>
                <w:color w:val="0000FF"/>
                <w:w w:val="84"/>
              </w:rPr>
              <w:t>Value Per Share</w:t>
            </w:r>
          </w:p>
        </w:tc>
        <w:tc>
          <w:tcPr>
            <w:tcW w:w="70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16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200" w:type="dxa"/>
            <w:vAlign w:val="bottom"/>
          </w:tcPr>
          <w:p>
            <w:pPr>
              <w:spacing w:after="0"/>
              <w:rPr>
                <w:sz w:val="9"/>
                <w:szCs w:val="9"/>
                <w:color w:val="auto"/>
              </w:rPr>
            </w:pPr>
          </w:p>
        </w:tc>
        <w:tc>
          <w:tcPr>
            <w:tcW w:w="360" w:type="dxa"/>
            <w:vAlign w:val="bottom"/>
          </w:tcPr>
          <w:p>
            <w:pPr>
              <w:spacing w:after="0"/>
              <w:rPr>
                <w:sz w:val="9"/>
                <w:szCs w:val="9"/>
                <w:color w:val="auto"/>
              </w:rPr>
            </w:pPr>
          </w:p>
        </w:tc>
        <w:tc>
          <w:tcPr>
            <w:tcW w:w="88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6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880" w:type="dxa"/>
            <w:vAlign w:val="bottom"/>
          </w:tcPr>
          <w:p>
            <w:pPr>
              <w:spacing w:after="0"/>
              <w:rPr>
                <w:sz w:val="9"/>
                <w:szCs w:val="9"/>
                <w:color w:val="auto"/>
              </w:rPr>
            </w:pPr>
          </w:p>
        </w:tc>
        <w:tc>
          <w:tcPr>
            <w:tcW w:w="880" w:type="dxa"/>
            <w:vAlign w:val="bottom"/>
          </w:tcPr>
          <w:p>
            <w:pPr>
              <w:spacing w:after="0"/>
              <w:rPr>
                <w:sz w:val="9"/>
                <w:szCs w:val="9"/>
                <w:color w:val="auto"/>
              </w:rPr>
            </w:pPr>
          </w:p>
        </w:tc>
        <w:tc>
          <w:tcPr>
            <w:tcW w:w="16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20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200" w:type="dxa"/>
            <w:vAlign w:val="bottom"/>
            <w:vMerge w:val="restart"/>
          </w:tcPr>
          <w:p>
            <w:pPr>
              <w:ind w:left="60"/>
              <w:spacing w:after="0"/>
              <w:rPr>
                <w:sz w:val="20"/>
                <w:szCs w:val="20"/>
                <w:color w:val="auto"/>
              </w:rPr>
            </w:pPr>
            <w:r>
              <w:rPr>
                <w:rFonts w:ascii="Arial" w:cs="Arial" w:eastAsia="Arial" w:hAnsi="Arial"/>
                <w:sz w:val="18"/>
                <w:szCs w:val="18"/>
                <w:color w:val="0000FF"/>
              </w:rPr>
              <w:t>Incentive Stock Option (Right to Buy)</w:t>
            </w:r>
          </w:p>
        </w:tc>
        <w:tc>
          <w:tcPr>
            <w:tcW w:w="1240" w:type="dxa"/>
            <w:vAlign w:val="bottom"/>
            <w:gridSpan w:val="2"/>
            <w:vMerge w:val="restart"/>
          </w:tcPr>
          <w:p>
            <w:pPr>
              <w:jc w:val="center"/>
              <w:ind w:left="299"/>
              <w:spacing w:after="0"/>
              <w:rPr>
                <w:sz w:val="20"/>
                <w:szCs w:val="20"/>
                <w:color w:val="auto"/>
              </w:rPr>
            </w:pPr>
            <w:r>
              <w:rPr>
                <w:rFonts w:ascii="Arial" w:cs="Arial" w:eastAsia="Arial" w:hAnsi="Arial"/>
                <w:sz w:val="14"/>
                <w:szCs w:val="14"/>
                <w:color w:val="0000FF"/>
                <w:w w:val="85"/>
              </w:rPr>
              <w:t>04/16/2020</w:t>
            </w:r>
          </w:p>
        </w:tc>
        <w:tc>
          <w:tcPr>
            <w:tcW w:w="800" w:type="dxa"/>
            <w:vAlign w:val="bottom"/>
            <w:vMerge w:val="restart"/>
          </w:tcPr>
          <w:p>
            <w:pPr>
              <w:jc w:val="center"/>
              <w:spacing w:after="0"/>
              <w:rPr>
                <w:sz w:val="20"/>
                <w:szCs w:val="20"/>
                <w:color w:val="auto"/>
              </w:rPr>
            </w:pPr>
            <w:r>
              <w:rPr>
                <w:rFonts w:ascii="Arial" w:cs="Arial" w:eastAsia="Arial" w:hAnsi="Arial"/>
                <w:sz w:val="14"/>
                <w:szCs w:val="14"/>
                <w:color w:val="0000FF"/>
                <w:w w:val="88"/>
              </w:rPr>
              <w:t>04/16/2025</w:t>
            </w:r>
          </w:p>
        </w:tc>
        <w:tc>
          <w:tcPr>
            <w:tcW w:w="2060" w:type="dxa"/>
            <w:vAlign w:val="bottom"/>
          </w:tcPr>
          <w:p>
            <w:pPr>
              <w:jc w:val="center"/>
              <w:spacing w:after="0"/>
              <w:rPr>
                <w:sz w:val="20"/>
                <w:szCs w:val="20"/>
                <w:color w:val="auto"/>
              </w:rPr>
            </w:pPr>
            <w:r>
              <w:rPr>
                <w:rFonts w:ascii="Arial" w:cs="Arial" w:eastAsia="Arial" w:hAnsi="Arial"/>
                <w:sz w:val="18"/>
                <w:szCs w:val="18"/>
                <w:color w:val="0000FF"/>
                <w:w w:val="88"/>
              </w:rPr>
              <w:t>Common Stock, $0.01 Par</w:t>
            </w:r>
          </w:p>
        </w:tc>
        <w:tc>
          <w:tcPr>
            <w:tcW w:w="700" w:type="dxa"/>
            <w:vAlign w:val="bottom"/>
            <w:vMerge w:val="restart"/>
          </w:tcPr>
          <w:p>
            <w:pPr>
              <w:jc w:val="center"/>
              <w:spacing w:after="0"/>
              <w:rPr>
                <w:sz w:val="20"/>
                <w:szCs w:val="20"/>
                <w:color w:val="auto"/>
              </w:rPr>
            </w:pPr>
            <w:r>
              <w:rPr>
                <w:rFonts w:ascii="Arial" w:cs="Arial" w:eastAsia="Arial" w:hAnsi="Arial"/>
                <w:sz w:val="18"/>
                <w:szCs w:val="18"/>
                <w:color w:val="0000FF"/>
                <w:w w:val="88"/>
              </w:rPr>
              <w:t>1,090</w:t>
            </w:r>
          </w:p>
        </w:tc>
        <w:tc>
          <w:tcPr>
            <w:tcW w:w="880" w:type="dxa"/>
            <w:vAlign w:val="bottom"/>
            <w:vMerge w:val="restart"/>
          </w:tcPr>
          <w:p>
            <w:pPr>
              <w:jc w:val="center"/>
              <w:spacing w:after="0"/>
              <w:rPr>
                <w:sz w:val="20"/>
                <w:szCs w:val="20"/>
                <w:color w:val="auto"/>
              </w:rPr>
            </w:pPr>
            <w:r>
              <w:rPr>
                <w:rFonts w:ascii="Arial" w:cs="Arial" w:eastAsia="Arial" w:hAnsi="Arial"/>
                <w:sz w:val="18"/>
                <w:szCs w:val="18"/>
                <w:color w:val="0000FF"/>
                <w:w w:val="88"/>
              </w:rPr>
              <w:t>91.74</w:t>
            </w:r>
          </w:p>
        </w:tc>
        <w:tc>
          <w:tcPr>
            <w:tcW w:w="880" w:type="dxa"/>
            <w:vAlign w:val="bottom"/>
            <w:vMerge w:val="restart"/>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200" w:type="dxa"/>
            <w:vAlign w:val="bottom"/>
            <w:vMerge w:val="continue"/>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800" w:type="dxa"/>
            <w:vAlign w:val="bottom"/>
            <w:vMerge w:val="continue"/>
          </w:tcPr>
          <w:p>
            <w:pPr>
              <w:spacing w:after="0"/>
              <w:rPr>
                <w:sz w:val="9"/>
                <w:szCs w:val="9"/>
                <w:color w:val="auto"/>
              </w:rPr>
            </w:pPr>
          </w:p>
        </w:tc>
        <w:tc>
          <w:tcPr>
            <w:tcW w:w="2060" w:type="dxa"/>
            <w:vAlign w:val="bottom"/>
            <w:vMerge w:val="restart"/>
          </w:tcPr>
          <w:p>
            <w:pPr>
              <w:jc w:val="center"/>
              <w:spacing w:after="0"/>
              <w:rPr>
                <w:sz w:val="20"/>
                <w:szCs w:val="20"/>
                <w:color w:val="auto"/>
              </w:rPr>
            </w:pPr>
            <w:r>
              <w:rPr>
                <w:rFonts w:ascii="Arial" w:cs="Arial" w:eastAsia="Arial" w:hAnsi="Arial"/>
                <w:sz w:val="18"/>
                <w:szCs w:val="18"/>
                <w:color w:val="0000FF"/>
                <w:w w:val="84"/>
              </w:rPr>
              <w:t>Value Per Share</w:t>
            </w:r>
          </w:p>
        </w:tc>
        <w:tc>
          <w:tcPr>
            <w:tcW w:w="70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16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200" w:type="dxa"/>
            <w:vAlign w:val="bottom"/>
          </w:tcPr>
          <w:p>
            <w:pPr>
              <w:spacing w:after="0"/>
              <w:rPr>
                <w:sz w:val="9"/>
                <w:szCs w:val="9"/>
                <w:color w:val="auto"/>
              </w:rPr>
            </w:pPr>
          </w:p>
        </w:tc>
        <w:tc>
          <w:tcPr>
            <w:tcW w:w="360" w:type="dxa"/>
            <w:vAlign w:val="bottom"/>
          </w:tcPr>
          <w:p>
            <w:pPr>
              <w:spacing w:after="0"/>
              <w:rPr>
                <w:sz w:val="9"/>
                <w:szCs w:val="9"/>
                <w:color w:val="auto"/>
              </w:rPr>
            </w:pPr>
          </w:p>
        </w:tc>
        <w:tc>
          <w:tcPr>
            <w:tcW w:w="88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6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880" w:type="dxa"/>
            <w:vAlign w:val="bottom"/>
          </w:tcPr>
          <w:p>
            <w:pPr>
              <w:spacing w:after="0"/>
              <w:rPr>
                <w:sz w:val="9"/>
                <w:szCs w:val="9"/>
                <w:color w:val="auto"/>
              </w:rPr>
            </w:pPr>
          </w:p>
        </w:tc>
        <w:tc>
          <w:tcPr>
            <w:tcW w:w="880" w:type="dxa"/>
            <w:vAlign w:val="bottom"/>
          </w:tcPr>
          <w:p>
            <w:pPr>
              <w:spacing w:after="0"/>
              <w:rPr>
                <w:sz w:val="9"/>
                <w:szCs w:val="9"/>
                <w:color w:val="auto"/>
              </w:rPr>
            </w:pPr>
          </w:p>
        </w:tc>
        <w:tc>
          <w:tcPr>
            <w:tcW w:w="16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20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200" w:type="dxa"/>
            <w:vAlign w:val="bottom"/>
            <w:vMerge w:val="restart"/>
          </w:tcPr>
          <w:p>
            <w:pPr>
              <w:ind w:left="60"/>
              <w:spacing w:after="0"/>
              <w:rPr>
                <w:sz w:val="20"/>
                <w:szCs w:val="20"/>
                <w:color w:val="auto"/>
              </w:rPr>
            </w:pPr>
            <w:r>
              <w:rPr>
                <w:rFonts w:ascii="Arial" w:cs="Arial" w:eastAsia="Arial" w:hAnsi="Arial"/>
                <w:sz w:val="18"/>
                <w:szCs w:val="18"/>
                <w:color w:val="0000FF"/>
              </w:rPr>
              <w:t>Incentive Stock Option (Right to Buy)</w:t>
            </w:r>
          </w:p>
        </w:tc>
        <w:tc>
          <w:tcPr>
            <w:tcW w:w="1240" w:type="dxa"/>
            <w:vAlign w:val="bottom"/>
            <w:gridSpan w:val="2"/>
            <w:vMerge w:val="restart"/>
          </w:tcPr>
          <w:p>
            <w:pPr>
              <w:jc w:val="center"/>
              <w:ind w:left="299"/>
              <w:spacing w:after="0"/>
              <w:rPr>
                <w:sz w:val="20"/>
                <w:szCs w:val="20"/>
                <w:color w:val="auto"/>
              </w:rPr>
            </w:pPr>
            <w:r>
              <w:rPr>
                <w:rFonts w:ascii="Arial" w:cs="Arial" w:eastAsia="Arial" w:hAnsi="Arial"/>
                <w:sz w:val="14"/>
                <w:szCs w:val="14"/>
                <w:color w:val="0000FF"/>
                <w:w w:val="85"/>
              </w:rPr>
              <w:t>04/20/2021</w:t>
            </w:r>
          </w:p>
        </w:tc>
        <w:tc>
          <w:tcPr>
            <w:tcW w:w="800" w:type="dxa"/>
            <w:vAlign w:val="bottom"/>
            <w:vMerge w:val="restart"/>
          </w:tcPr>
          <w:p>
            <w:pPr>
              <w:jc w:val="center"/>
              <w:spacing w:after="0"/>
              <w:rPr>
                <w:sz w:val="20"/>
                <w:szCs w:val="20"/>
                <w:color w:val="auto"/>
              </w:rPr>
            </w:pPr>
            <w:r>
              <w:rPr>
                <w:rFonts w:ascii="Arial" w:cs="Arial" w:eastAsia="Arial" w:hAnsi="Arial"/>
                <w:sz w:val="14"/>
                <w:szCs w:val="14"/>
                <w:color w:val="0000FF"/>
                <w:w w:val="88"/>
              </w:rPr>
              <w:t>04/20/2026</w:t>
            </w:r>
          </w:p>
        </w:tc>
        <w:tc>
          <w:tcPr>
            <w:tcW w:w="2060" w:type="dxa"/>
            <w:vAlign w:val="bottom"/>
          </w:tcPr>
          <w:p>
            <w:pPr>
              <w:jc w:val="center"/>
              <w:spacing w:after="0"/>
              <w:rPr>
                <w:sz w:val="20"/>
                <w:szCs w:val="20"/>
                <w:color w:val="auto"/>
              </w:rPr>
            </w:pPr>
            <w:r>
              <w:rPr>
                <w:rFonts w:ascii="Arial" w:cs="Arial" w:eastAsia="Arial" w:hAnsi="Arial"/>
                <w:sz w:val="18"/>
                <w:szCs w:val="18"/>
                <w:color w:val="0000FF"/>
                <w:w w:val="88"/>
              </w:rPr>
              <w:t>Common Stock, $0.01 Par</w:t>
            </w:r>
          </w:p>
        </w:tc>
        <w:tc>
          <w:tcPr>
            <w:tcW w:w="700" w:type="dxa"/>
            <w:vAlign w:val="bottom"/>
            <w:vMerge w:val="restart"/>
          </w:tcPr>
          <w:p>
            <w:pPr>
              <w:jc w:val="center"/>
              <w:spacing w:after="0"/>
              <w:rPr>
                <w:sz w:val="20"/>
                <w:szCs w:val="20"/>
                <w:color w:val="auto"/>
              </w:rPr>
            </w:pPr>
            <w:r>
              <w:rPr>
                <w:rFonts w:ascii="Arial" w:cs="Arial" w:eastAsia="Arial" w:hAnsi="Arial"/>
                <w:sz w:val="18"/>
                <w:szCs w:val="18"/>
                <w:color w:val="0000FF"/>
                <w:w w:val="88"/>
              </w:rPr>
              <w:t>1,241</w:t>
            </w:r>
          </w:p>
        </w:tc>
        <w:tc>
          <w:tcPr>
            <w:tcW w:w="880" w:type="dxa"/>
            <w:vAlign w:val="bottom"/>
            <w:vMerge w:val="restart"/>
          </w:tcPr>
          <w:p>
            <w:pPr>
              <w:jc w:val="center"/>
              <w:spacing w:after="0"/>
              <w:rPr>
                <w:sz w:val="20"/>
                <w:szCs w:val="20"/>
                <w:color w:val="auto"/>
              </w:rPr>
            </w:pPr>
            <w:r>
              <w:rPr>
                <w:rFonts w:ascii="Arial" w:cs="Arial" w:eastAsia="Arial" w:hAnsi="Arial"/>
                <w:sz w:val="18"/>
                <w:szCs w:val="18"/>
                <w:color w:val="0000FF"/>
                <w:w w:val="87"/>
              </w:rPr>
              <w:t>80.525</w:t>
            </w:r>
          </w:p>
        </w:tc>
        <w:tc>
          <w:tcPr>
            <w:tcW w:w="880" w:type="dxa"/>
            <w:vAlign w:val="bottom"/>
            <w:vMerge w:val="restart"/>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200" w:type="dxa"/>
            <w:vAlign w:val="bottom"/>
            <w:vMerge w:val="continue"/>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800" w:type="dxa"/>
            <w:vAlign w:val="bottom"/>
            <w:vMerge w:val="continue"/>
          </w:tcPr>
          <w:p>
            <w:pPr>
              <w:spacing w:after="0"/>
              <w:rPr>
                <w:sz w:val="9"/>
                <w:szCs w:val="9"/>
                <w:color w:val="auto"/>
              </w:rPr>
            </w:pPr>
          </w:p>
        </w:tc>
        <w:tc>
          <w:tcPr>
            <w:tcW w:w="2060" w:type="dxa"/>
            <w:vAlign w:val="bottom"/>
            <w:vMerge w:val="restart"/>
          </w:tcPr>
          <w:p>
            <w:pPr>
              <w:jc w:val="center"/>
              <w:spacing w:after="0"/>
              <w:rPr>
                <w:sz w:val="20"/>
                <w:szCs w:val="20"/>
                <w:color w:val="auto"/>
              </w:rPr>
            </w:pPr>
            <w:r>
              <w:rPr>
                <w:rFonts w:ascii="Arial" w:cs="Arial" w:eastAsia="Arial" w:hAnsi="Arial"/>
                <w:sz w:val="18"/>
                <w:szCs w:val="18"/>
                <w:color w:val="0000FF"/>
                <w:w w:val="84"/>
              </w:rPr>
              <w:t>Value Per Share</w:t>
            </w:r>
          </w:p>
        </w:tc>
        <w:tc>
          <w:tcPr>
            <w:tcW w:w="70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16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200" w:type="dxa"/>
            <w:vAlign w:val="bottom"/>
          </w:tcPr>
          <w:p>
            <w:pPr>
              <w:spacing w:after="0"/>
              <w:rPr>
                <w:sz w:val="9"/>
                <w:szCs w:val="9"/>
                <w:color w:val="auto"/>
              </w:rPr>
            </w:pPr>
          </w:p>
        </w:tc>
        <w:tc>
          <w:tcPr>
            <w:tcW w:w="360" w:type="dxa"/>
            <w:vAlign w:val="bottom"/>
          </w:tcPr>
          <w:p>
            <w:pPr>
              <w:spacing w:after="0"/>
              <w:rPr>
                <w:sz w:val="9"/>
                <w:szCs w:val="9"/>
                <w:color w:val="auto"/>
              </w:rPr>
            </w:pPr>
          </w:p>
        </w:tc>
        <w:tc>
          <w:tcPr>
            <w:tcW w:w="88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6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880" w:type="dxa"/>
            <w:vAlign w:val="bottom"/>
          </w:tcPr>
          <w:p>
            <w:pPr>
              <w:spacing w:after="0"/>
              <w:rPr>
                <w:sz w:val="9"/>
                <w:szCs w:val="9"/>
                <w:color w:val="auto"/>
              </w:rPr>
            </w:pPr>
          </w:p>
        </w:tc>
        <w:tc>
          <w:tcPr>
            <w:tcW w:w="880" w:type="dxa"/>
            <w:vAlign w:val="bottom"/>
          </w:tcPr>
          <w:p>
            <w:pPr>
              <w:spacing w:after="0"/>
              <w:rPr>
                <w:sz w:val="9"/>
                <w:szCs w:val="9"/>
                <w:color w:val="auto"/>
              </w:rPr>
            </w:pPr>
          </w:p>
        </w:tc>
        <w:tc>
          <w:tcPr>
            <w:tcW w:w="16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20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200" w:type="dxa"/>
            <w:vAlign w:val="bottom"/>
            <w:vMerge w:val="restart"/>
          </w:tcPr>
          <w:p>
            <w:pPr>
              <w:ind w:left="60"/>
              <w:spacing w:after="0"/>
              <w:rPr>
                <w:sz w:val="20"/>
                <w:szCs w:val="20"/>
                <w:color w:val="auto"/>
              </w:rPr>
            </w:pPr>
            <w:r>
              <w:rPr>
                <w:rFonts w:ascii="Arial" w:cs="Arial" w:eastAsia="Arial" w:hAnsi="Arial"/>
                <w:sz w:val="18"/>
                <w:szCs w:val="18"/>
                <w:color w:val="0000FF"/>
              </w:rPr>
              <w:t>Incentive Stock Option (Right to Buy)</w:t>
            </w:r>
          </w:p>
        </w:tc>
        <w:tc>
          <w:tcPr>
            <w:tcW w:w="1240" w:type="dxa"/>
            <w:vAlign w:val="bottom"/>
            <w:gridSpan w:val="2"/>
            <w:vMerge w:val="restart"/>
          </w:tcPr>
          <w:p>
            <w:pPr>
              <w:jc w:val="center"/>
              <w:ind w:left="299"/>
              <w:spacing w:after="0"/>
              <w:rPr>
                <w:sz w:val="20"/>
                <w:szCs w:val="20"/>
                <w:color w:val="auto"/>
              </w:rPr>
            </w:pPr>
            <w:r>
              <w:rPr>
                <w:rFonts w:ascii="Arial" w:cs="Arial" w:eastAsia="Arial" w:hAnsi="Arial"/>
                <w:sz w:val="11"/>
                <w:szCs w:val="11"/>
                <w:color w:val="008000"/>
                <w:w w:val="88"/>
              </w:rPr>
              <w:t>(7)</w:t>
            </w:r>
          </w:p>
        </w:tc>
        <w:tc>
          <w:tcPr>
            <w:tcW w:w="800" w:type="dxa"/>
            <w:vAlign w:val="bottom"/>
            <w:vMerge w:val="restart"/>
          </w:tcPr>
          <w:p>
            <w:pPr>
              <w:jc w:val="center"/>
              <w:spacing w:after="0"/>
              <w:rPr>
                <w:sz w:val="20"/>
                <w:szCs w:val="20"/>
                <w:color w:val="auto"/>
              </w:rPr>
            </w:pPr>
            <w:r>
              <w:rPr>
                <w:rFonts w:ascii="Arial" w:cs="Arial" w:eastAsia="Arial" w:hAnsi="Arial"/>
                <w:sz w:val="14"/>
                <w:szCs w:val="14"/>
                <w:color w:val="0000FF"/>
                <w:w w:val="88"/>
              </w:rPr>
              <w:t>01/19/2027</w:t>
            </w:r>
          </w:p>
        </w:tc>
        <w:tc>
          <w:tcPr>
            <w:tcW w:w="2060" w:type="dxa"/>
            <w:vAlign w:val="bottom"/>
          </w:tcPr>
          <w:p>
            <w:pPr>
              <w:jc w:val="center"/>
              <w:spacing w:after="0"/>
              <w:rPr>
                <w:sz w:val="20"/>
                <w:szCs w:val="20"/>
                <w:color w:val="auto"/>
              </w:rPr>
            </w:pPr>
            <w:r>
              <w:rPr>
                <w:rFonts w:ascii="Arial" w:cs="Arial" w:eastAsia="Arial" w:hAnsi="Arial"/>
                <w:sz w:val="18"/>
                <w:szCs w:val="18"/>
                <w:color w:val="0000FF"/>
                <w:w w:val="88"/>
              </w:rPr>
              <w:t>Common Stock, $0.01 Par</w:t>
            </w:r>
          </w:p>
        </w:tc>
        <w:tc>
          <w:tcPr>
            <w:tcW w:w="700" w:type="dxa"/>
            <w:vAlign w:val="bottom"/>
            <w:vMerge w:val="restart"/>
          </w:tcPr>
          <w:p>
            <w:pPr>
              <w:jc w:val="center"/>
              <w:spacing w:after="0"/>
              <w:rPr>
                <w:sz w:val="20"/>
                <w:szCs w:val="20"/>
                <w:color w:val="auto"/>
              </w:rPr>
            </w:pPr>
            <w:r>
              <w:rPr>
                <w:rFonts w:ascii="Arial" w:cs="Arial" w:eastAsia="Arial" w:hAnsi="Arial"/>
                <w:sz w:val="18"/>
                <w:szCs w:val="18"/>
                <w:color w:val="0000FF"/>
                <w:w w:val="88"/>
              </w:rPr>
              <w:t>1,144</w:t>
            </w:r>
          </w:p>
        </w:tc>
        <w:tc>
          <w:tcPr>
            <w:tcW w:w="880" w:type="dxa"/>
            <w:vAlign w:val="bottom"/>
            <w:vMerge w:val="restart"/>
          </w:tcPr>
          <w:p>
            <w:pPr>
              <w:jc w:val="center"/>
              <w:spacing w:after="0"/>
              <w:rPr>
                <w:sz w:val="20"/>
                <w:szCs w:val="20"/>
                <w:color w:val="auto"/>
              </w:rPr>
            </w:pPr>
            <w:r>
              <w:rPr>
                <w:rFonts w:ascii="Arial" w:cs="Arial" w:eastAsia="Arial" w:hAnsi="Arial"/>
                <w:sz w:val="18"/>
                <w:szCs w:val="18"/>
                <w:color w:val="0000FF"/>
                <w:w w:val="88"/>
              </w:rPr>
              <w:t>87.38</w:t>
            </w:r>
          </w:p>
        </w:tc>
        <w:tc>
          <w:tcPr>
            <w:tcW w:w="880" w:type="dxa"/>
            <w:vAlign w:val="bottom"/>
            <w:vMerge w:val="restart"/>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200" w:type="dxa"/>
            <w:vAlign w:val="bottom"/>
            <w:vMerge w:val="continue"/>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800" w:type="dxa"/>
            <w:vAlign w:val="bottom"/>
            <w:vMerge w:val="continue"/>
          </w:tcPr>
          <w:p>
            <w:pPr>
              <w:spacing w:after="0"/>
              <w:rPr>
                <w:sz w:val="9"/>
                <w:szCs w:val="9"/>
                <w:color w:val="auto"/>
              </w:rPr>
            </w:pPr>
          </w:p>
        </w:tc>
        <w:tc>
          <w:tcPr>
            <w:tcW w:w="2060" w:type="dxa"/>
            <w:vAlign w:val="bottom"/>
            <w:vMerge w:val="restart"/>
          </w:tcPr>
          <w:p>
            <w:pPr>
              <w:jc w:val="center"/>
              <w:spacing w:after="0"/>
              <w:rPr>
                <w:sz w:val="20"/>
                <w:szCs w:val="20"/>
                <w:color w:val="auto"/>
              </w:rPr>
            </w:pPr>
            <w:r>
              <w:rPr>
                <w:rFonts w:ascii="Arial" w:cs="Arial" w:eastAsia="Arial" w:hAnsi="Arial"/>
                <w:sz w:val="18"/>
                <w:szCs w:val="18"/>
                <w:color w:val="0000FF"/>
                <w:w w:val="84"/>
              </w:rPr>
              <w:t>Value Per Share</w:t>
            </w:r>
          </w:p>
        </w:tc>
        <w:tc>
          <w:tcPr>
            <w:tcW w:w="70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16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200" w:type="dxa"/>
            <w:vAlign w:val="bottom"/>
          </w:tcPr>
          <w:p>
            <w:pPr>
              <w:spacing w:after="0"/>
              <w:rPr>
                <w:sz w:val="9"/>
                <w:szCs w:val="9"/>
                <w:color w:val="auto"/>
              </w:rPr>
            </w:pPr>
          </w:p>
        </w:tc>
        <w:tc>
          <w:tcPr>
            <w:tcW w:w="360" w:type="dxa"/>
            <w:vAlign w:val="bottom"/>
          </w:tcPr>
          <w:p>
            <w:pPr>
              <w:spacing w:after="0"/>
              <w:rPr>
                <w:sz w:val="9"/>
                <w:szCs w:val="9"/>
                <w:color w:val="auto"/>
              </w:rPr>
            </w:pPr>
          </w:p>
        </w:tc>
        <w:tc>
          <w:tcPr>
            <w:tcW w:w="88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6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880" w:type="dxa"/>
            <w:vAlign w:val="bottom"/>
          </w:tcPr>
          <w:p>
            <w:pPr>
              <w:spacing w:after="0"/>
              <w:rPr>
                <w:sz w:val="9"/>
                <w:szCs w:val="9"/>
                <w:color w:val="auto"/>
              </w:rPr>
            </w:pPr>
          </w:p>
        </w:tc>
        <w:tc>
          <w:tcPr>
            <w:tcW w:w="880" w:type="dxa"/>
            <w:vAlign w:val="bottom"/>
          </w:tcPr>
          <w:p>
            <w:pPr>
              <w:spacing w:after="0"/>
              <w:rPr>
                <w:sz w:val="9"/>
                <w:szCs w:val="9"/>
                <w:color w:val="auto"/>
              </w:rPr>
            </w:pPr>
          </w:p>
        </w:tc>
        <w:tc>
          <w:tcPr>
            <w:tcW w:w="16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20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200" w:type="dxa"/>
            <w:vAlign w:val="bottom"/>
            <w:vMerge w:val="restart"/>
          </w:tcPr>
          <w:p>
            <w:pPr>
              <w:ind w:left="60"/>
              <w:spacing w:after="0"/>
              <w:rPr>
                <w:sz w:val="20"/>
                <w:szCs w:val="20"/>
                <w:color w:val="auto"/>
              </w:rPr>
            </w:pPr>
            <w:r>
              <w:rPr>
                <w:rFonts w:ascii="Arial" w:cs="Arial" w:eastAsia="Arial" w:hAnsi="Arial"/>
                <w:sz w:val="18"/>
                <w:szCs w:val="18"/>
                <w:color w:val="0000FF"/>
                <w:w w:val="93"/>
              </w:rPr>
              <w:t>Non-Qualified Stock Option (Right to Buy)</w:t>
            </w:r>
          </w:p>
        </w:tc>
        <w:tc>
          <w:tcPr>
            <w:tcW w:w="1240" w:type="dxa"/>
            <w:vAlign w:val="bottom"/>
            <w:gridSpan w:val="2"/>
            <w:vMerge w:val="restart"/>
          </w:tcPr>
          <w:p>
            <w:pPr>
              <w:jc w:val="center"/>
              <w:ind w:left="299"/>
              <w:spacing w:after="0"/>
              <w:rPr>
                <w:sz w:val="20"/>
                <w:szCs w:val="20"/>
                <w:color w:val="auto"/>
              </w:rPr>
            </w:pPr>
            <w:r>
              <w:rPr>
                <w:rFonts w:ascii="Arial" w:cs="Arial" w:eastAsia="Arial" w:hAnsi="Arial"/>
                <w:sz w:val="11"/>
                <w:szCs w:val="11"/>
                <w:color w:val="008000"/>
                <w:w w:val="88"/>
              </w:rPr>
              <w:t>(8)</w:t>
            </w:r>
          </w:p>
        </w:tc>
        <w:tc>
          <w:tcPr>
            <w:tcW w:w="800" w:type="dxa"/>
            <w:vAlign w:val="bottom"/>
            <w:vMerge w:val="restart"/>
          </w:tcPr>
          <w:p>
            <w:pPr>
              <w:jc w:val="center"/>
              <w:spacing w:after="0"/>
              <w:rPr>
                <w:sz w:val="20"/>
                <w:szCs w:val="20"/>
                <w:color w:val="auto"/>
              </w:rPr>
            </w:pPr>
            <w:r>
              <w:rPr>
                <w:rFonts w:ascii="Arial" w:cs="Arial" w:eastAsia="Arial" w:hAnsi="Arial"/>
                <w:sz w:val="14"/>
                <w:szCs w:val="14"/>
                <w:color w:val="0000FF"/>
                <w:w w:val="88"/>
              </w:rPr>
              <w:t>01/17/2018</w:t>
            </w:r>
          </w:p>
        </w:tc>
        <w:tc>
          <w:tcPr>
            <w:tcW w:w="2060" w:type="dxa"/>
            <w:vAlign w:val="bottom"/>
          </w:tcPr>
          <w:p>
            <w:pPr>
              <w:jc w:val="center"/>
              <w:spacing w:after="0"/>
              <w:rPr>
                <w:sz w:val="20"/>
                <w:szCs w:val="20"/>
                <w:color w:val="auto"/>
              </w:rPr>
            </w:pPr>
            <w:r>
              <w:rPr>
                <w:rFonts w:ascii="Arial" w:cs="Arial" w:eastAsia="Arial" w:hAnsi="Arial"/>
                <w:sz w:val="18"/>
                <w:szCs w:val="18"/>
                <w:color w:val="0000FF"/>
                <w:w w:val="88"/>
              </w:rPr>
              <w:t>Common Stock, $0.01 Par</w:t>
            </w:r>
          </w:p>
        </w:tc>
        <w:tc>
          <w:tcPr>
            <w:tcW w:w="700" w:type="dxa"/>
            <w:vAlign w:val="bottom"/>
            <w:vMerge w:val="restart"/>
          </w:tcPr>
          <w:p>
            <w:pPr>
              <w:jc w:val="center"/>
              <w:spacing w:after="0"/>
              <w:rPr>
                <w:sz w:val="20"/>
                <w:szCs w:val="20"/>
                <w:color w:val="auto"/>
              </w:rPr>
            </w:pPr>
            <w:r>
              <w:rPr>
                <w:rFonts w:ascii="Arial" w:cs="Arial" w:eastAsia="Arial" w:hAnsi="Arial"/>
                <w:sz w:val="18"/>
                <w:szCs w:val="18"/>
                <w:color w:val="0000FF"/>
                <w:w w:val="88"/>
              </w:rPr>
              <w:t>2,601</w:t>
            </w:r>
          </w:p>
        </w:tc>
        <w:tc>
          <w:tcPr>
            <w:tcW w:w="880" w:type="dxa"/>
            <w:vAlign w:val="bottom"/>
            <w:vMerge w:val="restart"/>
          </w:tcPr>
          <w:p>
            <w:pPr>
              <w:jc w:val="center"/>
              <w:spacing w:after="0"/>
              <w:rPr>
                <w:sz w:val="20"/>
                <w:szCs w:val="20"/>
                <w:color w:val="auto"/>
              </w:rPr>
            </w:pPr>
            <w:r>
              <w:rPr>
                <w:rFonts w:ascii="Arial" w:cs="Arial" w:eastAsia="Arial" w:hAnsi="Arial"/>
                <w:sz w:val="18"/>
                <w:szCs w:val="18"/>
                <w:color w:val="0000FF"/>
                <w:w w:val="88"/>
              </w:rPr>
              <w:t>84.93</w:t>
            </w:r>
          </w:p>
        </w:tc>
        <w:tc>
          <w:tcPr>
            <w:tcW w:w="880" w:type="dxa"/>
            <w:vAlign w:val="bottom"/>
            <w:vMerge w:val="restart"/>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200" w:type="dxa"/>
            <w:vAlign w:val="bottom"/>
            <w:vMerge w:val="continue"/>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800" w:type="dxa"/>
            <w:vAlign w:val="bottom"/>
            <w:vMerge w:val="continue"/>
          </w:tcPr>
          <w:p>
            <w:pPr>
              <w:spacing w:after="0"/>
              <w:rPr>
                <w:sz w:val="9"/>
                <w:szCs w:val="9"/>
                <w:color w:val="auto"/>
              </w:rPr>
            </w:pPr>
          </w:p>
        </w:tc>
        <w:tc>
          <w:tcPr>
            <w:tcW w:w="2060" w:type="dxa"/>
            <w:vAlign w:val="bottom"/>
            <w:vMerge w:val="restart"/>
          </w:tcPr>
          <w:p>
            <w:pPr>
              <w:jc w:val="center"/>
              <w:spacing w:after="0"/>
              <w:rPr>
                <w:sz w:val="20"/>
                <w:szCs w:val="20"/>
                <w:color w:val="auto"/>
              </w:rPr>
            </w:pPr>
            <w:r>
              <w:rPr>
                <w:rFonts w:ascii="Arial" w:cs="Arial" w:eastAsia="Arial" w:hAnsi="Arial"/>
                <w:sz w:val="18"/>
                <w:szCs w:val="18"/>
                <w:color w:val="0000FF"/>
                <w:w w:val="84"/>
              </w:rPr>
              <w:t>Value Per Share</w:t>
            </w:r>
          </w:p>
        </w:tc>
        <w:tc>
          <w:tcPr>
            <w:tcW w:w="70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16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200" w:type="dxa"/>
            <w:vAlign w:val="bottom"/>
          </w:tcPr>
          <w:p>
            <w:pPr>
              <w:spacing w:after="0"/>
              <w:rPr>
                <w:sz w:val="9"/>
                <w:szCs w:val="9"/>
                <w:color w:val="auto"/>
              </w:rPr>
            </w:pPr>
          </w:p>
        </w:tc>
        <w:tc>
          <w:tcPr>
            <w:tcW w:w="360" w:type="dxa"/>
            <w:vAlign w:val="bottom"/>
          </w:tcPr>
          <w:p>
            <w:pPr>
              <w:spacing w:after="0"/>
              <w:rPr>
                <w:sz w:val="9"/>
                <w:szCs w:val="9"/>
                <w:color w:val="auto"/>
              </w:rPr>
            </w:pPr>
          </w:p>
        </w:tc>
        <w:tc>
          <w:tcPr>
            <w:tcW w:w="88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6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880" w:type="dxa"/>
            <w:vAlign w:val="bottom"/>
          </w:tcPr>
          <w:p>
            <w:pPr>
              <w:spacing w:after="0"/>
              <w:rPr>
                <w:sz w:val="9"/>
                <w:szCs w:val="9"/>
                <w:color w:val="auto"/>
              </w:rPr>
            </w:pPr>
          </w:p>
        </w:tc>
        <w:tc>
          <w:tcPr>
            <w:tcW w:w="880" w:type="dxa"/>
            <w:vAlign w:val="bottom"/>
          </w:tcPr>
          <w:p>
            <w:pPr>
              <w:spacing w:after="0"/>
              <w:rPr>
                <w:sz w:val="9"/>
                <w:szCs w:val="9"/>
                <w:color w:val="auto"/>
              </w:rPr>
            </w:pPr>
          </w:p>
        </w:tc>
        <w:tc>
          <w:tcPr>
            <w:tcW w:w="16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20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200" w:type="dxa"/>
            <w:vAlign w:val="bottom"/>
            <w:vMerge w:val="restart"/>
          </w:tcPr>
          <w:p>
            <w:pPr>
              <w:ind w:left="60"/>
              <w:spacing w:after="0"/>
              <w:rPr>
                <w:sz w:val="20"/>
                <w:szCs w:val="20"/>
                <w:color w:val="auto"/>
              </w:rPr>
            </w:pPr>
            <w:r>
              <w:rPr>
                <w:rFonts w:ascii="Arial" w:cs="Arial" w:eastAsia="Arial" w:hAnsi="Arial"/>
                <w:sz w:val="18"/>
                <w:szCs w:val="18"/>
                <w:color w:val="0000FF"/>
                <w:w w:val="93"/>
              </w:rPr>
              <w:t>Non-Qualified Stock Option (Right to Buy)</w:t>
            </w:r>
          </w:p>
        </w:tc>
        <w:tc>
          <w:tcPr>
            <w:tcW w:w="1240" w:type="dxa"/>
            <w:vAlign w:val="bottom"/>
            <w:gridSpan w:val="2"/>
            <w:vMerge w:val="restart"/>
          </w:tcPr>
          <w:p>
            <w:pPr>
              <w:jc w:val="center"/>
              <w:ind w:left="299"/>
              <w:spacing w:after="0"/>
              <w:rPr>
                <w:sz w:val="20"/>
                <w:szCs w:val="20"/>
                <w:color w:val="auto"/>
              </w:rPr>
            </w:pPr>
            <w:r>
              <w:rPr>
                <w:rFonts w:ascii="Arial" w:cs="Arial" w:eastAsia="Arial" w:hAnsi="Arial"/>
                <w:sz w:val="11"/>
                <w:szCs w:val="11"/>
                <w:color w:val="008000"/>
                <w:w w:val="88"/>
              </w:rPr>
              <w:t>(9)</w:t>
            </w:r>
          </w:p>
        </w:tc>
        <w:tc>
          <w:tcPr>
            <w:tcW w:w="800" w:type="dxa"/>
            <w:vAlign w:val="bottom"/>
            <w:vMerge w:val="restart"/>
          </w:tcPr>
          <w:p>
            <w:pPr>
              <w:jc w:val="center"/>
              <w:spacing w:after="0"/>
              <w:rPr>
                <w:sz w:val="20"/>
                <w:szCs w:val="20"/>
                <w:color w:val="auto"/>
              </w:rPr>
            </w:pPr>
            <w:r>
              <w:rPr>
                <w:rFonts w:ascii="Arial" w:cs="Arial" w:eastAsia="Arial" w:hAnsi="Arial"/>
                <w:sz w:val="14"/>
                <w:szCs w:val="14"/>
                <w:color w:val="0000FF"/>
                <w:w w:val="88"/>
              </w:rPr>
              <w:t>01/22/2019</w:t>
            </w:r>
          </w:p>
        </w:tc>
        <w:tc>
          <w:tcPr>
            <w:tcW w:w="2060" w:type="dxa"/>
            <w:vAlign w:val="bottom"/>
          </w:tcPr>
          <w:p>
            <w:pPr>
              <w:jc w:val="center"/>
              <w:spacing w:after="0"/>
              <w:rPr>
                <w:sz w:val="20"/>
                <w:szCs w:val="20"/>
                <w:color w:val="auto"/>
              </w:rPr>
            </w:pPr>
            <w:r>
              <w:rPr>
                <w:rFonts w:ascii="Arial" w:cs="Arial" w:eastAsia="Arial" w:hAnsi="Arial"/>
                <w:sz w:val="18"/>
                <w:szCs w:val="18"/>
                <w:color w:val="0000FF"/>
                <w:w w:val="88"/>
              </w:rPr>
              <w:t>Common Stock, $0.01 Par</w:t>
            </w:r>
          </w:p>
        </w:tc>
        <w:tc>
          <w:tcPr>
            <w:tcW w:w="700" w:type="dxa"/>
            <w:vAlign w:val="bottom"/>
            <w:vMerge w:val="restart"/>
          </w:tcPr>
          <w:p>
            <w:pPr>
              <w:jc w:val="center"/>
              <w:spacing w:after="0"/>
              <w:rPr>
                <w:sz w:val="20"/>
                <w:szCs w:val="20"/>
                <w:color w:val="auto"/>
              </w:rPr>
            </w:pPr>
            <w:r>
              <w:rPr>
                <w:rFonts w:ascii="Arial" w:cs="Arial" w:eastAsia="Arial" w:hAnsi="Arial"/>
                <w:sz w:val="18"/>
                <w:szCs w:val="18"/>
                <w:color w:val="0000FF"/>
                <w:w w:val="88"/>
              </w:rPr>
              <w:t>5,602</w:t>
            </w:r>
          </w:p>
        </w:tc>
        <w:tc>
          <w:tcPr>
            <w:tcW w:w="880" w:type="dxa"/>
            <w:vAlign w:val="bottom"/>
            <w:vMerge w:val="restart"/>
          </w:tcPr>
          <w:p>
            <w:pPr>
              <w:jc w:val="center"/>
              <w:spacing w:after="0"/>
              <w:rPr>
                <w:sz w:val="20"/>
                <w:szCs w:val="20"/>
                <w:color w:val="auto"/>
              </w:rPr>
            </w:pPr>
            <w:r>
              <w:rPr>
                <w:rFonts w:ascii="Arial" w:cs="Arial" w:eastAsia="Arial" w:hAnsi="Arial"/>
                <w:sz w:val="18"/>
                <w:szCs w:val="18"/>
                <w:color w:val="0000FF"/>
                <w:w w:val="87"/>
              </w:rPr>
              <w:t>37.845</w:t>
            </w:r>
          </w:p>
        </w:tc>
        <w:tc>
          <w:tcPr>
            <w:tcW w:w="880" w:type="dxa"/>
            <w:vAlign w:val="bottom"/>
            <w:vMerge w:val="restart"/>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200" w:type="dxa"/>
            <w:vAlign w:val="bottom"/>
            <w:vMerge w:val="continue"/>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800" w:type="dxa"/>
            <w:vAlign w:val="bottom"/>
            <w:vMerge w:val="continue"/>
          </w:tcPr>
          <w:p>
            <w:pPr>
              <w:spacing w:after="0"/>
              <w:rPr>
                <w:sz w:val="9"/>
                <w:szCs w:val="9"/>
                <w:color w:val="auto"/>
              </w:rPr>
            </w:pPr>
          </w:p>
        </w:tc>
        <w:tc>
          <w:tcPr>
            <w:tcW w:w="2060" w:type="dxa"/>
            <w:vAlign w:val="bottom"/>
            <w:vMerge w:val="restart"/>
          </w:tcPr>
          <w:p>
            <w:pPr>
              <w:jc w:val="center"/>
              <w:spacing w:after="0"/>
              <w:rPr>
                <w:sz w:val="20"/>
                <w:szCs w:val="20"/>
                <w:color w:val="auto"/>
              </w:rPr>
            </w:pPr>
            <w:r>
              <w:rPr>
                <w:rFonts w:ascii="Arial" w:cs="Arial" w:eastAsia="Arial" w:hAnsi="Arial"/>
                <w:sz w:val="18"/>
                <w:szCs w:val="18"/>
                <w:color w:val="0000FF"/>
                <w:w w:val="84"/>
              </w:rPr>
              <w:t>Value Per Share</w:t>
            </w:r>
          </w:p>
        </w:tc>
        <w:tc>
          <w:tcPr>
            <w:tcW w:w="70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16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200" w:type="dxa"/>
            <w:vAlign w:val="bottom"/>
          </w:tcPr>
          <w:p>
            <w:pPr>
              <w:spacing w:after="0"/>
              <w:rPr>
                <w:sz w:val="9"/>
                <w:szCs w:val="9"/>
                <w:color w:val="auto"/>
              </w:rPr>
            </w:pPr>
          </w:p>
        </w:tc>
        <w:tc>
          <w:tcPr>
            <w:tcW w:w="360" w:type="dxa"/>
            <w:vAlign w:val="bottom"/>
          </w:tcPr>
          <w:p>
            <w:pPr>
              <w:spacing w:after="0"/>
              <w:rPr>
                <w:sz w:val="9"/>
                <w:szCs w:val="9"/>
                <w:color w:val="auto"/>
              </w:rPr>
            </w:pPr>
          </w:p>
        </w:tc>
        <w:tc>
          <w:tcPr>
            <w:tcW w:w="88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6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880" w:type="dxa"/>
            <w:vAlign w:val="bottom"/>
          </w:tcPr>
          <w:p>
            <w:pPr>
              <w:spacing w:after="0"/>
              <w:rPr>
                <w:sz w:val="9"/>
                <w:szCs w:val="9"/>
                <w:color w:val="auto"/>
              </w:rPr>
            </w:pPr>
          </w:p>
        </w:tc>
        <w:tc>
          <w:tcPr>
            <w:tcW w:w="880" w:type="dxa"/>
            <w:vAlign w:val="bottom"/>
          </w:tcPr>
          <w:p>
            <w:pPr>
              <w:spacing w:after="0"/>
              <w:rPr>
                <w:sz w:val="9"/>
                <w:szCs w:val="9"/>
                <w:color w:val="auto"/>
              </w:rPr>
            </w:pPr>
          </w:p>
        </w:tc>
        <w:tc>
          <w:tcPr>
            <w:tcW w:w="16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20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200" w:type="dxa"/>
            <w:vAlign w:val="bottom"/>
            <w:vMerge w:val="restart"/>
          </w:tcPr>
          <w:p>
            <w:pPr>
              <w:ind w:left="60"/>
              <w:spacing w:after="0"/>
              <w:rPr>
                <w:sz w:val="20"/>
                <w:szCs w:val="20"/>
                <w:color w:val="auto"/>
              </w:rPr>
            </w:pPr>
            <w:r>
              <w:rPr>
                <w:rFonts w:ascii="Arial" w:cs="Arial" w:eastAsia="Arial" w:hAnsi="Arial"/>
                <w:sz w:val="18"/>
                <w:szCs w:val="18"/>
                <w:color w:val="0000FF"/>
                <w:w w:val="93"/>
              </w:rPr>
              <w:t>Non-Qualified Stock Option (Right to Buy)</w:t>
            </w:r>
          </w:p>
        </w:tc>
        <w:tc>
          <w:tcPr>
            <w:tcW w:w="1240" w:type="dxa"/>
            <w:vAlign w:val="bottom"/>
            <w:gridSpan w:val="2"/>
            <w:vMerge w:val="restart"/>
          </w:tcPr>
          <w:p>
            <w:pPr>
              <w:jc w:val="center"/>
              <w:ind w:left="299"/>
              <w:spacing w:after="0"/>
              <w:rPr>
                <w:sz w:val="20"/>
                <w:szCs w:val="20"/>
                <w:color w:val="auto"/>
              </w:rPr>
            </w:pPr>
            <w:r>
              <w:rPr>
                <w:rFonts w:ascii="Arial" w:cs="Arial" w:eastAsia="Arial" w:hAnsi="Arial"/>
                <w:sz w:val="11"/>
                <w:szCs w:val="11"/>
                <w:color w:val="008000"/>
              </w:rPr>
              <w:t>(10)</w:t>
            </w:r>
          </w:p>
        </w:tc>
        <w:tc>
          <w:tcPr>
            <w:tcW w:w="800" w:type="dxa"/>
            <w:vAlign w:val="bottom"/>
            <w:vMerge w:val="restart"/>
          </w:tcPr>
          <w:p>
            <w:pPr>
              <w:jc w:val="center"/>
              <w:spacing w:after="0"/>
              <w:rPr>
                <w:sz w:val="20"/>
                <w:szCs w:val="20"/>
                <w:color w:val="auto"/>
              </w:rPr>
            </w:pPr>
            <w:r>
              <w:rPr>
                <w:rFonts w:ascii="Arial" w:cs="Arial" w:eastAsia="Arial" w:hAnsi="Arial"/>
                <w:sz w:val="14"/>
                <w:szCs w:val="14"/>
                <w:color w:val="0000FF"/>
                <w:w w:val="88"/>
              </w:rPr>
              <w:t>04/23/2019</w:t>
            </w:r>
          </w:p>
        </w:tc>
        <w:tc>
          <w:tcPr>
            <w:tcW w:w="2060" w:type="dxa"/>
            <w:vAlign w:val="bottom"/>
          </w:tcPr>
          <w:p>
            <w:pPr>
              <w:jc w:val="center"/>
              <w:spacing w:after="0"/>
              <w:rPr>
                <w:sz w:val="20"/>
                <w:szCs w:val="20"/>
                <w:color w:val="auto"/>
              </w:rPr>
            </w:pPr>
            <w:r>
              <w:rPr>
                <w:rFonts w:ascii="Arial" w:cs="Arial" w:eastAsia="Arial" w:hAnsi="Arial"/>
                <w:sz w:val="18"/>
                <w:szCs w:val="18"/>
                <w:color w:val="0000FF"/>
                <w:w w:val="88"/>
              </w:rPr>
              <w:t>Common Stock, $0.01 Par</w:t>
            </w:r>
          </w:p>
        </w:tc>
        <w:tc>
          <w:tcPr>
            <w:tcW w:w="700" w:type="dxa"/>
            <w:vAlign w:val="bottom"/>
            <w:vMerge w:val="restart"/>
          </w:tcPr>
          <w:p>
            <w:pPr>
              <w:jc w:val="center"/>
              <w:spacing w:after="0"/>
              <w:rPr>
                <w:sz w:val="20"/>
                <w:szCs w:val="20"/>
                <w:color w:val="auto"/>
              </w:rPr>
            </w:pPr>
            <w:r>
              <w:rPr>
                <w:rFonts w:ascii="Arial" w:cs="Arial" w:eastAsia="Arial" w:hAnsi="Arial"/>
                <w:sz w:val="18"/>
                <w:szCs w:val="18"/>
                <w:color w:val="0000FF"/>
                <w:w w:val="87"/>
              </w:rPr>
              <w:t>49,141</w:t>
            </w:r>
          </w:p>
        </w:tc>
        <w:tc>
          <w:tcPr>
            <w:tcW w:w="880" w:type="dxa"/>
            <w:vAlign w:val="bottom"/>
            <w:vMerge w:val="restart"/>
          </w:tcPr>
          <w:p>
            <w:pPr>
              <w:jc w:val="center"/>
              <w:spacing w:after="0"/>
              <w:rPr>
                <w:sz w:val="20"/>
                <w:szCs w:val="20"/>
                <w:color w:val="auto"/>
              </w:rPr>
            </w:pPr>
            <w:r>
              <w:rPr>
                <w:rFonts w:ascii="Arial" w:cs="Arial" w:eastAsia="Arial" w:hAnsi="Arial"/>
                <w:sz w:val="18"/>
                <w:szCs w:val="18"/>
                <w:color w:val="0000FF"/>
                <w:w w:val="88"/>
              </w:rPr>
              <w:t>45.88</w:t>
            </w:r>
          </w:p>
        </w:tc>
        <w:tc>
          <w:tcPr>
            <w:tcW w:w="880" w:type="dxa"/>
            <w:vAlign w:val="bottom"/>
            <w:vMerge w:val="restart"/>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200" w:type="dxa"/>
            <w:vAlign w:val="bottom"/>
            <w:vMerge w:val="continue"/>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800" w:type="dxa"/>
            <w:vAlign w:val="bottom"/>
            <w:vMerge w:val="continue"/>
          </w:tcPr>
          <w:p>
            <w:pPr>
              <w:spacing w:after="0"/>
              <w:rPr>
                <w:sz w:val="9"/>
                <w:szCs w:val="9"/>
                <w:color w:val="auto"/>
              </w:rPr>
            </w:pPr>
          </w:p>
        </w:tc>
        <w:tc>
          <w:tcPr>
            <w:tcW w:w="2060" w:type="dxa"/>
            <w:vAlign w:val="bottom"/>
            <w:vMerge w:val="restart"/>
          </w:tcPr>
          <w:p>
            <w:pPr>
              <w:jc w:val="center"/>
              <w:spacing w:after="0"/>
              <w:rPr>
                <w:sz w:val="20"/>
                <w:szCs w:val="20"/>
                <w:color w:val="auto"/>
              </w:rPr>
            </w:pPr>
            <w:r>
              <w:rPr>
                <w:rFonts w:ascii="Arial" w:cs="Arial" w:eastAsia="Arial" w:hAnsi="Arial"/>
                <w:sz w:val="18"/>
                <w:szCs w:val="18"/>
                <w:color w:val="0000FF"/>
                <w:w w:val="84"/>
              </w:rPr>
              <w:t>Value Per Share</w:t>
            </w:r>
          </w:p>
        </w:tc>
        <w:tc>
          <w:tcPr>
            <w:tcW w:w="70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16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200" w:type="dxa"/>
            <w:vAlign w:val="bottom"/>
          </w:tcPr>
          <w:p>
            <w:pPr>
              <w:spacing w:after="0"/>
              <w:rPr>
                <w:sz w:val="9"/>
                <w:szCs w:val="9"/>
                <w:color w:val="auto"/>
              </w:rPr>
            </w:pPr>
          </w:p>
        </w:tc>
        <w:tc>
          <w:tcPr>
            <w:tcW w:w="360" w:type="dxa"/>
            <w:vAlign w:val="bottom"/>
          </w:tcPr>
          <w:p>
            <w:pPr>
              <w:spacing w:after="0"/>
              <w:rPr>
                <w:sz w:val="9"/>
                <w:szCs w:val="9"/>
                <w:color w:val="auto"/>
              </w:rPr>
            </w:pPr>
          </w:p>
        </w:tc>
        <w:tc>
          <w:tcPr>
            <w:tcW w:w="88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6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880" w:type="dxa"/>
            <w:vAlign w:val="bottom"/>
          </w:tcPr>
          <w:p>
            <w:pPr>
              <w:spacing w:after="0"/>
              <w:rPr>
                <w:sz w:val="9"/>
                <w:szCs w:val="9"/>
                <w:color w:val="auto"/>
              </w:rPr>
            </w:pPr>
          </w:p>
        </w:tc>
        <w:tc>
          <w:tcPr>
            <w:tcW w:w="880" w:type="dxa"/>
            <w:vAlign w:val="bottom"/>
          </w:tcPr>
          <w:p>
            <w:pPr>
              <w:spacing w:after="0"/>
              <w:rPr>
                <w:sz w:val="9"/>
                <w:szCs w:val="9"/>
                <w:color w:val="auto"/>
              </w:rPr>
            </w:pPr>
          </w:p>
        </w:tc>
        <w:tc>
          <w:tcPr>
            <w:tcW w:w="16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20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200" w:type="dxa"/>
            <w:vAlign w:val="bottom"/>
            <w:vMerge w:val="restart"/>
          </w:tcPr>
          <w:p>
            <w:pPr>
              <w:ind w:left="60"/>
              <w:spacing w:after="0"/>
              <w:rPr>
                <w:sz w:val="20"/>
                <w:szCs w:val="20"/>
                <w:color w:val="auto"/>
              </w:rPr>
            </w:pPr>
            <w:r>
              <w:rPr>
                <w:rFonts w:ascii="Arial" w:cs="Arial" w:eastAsia="Arial" w:hAnsi="Arial"/>
                <w:sz w:val="18"/>
                <w:szCs w:val="18"/>
                <w:color w:val="0000FF"/>
                <w:w w:val="93"/>
              </w:rPr>
              <w:t>Non-Qualified Stock Option (Right to Buy)</w:t>
            </w:r>
          </w:p>
        </w:tc>
        <w:tc>
          <w:tcPr>
            <w:tcW w:w="1240" w:type="dxa"/>
            <w:vAlign w:val="bottom"/>
            <w:gridSpan w:val="2"/>
            <w:vMerge w:val="restart"/>
          </w:tcPr>
          <w:p>
            <w:pPr>
              <w:jc w:val="center"/>
              <w:ind w:left="299"/>
              <w:spacing w:after="0"/>
              <w:rPr>
                <w:sz w:val="20"/>
                <w:szCs w:val="20"/>
                <w:color w:val="auto"/>
              </w:rPr>
            </w:pPr>
            <w:r>
              <w:rPr>
                <w:rFonts w:ascii="Arial" w:cs="Arial" w:eastAsia="Arial" w:hAnsi="Arial"/>
                <w:sz w:val="11"/>
                <w:szCs w:val="11"/>
                <w:color w:val="008000"/>
              </w:rPr>
              <w:t>(11)</w:t>
            </w:r>
          </w:p>
        </w:tc>
        <w:tc>
          <w:tcPr>
            <w:tcW w:w="800" w:type="dxa"/>
            <w:vAlign w:val="bottom"/>
            <w:vMerge w:val="restart"/>
          </w:tcPr>
          <w:p>
            <w:pPr>
              <w:jc w:val="center"/>
              <w:spacing w:after="0"/>
              <w:rPr>
                <w:sz w:val="20"/>
                <w:szCs w:val="20"/>
                <w:color w:val="auto"/>
              </w:rPr>
            </w:pPr>
            <w:r>
              <w:rPr>
                <w:rFonts w:ascii="Arial" w:cs="Arial" w:eastAsia="Arial" w:hAnsi="Arial"/>
                <w:sz w:val="14"/>
                <w:szCs w:val="14"/>
                <w:color w:val="0000FF"/>
                <w:w w:val="88"/>
              </w:rPr>
              <w:t>01/21/2020</w:t>
            </w:r>
          </w:p>
        </w:tc>
        <w:tc>
          <w:tcPr>
            <w:tcW w:w="2060" w:type="dxa"/>
            <w:vAlign w:val="bottom"/>
          </w:tcPr>
          <w:p>
            <w:pPr>
              <w:jc w:val="center"/>
              <w:spacing w:after="0"/>
              <w:rPr>
                <w:sz w:val="20"/>
                <w:szCs w:val="20"/>
                <w:color w:val="auto"/>
              </w:rPr>
            </w:pPr>
            <w:r>
              <w:rPr>
                <w:rFonts w:ascii="Arial" w:cs="Arial" w:eastAsia="Arial" w:hAnsi="Arial"/>
                <w:sz w:val="18"/>
                <w:szCs w:val="18"/>
                <w:color w:val="0000FF"/>
                <w:w w:val="88"/>
              </w:rPr>
              <w:t>Common Stock, $0.01 Par</w:t>
            </w:r>
          </w:p>
        </w:tc>
        <w:tc>
          <w:tcPr>
            <w:tcW w:w="700" w:type="dxa"/>
            <w:vAlign w:val="bottom"/>
            <w:vMerge w:val="restart"/>
          </w:tcPr>
          <w:p>
            <w:pPr>
              <w:jc w:val="center"/>
              <w:spacing w:after="0"/>
              <w:rPr>
                <w:sz w:val="20"/>
                <w:szCs w:val="20"/>
                <w:color w:val="auto"/>
              </w:rPr>
            </w:pPr>
            <w:r>
              <w:rPr>
                <w:rFonts w:ascii="Arial" w:cs="Arial" w:eastAsia="Arial" w:hAnsi="Arial"/>
                <w:sz w:val="18"/>
                <w:szCs w:val="18"/>
                <w:color w:val="0000FF"/>
                <w:w w:val="87"/>
              </w:rPr>
              <w:t>43,541</w:t>
            </w:r>
          </w:p>
        </w:tc>
        <w:tc>
          <w:tcPr>
            <w:tcW w:w="880" w:type="dxa"/>
            <w:vAlign w:val="bottom"/>
            <w:vMerge w:val="restart"/>
          </w:tcPr>
          <w:p>
            <w:pPr>
              <w:jc w:val="center"/>
              <w:spacing w:after="0"/>
              <w:rPr>
                <w:sz w:val="20"/>
                <w:szCs w:val="20"/>
                <w:color w:val="auto"/>
              </w:rPr>
            </w:pPr>
            <w:r>
              <w:rPr>
                <w:rFonts w:ascii="Arial" w:cs="Arial" w:eastAsia="Arial" w:hAnsi="Arial"/>
                <w:sz w:val="18"/>
                <w:szCs w:val="18"/>
                <w:color w:val="0000FF"/>
                <w:w w:val="87"/>
              </w:rPr>
              <w:t>68.505</w:t>
            </w:r>
          </w:p>
        </w:tc>
        <w:tc>
          <w:tcPr>
            <w:tcW w:w="880" w:type="dxa"/>
            <w:vAlign w:val="bottom"/>
            <w:vMerge w:val="restart"/>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200" w:type="dxa"/>
            <w:vAlign w:val="bottom"/>
            <w:vMerge w:val="continue"/>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800" w:type="dxa"/>
            <w:vAlign w:val="bottom"/>
            <w:vMerge w:val="continue"/>
          </w:tcPr>
          <w:p>
            <w:pPr>
              <w:spacing w:after="0"/>
              <w:rPr>
                <w:sz w:val="9"/>
                <w:szCs w:val="9"/>
                <w:color w:val="auto"/>
              </w:rPr>
            </w:pPr>
          </w:p>
        </w:tc>
        <w:tc>
          <w:tcPr>
            <w:tcW w:w="2060" w:type="dxa"/>
            <w:vAlign w:val="bottom"/>
            <w:vMerge w:val="restart"/>
          </w:tcPr>
          <w:p>
            <w:pPr>
              <w:jc w:val="center"/>
              <w:spacing w:after="0"/>
              <w:rPr>
                <w:sz w:val="20"/>
                <w:szCs w:val="20"/>
                <w:color w:val="auto"/>
              </w:rPr>
            </w:pPr>
            <w:r>
              <w:rPr>
                <w:rFonts w:ascii="Arial" w:cs="Arial" w:eastAsia="Arial" w:hAnsi="Arial"/>
                <w:sz w:val="18"/>
                <w:szCs w:val="18"/>
                <w:color w:val="0000FF"/>
                <w:w w:val="84"/>
              </w:rPr>
              <w:t>Value Per Share</w:t>
            </w:r>
          </w:p>
        </w:tc>
        <w:tc>
          <w:tcPr>
            <w:tcW w:w="70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16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200" w:type="dxa"/>
            <w:vAlign w:val="bottom"/>
          </w:tcPr>
          <w:p>
            <w:pPr>
              <w:spacing w:after="0"/>
              <w:rPr>
                <w:sz w:val="9"/>
                <w:szCs w:val="9"/>
                <w:color w:val="auto"/>
              </w:rPr>
            </w:pPr>
          </w:p>
        </w:tc>
        <w:tc>
          <w:tcPr>
            <w:tcW w:w="360" w:type="dxa"/>
            <w:vAlign w:val="bottom"/>
          </w:tcPr>
          <w:p>
            <w:pPr>
              <w:spacing w:after="0"/>
              <w:rPr>
                <w:sz w:val="9"/>
                <w:szCs w:val="9"/>
                <w:color w:val="auto"/>
              </w:rPr>
            </w:pPr>
          </w:p>
        </w:tc>
        <w:tc>
          <w:tcPr>
            <w:tcW w:w="88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6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880" w:type="dxa"/>
            <w:vAlign w:val="bottom"/>
          </w:tcPr>
          <w:p>
            <w:pPr>
              <w:spacing w:after="0"/>
              <w:rPr>
                <w:sz w:val="9"/>
                <w:szCs w:val="9"/>
                <w:color w:val="auto"/>
              </w:rPr>
            </w:pPr>
          </w:p>
        </w:tc>
        <w:tc>
          <w:tcPr>
            <w:tcW w:w="880" w:type="dxa"/>
            <w:vAlign w:val="bottom"/>
          </w:tcPr>
          <w:p>
            <w:pPr>
              <w:spacing w:after="0"/>
              <w:rPr>
                <w:sz w:val="9"/>
                <w:szCs w:val="9"/>
                <w:color w:val="auto"/>
              </w:rPr>
            </w:pPr>
          </w:p>
        </w:tc>
        <w:tc>
          <w:tcPr>
            <w:tcW w:w="16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3200" w:type="dxa"/>
            <w:vAlign w:val="bottom"/>
            <w:tcBorders>
              <w:bottom w:val="single" w:sz="8" w:color="808080"/>
            </w:tcBorders>
          </w:tcPr>
          <w:p>
            <w:pPr>
              <w:spacing w:after="0"/>
              <w:rPr>
                <w:sz w:val="4"/>
                <w:szCs w:val="4"/>
                <w:color w:val="auto"/>
              </w:rPr>
            </w:pPr>
          </w:p>
        </w:tc>
        <w:tc>
          <w:tcPr>
            <w:tcW w:w="360" w:type="dxa"/>
            <w:vAlign w:val="bottom"/>
            <w:tcBorders>
              <w:bottom w:val="single" w:sz="8" w:color="808080"/>
            </w:tcBorders>
          </w:tcPr>
          <w:p>
            <w:pPr>
              <w:spacing w:after="0"/>
              <w:rPr>
                <w:sz w:val="4"/>
                <w:szCs w:val="4"/>
                <w:color w:val="auto"/>
              </w:rPr>
            </w:pPr>
          </w:p>
        </w:tc>
        <w:tc>
          <w:tcPr>
            <w:tcW w:w="880" w:type="dxa"/>
            <w:vAlign w:val="bottom"/>
            <w:tcBorders>
              <w:bottom w:val="single" w:sz="8" w:color="808080"/>
            </w:tcBorders>
          </w:tcPr>
          <w:p>
            <w:pPr>
              <w:spacing w:after="0"/>
              <w:rPr>
                <w:sz w:val="4"/>
                <w:szCs w:val="4"/>
                <w:color w:val="auto"/>
              </w:rPr>
            </w:pPr>
          </w:p>
        </w:tc>
        <w:tc>
          <w:tcPr>
            <w:tcW w:w="800" w:type="dxa"/>
            <w:vAlign w:val="bottom"/>
            <w:tcBorders>
              <w:bottom w:val="single" w:sz="8" w:color="808080"/>
            </w:tcBorders>
          </w:tcPr>
          <w:p>
            <w:pPr>
              <w:spacing w:after="0"/>
              <w:rPr>
                <w:sz w:val="4"/>
                <w:szCs w:val="4"/>
                <w:color w:val="auto"/>
              </w:rPr>
            </w:pPr>
          </w:p>
        </w:tc>
        <w:tc>
          <w:tcPr>
            <w:tcW w:w="2060" w:type="dxa"/>
            <w:vAlign w:val="bottom"/>
            <w:tcBorders>
              <w:bottom w:val="single" w:sz="8" w:color="808080"/>
            </w:tcBorders>
          </w:tcPr>
          <w:p>
            <w:pPr>
              <w:spacing w:after="0"/>
              <w:rPr>
                <w:sz w:val="4"/>
                <w:szCs w:val="4"/>
                <w:color w:val="auto"/>
              </w:rPr>
            </w:pPr>
          </w:p>
        </w:tc>
        <w:tc>
          <w:tcPr>
            <w:tcW w:w="700" w:type="dxa"/>
            <w:vAlign w:val="bottom"/>
            <w:tcBorders>
              <w:bottom w:val="single" w:sz="8" w:color="808080"/>
            </w:tcBorders>
          </w:tcPr>
          <w:p>
            <w:pPr>
              <w:spacing w:after="0"/>
              <w:rPr>
                <w:sz w:val="4"/>
                <w:szCs w:val="4"/>
                <w:color w:val="auto"/>
              </w:rPr>
            </w:pPr>
          </w:p>
        </w:tc>
        <w:tc>
          <w:tcPr>
            <w:tcW w:w="880" w:type="dxa"/>
            <w:vAlign w:val="bottom"/>
            <w:tcBorders>
              <w:bottom w:val="single" w:sz="8" w:color="808080"/>
            </w:tcBorders>
          </w:tcPr>
          <w:p>
            <w:pPr>
              <w:spacing w:after="0"/>
              <w:rPr>
                <w:sz w:val="4"/>
                <w:szCs w:val="4"/>
                <w:color w:val="auto"/>
              </w:rPr>
            </w:pPr>
          </w:p>
        </w:tc>
        <w:tc>
          <w:tcPr>
            <w:tcW w:w="880" w:type="dxa"/>
            <w:vAlign w:val="bottom"/>
            <w:tcBorders>
              <w:bottom w:val="single" w:sz="8" w:color="808080"/>
            </w:tcBorders>
          </w:tcPr>
          <w:p>
            <w:pPr>
              <w:spacing w:after="0"/>
              <w:rPr>
                <w:sz w:val="4"/>
                <w:szCs w:val="4"/>
                <w:color w:val="auto"/>
              </w:rPr>
            </w:pPr>
          </w:p>
        </w:tc>
        <w:tc>
          <w:tcPr>
            <w:tcW w:w="1620" w:type="dxa"/>
            <w:vAlign w:val="bottom"/>
            <w:tcBorders>
              <w:bottom w:val="single" w:sz="8" w:color="808080"/>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26" w:right="239" w:bottom="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72020" cy="52527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7272020" cy="5252720"/>
                    </a:xfrm>
                    <a:prstGeom prst="rect">
                      <a:avLst/>
                    </a:prstGeom>
                    <a:noFill/>
                  </pic:spPr>
                </pic:pic>
              </a:graphicData>
            </a:graphic>
          </wp:anchor>
        </w:drawing>
        <w:t>Table II - Derivative Securities Beneficially Owned</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60" w:type="dxa"/>
            <w:vAlign w:val="bottom"/>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760" w:type="dxa"/>
            <w:vAlign w:val="bottom"/>
            <w:gridSpan w:val="2"/>
          </w:tcPr>
          <w:p>
            <w:pPr>
              <w:ind w:left="60"/>
              <w:spacing w:after="0"/>
              <w:rPr>
                <w:sz w:val="20"/>
                <w:szCs w:val="20"/>
                <w:color w:val="auto"/>
              </w:rPr>
            </w:pPr>
            <w:r>
              <w:rPr>
                <w:rFonts w:ascii="Arial" w:cs="Arial" w:eastAsia="Arial" w:hAnsi="Arial"/>
                <w:sz w:val="14"/>
                <w:szCs w:val="14"/>
                <w:b w:val="1"/>
                <w:bCs w:val="1"/>
                <w:color w:val="auto"/>
              </w:rPr>
              <w:t>3. Title and Amount of Securities</w:t>
            </w: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4.</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5.</w:t>
            </w:r>
          </w:p>
        </w:tc>
        <w:tc>
          <w:tcPr>
            <w:tcW w:w="1620" w:type="dxa"/>
            <w:vAlign w:val="bottom"/>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356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76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Underlying Derivative Security (Instr. 4)</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Ownership</w:t>
            </w:r>
          </w:p>
        </w:tc>
        <w:tc>
          <w:tcPr>
            <w:tcW w:w="1620" w:type="dxa"/>
            <w:vAlign w:val="bottom"/>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356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20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Form:</w:t>
            </w:r>
          </w:p>
        </w:tc>
        <w:tc>
          <w:tcPr>
            <w:tcW w:w="1620" w:type="dxa"/>
            <w:vAlign w:val="bottom"/>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356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20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880" w:type="dxa"/>
            <w:vAlign w:val="bottom"/>
            <w:vMerge w:val="restart"/>
          </w:tcPr>
          <w:p>
            <w:pPr>
              <w:ind w:left="6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Direct (D)</w:t>
            </w:r>
          </w:p>
        </w:tc>
        <w:tc>
          <w:tcPr>
            <w:tcW w:w="16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356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2060" w:type="dxa"/>
            <w:vAlign w:val="bottom"/>
          </w:tcPr>
          <w:p>
            <w:pPr>
              <w:spacing w:after="0"/>
              <w:rPr>
                <w:sz w:val="4"/>
                <w:szCs w:val="4"/>
                <w:color w:val="auto"/>
              </w:rPr>
            </w:pPr>
          </w:p>
        </w:tc>
        <w:tc>
          <w:tcPr>
            <w:tcW w:w="70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Amount</w:t>
            </w:r>
          </w:p>
        </w:tc>
        <w:tc>
          <w:tcPr>
            <w:tcW w:w="88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6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35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880" w:type="dxa"/>
            <w:vAlign w:val="bottom"/>
          </w:tcPr>
          <w:p>
            <w:pPr>
              <w:ind w:left="60"/>
              <w:spacing w:after="0" w:line="139"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or Indirect</w:t>
            </w:r>
          </w:p>
        </w:tc>
        <w:tc>
          <w:tcPr>
            <w:tcW w:w="1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7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or</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(I) (Instr. 5)</w:t>
            </w:r>
          </w:p>
        </w:tc>
        <w:tc>
          <w:tcPr>
            <w:tcW w:w="1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35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700" w:type="dxa"/>
            <w:vAlign w:val="bottom"/>
          </w:tcPr>
          <w:p>
            <w:pPr>
              <w:ind w:left="80"/>
              <w:spacing w:after="0" w:line="145" w:lineRule="exact"/>
              <w:rPr>
                <w:sz w:val="20"/>
                <w:szCs w:val="20"/>
                <w:color w:val="auto"/>
              </w:rPr>
            </w:pPr>
            <w:r>
              <w:rPr>
                <w:rFonts w:ascii="Arial" w:cs="Arial" w:eastAsia="Arial" w:hAnsi="Arial"/>
                <w:sz w:val="14"/>
                <w:szCs w:val="14"/>
                <w:b w:val="1"/>
                <w:bCs w:val="1"/>
                <w:color w:val="auto"/>
              </w:rPr>
              <w:t>Number</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6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Expiration</w:t>
            </w:r>
          </w:p>
        </w:tc>
        <w:tc>
          <w:tcPr>
            <w:tcW w:w="2060" w:type="dxa"/>
            <w:vAlign w:val="bottom"/>
          </w:tcPr>
          <w:p>
            <w:pPr>
              <w:spacing w:after="0"/>
              <w:rPr>
                <w:sz w:val="12"/>
                <w:szCs w:val="12"/>
                <w:color w:val="auto"/>
              </w:rPr>
            </w:pPr>
          </w:p>
        </w:tc>
        <w:tc>
          <w:tcPr>
            <w:tcW w:w="7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of</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356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2060" w:type="dxa"/>
            <w:vAlign w:val="bottom"/>
          </w:tcPr>
          <w:p>
            <w:pPr>
              <w:ind w:left="60"/>
              <w:spacing w:after="0"/>
              <w:rPr>
                <w:sz w:val="20"/>
                <w:szCs w:val="20"/>
                <w:color w:val="auto"/>
              </w:rPr>
            </w:pPr>
            <w:r>
              <w:rPr>
                <w:rFonts w:ascii="Arial" w:cs="Arial" w:eastAsia="Arial" w:hAnsi="Arial"/>
                <w:sz w:val="14"/>
                <w:szCs w:val="14"/>
                <w:b w:val="1"/>
                <w:bCs w:val="1"/>
                <w:color w:val="auto"/>
              </w:rPr>
              <w:t>Title</w:t>
            </w:r>
          </w:p>
        </w:tc>
        <w:tc>
          <w:tcPr>
            <w:tcW w:w="700" w:type="dxa"/>
            <w:vAlign w:val="bottom"/>
          </w:tcPr>
          <w:p>
            <w:pPr>
              <w:ind w:left="80"/>
              <w:spacing w:after="0"/>
              <w:rPr>
                <w:sz w:val="20"/>
                <w:szCs w:val="20"/>
                <w:color w:val="auto"/>
              </w:rPr>
            </w:pPr>
            <w:r>
              <w:rPr>
                <w:rFonts w:ascii="Arial" w:cs="Arial" w:eastAsia="Arial" w:hAnsi="Arial"/>
                <w:sz w:val="14"/>
                <w:szCs w:val="14"/>
                <w:b w:val="1"/>
                <w:bCs w:val="1"/>
                <w:color w:val="auto"/>
              </w:rPr>
              <w:t>Shares</w:t>
            </w: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356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20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3560" w:type="dxa"/>
            <w:vAlign w:val="bottom"/>
            <w:vMerge w:val="restart"/>
          </w:tcPr>
          <w:p>
            <w:pPr>
              <w:ind w:left="60"/>
              <w:spacing w:after="0"/>
              <w:rPr>
                <w:sz w:val="20"/>
                <w:szCs w:val="20"/>
                <w:color w:val="auto"/>
              </w:rPr>
            </w:pPr>
            <w:r>
              <w:rPr>
                <w:rFonts w:ascii="Arial" w:cs="Arial" w:eastAsia="Arial" w:hAnsi="Arial"/>
                <w:sz w:val="18"/>
                <w:szCs w:val="18"/>
                <w:color w:val="0000FF"/>
              </w:rPr>
              <w:t>Non-Qualified Stock Option (Right to Buy)</w:t>
            </w:r>
          </w:p>
        </w:tc>
        <w:tc>
          <w:tcPr>
            <w:tcW w:w="880" w:type="dxa"/>
            <w:vAlign w:val="bottom"/>
            <w:vMerge w:val="restart"/>
          </w:tcPr>
          <w:p>
            <w:pPr>
              <w:jc w:val="center"/>
              <w:spacing w:after="0"/>
              <w:rPr>
                <w:sz w:val="20"/>
                <w:szCs w:val="20"/>
                <w:color w:val="auto"/>
              </w:rPr>
            </w:pPr>
            <w:r>
              <w:rPr>
                <w:rFonts w:ascii="Arial" w:cs="Arial" w:eastAsia="Arial" w:hAnsi="Arial"/>
                <w:sz w:val="11"/>
                <w:szCs w:val="11"/>
                <w:color w:val="008000"/>
              </w:rPr>
              <w:t>(12)</w:t>
            </w:r>
          </w:p>
        </w:tc>
        <w:tc>
          <w:tcPr>
            <w:tcW w:w="800" w:type="dxa"/>
            <w:vAlign w:val="bottom"/>
            <w:vMerge w:val="restart"/>
          </w:tcPr>
          <w:p>
            <w:pPr>
              <w:jc w:val="center"/>
              <w:spacing w:after="0"/>
              <w:rPr>
                <w:sz w:val="20"/>
                <w:szCs w:val="20"/>
                <w:color w:val="auto"/>
              </w:rPr>
            </w:pPr>
            <w:r>
              <w:rPr>
                <w:rFonts w:ascii="Arial" w:cs="Arial" w:eastAsia="Arial" w:hAnsi="Arial"/>
                <w:sz w:val="14"/>
                <w:szCs w:val="14"/>
                <w:color w:val="0000FF"/>
                <w:w w:val="88"/>
              </w:rPr>
              <w:t>01/20/2021</w:t>
            </w:r>
          </w:p>
        </w:tc>
        <w:tc>
          <w:tcPr>
            <w:tcW w:w="2060" w:type="dxa"/>
            <w:vAlign w:val="bottom"/>
          </w:tcPr>
          <w:p>
            <w:pPr>
              <w:jc w:val="center"/>
              <w:spacing w:after="0"/>
              <w:rPr>
                <w:sz w:val="20"/>
                <w:szCs w:val="20"/>
                <w:color w:val="auto"/>
              </w:rPr>
            </w:pPr>
            <w:r>
              <w:rPr>
                <w:rFonts w:ascii="Arial" w:cs="Arial" w:eastAsia="Arial" w:hAnsi="Arial"/>
                <w:sz w:val="18"/>
                <w:szCs w:val="18"/>
                <w:color w:val="0000FF"/>
                <w:w w:val="88"/>
              </w:rPr>
              <w:t>Common Stock, $0.01 Par</w:t>
            </w:r>
          </w:p>
        </w:tc>
        <w:tc>
          <w:tcPr>
            <w:tcW w:w="700" w:type="dxa"/>
            <w:vAlign w:val="bottom"/>
            <w:vMerge w:val="restart"/>
          </w:tcPr>
          <w:p>
            <w:pPr>
              <w:jc w:val="center"/>
              <w:spacing w:after="0"/>
              <w:rPr>
                <w:sz w:val="20"/>
                <w:szCs w:val="20"/>
                <w:color w:val="auto"/>
              </w:rPr>
            </w:pPr>
            <w:r>
              <w:rPr>
                <w:rFonts w:ascii="Arial" w:cs="Arial" w:eastAsia="Arial" w:hAnsi="Arial"/>
                <w:sz w:val="18"/>
                <w:szCs w:val="18"/>
                <w:color w:val="0000FF"/>
                <w:w w:val="87"/>
              </w:rPr>
              <w:t>48,808</w:t>
            </w:r>
          </w:p>
        </w:tc>
        <w:tc>
          <w:tcPr>
            <w:tcW w:w="880" w:type="dxa"/>
            <w:vAlign w:val="bottom"/>
            <w:vMerge w:val="restart"/>
          </w:tcPr>
          <w:p>
            <w:pPr>
              <w:jc w:val="center"/>
              <w:spacing w:after="0"/>
              <w:rPr>
                <w:sz w:val="20"/>
                <w:szCs w:val="20"/>
                <w:color w:val="auto"/>
              </w:rPr>
            </w:pPr>
            <w:r>
              <w:rPr>
                <w:rFonts w:ascii="Arial" w:cs="Arial" w:eastAsia="Arial" w:hAnsi="Arial"/>
                <w:sz w:val="18"/>
                <w:szCs w:val="18"/>
                <w:color w:val="0000FF"/>
                <w:w w:val="87"/>
              </w:rPr>
              <w:t>83.885</w:t>
            </w:r>
          </w:p>
        </w:tc>
        <w:tc>
          <w:tcPr>
            <w:tcW w:w="880" w:type="dxa"/>
            <w:vAlign w:val="bottom"/>
            <w:vMerge w:val="restart"/>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356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800" w:type="dxa"/>
            <w:vAlign w:val="bottom"/>
            <w:vMerge w:val="continue"/>
          </w:tcPr>
          <w:p>
            <w:pPr>
              <w:spacing w:after="0"/>
              <w:rPr>
                <w:sz w:val="9"/>
                <w:szCs w:val="9"/>
                <w:color w:val="auto"/>
              </w:rPr>
            </w:pPr>
          </w:p>
        </w:tc>
        <w:tc>
          <w:tcPr>
            <w:tcW w:w="2060" w:type="dxa"/>
            <w:vAlign w:val="bottom"/>
            <w:vMerge w:val="restart"/>
          </w:tcPr>
          <w:p>
            <w:pPr>
              <w:jc w:val="center"/>
              <w:spacing w:after="0"/>
              <w:rPr>
                <w:sz w:val="20"/>
                <w:szCs w:val="20"/>
                <w:color w:val="auto"/>
              </w:rPr>
            </w:pPr>
            <w:r>
              <w:rPr>
                <w:rFonts w:ascii="Arial" w:cs="Arial" w:eastAsia="Arial" w:hAnsi="Arial"/>
                <w:sz w:val="18"/>
                <w:szCs w:val="18"/>
                <w:color w:val="0000FF"/>
                <w:w w:val="84"/>
              </w:rPr>
              <w:t>Value Per Share</w:t>
            </w:r>
          </w:p>
        </w:tc>
        <w:tc>
          <w:tcPr>
            <w:tcW w:w="70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16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3560" w:type="dxa"/>
            <w:vAlign w:val="bottom"/>
          </w:tcPr>
          <w:p>
            <w:pPr>
              <w:spacing w:after="0"/>
              <w:rPr>
                <w:sz w:val="9"/>
                <w:szCs w:val="9"/>
                <w:color w:val="auto"/>
              </w:rPr>
            </w:pPr>
          </w:p>
        </w:tc>
        <w:tc>
          <w:tcPr>
            <w:tcW w:w="88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6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880" w:type="dxa"/>
            <w:vAlign w:val="bottom"/>
          </w:tcPr>
          <w:p>
            <w:pPr>
              <w:spacing w:after="0"/>
              <w:rPr>
                <w:sz w:val="9"/>
                <w:szCs w:val="9"/>
                <w:color w:val="auto"/>
              </w:rPr>
            </w:pPr>
          </w:p>
        </w:tc>
        <w:tc>
          <w:tcPr>
            <w:tcW w:w="880" w:type="dxa"/>
            <w:vAlign w:val="bottom"/>
          </w:tcPr>
          <w:p>
            <w:pPr>
              <w:spacing w:after="0"/>
              <w:rPr>
                <w:sz w:val="9"/>
                <w:szCs w:val="9"/>
                <w:color w:val="auto"/>
              </w:rPr>
            </w:pPr>
          </w:p>
        </w:tc>
        <w:tc>
          <w:tcPr>
            <w:tcW w:w="16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3"/>
        </w:trPr>
        <w:tc>
          <w:tcPr>
            <w:tcW w:w="356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3560" w:type="dxa"/>
            <w:vAlign w:val="bottom"/>
            <w:vMerge w:val="restart"/>
          </w:tcPr>
          <w:p>
            <w:pPr>
              <w:ind w:left="60"/>
              <w:spacing w:after="0"/>
              <w:rPr>
                <w:sz w:val="20"/>
                <w:szCs w:val="20"/>
                <w:color w:val="auto"/>
              </w:rPr>
            </w:pPr>
            <w:r>
              <w:rPr>
                <w:rFonts w:ascii="Arial" w:cs="Arial" w:eastAsia="Arial" w:hAnsi="Arial"/>
                <w:sz w:val="18"/>
                <w:szCs w:val="18"/>
                <w:color w:val="0000FF"/>
              </w:rPr>
              <w:t>Non-Qualified Stock Option (Right to Buy)</w:t>
            </w:r>
          </w:p>
        </w:tc>
        <w:tc>
          <w:tcPr>
            <w:tcW w:w="880" w:type="dxa"/>
            <w:vAlign w:val="bottom"/>
            <w:vMerge w:val="restart"/>
          </w:tcPr>
          <w:p>
            <w:pPr>
              <w:jc w:val="center"/>
              <w:spacing w:after="0"/>
              <w:rPr>
                <w:sz w:val="20"/>
                <w:szCs w:val="20"/>
                <w:color w:val="auto"/>
              </w:rPr>
            </w:pPr>
            <w:r>
              <w:rPr>
                <w:rFonts w:ascii="Arial" w:cs="Arial" w:eastAsia="Arial" w:hAnsi="Arial"/>
                <w:sz w:val="11"/>
                <w:szCs w:val="11"/>
                <w:color w:val="008000"/>
              </w:rPr>
              <w:t>(13)</w:t>
            </w:r>
          </w:p>
        </w:tc>
        <w:tc>
          <w:tcPr>
            <w:tcW w:w="800" w:type="dxa"/>
            <w:vAlign w:val="bottom"/>
            <w:vMerge w:val="restart"/>
          </w:tcPr>
          <w:p>
            <w:pPr>
              <w:jc w:val="center"/>
              <w:spacing w:after="0"/>
              <w:rPr>
                <w:sz w:val="20"/>
                <w:szCs w:val="20"/>
                <w:color w:val="auto"/>
              </w:rPr>
            </w:pPr>
            <w:r>
              <w:rPr>
                <w:rFonts w:ascii="Arial" w:cs="Arial" w:eastAsia="Arial" w:hAnsi="Arial"/>
                <w:sz w:val="14"/>
                <w:szCs w:val="14"/>
                <w:color w:val="0000FF"/>
                <w:w w:val="88"/>
              </w:rPr>
              <w:t>01/19/2022</w:t>
            </w:r>
          </w:p>
        </w:tc>
        <w:tc>
          <w:tcPr>
            <w:tcW w:w="2060" w:type="dxa"/>
            <w:vAlign w:val="bottom"/>
          </w:tcPr>
          <w:p>
            <w:pPr>
              <w:jc w:val="center"/>
              <w:spacing w:after="0"/>
              <w:rPr>
                <w:sz w:val="20"/>
                <w:szCs w:val="20"/>
                <w:color w:val="auto"/>
              </w:rPr>
            </w:pPr>
            <w:r>
              <w:rPr>
                <w:rFonts w:ascii="Arial" w:cs="Arial" w:eastAsia="Arial" w:hAnsi="Arial"/>
                <w:sz w:val="18"/>
                <w:szCs w:val="18"/>
                <w:color w:val="0000FF"/>
                <w:w w:val="88"/>
              </w:rPr>
              <w:t>Common Stock, $0.01 Par</w:t>
            </w:r>
          </w:p>
        </w:tc>
        <w:tc>
          <w:tcPr>
            <w:tcW w:w="700" w:type="dxa"/>
            <w:vAlign w:val="bottom"/>
            <w:vMerge w:val="restart"/>
          </w:tcPr>
          <w:p>
            <w:pPr>
              <w:jc w:val="center"/>
              <w:spacing w:after="0"/>
              <w:rPr>
                <w:sz w:val="20"/>
                <w:szCs w:val="20"/>
                <w:color w:val="auto"/>
              </w:rPr>
            </w:pPr>
            <w:r>
              <w:rPr>
                <w:rFonts w:ascii="Arial" w:cs="Arial" w:eastAsia="Arial" w:hAnsi="Arial"/>
                <w:sz w:val="18"/>
                <w:szCs w:val="18"/>
                <w:color w:val="0000FF"/>
                <w:w w:val="87"/>
              </w:rPr>
              <w:t>68,614</w:t>
            </w:r>
          </w:p>
        </w:tc>
        <w:tc>
          <w:tcPr>
            <w:tcW w:w="880" w:type="dxa"/>
            <w:vAlign w:val="bottom"/>
            <w:vMerge w:val="restart"/>
          </w:tcPr>
          <w:p>
            <w:pPr>
              <w:jc w:val="center"/>
              <w:spacing w:after="0"/>
              <w:rPr>
                <w:sz w:val="20"/>
                <w:szCs w:val="20"/>
                <w:color w:val="auto"/>
              </w:rPr>
            </w:pPr>
            <w:r>
              <w:rPr>
                <w:rFonts w:ascii="Arial" w:cs="Arial" w:eastAsia="Arial" w:hAnsi="Arial"/>
                <w:sz w:val="18"/>
                <w:szCs w:val="18"/>
                <w:color w:val="0000FF"/>
                <w:w w:val="88"/>
              </w:rPr>
              <w:t>72.11</w:t>
            </w:r>
          </w:p>
        </w:tc>
        <w:tc>
          <w:tcPr>
            <w:tcW w:w="880" w:type="dxa"/>
            <w:vAlign w:val="bottom"/>
            <w:vMerge w:val="restart"/>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356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800" w:type="dxa"/>
            <w:vAlign w:val="bottom"/>
            <w:vMerge w:val="continue"/>
          </w:tcPr>
          <w:p>
            <w:pPr>
              <w:spacing w:after="0"/>
              <w:rPr>
                <w:sz w:val="9"/>
                <w:szCs w:val="9"/>
                <w:color w:val="auto"/>
              </w:rPr>
            </w:pPr>
          </w:p>
        </w:tc>
        <w:tc>
          <w:tcPr>
            <w:tcW w:w="2060" w:type="dxa"/>
            <w:vAlign w:val="bottom"/>
            <w:vMerge w:val="restart"/>
          </w:tcPr>
          <w:p>
            <w:pPr>
              <w:jc w:val="center"/>
              <w:spacing w:after="0"/>
              <w:rPr>
                <w:sz w:val="20"/>
                <w:szCs w:val="20"/>
                <w:color w:val="auto"/>
              </w:rPr>
            </w:pPr>
            <w:r>
              <w:rPr>
                <w:rFonts w:ascii="Arial" w:cs="Arial" w:eastAsia="Arial" w:hAnsi="Arial"/>
                <w:sz w:val="18"/>
                <w:szCs w:val="18"/>
                <w:color w:val="0000FF"/>
                <w:w w:val="84"/>
              </w:rPr>
              <w:t>Value Per Share</w:t>
            </w:r>
          </w:p>
        </w:tc>
        <w:tc>
          <w:tcPr>
            <w:tcW w:w="70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16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3560" w:type="dxa"/>
            <w:vAlign w:val="bottom"/>
          </w:tcPr>
          <w:p>
            <w:pPr>
              <w:spacing w:after="0"/>
              <w:rPr>
                <w:sz w:val="9"/>
                <w:szCs w:val="9"/>
                <w:color w:val="auto"/>
              </w:rPr>
            </w:pPr>
          </w:p>
        </w:tc>
        <w:tc>
          <w:tcPr>
            <w:tcW w:w="88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6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880" w:type="dxa"/>
            <w:vAlign w:val="bottom"/>
          </w:tcPr>
          <w:p>
            <w:pPr>
              <w:spacing w:after="0"/>
              <w:rPr>
                <w:sz w:val="9"/>
                <w:szCs w:val="9"/>
                <w:color w:val="auto"/>
              </w:rPr>
            </w:pPr>
          </w:p>
        </w:tc>
        <w:tc>
          <w:tcPr>
            <w:tcW w:w="880" w:type="dxa"/>
            <w:vAlign w:val="bottom"/>
          </w:tcPr>
          <w:p>
            <w:pPr>
              <w:spacing w:after="0"/>
              <w:rPr>
                <w:sz w:val="9"/>
                <w:szCs w:val="9"/>
                <w:color w:val="auto"/>
              </w:rPr>
            </w:pPr>
          </w:p>
        </w:tc>
        <w:tc>
          <w:tcPr>
            <w:tcW w:w="16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3"/>
        </w:trPr>
        <w:tc>
          <w:tcPr>
            <w:tcW w:w="356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3560" w:type="dxa"/>
            <w:vAlign w:val="bottom"/>
            <w:vMerge w:val="restart"/>
          </w:tcPr>
          <w:p>
            <w:pPr>
              <w:ind w:left="60"/>
              <w:spacing w:after="0"/>
              <w:rPr>
                <w:sz w:val="20"/>
                <w:szCs w:val="20"/>
                <w:color w:val="auto"/>
              </w:rPr>
            </w:pPr>
            <w:r>
              <w:rPr>
                <w:rFonts w:ascii="Arial" w:cs="Arial" w:eastAsia="Arial" w:hAnsi="Arial"/>
                <w:sz w:val="18"/>
                <w:szCs w:val="18"/>
                <w:color w:val="0000FF"/>
              </w:rPr>
              <w:t>Non-Qualified Stock Option (Right to Buy)</w:t>
            </w:r>
          </w:p>
        </w:tc>
        <w:tc>
          <w:tcPr>
            <w:tcW w:w="880" w:type="dxa"/>
            <w:vAlign w:val="bottom"/>
            <w:vMerge w:val="restart"/>
          </w:tcPr>
          <w:p>
            <w:pPr>
              <w:jc w:val="center"/>
              <w:spacing w:after="0"/>
              <w:rPr>
                <w:sz w:val="20"/>
                <w:szCs w:val="20"/>
                <w:color w:val="auto"/>
              </w:rPr>
            </w:pPr>
            <w:r>
              <w:rPr>
                <w:rFonts w:ascii="Arial" w:cs="Arial" w:eastAsia="Arial" w:hAnsi="Arial"/>
                <w:sz w:val="11"/>
                <w:szCs w:val="11"/>
                <w:color w:val="008000"/>
              </w:rPr>
              <w:t>(14)</w:t>
            </w:r>
          </w:p>
        </w:tc>
        <w:tc>
          <w:tcPr>
            <w:tcW w:w="800" w:type="dxa"/>
            <w:vAlign w:val="bottom"/>
            <w:vMerge w:val="restart"/>
          </w:tcPr>
          <w:p>
            <w:pPr>
              <w:jc w:val="center"/>
              <w:spacing w:after="0"/>
              <w:rPr>
                <w:sz w:val="20"/>
                <w:szCs w:val="20"/>
                <w:color w:val="auto"/>
              </w:rPr>
            </w:pPr>
            <w:r>
              <w:rPr>
                <w:rFonts w:ascii="Arial" w:cs="Arial" w:eastAsia="Arial" w:hAnsi="Arial"/>
                <w:sz w:val="14"/>
                <w:szCs w:val="14"/>
                <w:color w:val="0000FF"/>
                <w:w w:val="88"/>
              </w:rPr>
              <w:t>01/17/2023</w:t>
            </w:r>
          </w:p>
        </w:tc>
        <w:tc>
          <w:tcPr>
            <w:tcW w:w="2060" w:type="dxa"/>
            <w:vAlign w:val="bottom"/>
          </w:tcPr>
          <w:p>
            <w:pPr>
              <w:jc w:val="center"/>
              <w:spacing w:after="0"/>
              <w:rPr>
                <w:sz w:val="20"/>
                <w:szCs w:val="20"/>
                <w:color w:val="auto"/>
              </w:rPr>
            </w:pPr>
            <w:r>
              <w:rPr>
                <w:rFonts w:ascii="Arial" w:cs="Arial" w:eastAsia="Arial" w:hAnsi="Arial"/>
                <w:sz w:val="18"/>
                <w:szCs w:val="18"/>
                <w:color w:val="0000FF"/>
                <w:w w:val="88"/>
              </w:rPr>
              <w:t>Common Stock, $0.01 Par</w:t>
            </w:r>
          </w:p>
        </w:tc>
        <w:tc>
          <w:tcPr>
            <w:tcW w:w="700" w:type="dxa"/>
            <w:vAlign w:val="bottom"/>
            <w:vMerge w:val="restart"/>
          </w:tcPr>
          <w:p>
            <w:pPr>
              <w:jc w:val="center"/>
              <w:spacing w:after="0"/>
              <w:rPr>
                <w:sz w:val="20"/>
                <w:szCs w:val="20"/>
                <w:color w:val="auto"/>
              </w:rPr>
            </w:pPr>
            <w:r>
              <w:rPr>
                <w:rFonts w:ascii="Arial" w:cs="Arial" w:eastAsia="Arial" w:hAnsi="Arial"/>
                <w:sz w:val="18"/>
                <w:szCs w:val="18"/>
                <w:color w:val="0000FF"/>
                <w:w w:val="87"/>
              </w:rPr>
              <w:t>40,635</w:t>
            </w:r>
          </w:p>
        </w:tc>
        <w:tc>
          <w:tcPr>
            <w:tcW w:w="880" w:type="dxa"/>
            <w:vAlign w:val="bottom"/>
            <w:vMerge w:val="restart"/>
          </w:tcPr>
          <w:p>
            <w:pPr>
              <w:jc w:val="center"/>
              <w:spacing w:after="0"/>
              <w:rPr>
                <w:sz w:val="20"/>
                <w:szCs w:val="20"/>
                <w:color w:val="auto"/>
              </w:rPr>
            </w:pPr>
            <w:r>
              <w:rPr>
                <w:rFonts w:ascii="Arial" w:cs="Arial" w:eastAsia="Arial" w:hAnsi="Arial"/>
                <w:sz w:val="18"/>
                <w:szCs w:val="18"/>
                <w:color w:val="0000FF"/>
                <w:w w:val="88"/>
              </w:rPr>
              <w:t>73.25</w:t>
            </w:r>
          </w:p>
        </w:tc>
        <w:tc>
          <w:tcPr>
            <w:tcW w:w="880" w:type="dxa"/>
            <w:vAlign w:val="bottom"/>
            <w:vMerge w:val="restart"/>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356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800" w:type="dxa"/>
            <w:vAlign w:val="bottom"/>
            <w:vMerge w:val="continue"/>
          </w:tcPr>
          <w:p>
            <w:pPr>
              <w:spacing w:after="0"/>
              <w:rPr>
                <w:sz w:val="9"/>
                <w:szCs w:val="9"/>
                <w:color w:val="auto"/>
              </w:rPr>
            </w:pPr>
          </w:p>
        </w:tc>
        <w:tc>
          <w:tcPr>
            <w:tcW w:w="2060" w:type="dxa"/>
            <w:vAlign w:val="bottom"/>
            <w:vMerge w:val="restart"/>
          </w:tcPr>
          <w:p>
            <w:pPr>
              <w:jc w:val="center"/>
              <w:spacing w:after="0"/>
              <w:rPr>
                <w:sz w:val="20"/>
                <w:szCs w:val="20"/>
                <w:color w:val="auto"/>
              </w:rPr>
            </w:pPr>
            <w:r>
              <w:rPr>
                <w:rFonts w:ascii="Arial" w:cs="Arial" w:eastAsia="Arial" w:hAnsi="Arial"/>
                <w:sz w:val="18"/>
                <w:szCs w:val="18"/>
                <w:color w:val="0000FF"/>
                <w:w w:val="84"/>
              </w:rPr>
              <w:t>Value Per Share</w:t>
            </w:r>
          </w:p>
        </w:tc>
        <w:tc>
          <w:tcPr>
            <w:tcW w:w="70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16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3560" w:type="dxa"/>
            <w:vAlign w:val="bottom"/>
          </w:tcPr>
          <w:p>
            <w:pPr>
              <w:spacing w:after="0"/>
              <w:rPr>
                <w:sz w:val="9"/>
                <w:szCs w:val="9"/>
                <w:color w:val="auto"/>
              </w:rPr>
            </w:pPr>
          </w:p>
        </w:tc>
        <w:tc>
          <w:tcPr>
            <w:tcW w:w="88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6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880" w:type="dxa"/>
            <w:vAlign w:val="bottom"/>
          </w:tcPr>
          <w:p>
            <w:pPr>
              <w:spacing w:after="0"/>
              <w:rPr>
                <w:sz w:val="9"/>
                <w:szCs w:val="9"/>
                <w:color w:val="auto"/>
              </w:rPr>
            </w:pPr>
          </w:p>
        </w:tc>
        <w:tc>
          <w:tcPr>
            <w:tcW w:w="880" w:type="dxa"/>
            <w:vAlign w:val="bottom"/>
          </w:tcPr>
          <w:p>
            <w:pPr>
              <w:spacing w:after="0"/>
              <w:rPr>
                <w:sz w:val="9"/>
                <w:szCs w:val="9"/>
                <w:color w:val="auto"/>
              </w:rPr>
            </w:pPr>
          </w:p>
        </w:tc>
        <w:tc>
          <w:tcPr>
            <w:tcW w:w="16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3"/>
        </w:trPr>
        <w:tc>
          <w:tcPr>
            <w:tcW w:w="356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3560" w:type="dxa"/>
            <w:vAlign w:val="bottom"/>
            <w:vMerge w:val="restart"/>
          </w:tcPr>
          <w:p>
            <w:pPr>
              <w:ind w:left="60"/>
              <w:spacing w:after="0"/>
              <w:rPr>
                <w:sz w:val="20"/>
                <w:szCs w:val="20"/>
                <w:color w:val="auto"/>
              </w:rPr>
            </w:pPr>
            <w:r>
              <w:rPr>
                <w:rFonts w:ascii="Arial" w:cs="Arial" w:eastAsia="Arial" w:hAnsi="Arial"/>
                <w:sz w:val="18"/>
                <w:szCs w:val="18"/>
                <w:color w:val="0000FF"/>
              </w:rPr>
              <w:t>Non-Qualified Stock Option (Right to Buy)</w:t>
            </w:r>
          </w:p>
        </w:tc>
        <w:tc>
          <w:tcPr>
            <w:tcW w:w="880" w:type="dxa"/>
            <w:vAlign w:val="bottom"/>
            <w:vMerge w:val="restart"/>
          </w:tcPr>
          <w:p>
            <w:pPr>
              <w:jc w:val="center"/>
              <w:spacing w:after="0"/>
              <w:rPr>
                <w:sz w:val="20"/>
                <w:szCs w:val="20"/>
                <w:color w:val="auto"/>
              </w:rPr>
            </w:pPr>
            <w:r>
              <w:rPr>
                <w:rFonts w:ascii="Arial" w:cs="Arial" w:eastAsia="Arial" w:hAnsi="Arial"/>
                <w:sz w:val="11"/>
                <w:szCs w:val="11"/>
                <w:color w:val="008000"/>
              </w:rPr>
              <w:t>(15)</w:t>
            </w:r>
          </w:p>
        </w:tc>
        <w:tc>
          <w:tcPr>
            <w:tcW w:w="800" w:type="dxa"/>
            <w:vAlign w:val="bottom"/>
            <w:vMerge w:val="restart"/>
          </w:tcPr>
          <w:p>
            <w:pPr>
              <w:jc w:val="center"/>
              <w:spacing w:after="0"/>
              <w:rPr>
                <w:sz w:val="20"/>
                <w:szCs w:val="20"/>
                <w:color w:val="auto"/>
              </w:rPr>
            </w:pPr>
            <w:r>
              <w:rPr>
                <w:rFonts w:ascii="Arial" w:cs="Arial" w:eastAsia="Arial" w:hAnsi="Arial"/>
                <w:sz w:val="14"/>
                <w:szCs w:val="14"/>
                <w:color w:val="0000FF"/>
                <w:w w:val="88"/>
              </w:rPr>
              <w:t>01/16/2024</w:t>
            </w:r>
          </w:p>
        </w:tc>
        <w:tc>
          <w:tcPr>
            <w:tcW w:w="2060" w:type="dxa"/>
            <w:vAlign w:val="bottom"/>
          </w:tcPr>
          <w:p>
            <w:pPr>
              <w:jc w:val="center"/>
              <w:spacing w:after="0"/>
              <w:rPr>
                <w:sz w:val="20"/>
                <w:szCs w:val="20"/>
                <w:color w:val="auto"/>
              </w:rPr>
            </w:pPr>
            <w:r>
              <w:rPr>
                <w:rFonts w:ascii="Arial" w:cs="Arial" w:eastAsia="Arial" w:hAnsi="Arial"/>
                <w:sz w:val="18"/>
                <w:szCs w:val="18"/>
                <w:color w:val="0000FF"/>
                <w:w w:val="88"/>
              </w:rPr>
              <w:t>Common Stock, $0.01 Par</w:t>
            </w:r>
          </w:p>
        </w:tc>
        <w:tc>
          <w:tcPr>
            <w:tcW w:w="700" w:type="dxa"/>
            <w:vAlign w:val="bottom"/>
            <w:vMerge w:val="restart"/>
          </w:tcPr>
          <w:p>
            <w:pPr>
              <w:jc w:val="center"/>
              <w:spacing w:after="0"/>
              <w:rPr>
                <w:sz w:val="20"/>
                <w:szCs w:val="20"/>
                <w:color w:val="auto"/>
              </w:rPr>
            </w:pPr>
            <w:r>
              <w:rPr>
                <w:rFonts w:ascii="Arial" w:cs="Arial" w:eastAsia="Arial" w:hAnsi="Arial"/>
                <w:sz w:val="18"/>
                <w:szCs w:val="18"/>
                <w:color w:val="0000FF"/>
                <w:w w:val="87"/>
              </w:rPr>
              <w:t>33,874</w:t>
            </w:r>
          </w:p>
        </w:tc>
        <w:tc>
          <w:tcPr>
            <w:tcW w:w="880" w:type="dxa"/>
            <w:vAlign w:val="bottom"/>
            <w:vMerge w:val="restart"/>
          </w:tcPr>
          <w:p>
            <w:pPr>
              <w:jc w:val="center"/>
              <w:spacing w:after="0"/>
              <w:rPr>
                <w:sz w:val="20"/>
                <w:szCs w:val="20"/>
                <w:color w:val="auto"/>
              </w:rPr>
            </w:pPr>
            <w:r>
              <w:rPr>
                <w:rFonts w:ascii="Arial" w:cs="Arial" w:eastAsia="Arial" w:hAnsi="Arial"/>
                <w:sz w:val="18"/>
                <w:szCs w:val="18"/>
                <w:color w:val="0000FF"/>
                <w:w w:val="87"/>
              </w:rPr>
              <w:t>88.765</w:t>
            </w:r>
          </w:p>
        </w:tc>
        <w:tc>
          <w:tcPr>
            <w:tcW w:w="880" w:type="dxa"/>
            <w:vAlign w:val="bottom"/>
            <w:vMerge w:val="restart"/>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356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800" w:type="dxa"/>
            <w:vAlign w:val="bottom"/>
            <w:vMerge w:val="continue"/>
          </w:tcPr>
          <w:p>
            <w:pPr>
              <w:spacing w:after="0"/>
              <w:rPr>
                <w:sz w:val="9"/>
                <w:szCs w:val="9"/>
                <w:color w:val="auto"/>
              </w:rPr>
            </w:pPr>
          </w:p>
        </w:tc>
        <w:tc>
          <w:tcPr>
            <w:tcW w:w="2060" w:type="dxa"/>
            <w:vAlign w:val="bottom"/>
            <w:vMerge w:val="restart"/>
          </w:tcPr>
          <w:p>
            <w:pPr>
              <w:jc w:val="center"/>
              <w:spacing w:after="0"/>
              <w:rPr>
                <w:sz w:val="20"/>
                <w:szCs w:val="20"/>
                <w:color w:val="auto"/>
              </w:rPr>
            </w:pPr>
            <w:r>
              <w:rPr>
                <w:rFonts w:ascii="Arial" w:cs="Arial" w:eastAsia="Arial" w:hAnsi="Arial"/>
                <w:sz w:val="18"/>
                <w:szCs w:val="18"/>
                <w:color w:val="0000FF"/>
                <w:w w:val="84"/>
              </w:rPr>
              <w:t>Value Per Share</w:t>
            </w:r>
          </w:p>
        </w:tc>
        <w:tc>
          <w:tcPr>
            <w:tcW w:w="70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16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3560" w:type="dxa"/>
            <w:vAlign w:val="bottom"/>
          </w:tcPr>
          <w:p>
            <w:pPr>
              <w:spacing w:after="0"/>
              <w:rPr>
                <w:sz w:val="9"/>
                <w:szCs w:val="9"/>
                <w:color w:val="auto"/>
              </w:rPr>
            </w:pPr>
          </w:p>
        </w:tc>
        <w:tc>
          <w:tcPr>
            <w:tcW w:w="88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6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880" w:type="dxa"/>
            <w:vAlign w:val="bottom"/>
          </w:tcPr>
          <w:p>
            <w:pPr>
              <w:spacing w:after="0"/>
              <w:rPr>
                <w:sz w:val="9"/>
                <w:szCs w:val="9"/>
                <w:color w:val="auto"/>
              </w:rPr>
            </w:pPr>
          </w:p>
        </w:tc>
        <w:tc>
          <w:tcPr>
            <w:tcW w:w="880" w:type="dxa"/>
            <w:vAlign w:val="bottom"/>
          </w:tcPr>
          <w:p>
            <w:pPr>
              <w:spacing w:after="0"/>
              <w:rPr>
                <w:sz w:val="9"/>
                <w:szCs w:val="9"/>
                <w:color w:val="auto"/>
              </w:rPr>
            </w:pPr>
          </w:p>
        </w:tc>
        <w:tc>
          <w:tcPr>
            <w:tcW w:w="16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3"/>
        </w:trPr>
        <w:tc>
          <w:tcPr>
            <w:tcW w:w="356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3560" w:type="dxa"/>
            <w:vAlign w:val="bottom"/>
            <w:vMerge w:val="restart"/>
          </w:tcPr>
          <w:p>
            <w:pPr>
              <w:ind w:left="60"/>
              <w:spacing w:after="0"/>
              <w:rPr>
                <w:sz w:val="20"/>
                <w:szCs w:val="20"/>
                <w:color w:val="auto"/>
              </w:rPr>
            </w:pPr>
            <w:r>
              <w:rPr>
                <w:rFonts w:ascii="Arial" w:cs="Arial" w:eastAsia="Arial" w:hAnsi="Arial"/>
                <w:sz w:val="18"/>
                <w:szCs w:val="18"/>
                <w:color w:val="0000FF"/>
              </w:rPr>
              <w:t>Non-Qualified Stock Option (Right to Buy)</w:t>
            </w:r>
          </w:p>
        </w:tc>
        <w:tc>
          <w:tcPr>
            <w:tcW w:w="880" w:type="dxa"/>
            <w:vAlign w:val="bottom"/>
            <w:vMerge w:val="restart"/>
          </w:tcPr>
          <w:p>
            <w:pPr>
              <w:jc w:val="center"/>
              <w:spacing w:after="0"/>
              <w:rPr>
                <w:sz w:val="20"/>
                <w:szCs w:val="20"/>
                <w:color w:val="auto"/>
              </w:rPr>
            </w:pPr>
            <w:r>
              <w:rPr>
                <w:rFonts w:ascii="Arial" w:cs="Arial" w:eastAsia="Arial" w:hAnsi="Arial"/>
                <w:sz w:val="11"/>
                <w:szCs w:val="11"/>
                <w:color w:val="008000"/>
              </w:rPr>
              <w:t>(16)</w:t>
            </w:r>
          </w:p>
        </w:tc>
        <w:tc>
          <w:tcPr>
            <w:tcW w:w="800" w:type="dxa"/>
            <w:vAlign w:val="bottom"/>
            <w:vMerge w:val="restart"/>
          </w:tcPr>
          <w:p>
            <w:pPr>
              <w:jc w:val="center"/>
              <w:spacing w:after="0"/>
              <w:rPr>
                <w:sz w:val="20"/>
                <w:szCs w:val="20"/>
                <w:color w:val="auto"/>
              </w:rPr>
            </w:pPr>
            <w:r>
              <w:rPr>
                <w:rFonts w:ascii="Arial" w:cs="Arial" w:eastAsia="Arial" w:hAnsi="Arial"/>
                <w:sz w:val="14"/>
                <w:szCs w:val="14"/>
                <w:color w:val="0000FF"/>
                <w:w w:val="88"/>
              </w:rPr>
              <w:t>04/16/2025</w:t>
            </w:r>
          </w:p>
        </w:tc>
        <w:tc>
          <w:tcPr>
            <w:tcW w:w="2060" w:type="dxa"/>
            <w:vAlign w:val="bottom"/>
          </w:tcPr>
          <w:p>
            <w:pPr>
              <w:jc w:val="center"/>
              <w:spacing w:after="0"/>
              <w:rPr>
                <w:sz w:val="20"/>
                <w:szCs w:val="20"/>
                <w:color w:val="auto"/>
              </w:rPr>
            </w:pPr>
            <w:r>
              <w:rPr>
                <w:rFonts w:ascii="Arial" w:cs="Arial" w:eastAsia="Arial" w:hAnsi="Arial"/>
                <w:sz w:val="18"/>
                <w:szCs w:val="18"/>
                <w:color w:val="0000FF"/>
                <w:w w:val="88"/>
              </w:rPr>
              <w:t>Common Stock, $0.01 Par</w:t>
            </w:r>
          </w:p>
        </w:tc>
        <w:tc>
          <w:tcPr>
            <w:tcW w:w="700" w:type="dxa"/>
            <w:vAlign w:val="bottom"/>
            <w:vMerge w:val="restart"/>
          </w:tcPr>
          <w:p>
            <w:pPr>
              <w:jc w:val="center"/>
              <w:spacing w:after="0"/>
              <w:rPr>
                <w:sz w:val="20"/>
                <w:szCs w:val="20"/>
                <w:color w:val="auto"/>
              </w:rPr>
            </w:pPr>
            <w:r>
              <w:rPr>
                <w:rFonts w:ascii="Arial" w:cs="Arial" w:eastAsia="Arial" w:hAnsi="Arial"/>
                <w:sz w:val="18"/>
                <w:szCs w:val="18"/>
                <w:color w:val="0000FF"/>
                <w:w w:val="87"/>
              </w:rPr>
              <w:t>22,910</w:t>
            </w:r>
          </w:p>
        </w:tc>
        <w:tc>
          <w:tcPr>
            <w:tcW w:w="880" w:type="dxa"/>
            <w:vAlign w:val="bottom"/>
            <w:vMerge w:val="restart"/>
          </w:tcPr>
          <w:p>
            <w:pPr>
              <w:jc w:val="center"/>
              <w:spacing w:after="0"/>
              <w:rPr>
                <w:sz w:val="20"/>
                <w:szCs w:val="20"/>
                <w:color w:val="auto"/>
              </w:rPr>
            </w:pPr>
            <w:r>
              <w:rPr>
                <w:rFonts w:ascii="Arial" w:cs="Arial" w:eastAsia="Arial" w:hAnsi="Arial"/>
                <w:sz w:val="18"/>
                <w:szCs w:val="18"/>
                <w:color w:val="0000FF"/>
                <w:w w:val="88"/>
              </w:rPr>
              <w:t>91.74</w:t>
            </w:r>
          </w:p>
        </w:tc>
        <w:tc>
          <w:tcPr>
            <w:tcW w:w="880" w:type="dxa"/>
            <w:vAlign w:val="bottom"/>
            <w:vMerge w:val="restart"/>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356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800" w:type="dxa"/>
            <w:vAlign w:val="bottom"/>
            <w:vMerge w:val="continue"/>
          </w:tcPr>
          <w:p>
            <w:pPr>
              <w:spacing w:after="0"/>
              <w:rPr>
                <w:sz w:val="9"/>
                <w:szCs w:val="9"/>
                <w:color w:val="auto"/>
              </w:rPr>
            </w:pPr>
          </w:p>
        </w:tc>
        <w:tc>
          <w:tcPr>
            <w:tcW w:w="2060" w:type="dxa"/>
            <w:vAlign w:val="bottom"/>
            <w:vMerge w:val="restart"/>
          </w:tcPr>
          <w:p>
            <w:pPr>
              <w:jc w:val="center"/>
              <w:spacing w:after="0"/>
              <w:rPr>
                <w:sz w:val="20"/>
                <w:szCs w:val="20"/>
                <w:color w:val="auto"/>
              </w:rPr>
            </w:pPr>
            <w:r>
              <w:rPr>
                <w:rFonts w:ascii="Arial" w:cs="Arial" w:eastAsia="Arial" w:hAnsi="Arial"/>
                <w:sz w:val="18"/>
                <w:szCs w:val="18"/>
                <w:color w:val="0000FF"/>
                <w:w w:val="84"/>
              </w:rPr>
              <w:t>Value Per Share</w:t>
            </w:r>
          </w:p>
        </w:tc>
        <w:tc>
          <w:tcPr>
            <w:tcW w:w="70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16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3560" w:type="dxa"/>
            <w:vAlign w:val="bottom"/>
          </w:tcPr>
          <w:p>
            <w:pPr>
              <w:spacing w:after="0"/>
              <w:rPr>
                <w:sz w:val="9"/>
                <w:szCs w:val="9"/>
                <w:color w:val="auto"/>
              </w:rPr>
            </w:pPr>
          </w:p>
        </w:tc>
        <w:tc>
          <w:tcPr>
            <w:tcW w:w="88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6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880" w:type="dxa"/>
            <w:vAlign w:val="bottom"/>
          </w:tcPr>
          <w:p>
            <w:pPr>
              <w:spacing w:after="0"/>
              <w:rPr>
                <w:sz w:val="9"/>
                <w:szCs w:val="9"/>
                <w:color w:val="auto"/>
              </w:rPr>
            </w:pPr>
          </w:p>
        </w:tc>
        <w:tc>
          <w:tcPr>
            <w:tcW w:w="880" w:type="dxa"/>
            <w:vAlign w:val="bottom"/>
          </w:tcPr>
          <w:p>
            <w:pPr>
              <w:spacing w:after="0"/>
              <w:rPr>
                <w:sz w:val="9"/>
                <w:szCs w:val="9"/>
                <w:color w:val="auto"/>
              </w:rPr>
            </w:pPr>
          </w:p>
        </w:tc>
        <w:tc>
          <w:tcPr>
            <w:tcW w:w="16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3"/>
        </w:trPr>
        <w:tc>
          <w:tcPr>
            <w:tcW w:w="356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3560" w:type="dxa"/>
            <w:vAlign w:val="bottom"/>
            <w:vMerge w:val="restart"/>
          </w:tcPr>
          <w:p>
            <w:pPr>
              <w:ind w:left="60"/>
              <w:spacing w:after="0"/>
              <w:rPr>
                <w:sz w:val="20"/>
                <w:szCs w:val="20"/>
                <w:color w:val="auto"/>
              </w:rPr>
            </w:pPr>
            <w:r>
              <w:rPr>
                <w:rFonts w:ascii="Arial" w:cs="Arial" w:eastAsia="Arial" w:hAnsi="Arial"/>
                <w:sz w:val="18"/>
                <w:szCs w:val="18"/>
                <w:color w:val="0000FF"/>
              </w:rPr>
              <w:t>Non-Qualified Stock Option (Right to Buy)</w:t>
            </w:r>
          </w:p>
        </w:tc>
        <w:tc>
          <w:tcPr>
            <w:tcW w:w="880" w:type="dxa"/>
            <w:vAlign w:val="bottom"/>
            <w:vMerge w:val="restart"/>
          </w:tcPr>
          <w:p>
            <w:pPr>
              <w:jc w:val="center"/>
              <w:spacing w:after="0"/>
              <w:rPr>
                <w:sz w:val="20"/>
                <w:szCs w:val="20"/>
                <w:color w:val="auto"/>
              </w:rPr>
            </w:pPr>
            <w:r>
              <w:rPr>
                <w:rFonts w:ascii="Arial" w:cs="Arial" w:eastAsia="Arial" w:hAnsi="Arial"/>
                <w:sz w:val="11"/>
                <w:szCs w:val="11"/>
                <w:color w:val="008000"/>
              </w:rPr>
              <w:t>(17)</w:t>
            </w:r>
          </w:p>
        </w:tc>
        <w:tc>
          <w:tcPr>
            <w:tcW w:w="800" w:type="dxa"/>
            <w:vAlign w:val="bottom"/>
            <w:vMerge w:val="restart"/>
          </w:tcPr>
          <w:p>
            <w:pPr>
              <w:jc w:val="center"/>
              <w:spacing w:after="0"/>
              <w:rPr>
                <w:sz w:val="20"/>
                <w:szCs w:val="20"/>
                <w:color w:val="auto"/>
              </w:rPr>
            </w:pPr>
            <w:r>
              <w:rPr>
                <w:rFonts w:ascii="Arial" w:cs="Arial" w:eastAsia="Arial" w:hAnsi="Arial"/>
                <w:sz w:val="14"/>
                <w:szCs w:val="14"/>
                <w:color w:val="0000FF"/>
                <w:w w:val="88"/>
              </w:rPr>
              <w:t>04/20/2026</w:t>
            </w:r>
          </w:p>
        </w:tc>
        <w:tc>
          <w:tcPr>
            <w:tcW w:w="2060" w:type="dxa"/>
            <w:vAlign w:val="bottom"/>
          </w:tcPr>
          <w:p>
            <w:pPr>
              <w:jc w:val="center"/>
              <w:spacing w:after="0"/>
              <w:rPr>
                <w:sz w:val="20"/>
                <w:szCs w:val="20"/>
                <w:color w:val="auto"/>
              </w:rPr>
            </w:pPr>
            <w:r>
              <w:rPr>
                <w:rFonts w:ascii="Arial" w:cs="Arial" w:eastAsia="Arial" w:hAnsi="Arial"/>
                <w:sz w:val="18"/>
                <w:szCs w:val="18"/>
                <w:color w:val="0000FF"/>
                <w:w w:val="88"/>
              </w:rPr>
              <w:t>Common Stock, $0.01 Par</w:t>
            </w:r>
          </w:p>
        </w:tc>
        <w:tc>
          <w:tcPr>
            <w:tcW w:w="700" w:type="dxa"/>
            <w:vAlign w:val="bottom"/>
            <w:vMerge w:val="restart"/>
          </w:tcPr>
          <w:p>
            <w:pPr>
              <w:jc w:val="center"/>
              <w:spacing w:after="0"/>
              <w:rPr>
                <w:sz w:val="20"/>
                <w:szCs w:val="20"/>
                <w:color w:val="auto"/>
              </w:rPr>
            </w:pPr>
            <w:r>
              <w:rPr>
                <w:rFonts w:ascii="Arial" w:cs="Arial" w:eastAsia="Arial" w:hAnsi="Arial"/>
                <w:sz w:val="18"/>
                <w:szCs w:val="18"/>
                <w:color w:val="0000FF"/>
                <w:w w:val="87"/>
              </w:rPr>
              <w:t>28,759</w:t>
            </w:r>
          </w:p>
        </w:tc>
        <w:tc>
          <w:tcPr>
            <w:tcW w:w="880" w:type="dxa"/>
            <w:vAlign w:val="bottom"/>
            <w:vMerge w:val="restart"/>
          </w:tcPr>
          <w:p>
            <w:pPr>
              <w:jc w:val="center"/>
              <w:spacing w:after="0"/>
              <w:rPr>
                <w:sz w:val="20"/>
                <w:szCs w:val="20"/>
                <w:color w:val="auto"/>
              </w:rPr>
            </w:pPr>
            <w:r>
              <w:rPr>
                <w:rFonts w:ascii="Arial" w:cs="Arial" w:eastAsia="Arial" w:hAnsi="Arial"/>
                <w:sz w:val="18"/>
                <w:szCs w:val="18"/>
                <w:color w:val="0000FF"/>
                <w:w w:val="87"/>
              </w:rPr>
              <w:t>80.525</w:t>
            </w:r>
          </w:p>
        </w:tc>
        <w:tc>
          <w:tcPr>
            <w:tcW w:w="880" w:type="dxa"/>
            <w:vAlign w:val="bottom"/>
            <w:vMerge w:val="restart"/>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356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800" w:type="dxa"/>
            <w:vAlign w:val="bottom"/>
            <w:vMerge w:val="continue"/>
          </w:tcPr>
          <w:p>
            <w:pPr>
              <w:spacing w:after="0"/>
              <w:rPr>
                <w:sz w:val="9"/>
                <w:szCs w:val="9"/>
                <w:color w:val="auto"/>
              </w:rPr>
            </w:pPr>
          </w:p>
        </w:tc>
        <w:tc>
          <w:tcPr>
            <w:tcW w:w="2060" w:type="dxa"/>
            <w:vAlign w:val="bottom"/>
            <w:vMerge w:val="restart"/>
          </w:tcPr>
          <w:p>
            <w:pPr>
              <w:jc w:val="center"/>
              <w:spacing w:after="0"/>
              <w:rPr>
                <w:sz w:val="20"/>
                <w:szCs w:val="20"/>
                <w:color w:val="auto"/>
              </w:rPr>
            </w:pPr>
            <w:r>
              <w:rPr>
                <w:rFonts w:ascii="Arial" w:cs="Arial" w:eastAsia="Arial" w:hAnsi="Arial"/>
                <w:sz w:val="18"/>
                <w:szCs w:val="18"/>
                <w:color w:val="0000FF"/>
                <w:w w:val="84"/>
              </w:rPr>
              <w:t>Value Per Share</w:t>
            </w:r>
          </w:p>
        </w:tc>
        <w:tc>
          <w:tcPr>
            <w:tcW w:w="70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16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3560" w:type="dxa"/>
            <w:vAlign w:val="bottom"/>
          </w:tcPr>
          <w:p>
            <w:pPr>
              <w:spacing w:after="0"/>
              <w:rPr>
                <w:sz w:val="9"/>
                <w:szCs w:val="9"/>
                <w:color w:val="auto"/>
              </w:rPr>
            </w:pPr>
          </w:p>
        </w:tc>
        <w:tc>
          <w:tcPr>
            <w:tcW w:w="88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6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880" w:type="dxa"/>
            <w:vAlign w:val="bottom"/>
          </w:tcPr>
          <w:p>
            <w:pPr>
              <w:spacing w:after="0"/>
              <w:rPr>
                <w:sz w:val="9"/>
                <w:szCs w:val="9"/>
                <w:color w:val="auto"/>
              </w:rPr>
            </w:pPr>
          </w:p>
        </w:tc>
        <w:tc>
          <w:tcPr>
            <w:tcW w:w="880" w:type="dxa"/>
            <w:vAlign w:val="bottom"/>
          </w:tcPr>
          <w:p>
            <w:pPr>
              <w:spacing w:after="0"/>
              <w:rPr>
                <w:sz w:val="9"/>
                <w:szCs w:val="9"/>
                <w:color w:val="auto"/>
              </w:rPr>
            </w:pPr>
          </w:p>
        </w:tc>
        <w:tc>
          <w:tcPr>
            <w:tcW w:w="16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3"/>
        </w:trPr>
        <w:tc>
          <w:tcPr>
            <w:tcW w:w="356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3560" w:type="dxa"/>
            <w:vAlign w:val="bottom"/>
            <w:vMerge w:val="restart"/>
          </w:tcPr>
          <w:p>
            <w:pPr>
              <w:ind w:left="60"/>
              <w:spacing w:after="0"/>
              <w:rPr>
                <w:sz w:val="20"/>
                <w:szCs w:val="20"/>
                <w:color w:val="auto"/>
              </w:rPr>
            </w:pPr>
            <w:r>
              <w:rPr>
                <w:rFonts w:ascii="Arial" w:cs="Arial" w:eastAsia="Arial" w:hAnsi="Arial"/>
                <w:sz w:val="18"/>
                <w:szCs w:val="18"/>
                <w:color w:val="0000FF"/>
              </w:rPr>
              <w:t>Non-Qualified Stock Option (Right to Buy)</w:t>
            </w:r>
          </w:p>
        </w:tc>
        <w:tc>
          <w:tcPr>
            <w:tcW w:w="880" w:type="dxa"/>
            <w:vAlign w:val="bottom"/>
            <w:vMerge w:val="restart"/>
          </w:tcPr>
          <w:p>
            <w:pPr>
              <w:jc w:val="center"/>
              <w:spacing w:after="0"/>
              <w:rPr>
                <w:sz w:val="20"/>
                <w:szCs w:val="20"/>
                <w:color w:val="auto"/>
              </w:rPr>
            </w:pPr>
            <w:r>
              <w:rPr>
                <w:rFonts w:ascii="Arial" w:cs="Arial" w:eastAsia="Arial" w:hAnsi="Arial"/>
                <w:sz w:val="11"/>
                <w:szCs w:val="11"/>
                <w:color w:val="008000"/>
              </w:rPr>
              <w:t>(18)</w:t>
            </w:r>
          </w:p>
        </w:tc>
        <w:tc>
          <w:tcPr>
            <w:tcW w:w="800" w:type="dxa"/>
            <w:vAlign w:val="bottom"/>
            <w:vMerge w:val="restart"/>
          </w:tcPr>
          <w:p>
            <w:pPr>
              <w:jc w:val="center"/>
              <w:spacing w:after="0"/>
              <w:rPr>
                <w:sz w:val="20"/>
                <w:szCs w:val="20"/>
                <w:color w:val="auto"/>
              </w:rPr>
            </w:pPr>
            <w:r>
              <w:rPr>
                <w:rFonts w:ascii="Arial" w:cs="Arial" w:eastAsia="Arial" w:hAnsi="Arial"/>
                <w:sz w:val="14"/>
                <w:szCs w:val="14"/>
                <w:color w:val="0000FF"/>
                <w:w w:val="88"/>
              </w:rPr>
              <w:t>01/19/2027</w:t>
            </w:r>
          </w:p>
        </w:tc>
        <w:tc>
          <w:tcPr>
            <w:tcW w:w="2060" w:type="dxa"/>
            <w:vAlign w:val="bottom"/>
          </w:tcPr>
          <w:p>
            <w:pPr>
              <w:jc w:val="center"/>
              <w:spacing w:after="0"/>
              <w:rPr>
                <w:sz w:val="20"/>
                <w:szCs w:val="20"/>
                <w:color w:val="auto"/>
              </w:rPr>
            </w:pPr>
            <w:r>
              <w:rPr>
                <w:rFonts w:ascii="Arial" w:cs="Arial" w:eastAsia="Arial" w:hAnsi="Arial"/>
                <w:sz w:val="18"/>
                <w:szCs w:val="18"/>
                <w:color w:val="0000FF"/>
                <w:w w:val="88"/>
              </w:rPr>
              <w:t>Common Stock, $0.01 Par</w:t>
            </w:r>
          </w:p>
        </w:tc>
        <w:tc>
          <w:tcPr>
            <w:tcW w:w="700" w:type="dxa"/>
            <w:vAlign w:val="bottom"/>
            <w:vMerge w:val="restart"/>
          </w:tcPr>
          <w:p>
            <w:pPr>
              <w:jc w:val="center"/>
              <w:spacing w:after="0"/>
              <w:rPr>
                <w:sz w:val="20"/>
                <w:szCs w:val="20"/>
                <w:color w:val="auto"/>
              </w:rPr>
            </w:pPr>
            <w:r>
              <w:rPr>
                <w:rFonts w:ascii="Arial" w:cs="Arial" w:eastAsia="Arial" w:hAnsi="Arial"/>
                <w:sz w:val="18"/>
                <w:szCs w:val="18"/>
                <w:color w:val="0000FF"/>
                <w:w w:val="87"/>
              </w:rPr>
              <w:t>13,856</w:t>
            </w:r>
          </w:p>
        </w:tc>
        <w:tc>
          <w:tcPr>
            <w:tcW w:w="880" w:type="dxa"/>
            <w:vAlign w:val="bottom"/>
            <w:vMerge w:val="restart"/>
          </w:tcPr>
          <w:p>
            <w:pPr>
              <w:jc w:val="center"/>
              <w:spacing w:after="0"/>
              <w:rPr>
                <w:sz w:val="20"/>
                <w:szCs w:val="20"/>
                <w:color w:val="auto"/>
              </w:rPr>
            </w:pPr>
            <w:r>
              <w:rPr>
                <w:rFonts w:ascii="Arial" w:cs="Arial" w:eastAsia="Arial" w:hAnsi="Arial"/>
                <w:sz w:val="18"/>
                <w:szCs w:val="18"/>
                <w:color w:val="0000FF"/>
                <w:w w:val="88"/>
              </w:rPr>
              <w:t>87.38</w:t>
            </w:r>
          </w:p>
        </w:tc>
        <w:tc>
          <w:tcPr>
            <w:tcW w:w="880" w:type="dxa"/>
            <w:vAlign w:val="bottom"/>
            <w:vMerge w:val="restart"/>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356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800" w:type="dxa"/>
            <w:vAlign w:val="bottom"/>
            <w:vMerge w:val="continue"/>
          </w:tcPr>
          <w:p>
            <w:pPr>
              <w:spacing w:after="0"/>
              <w:rPr>
                <w:sz w:val="9"/>
                <w:szCs w:val="9"/>
                <w:color w:val="auto"/>
              </w:rPr>
            </w:pPr>
          </w:p>
        </w:tc>
        <w:tc>
          <w:tcPr>
            <w:tcW w:w="2060" w:type="dxa"/>
            <w:vAlign w:val="bottom"/>
            <w:vMerge w:val="restart"/>
          </w:tcPr>
          <w:p>
            <w:pPr>
              <w:jc w:val="center"/>
              <w:spacing w:after="0"/>
              <w:rPr>
                <w:sz w:val="20"/>
                <w:szCs w:val="20"/>
                <w:color w:val="auto"/>
              </w:rPr>
            </w:pPr>
            <w:r>
              <w:rPr>
                <w:rFonts w:ascii="Arial" w:cs="Arial" w:eastAsia="Arial" w:hAnsi="Arial"/>
                <w:sz w:val="18"/>
                <w:szCs w:val="18"/>
                <w:color w:val="0000FF"/>
                <w:w w:val="84"/>
              </w:rPr>
              <w:t>Value Per Share</w:t>
            </w:r>
          </w:p>
        </w:tc>
        <w:tc>
          <w:tcPr>
            <w:tcW w:w="70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16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3560" w:type="dxa"/>
            <w:vAlign w:val="bottom"/>
          </w:tcPr>
          <w:p>
            <w:pPr>
              <w:spacing w:after="0"/>
              <w:rPr>
                <w:sz w:val="9"/>
                <w:szCs w:val="9"/>
                <w:color w:val="auto"/>
              </w:rPr>
            </w:pPr>
          </w:p>
        </w:tc>
        <w:tc>
          <w:tcPr>
            <w:tcW w:w="88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6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880" w:type="dxa"/>
            <w:vAlign w:val="bottom"/>
          </w:tcPr>
          <w:p>
            <w:pPr>
              <w:spacing w:after="0"/>
              <w:rPr>
                <w:sz w:val="9"/>
                <w:szCs w:val="9"/>
                <w:color w:val="auto"/>
              </w:rPr>
            </w:pPr>
          </w:p>
        </w:tc>
        <w:tc>
          <w:tcPr>
            <w:tcW w:w="880" w:type="dxa"/>
            <w:vAlign w:val="bottom"/>
          </w:tcPr>
          <w:p>
            <w:pPr>
              <w:spacing w:after="0"/>
              <w:rPr>
                <w:sz w:val="9"/>
                <w:szCs w:val="9"/>
                <w:color w:val="auto"/>
              </w:rPr>
            </w:pPr>
          </w:p>
        </w:tc>
        <w:tc>
          <w:tcPr>
            <w:tcW w:w="16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3"/>
        </w:trPr>
        <w:tc>
          <w:tcPr>
            <w:tcW w:w="356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3560" w:type="dxa"/>
            <w:vAlign w:val="bottom"/>
            <w:vMerge w:val="restart"/>
          </w:tcPr>
          <w:p>
            <w:pPr>
              <w:ind w:left="60"/>
              <w:spacing w:after="0"/>
              <w:rPr>
                <w:sz w:val="20"/>
                <w:szCs w:val="20"/>
                <w:color w:val="auto"/>
              </w:rPr>
            </w:pPr>
            <w:r>
              <w:rPr>
                <w:rFonts w:ascii="Arial" w:cs="Arial" w:eastAsia="Arial" w:hAnsi="Arial"/>
                <w:sz w:val="18"/>
                <w:szCs w:val="18"/>
                <w:color w:val="0000FF"/>
              </w:rPr>
              <w:t>RSU (Restricted Stock Unit)</w:t>
            </w:r>
          </w:p>
        </w:tc>
        <w:tc>
          <w:tcPr>
            <w:tcW w:w="880" w:type="dxa"/>
            <w:vAlign w:val="bottom"/>
            <w:vMerge w:val="restart"/>
          </w:tcPr>
          <w:p>
            <w:pPr>
              <w:jc w:val="center"/>
              <w:spacing w:after="0"/>
              <w:rPr>
                <w:sz w:val="20"/>
                <w:szCs w:val="20"/>
                <w:color w:val="auto"/>
              </w:rPr>
            </w:pPr>
            <w:r>
              <w:rPr>
                <w:rFonts w:ascii="Arial" w:cs="Arial" w:eastAsia="Arial" w:hAnsi="Arial"/>
                <w:sz w:val="11"/>
                <w:szCs w:val="11"/>
                <w:color w:val="008000"/>
              </w:rPr>
              <w:t>(19)</w:t>
            </w:r>
          </w:p>
        </w:tc>
        <w:tc>
          <w:tcPr>
            <w:tcW w:w="800" w:type="dxa"/>
            <w:vAlign w:val="bottom"/>
            <w:vMerge w:val="restart"/>
          </w:tcPr>
          <w:p>
            <w:pPr>
              <w:jc w:val="center"/>
              <w:spacing w:after="0"/>
              <w:rPr>
                <w:sz w:val="20"/>
                <w:szCs w:val="20"/>
                <w:color w:val="auto"/>
              </w:rPr>
            </w:pPr>
            <w:r>
              <w:rPr>
                <w:rFonts w:ascii="Arial" w:cs="Arial" w:eastAsia="Arial" w:hAnsi="Arial"/>
                <w:sz w:val="11"/>
                <w:szCs w:val="11"/>
                <w:color w:val="008000"/>
              </w:rPr>
              <w:t>(19)</w:t>
            </w:r>
          </w:p>
        </w:tc>
        <w:tc>
          <w:tcPr>
            <w:tcW w:w="2060" w:type="dxa"/>
            <w:vAlign w:val="bottom"/>
          </w:tcPr>
          <w:p>
            <w:pPr>
              <w:jc w:val="center"/>
              <w:spacing w:after="0"/>
              <w:rPr>
                <w:sz w:val="20"/>
                <w:szCs w:val="20"/>
                <w:color w:val="auto"/>
              </w:rPr>
            </w:pPr>
            <w:r>
              <w:rPr>
                <w:rFonts w:ascii="Arial" w:cs="Arial" w:eastAsia="Arial" w:hAnsi="Arial"/>
                <w:sz w:val="18"/>
                <w:szCs w:val="18"/>
                <w:color w:val="0000FF"/>
                <w:w w:val="88"/>
              </w:rPr>
              <w:t>Common Stock, $0.01 Par</w:t>
            </w:r>
          </w:p>
        </w:tc>
        <w:tc>
          <w:tcPr>
            <w:tcW w:w="700" w:type="dxa"/>
            <w:vAlign w:val="bottom"/>
            <w:vMerge w:val="restart"/>
          </w:tcPr>
          <w:p>
            <w:pPr>
              <w:jc w:val="center"/>
              <w:spacing w:after="0"/>
              <w:rPr>
                <w:sz w:val="20"/>
                <w:szCs w:val="20"/>
                <w:color w:val="auto"/>
              </w:rPr>
            </w:pPr>
            <w:r>
              <w:rPr>
                <w:rFonts w:ascii="Arial" w:cs="Arial" w:eastAsia="Arial" w:hAnsi="Arial"/>
                <w:sz w:val="18"/>
                <w:szCs w:val="18"/>
                <w:color w:val="0000FF"/>
                <w:w w:val="87"/>
              </w:rPr>
              <w:t>10,000</w:t>
            </w:r>
          </w:p>
        </w:tc>
        <w:tc>
          <w:tcPr>
            <w:tcW w:w="880" w:type="dxa"/>
            <w:vAlign w:val="bottom"/>
            <w:vMerge w:val="restart"/>
          </w:tcPr>
          <w:p>
            <w:pPr>
              <w:jc w:val="center"/>
              <w:spacing w:after="0"/>
              <w:rPr>
                <w:sz w:val="20"/>
                <w:szCs w:val="20"/>
                <w:color w:val="auto"/>
              </w:rPr>
            </w:pPr>
            <w:r>
              <w:rPr>
                <w:rFonts w:ascii="Arial" w:cs="Arial" w:eastAsia="Arial" w:hAnsi="Arial"/>
                <w:sz w:val="11"/>
                <w:szCs w:val="11"/>
                <w:color w:val="008000"/>
              </w:rPr>
              <w:t>(20)</w:t>
            </w:r>
          </w:p>
        </w:tc>
        <w:tc>
          <w:tcPr>
            <w:tcW w:w="880" w:type="dxa"/>
            <w:vAlign w:val="bottom"/>
            <w:vMerge w:val="restart"/>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356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800" w:type="dxa"/>
            <w:vAlign w:val="bottom"/>
            <w:vMerge w:val="continue"/>
          </w:tcPr>
          <w:p>
            <w:pPr>
              <w:spacing w:after="0"/>
              <w:rPr>
                <w:sz w:val="9"/>
                <w:szCs w:val="9"/>
                <w:color w:val="auto"/>
              </w:rPr>
            </w:pPr>
          </w:p>
        </w:tc>
        <w:tc>
          <w:tcPr>
            <w:tcW w:w="2060" w:type="dxa"/>
            <w:vAlign w:val="bottom"/>
            <w:vMerge w:val="restart"/>
          </w:tcPr>
          <w:p>
            <w:pPr>
              <w:jc w:val="center"/>
              <w:spacing w:after="0"/>
              <w:rPr>
                <w:sz w:val="20"/>
                <w:szCs w:val="20"/>
                <w:color w:val="auto"/>
              </w:rPr>
            </w:pPr>
            <w:r>
              <w:rPr>
                <w:rFonts w:ascii="Arial" w:cs="Arial" w:eastAsia="Arial" w:hAnsi="Arial"/>
                <w:sz w:val="18"/>
                <w:szCs w:val="18"/>
                <w:color w:val="0000FF"/>
                <w:w w:val="84"/>
              </w:rPr>
              <w:t>Value Per Share</w:t>
            </w:r>
          </w:p>
        </w:tc>
        <w:tc>
          <w:tcPr>
            <w:tcW w:w="70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16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3560" w:type="dxa"/>
            <w:vAlign w:val="bottom"/>
          </w:tcPr>
          <w:p>
            <w:pPr>
              <w:spacing w:after="0"/>
              <w:rPr>
                <w:sz w:val="9"/>
                <w:szCs w:val="9"/>
                <w:color w:val="auto"/>
              </w:rPr>
            </w:pPr>
          </w:p>
        </w:tc>
        <w:tc>
          <w:tcPr>
            <w:tcW w:w="88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6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880" w:type="dxa"/>
            <w:vAlign w:val="bottom"/>
          </w:tcPr>
          <w:p>
            <w:pPr>
              <w:spacing w:after="0"/>
              <w:rPr>
                <w:sz w:val="9"/>
                <w:szCs w:val="9"/>
                <w:color w:val="auto"/>
              </w:rPr>
            </w:pPr>
          </w:p>
        </w:tc>
        <w:tc>
          <w:tcPr>
            <w:tcW w:w="880" w:type="dxa"/>
            <w:vAlign w:val="bottom"/>
          </w:tcPr>
          <w:p>
            <w:pPr>
              <w:spacing w:after="0"/>
              <w:rPr>
                <w:sz w:val="9"/>
                <w:szCs w:val="9"/>
                <w:color w:val="auto"/>
              </w:rPr>
            </w:pPr>
          </w:p>
        </w:tc>
        <w:tc>
          <w:tcPr>
            <w:tcW w:w="16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3"/>
        </w:trPr>
        <w:tc>
          <w:tcPr>
            <w:tcW w:w="356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3560" w:type="dxa"/>
            <w:vAlign w:val="bottom"/>
            <w:vMerge w:val="restart"/>
          </w:tcPr>
          <w:p>
            <w:pPr>
              <w:ind w:left="60"/>
              <w:spacing w:after="0"/>
              <w:rPr>
                <w:sz w:val="20"/>
                <w:szCs w:val="20"/>
                <w:color w:val="auto"/>
              </w:rPr>
            </w:pPr>
            <w:r>
              <w:rPr>
                <w:rFonts w:ascii="Arial" w:cs="Arial" w:eastAsia="Arial" w:hAnsi="Arial"/>
                <w:sz w:val="18"/>
                <w:szCs w:val="18"/>
                <w:color w:val="0000FF"/>
              </w:rPr>
              <w:t>RSU (Restricted Stock Unit)</w:t>
            </w:r>
          </w:p>
        </w:tc>
        <w:tc>
          <w:tcPr>
            <w:tcW w:w="880" w:type="dxa"/>
            <w:vAlign w:val="bottom"/>
            <w:vMerge w:val="restart"/>
          </w:tcPr>
          <w:p>
            <w:pPr>
              <w:jc w:val="center"/>
              <w:spacing w:after="0"/>
              <w:rPr>
                <w:sz w:val="20"/>
                <w:szCs w:val="20"/>
                <w:color w:val="auto"/>
              </w:rPr>
            </w:pPr>
            <w:r>
              <w:rPr>
                <w:rFonts w:ascii="Arial" w:cs="Arial" w:eastAsia="Arial" w:hAnsi="Arial"/>
                <w:sz w:val="11"/>
                <w:szCs w:val="11"/>
                <w:color w:val="008000"/>
              </w:rPr>
              <w:t>(21)</w:t>
            </w:r>
          </w:p>
        </w:tc>
        <w:tc>
          <w:tcPr>
            <w:tcW w:w="800" w:type="dxa"/>
            <w:vAlign w:val="bottom"/>
            <w:vMerge w:val="restart"/>
          </w:tcPr>
          <w:p>
            <w:pPr>
              <w:jc w:val="center"/>
              <w:spacing w:after="0"/>
              <w:rPr>
                <w:sz w:val="20"/>
                <w:szCs w:val="20"/>
                <w:color w:val="auto"/>
              </w:rPr>
            </w:pPr>
            <w:r>
              <w:rPr>
                <w:rFonts w:ascii="Arial" w:cs="Arial" w:eastAsia="Arial" w:hAnsi="Arial"/>
                <w:sz w:val="11"/>
                <w:szCs w:val="11"/>
                <w:color w:val="008000"/>
              </w:rPr>
              <w:t>(21)</w:t>
            </w:r>
          </w:p>
        </w:tc>
        <w:tc>
          <w:tcPr>
            <w:tcW w:w="2060" w:type="dxa"/>
            <w:vAlign w:val="bottom"/>
          </w:tcPr>
          <w:p>
            <w:pPr>
              <w:jc w:val="center"/>
              <w:spacing w:after="0"/>
              <w:rPr>
                <w:sz w:val="20"/>
                <w:szCs w:val="20"/>
                <w:color w:val="auto"/>
              </w:rPr>
            </w:pPr>
            <w:r>
              <w:rPr>
                <w:rFonts w:ascii="Arial" w:cs="Arial" w:eastAsia="Arial" w:hAnsi="Arial"/>
                <w:sz w:val="18"/>
                <w:szCs w:val="18"/>
                <w:color w:val="0000FF"/>
                <w:w w:val="88"/>
              </w:rPr>
              <w:t>Common Stock, $0.01 Par</w:t>
            </w:r>
          </w:p>
        </w:tc>
        <w:tc>
          <w:tcPr>
            <w:tcW w:w="700" w:type="dxa"/>
            <w:vAlign w:val="bottom"/>
            <w:vMerge w:val="restart"/>
          </w:tcPr>
          <w:p>
            <w:pPr>
              <w:jc w:val="center"/>
              <w:spacing w:after="0"/>
              <w:rPr>
                <w:sz w:val="20"/>
                <w:szCs w:val="20"/>
                <w:color w:val="auto"/>
              </w:rPr>
            </w:pPr>
            <w:r>
              <w:rPr>
                <w:rFonts w:ascii="Arial" w:cs="Arial" w:eastAsia="Arial" w:hAnsi="Arial"/>
                <w:sz w:val="18"/>
                <w:szCs w:val="18"/>
                <w:color w:val="0000FF"/>
                <w:w w:val="87"/>
              </w:rPr>
              <w:t>10,000</w:t>
            </w:r>
          </w:p>
        </w:tc>
        <w:tc>
          <w:tcPr>
            <w:tcW w:w="880" w:type="dxa"/>
            <w:vAlign w:val="bottom"/>
            <w:vMerge w:val="restart"/>
          </w:tcPr>
          <w:p>
            <w:pPr>
              <w:jc w:val="center"/>
              <w:spacing w:after="0"/>
              <w:rPr>
                <w:sz w:val="20"/>
                <w:szCs w:val="20"/>
                <w:color w:val="auto"/>
              </w:rPr>
            </w:pPr>
            <w:r>
              <w:rPr>
                <w:rFonts w:ascii="Arial" w:cs="Arial" w:eastAsia="Arial" w:hAnsi="Arial"/>
                <w:sz w:val="11"/>
                <w:szCs w:val="11"/>
                <w:color w:val="008000"/>
              </w:rPr>
              <w:t>(20)</w:t>
            </w:r>
          </w:p>
        </w:tc>
        <w:tc>
          <w:tcPr>
            <w:tcW w:w="880" w:type="dxa"/>
            <w:vAlign w:val="bottom"/>
            <w:vMerge w:val="restart"/>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356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800" w:type="dxa"/>
            <w:vAlign w:val="bottom"/>
            <w:vMerge w:val="continue"/>
          </w:tcPr>
          <w:p>
            <w:pPr>
              <w:spacing w:after="0"/>
              <w:rPr>
                <w:sz w:val="9"/>
                <w:szCs w:val="9"/>
                <w:color w:val="auto"/>
              </w:rPr>
            </w:pPr>
          </w:p>
        </w:tc>
        <w:tc>
          <w:tcPr>
            <w:tcW w:w="2060" w:type="dxa"/>
            <w:vAlign w:val="bottom"/>
            <w:vMerge w:val="restart"/>
          </w:tcPr>
          <w:p>
            <w:pPr>
              <w:jc w:val="center"/>
              <w:spacing w:after="0"/>
              <w:rPr>
                <w:sz w:val="20"/>
                <w:szCs w:val="20"/>
                <w:color w:val="auto"/>
              </w:rPr>
            </w:pPr>
            <w:r>
              <w:rPr>
                <w:rFonts w:ascii="Arial" w:cs="Arial" w:eastAsia="Arial" w:hAnsi="Arial"/>
                <w:sz w:val="18"/>
                <w:szCs w:val="18"/>
                <w:color w:val="0000FF"/>
                <w:w w:val="84"/>
              </w:rPr>
              <w:t>Value Per Share</w:t>
            </w:r>
          </w:p>
        </w:tc>
        <w:tc>
          <w:tcPr>
            <w:tcW w:w="70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16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3560" w:type="dxa"/>
            <w:vAlign w:val="bottom"/>
          </w:tcPr>
          <w:p>
            <w:pPr>
              <w:spacing w:after="0"/>
              <w:rPr>
                <w:sz w:val="9"/>
                <w:szCs w:val="9"/>
                <w:color w:val="auto"/>
              </w:rPr>
            </w:pPr>
          </w:p>
        </w:tc>
        <w:tc>
          <w:tcPr>
            <w:tcW w:w="88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6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880" w:type="dxa"/>
            <w:vAlign w:val="bottom"/>
          </w:tcPr>
          <w:p>
            <w:pPr>
              <w:spacing w:after="0"/>
              <w:rPr>
                <w:sz w:val="9"/>
                <w:szCs w:val="9"/>
                <w:color w:val="auto"/>
              </w:rPr>
            </w:pPr>
          </w:p>
        </w:tc>
        <w:tc>
          <w:tcPr>
            <w:tcW w:w="880" w:type="dxa"/>
            <w:vAlign w:val="bottom"/>
          </w:tcPr>
          <w:p>
            <w:pPr>
              <w:spacing w:after="0"/>
              <w:rPr>
                <w:sz w:val="9"/>
                <w:szCs w:val="9"/>
                <w:color w:val="auto"/>
              </w:rPr>
            </w:pPr>
          </w:p>
        </w:tc>
        <w:tc>
          <w:tcPr>
            <w:tcW w:w="16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3"/>
        </w:trPr>
        <w:tc>
          <w:tcPr>
            <w:tcW w:w="356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3560" w:type="dxa"/>
            <w:vAlign w:val="bottom"/>
            <w:vMerge w:val="restart"/>
          </w:tcPr>
          <w:p>
            <w:pPr>
              <w:ind w:left="60"/>
              <w:spacing w:after="0"/>
              <w:rPr>
                <w:sz w:val="20"/>
                <w:szCs w:val="20"/>
                <w:color w:val="auto"/>
              </w:rPr>
            </w:pPr>
            <w:r>
              <w:rPr>
                <w:rFonts w:ascii="Arial" w:cs="Arial" w:eastAsia="Arial" w:hAnsi="Arial"/>
                <w:sz w:val="18"/>
                <w:szCs w:val="18"/>
                <w:color w:val="0000FF"/>
              </w:rPr>
              <w:t>RSU (Restricted Stock Unit)</w:t>
            </w:r>
          </w:p>
        </w:tc>
        <w:tc>
          <w:tcPr>
            <w:tcW w:w="880" w:type="dxa"/>
            <w:vAlign w:val="bottom"/>
            <w:vMerge w:val="restart"/>
          </w:tcPr>
          <w:p>
            <w:pPr>
              <w:jc w:val="center"/>
              <w:spacing w:after="0"/>
              <w:rPr>
                <w:sz w:val="20"/>
                <w:szCs w:val="20"/>
                <w:color w:val="auto"/>
              </w:rPr>
            </w:pPr>
            <w:r>
              <w:rPr>
                <w:rFonts w:ascii="Arial" w:cs="Arial" w:eastAsia="Arial" w:hAnsi="Arial"/>
                <w:sz w:val="11"/>
                <w:szCs w:val="11"/>
                <w:color w:val="008000"/>
              </w:rPr>
              <w:t>(22)</w:t>
            </w:r>
          </w:p>
        </w:tc>
        <w:tc>
          <w:tcPr>
            <w:tcW w:w="800" w:type="dxa"/>
            <w:vAlign w:val="bottom"/>
            <w:vMerge w:val="restart"/>
          </w:tcPr>
          <w:p>
            <w:pPr>
              <w:jc w:val="center"/>
              <w:spacing w:after="0"/>
              <w:rPr>
                <w:sz w:val="20"/>
                <w:szCs w:val="20"/>
                <w:color w:val="auto"/>
              </w:rPr>
            </w:pPr>
            <w:r>
              <w:rPr>
                <w:rFonts w:ascii="Arial" w:cs="Arial" w:eastAsia="Arial" w:hAnsi="Arial"/>
                <w:sz w:val="11"/>
                <w:szCs w:val="11"/>
                <w:color w:val="008000"/>
              </w:rPr>
              <w:t>(22)</w:t>
            </w:r>
          </w:p>
        </w:tc>
        <w:tc>
          <w:tcPr>
            <w:tcW w:w="2060" w:type="dxa"/>
            <w:vAlign w:val="bottom"/>
          </w:tcPr>
          <w:p>
            <w:pPr>
              <w:jc w:val="center"/>
              <w:spacing w:after="0"/>
              <w:rPr>
                <w:sz w:val="20"/>
                <w:szCs w:val="20"/>
                <w:color w:val="auto"/>
              </w:rPr>
            </w:pPr>
            <w:r>
              <w:rPr>
                <w:rFonts w:ascii="Arial" w:cs="Arial" w:eastAsia="Arial" w:hAnsi="Arial"/>
                <w:sz w:val="18"/>
                <w:szCs w:val="18"/>
                <w:color w:val="0000FF"/>
                <w:w w:val="88"/>
              </w:rPr>
              <w:t>Common Stock, $0.01 Par</w:t>
            </w:r>
          </w:p>
        </w:tc>
        <w:tc>
          <w:tcPr>
            <w:tcW w:w="700" w:type="dxa"/>
            <w:vAlign w:val="bottom"/>
            <w:vMerge w:val="restart"/>
          </w:tcPr>
          <w:p>
            <w:pPr>
              <w:jc w:val="center"/>
              <w:spacing w:after="0"/>
              <w:rPr>
                <w:sz w:val="20"/>
                <w:szCs w:val="20"/>
                <w:color w:val="auto"/>
              </w:rPr>
            </w:pPr>
            <w:r>
              <w:rPr>
                <w:rFonts w:ascii="Arial" w:cs="Arial" w:eastAsia="Arial" w:hAnsi="Arial"/>
                <w:sz w:val="18"/>
                <w:szCs w:val="18"/>
                <w:color w:val="0000FF"/>
                <w:w w:val="88"/>
              </w:rPr>
              <w:t>3,800</w:t>
            </w:r>
          </w:p>
        </w:tc>
        <w:tc>
          <w:tcPr>
            <w:tcW w:w="880" w:type="dxa"/>
            <w:vAlign w:val="bottom"/>
            <w:vMerge w:val="restart"/>
          </w:tcPr>
          <w:p>
            <w:pPr>
              <w:jc w:val="center"/>
              <w:spacing w:after="0"/>
              <w:rPr>
                <w:sz w:val="20"/>
                <w:szCs w:val="20"/>
                <w:color w:val="auto"/>
              </w:rPr>
            </w:pPr>
            <w:r>
              <w:rPr>
                <w:rFonts w:ascii="Arial" w:cs="Arial" w:eastAsia="Arial" w:hAnsi="Arial"/>
                <w:sz w:val="11"/>
                <w:szCs w:val="11"/>
                <w:color w:val="008000"/>
              </w:rPr>
              <w:t>(20)</w:t>
            </w:r>
          </w:p>
        </w:tc>
        <w:tc>
          <w:tcPr>
            <w:tcW w:w="880" w:type="dxa"/>
            <w:vAlign w:val="bottom"/>
            <w:vMerge w:val="restart"/>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356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800" w:type="dxa"/>
            <w:vAlign w:val="bottom"/>
            <w:vMerge w:val="continue"/>
          </w:tcPr>
          <w:p>
            <w:pPr>
              <w:spacing w:after="0"/>
              <w:rPr>
                <w:sz w:val="9"/>
                <w:szCs w:val="9"/>
                <w:color w:val="auto"/>
              </w:rPr>
            </w:pPr>
          </w:p>
        </w:tc>
        <w:tc>
          <w:tcPr>
            <w:tcW w:w="2060" w:type="dxa"/>
            <w:vAlign w:val="bottom"/>
            <w:vMerge w:val="restart"/>
          </w:tcPr>
          <w:p>
            <w:pPr>
              <w:jc w:val="center"/>
              <w:spacing w:after="0"/>
              <w:rPr>
                <w:sz w:val="20"/>
                <w:szCs w:val="20"/>
                <w:color w:val="auto"/>
              </w:rPr>
            </w:pPr>
            <w:r>
              <w:rPr>
                <w:rFonts w:ascii="Arial" w:cs="Arial" w:eastAsia="Arial" w:hAnsi="Arial"/>
                <w:sz w:val="18"/>
                <w:szCs w:val="18"/>
                <w:color w:val="0000FF"/>
                <w:w w:val="84"/>
              </w:rPr>
              <w:t>Value Per Share</w:t>
            </w:r>
          </w:p>
        </w:tc>
        <w:tc>
          <w:tcPr>
            <w:tcW w:w="70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16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3560" w:type="dxa"/>
            <w:vAlign w:val="bottom"/>
          </w:tcPr>
          <w:p>
            <w:pPr>
              <w:spacing w:after="0"/>
              <w:rPr>
                <w:sz w:val="9"/>
                <w:szCs w:val="9"/>
                <w:color w:val="auto"/>
              </w:rPr>
            </w:pPr>
          </w:p>
        </w:tc>
        <w:tc>
          <w:tcPr>
            <w:tcW w:w="88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6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880" w:type="dxa"/>
            <w:vAlign w:val="bottom"/>
          </w:tcPr>
          <w:p>
            <w:pPr>
              <w:spacing w:after="0"/>
              <w:rPr>
                <w:sz w:val="9"/>
                <w:szCs w:val="9"/>
                <w:color w:val="auto"/>
              </w:rPr>
            </w:pPr>
          </w:p>
        </w:tc>
        <w:tc>
          <w:tcPr>
            <w:tcW w:w="880" w:type="dxa"/>
            <w:vAlign w:val="bottom"/>
          </w:tcPr>
          <w:p>
            <w:pPr>
              <w:spacing w:after="0"/>
              <w:rPr>
                <w:sz w:val="9"/>
                <w:szCs w:val="9"/>
                <w:color w:val="auto"/>
              </w:rPr>
            </w:pPr>
          </w:p>
        </w:tc>
        <w:tc>
          <w:tcPr>
            <w:tcW w:w="16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3"/>
        </w:trPr>
        <w:tc>
          <w:tcPr>
            <w:tcW w:w="356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3560" w:type="dxa"/>
            <w:vAlign w:val="bottom"/>
            <w:vMerge w:val="restart"/>
          </w:tcPr>
          <w:p>
            <w:pPr>
              <w:ind w:left="60"/>
              <w:spacing w:after="0"/>
              <w:rPr>
                <w:sz w:val="20"/>
                <w:szCs w:val="20"/>
                <w:color w:val="auto"/>
              </w:rPr>
            </w:pPr>
            <w:r>
              <w:rPr>
                <w:rFonts w:ascii="Arial" w:cs="Arial" w:eastAsia="Arial" w:hAnsi="Arial"/>
                <w:sz w:val="18"/>
                <w:szCs w:val="18"/>
                <w:color w:val="0000FF"/>
              </w:rPr>
              <w:t>Incentive Stock Option (Right to Buy)</w:t>
            </w:r>
          </w:p>
        </w:tc>
        <w:tc>
          <w:tcPr>
            <w:tcW w:w="880" w:type="dxa"/>
            <w:vAlign w:val="bottom"/>
            <w:vMerge w:val="restart"/>
          </w:tcPr>
          <w:p>
            <w:pPr>
              <w:jc w:val="center"/>
              <w:spacing w:after="0"/>
              <w:rPr>
                <w:sz w:val="20"/>
                <w:szCs w:val="20"/>
                <w:color w:val="auto"/>
              </w:rPr>
            </w:pPr>
            <w:r>
              <w:rPr>
                <w:rFonts w:ascii="Arial" w:cs="Arial" w:eastAsia="Arial" w:hAnsi="Arial"/>
                <w:sz w:val="14"/>
                <w:szCs w:val="14"/>
                <w:color w:val="0000FF"/>
                <w:w w:val="85"/>
              </w:rPr>
              <w:t>01/17/2018</w:t>
            </w:r>
          </w:p>
        </w:tc>
        <w:tc>
          <w:tcPr>
            <w:tcW w:w="800" w:type="dxa"/>
            <w:vAlign w:val="bottom"/>
            <w:vMerge w:val="restart"/>
          </w:tcPr>
          <w:p>
            <w:pPr>
              <w:jc w:val="center"/>
              <w:spacing w:after="0"/>
              <w:rPr>
                <w:sz w:val="20"/>
                <w:szCs w:val="20"/>
                <w:color w:val="auto"/>
              </w:rPr>
            </w:pPr>
            <w:r>
              <w:rPr>
                <w:rFonts w:ascii="Arial" w:cs="Arial" w:eastAsia="Arial" w:hAnsi="Arial"/>
                <w:sz w:val="14"/>
                <w:szCs w:val="14"/>
                <w:color w:val="0000FF"/>
                <w:w w:val="88"/>
              </w:rPr>
              <w:t>01/17/2023</w:t>
            </w:r>
          </w:p>
        </w:tc>
        <w:tc>
          <w:tcPr>
            <w:tcW w:w="2060" w:type="dxa"/>
            <w:vAlign w:val="bottom"/>
          </w:tcPr>
          <w:p>
            <w:pPr>
              <w:jc w:val="center"/>
              <w:spacing w:after="0"/>
              <w:rPr>
                <w:sz w:val="20"/>
                <w:szCs w:val="20"/>
                <w:color w:val="auto"/>
              </w:rPr>
            </w:pPr>
            <w:r>
              <w:rPr>
                <w:rFonts w:ascii="Arial" w:cs="Arial" w:eastAsia="Arial" w:hAnsi="Arial"/>
                <w:sz w:val="18"/>
                <w:szCs w:val="18"/>
                <w:color w:val="0000FF"/>
                <w:w w:val="88"/>
              </w:rPr>
              <w:t>Common Stock, $0.01 Par</w:t>
            </w:r>
          </w:p>
        </w:tc>
        <w:tc>
          <w:tcPr>
            <w:tcW w:w="700" w:type="dxa"/>
            <w:vAlign w:val="bottom"/>
            <w:vMerge w:val="restart"/>
          </w:tcPr>
          <w:p>
            <w:pPr>
              <w:jc w:val="center"/>
              <w:spacing w:after="0"/>
              <w:rPr>
                <w:sz w:val="20"/>
                <w:szCs w:val="20"/>
                <w:color w:val="auto"/>
              </w:rPr>
            </w:pPr>
            <w:r>
              <w:rPr>
                <w:rFonts w:ascii="Arial" w:cs="Arial" w:eastAsia="Arial" w:hAnsi="Arial"/>
                <w:sz w:val="18"/>
                <w:szCs w:val="18"/>
                <w:color w:val="0000FF"/>
                <w:w w:val="88"/>
              </w:rPr>
              <w:t>1,365</w:t>
            </w:r>
          </w:p>
        </w:tc>
        <w:tc>
          <w:tcPr>
            <w:tcW w:w="880" w:type="dxa"/>
            <w:vAlign w:val="bottom"/>
            <w:vMerge w:val="restart"/>
          </w:tcPr>
          <w:p>
            <w:pPr>
              <w:jc w:val="center"/>
              <w:spacing w:after="0"/>
              <w:rPr>
                <w:sz w:val="20"/>
                <w:szCs w:val="20"/>
                <w:color w:val="auto"/>
              </w:rPr>
            </w:pPr>
            <w:r>
              <w:rPr>
                <w:rFonts w:ascii="Arial" w:cs="Arial" w:eastAsia="Arial" w:hAnsi="Arial"/>
                <w:sz w:val="18"/>
                <w:szCs w:val="18"/>
                <w:color w:val="0000FF"/>
                <w:w w:val="88"/>
              </w:rPr>
              <w:t>73.25</w:t>
            </w:r>
          </w:p>
        </w:tc>
        <w:tc>
          <w:tcPr>
            <w:tcW w:w="880" w:type="dxa"/>
            <w:vAlign w:val="bottom"/>
            <w:vMerge w:val="restart"/>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356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800" w:type="dxa"/>
            <w:vAlign w:val="bottom"/>
            <w:vMerge w:val="continue"/>
          </w:tcPr>
          <w:p>
            <w:pPr>
              <w:spacing w:after="0"/>
              <w:rPr>
                <w:sz w:val="9"/>
                <w:szCs w:val="9"/>
                <w:color w:val="auto"/>
              </w:rPr>
            </w:pPr>
          </w:p>
        </w:tc>
        <w:tc>
          <w:tcPr>
            <w:tcW w:w="2060" w:type="dxa"/>
            <w:vAlign w:val="bottom"/>
            <w:vMerge w:val="restart"/>
          </w:tcPr>
          <w:p>
            <w:pPr>
              <w:jc w:val="center"/>
              <w:spacing w:after="0"/>
              <w:rPr>
                <w:sz w:val="20"/>
                <w:szCs w:val="20"/>
                <w:color w:val="auto"/>
              </w:rPr>
            </w:pPr>
            <w:r>
              <w:rPr>
                <w:rFonts w:ascii="Arial" w:cs="Arial" w:eastAsia="Arial" w:hAnsi="Arial"/>
                <w:sz w:val="18"/>
                <w:szCs w:val="18"/>
                <w:color w:val="0000FF"/>
                <w:w w:val="84"/>
              </w:rPr>
              <w:t>Value Per Share</w:t>
            </w:r>
          </w:p>
        </w:tc>
        <w:tc>
          <w:tcPr>
            <w:tcW w:w="70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16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3560" w:type="dxa"/>
            <w:vAlign w:val="bottom"/>
          </w:tcPr>
          <w:p>
            <w:pPr>
              <w:spacing w:after="0"/>
              <w:rPr>
                <w:sz w:val="9"/>
                <w:szCs w:val="9"/>
                <w:color w:val="auto"/>
              </w:rPr>
            </w:pPr>
          </w:p>
        </w:tc>
        <w:tc>
          <w:tcPr>
            <w:tcW w:w="88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6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880" w:type="dxa"/>
            <w:vAlign w:val="bottom"/>
          </w:tcPr>
          <w:p>
            <w:pPr>
              <w:spacing w:after="0"/>
              <w:rPr>
                <w:sz w:val="9"/>
                <w:szCs w:val="9"/>
                <w:color w:val="auto"/>
              </w:rPr>
            </w:pPr>
          </w:p>
        </w:tc>
        <w:tc>
          <w:tcPr>
            <w:tcW w:w="880" w:type="dxa"/>
            <w:vAlign w:val="bottom"/>
          </w:tcPr>
          <w:p>
            <w:pPr>
              <w:spacing w:after="0"/>
              <w:rPr>
                <w:sz w:val="9"/>
                <w:szCs w:val="9"/>
                <w:color w:val="auto"/>
              </w:rPr>
            </w:pPr>
          </w:p>
        </w:tc>
        <w:tc>
          <w:tcPr>
            <w:tcW w:w="16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07"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160" w:hanging="131"/>
        <w:spacing w:after="0"/>
        <w:tabs>
          <w:tab w:leader="none" w:pos="16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This option became fully exercisable on January 17, 2013.</w:t>
      </w:r>
    </w:p>
    <w:p>
      <w:pPr>
        <w:spacing w:after="0" w:line="41" w:lineRule="exact"/>
        <w:rPr>
          <w:rFonts w:ascii="Arial" w:cs="Arial" w:eastAsia="Arial" w:hAnsi="Arial"/>
          <w:sz w:val="14"/>
          <w:szCs w:val="14"/>
          <w:color w:val="008000"/>
        </w:rPr>
      </w:pPr>
    </w:p>
    <w:p>
      <w:pPr>
        <w:ind w:left="160" w:hanging="131"/>
        <w:spacing w:after="0"/>
        <w:tabs>
          <w:tab w:leader="none" w:pos="16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This option became fully exercisable on January 22, 2014.</w:t>
      </w:r>
    </w:p>
    <w:p>
      <w:pPr>
        <w:spacing w:after="0" w:line="41" w:lineRule="exact"/>
        <w:rPr>
          <w:rFonts w:ascii="Arial" w:cs="Arial" w:eastAsia="Arial" w:hAnsi="Arial"/>
          <w:sz w:val="14"/>
          <w:szCs w:val="14"/>
          <w:color w:val="008000"/>
        </w:rPr>
      </w:pPr>
    </w:p>
    <w:p>
      <w:pPr>
        <w:ind w:left="160" w:hanging="131"/>
        <w:spacing w:after="0"/>
        <w:tabs>
          <w:tab w:leader="none" w:pos="16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This option became fully exercisable on April 23, 2014.</w:t>
      </w:r>
    </w:p>
    <w:p>
      <w:pPr>
        <w:spacing w:after="0" w:line="41" w:lineRule="exact"/>
        <w:rPr>
          <w:rFonts w:ascii="Arial" w:cs="Arial" w:eastAsia="Arial" w:hAnsi="Arial"/>
          <w:sz w:val="14"/>
          <w:szCs w:val="14"/>
          <w:color w:val="008000"/>
        </w:rPr>
      </w:pPr>
    </w:p>
    <w:p>
      <w:pPr>
        <w:ind w:left="160" w:hanging="131"/>
        <w:spacing w:after="0"/>
        <w:tabs>
          <w:tab w:leader="none" w:pos="16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This option became fully exercisable on January 21, 2015.</w:t>
      </w:r>
    </w:p>
    <w:p>
      <w:pPr>
        <w:spacing w:after="0" w:line="41" w:lineRule="exact"/>
        <w:rPr>
          <w:rFonts w:ascii="Arial" w:cs="Arial" w:eastAsia="Arial" w:hAnsi="Arial"/>
          <w:sz w:val="14"/>
          <w:szCs w:val="14"/>
          <w:color w:val="008000"/>
        </w:rPr>
      </w:pPr>
    </w:p>
    <w:p>
      <w:pPr>
        <w:ind w:left="160" w:hanging="131"/>
        <w:spacing w:after="0"/>
        <w:tabs>
          <w:tab w:leader="none" w:pos="16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This option became fully exercisable on January 20, 2016.</w:t>
      </w:r>
    </w:p>
    <w:p>
      <w:pPr>
        <w:spacing w:after="0" w:line="41" w:lineRule="exact"/>
        <w:rPr>
          <w:rFonts w:ascii="Arial" w:cs="Arial" w:eastAsia="Arial" w:hAnsi="Arial"/>
          <w:sz w:val="14"/>
          <w:szCs w:val="14"/>
          <w:color w:val="008000"/>
        </w:rPr>
      </w:pPr>
    </w:p>
    <w:p>
      <w:pPr>
        <w:ind w:left="160" w:hanging="131"/>
        <w:spacing w:after="0"/>
        <w:tabs>
          <w:tab w:leader="none" w:pos="16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This option became fully exercisable on January 19, 2017.</w:t>
      </w:r>
    </w:p>
    <w:p>
      <w:pPr>
        <w:spacing w:after="0" w:line="41" w:lineRule="exact"/>
        <w:rPr>
          <w:rFonts w:ascii="Arial" w:cs="Arial" w:eastAsia="Arial" w:hAnsi="Arial"/>
          <w:sz w:val="14"/>
          <w:szCs w:val="14"/>
          <w:color w:val="008000"/>
        </w:rPr>
      </w:pPr>
    </w:p>
    <w:p>
      <w:pPr>
        <w:ind w:left="160" w:hanging="131"/>
        <w:spacing w:after="0"/>
        <w:tabs>
          <w:tab w:leader="none" w:pos="16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This option is exercisable in five equal annual installments beginning on January 19, 2018.</w:t>
      </w:r>
    </w:p>
    <w:p>
      <w:pPr>
        <w:spacing w:after="0" w:line="41" w:lineRule="exact"/>
        <w:rPr>
          <w:rFonts w:ascii="Arial" w:cs="Arial" w:eastAsia="Arial" w:hAnsi="Arial"/>
          <w:sz w:val="14"/>
          <w:szCs w:val="14"/>
          <w:color w:val="008000"/>
        </w:rPr>
      </w:pPr>
    </w:p>
    <w:p>
      <w:pPr>
        <w:ind w:left="160" w:hanging="131"/>
        <w:spacing w:after="0"/>
        <w:tabs>
          <w:tab w:leader="none" w:pos="16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This option became fully exercisable on January 17, 2013.</w:t>
      </w:r>
    </w:p>
    <w:p>
      <w:pPr>
        <w:spacing w:after="0" w:line="41" w:lineRule="exact"/>
        <w:rPr>
          <w:rFonts w:ascii="Arial" w:cs="Arial" w:eastAsia="Arial" w:hAnsi="Arial"/>
          <w:sz w:val="14"/>
          <w:szCs w:val="14"/>
          <w:color w:val="008000"/>
        </w:rPr>
      </w:pPr>
    </w:p>
    <w:p>
      <w:pPr>
        <w:ind w:left="160" w:hanging="131"/>
        <w:spacing w:after="0"/>
        <w:tabs>
          <w:tab w:leader="none" w:pos="16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This option became fully exercisable on January 22, 2014.</w:t>
      </w:r>
    </w:p>
    <w:p>
      <w:pPr>
        <w:spacing w:after="0" w:line="41" w:lineRule="exact"/>
        <w:rPr>
          <w:rFonts w:ascii="Arial" w:cs="Arial" w:eastAsia="Arial" w:hAnsi="Arial"/>
          <w:sz w:val="14"/>
          <w:szCs w:val="14"/>
          <w:color w:val="008000"/>
        </w:rPr>
      </w:pPr>
    </w:p>
    <w:p>
      <w:pPr>
        <w:ind w:left="240" w:hanging="211"/>
        <w:spacing w:after="0"/>
        <w:tabs>
          <w:tab w:leader="none" w:pos="24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This option became fully exercisable on April 23, 2014.</w:t>
      </w:r>
    </w:p>
    <w:p>
      <w:pPr>
        <w:spacing w:after="0" w:line="41" w:lineRule="exact"/>
        <w:rPr>
          <w:rFonts w:ascii="Arial" w:cs="Arial" w:eastAsia="Arial" w:hAnsi="Arial"/>
          <w:sz w:val="14"/>
          <w:szCs w:val="14"/>
          <w:color w:val="008000"/>
        </w:rPr>
      </w:pPr>
    </w:p>
    <w:p>
      <w:pPr>
        <w:ind w:left="220" w:hanging="191"/>
        <w:spacing w:after="0"/>
        <w:tabs>
          <w:tab w:leader="none" w:pos="22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This option became fully exercisable on January 21, 2015.</w:t>
      </w:r>
    </w:p>
    <w:p>
      <w:pPr>
        <w:spacing w:after="0" w:line="64" w:lineRule="exact"/>
        <w:rPr>
          <w:rFonts w:ascii="Arial" w:cs="Arial" w:eastAsia="Arial" w:hAnsi="Arial"/>
          <w:sz w:val="12"/>
          <w:szCs w:val="12"/>
          <w:color w:val="008000"/>
        </w:rPr>
      </w:pPr>
    </w:p>
    <w:p>
      <w:pPr>
        <w:ind w:left="240" w:hanging="211"/>
        <w:spacing w:after="0"/>
        <w:tabs>
          <w:tab w:leader="none" w:pos="24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This option became fully exercisable on January 20, 2016.</w:t>
      </w:r>
    </w:p>
    <w:p>
      <w:pPr>
        <w:spacing w:after="0" w:line="41" w:lineRule="exact"/>
        <w:rPr>
          <w:rFonts w:ascii="Arial" w:cs="Arial" w:eastAsia="Arial" w:hAnsi="Arial"/>
          <w:sz w:val="14"/>
          <w:szCs w:val="14"/>
          <w:color w:val="008000"/>
        </w:rPr>
      </w:pPr>
    </w:p>
    <w:p>
      <w:pPr>
        <w:ind w:left="240" w:hanging="211"/>
        <w:spacing w:after="0"/>
        <w:tabs>
          <w:tab w:leader="none" w:pos="24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This option became fully exercisable on January 19, 2017.</w:t>
      </w:r>
    </w:p>
    <w:p>
      <w:pPr>
        <w:spacing w:after="0" w:line="41" w:lineRule="exact"/>
        <w:rPr>
          <w:rFonts w:ascii="Arial" w:cs="Arial" w:eastAsia="Arial" w:hAnsi="Arial"/>
          <w:sz w:val="14"/>
          <w:szCs w:val="14"/>
          <w:color w:val="008000"/>
        </w:rPr>
      </w:pPr>
    </w:p>
    <w:p>
      <w:pPr>
        <w:ind w:left="240" w:hanging="211"/>
        <w:spacing w:after="0"/>
        <w:tabs>
          <w:tab w:leader="none" w:pos="24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This option is exercisable in five equal annual installments beginning on January 17, 2014.</w:t>
      </w:r>
    </w:p>
    <w:p>
      <w:pPr>
        <w:spacing w:after="0" w:line="41" w:lineRule="exact"/>
        <w:rPr>
          <w:rFonts w:ascii="Arial" w:cs="Arial" w:eastAsia="Arial" w:hAnsi="Arial"/>
          <w:sz w:val="14"/>
          <w:szCs w:val="14"/>
          <w:color w:val="008000"/>
        </w:rPr>
      </w:pPr>
    </w:p>
    <w:p>
      <w:pPr>
        <w:ind w:left="240" w:hanging="211"/>
        <w:spacing w:after="0"/>
        <w:tabs>
          <w:tab w:leader="none" w:pos="24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This option is exercisable in five equal annual installments beginning on January 16, 2015.</w:t>
      </w:r>
    </w:p>
    <w:p>
      <w:pPr>
        <w:spacing w:after="0" w:line="41" w:lineRule="exact"/>
        <w:rPr>
          <w:rFonts w:ascii="Arial" w:cs="Arial" w:eastAsia="Arial" w:hAnsi="Arial"/>
          <w:sz w:val="14"/>
          <w:szCs w:val="14"/>
          <w:color w:val="008000"/>
        </w:rPr>
      </w:pPr>
    </w:p>
    <w:p>
      <w:pPr>
        <w:ind w:left="240" w:hanging="211"/>
        <w:spacing w:after="0"/>
        <w:tabs>
          <w:tab w:leader="none" w:pos="24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This option is exercisable in five equal annual installments beginning on April 16, 2016.</w:t>
      </w:r>
    </w:p>
    <w:p>
      <w:pPr>
        <w:spacing w:after="0" w:line="41" w:lineRule="exact"/>
        <w:rPr>
          <w:rFonts w:ascii="Arial" w:cs="Arial" w:eastAsia="Arial" w:hAnsi="Arial"/>
          <w:sz w:val="14"/>
          <w:szCs w:val="14"/>
          <w:color w:val="008000"/>
        </w:rPr>
      </w:pPr>
    </w:p>
    <w:p>
      <w:pPr>
        <w:ind w:left="240" w:hanging="211"/>
        <w:spacing w:after="0"/>
        <w:tabs>
          <w:tab w:leader="none" w:pos="24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This option is exercisable in five equal annual installments beginning on April 20, 2017.</w:t>
      </w:r>
    </w:p>
    <w:p>
      <w:pPr>
        <w:spacing w:after="0" w:line="41" w:lineRule="exact"/>
        <w:rPr>
          <w:rFonts w:ascii="Arial" w:cs="Arial" w:eastAsia="Arial" w:hAnsi="Arial"/>
          <w:sz w:val="14"/>
          <w:szCs w:val="14"/>
          <w:color w:val="008000"/>
        </w:rPr>
      </w:pPr>
    </w:p>
    <w:p>
      <w:pPr>
        <w:ind w:left="240" w:hanging="211"/>
        <w:spacing w:after="0"/>
        <w:tabs>
          <w:tab w:leader="none" w:pos="24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This option is exercisable in five equal annual installments beginning on January 19, 2018.</w:t>
      </w:r>
    </w:p>
    <w:p>
      <w:pPr>
        <w:spacing w:after="0" w:line="41" w:lineRule="exact"/>
        <w:rPr>
          <w:rFonts w:ascii="Arial" w:cs="Arial" w:eastAsia="Arial" w:hAnsi="Arial"/>
          <w:sz w:val="14"/>
          <w:szCs w:val="14"/>
          <w:color w:val="008000"/>
        </w:rPr>
      </w:pPr>
    </w:p>
    <w:p>
      <w:pPr>
        <w:ind w:left="240" w:hanging="211"/>
        <w:spacing w:after="0"/>
        <w:tabs>
          <w:tab w:leader="none" w:pos="24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restricted stock unit award was granted July 17, 2014 and vests 100% on July 17, 2017.</w:t>
      </w:r>
    </w:p>
    <w:p>
      <w:pPr>
        <w:spacing w:after="0" w:line="41" w:lineRule="exact"/>
        <w:rPr>
          <w:rFonts w:ascii="Arial" w:cs="Arial" w:eastAsia="Arial" w:hAnsi="Arial"/>
          <w:sz w:val="14"/>
          <w:szCs w:val="14"/>
          <w:color w:val="008000"/>
        </w:rPr>
      </w:pPr>
    </w:p>
    <w:p>
      <w:pPr>
        <w:ind w:left="240" w:hanging="211"/>
        <w:spacing w:after="0"/>
        <w:tabs>
          <w:tab w:leader="none" w:pos="24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Each restricted stock unit award represents the right to receive, at settlement, one (1) share of common stock</w:t>
      </w:r>
    </w:p>
    <w:p>
      <w:pPr>
        <w:spacing w:after="0" w:line="41" w:lineRule="exact"/>
        <w:rPr>
          <w:rFonts w:ascii="Arial" w:cs="Arial" w:eastAsia="Arial" w:hAnsi="Arial"/>
          <w:sz w:val="14"/>
          <w:szCs w:val="14"/>
          <w:color w:val="008000"/>
        </w:rPr>
      </w:pPr>
    </w:p>
    <w:p>
      <w:pPr>
        <w:ind w:left="240" w:hanging="211"/>
        <w:spacing w:after="0"/>
        <w:tabs>
          <w:tab w:leader="none" w:pos="24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restricted stock unit award was granted July 20, 2016 and vests 100% on July 20, 2019.</w:t>
      </w:r>
    </w:p>
    <w:p>
      <w:pPr>
        <w:spacing w:after="0" w:line="41" w:lineRule="exact"/>
        <w:rPr>
          <w:rFonts w:ascii="Arial" w:cs="Arial" w:eastAsia="Arial" w:hAnsi="Arial"/>
          <w:sz w:val="14"/>
          <w:szCs w:val="14"/>
          <w:color w:val="008000"/>
        </w:rPr>
      </w:pPr>
    </w:p>
    <w:p>
      <w:pPr>
        <w:ind w:left="240" w:hanging="211"/>
        <w:spacing w:after="0"/>
        <w:tabs>
          <w:tab w:leader="none" w:pos="24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restricted stock unit award was granted July 19, 2017 and vests 100% on July 19, 2020.</w:t>
      </w:r>
    </w:p>
    <w:p>
      <w:pPr>
        <w:ind w:left="6840"/>
        <w:spacing w:after="0" w:line="184" w:lineRule="auto"/>
        <w:rPr>
          <w:sz w:val="20"/>
          <w:szCs w:val="20"/>
          <w:color w:val="auto"/>
        </w:rPr>
      </w:pPr>
      <w:r>
        <w:rPr>
          <w:rFonts w:ascii="Arial" w:cs="Arial" w:eastAsia="Arial" w:hAnsi="Arial"/>
          <w:sz w:val="17"/>
          <w:szCs w:val="17"/>
          <w:color w:val="0000FF"/>
        </w:rPr>
        <w:t xml:space="preserve">/s/ Matthew Rinegar, Attorney- </w:t>
      </w:r>
      <w:r>
        <w:rPr>
          <w:rFonts w:ascii="Arial" w:cs="Arial" w:eastAsia="Arial" w:hAnsi="Arial"/>
          <w:sz w:val="34"/>
          <w:szCs w:val="34"/>
          <w:color w:val="0000FF"/>
          <w:vertAlign w:val="subscript"/>
        </w:rPr>
        <w:t>06/13/2017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-27940</wp:posOffset>
            </wp:positionV>
            <wp:extent cx="139509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95095" cy="8890"/>
                    </a:xfrm>
                    <a:prstGeom prst="rect">
                      <a:avLst/>
                    </a:prstGeom>
                    <a:noFill/>
                  </pic:spPr>
                </pic:pic>
              </a:graphicData>
            </a:graphic>
          </wp:anchor>
        </w:drawing>
      </w:r>
    </w:p>
    <w:p>
      <w:pPr>
        <w:ind w:left="6840"/>
        <w:spacing w:after="0"/>
        <w:rPr>
          <w:sz w:val="20"/>
          <w:szCs w:val="20"/>
          <w:color w:val="auto"/>
        </w:rPr>
      </w:pPr>
      <w:r>
        <w:rPr>
          <w:rFonts w:ascii="Arial" w:cs="Arial" w:eastAsia="Arial" w:hAnsi="Arial"/>
          <w:sz w:val="18"/>
          <w:szCs w:val="18"/>
          <w:color w:val="0000FF"/>
        </w:rPr>
        <w:t>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-22860</wp:posOffset>
            </wp:positionV>
            <wp:extent cx="31559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315595" cy="8890"/>
                    </a:xfrm>
                    <a:prstGeom prst="rect">
                      <a:avLst/>
                    </a:prstGeom>
                    <a:noFill/>
                  </pic:spPr>
                </pic:pic>
              </a:graphicData>
            </a:graphic>
          </wp:anchor>
        </w:drawing>
        <w:drawing>
          <wp:anchor simplePos="0" relativeHeight="251657728" behindDoc="1" locked="0" layoutInCell="0" allowOverlap="1">
            <wp:simplePos x="0" y="0"/>
            <wp:positionH relativeFrom="column">
              <wp:posOffset>5798185</wp:posOffset>
            </wp:positionH>
            <wp:positionV relativeFrom="paragraph">
              <wp:posOffset>-91440</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37" w:lineRule="exact"/>
        <w:rPr>
          <w:sz w:val="20"/>
          <w:szCs w:val="20"/>
          <w:color w:val="auto"/>
        </w:rPr>
      </w:pPr>
    </w:p>
    <w:p>
      <w:pPr>
        <w:ind w:left="6840"/>
        <w:spacing w:after="0"/>
        <w:tabs>
          <w:tab w:leader="none" w:pos="912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0"/>
          <w:szCs w:val="20"/>
          <w:color w:val="auto"/>
        </w:rPr>
      </w:pPr>
    </w:p>
    <w:p>
      <w:pPr>
        <w:ind w:left="2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2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0"/>
          <w:szCs w:val="20"/>
          <w:color w:val="auto"/>
        </w:rPr>
      </w:pPr>
    </w:p>
    <w:p>
      <w:pPr>
        <w:jc w:val="both"/>
        <w:ind w:left="20" w:right="3560" w:firstLine="9"/>
        <w:spacing w:after="0" w:line="350" w:lineRule="auto"/>
        <w:tabs>
          <w:tab w:leader="none" w:pos="16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2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380"/>
          </w:cols>
          <w:pgMar w:left="260" w:top="188" w:right="259" w:bottom="1440" w:gutter="0" w:footer="0" w:header="0"/>
        </w:sectPr>
      </w:pPr>
    </w:p>
    <w:bookmarkStart w:id="2" w:name="page3"/>
    <w:bookmarkEnd w:id="2"/>
    <w:p>
      <w:pPr>
        <w:spacing w:after="0"/>
        <w:rPr>
          <w:sz w:val="20"/>
          <w:szCs w:val="20"/>
          <w:color w:val="auto"/>
        </w:rPr>
      </w:pPr>
      <w:r>
        <w:rPr>
          <w:rFonts w:ascii="Courier New" w:cs="Courier New" w:eastAsia="Courier New" w:hAnsi="Courier New"/>
          <w:sz w:val="18"/>
          <w:szCs w:val="18"/>
          <w:color w:val="auto"/>
        </w:rPr>
        <w:t>SCHLUMBERGER LIMITED POWER OF ATTORNEY</w:t>
      </w:r>
    </w:p>
    <w:p>
      <w:pPr>
        <w:spacing w:after="0" w:line="207" w:lineRule="exact"/>
        <w:rPr>
          <w:sz w:val="20"/>
          <w:szCs w:val="20"/>
          <w:color w:val="auto"/>
        </w:rPr>
      </w:pPr>
    </w:p>
    <w:p>
      <w:pPr>
        <w:ind w:right="4099" w:firstLine="737"/>
        <w:spacing w:after="0" w:line="268" w:lineRule="auto"/>
        <w:rPr>
          <w:sz w:val="20"/>
          <w:szCs w:val="20"/>
          <w:color w:val="auto"/>
        </w:rPr>
      </w:pPr>
      <w:r>
        <w:rPr>
          <w:rFonts w:ascii="Courier New" w:cs="Courier New" w:eastAsia="Courier New" w:hAnsi="Courier New"/>
          <w:sz w:val="16"/>
          <w:szCs w:val="16"/>
          <w:color w:val="auto"/>
        </w:rPr>
        <w:t>The undersigned, in her capacity as a director or officer, or both, of Schlumberger Limited, a Curacao corporation (the "Company"), does hereby appoint each of Saul Laureles, Matthew Rinegar and Grace Holmes, or either any of them acting singly, his true and lawful attorney-in-fact with full power of substitution, to (a) prepare, execute in the undersigneds name and on the undersigneds behalf, and submit to the U.S. Securities and Exchange Commission (the "SEC") a Form ID, including amendments thereto, and any other documents necessary or appropriate to obtain codes, passwords and passphrases enabling the undersigned to make electronic filings with the SEC</w:t>
      </w:r>
    </w:p>
    <w:p>
      <w:pPr>
        <w:spacing w:after="0" w:line="2" w:lineRule="exact"/>
        <w:rPr>
          <w:sz w:val="20"/>
          <w:szCs w:val="20"/>
          <w:color w:val="auto"/>
        </w:rPr>
      </w:pPr>
    </w:p>
    <w:p>
      <w:pPr>
        <w:ind w:right="3999"/>
        <w:spacing w:after="0" w:line="237" w:lineRule="auto"/>
        <w:rPr>
          <w:sz w:val="20"/>
          <w:szCs w:val="20"/>
          <w:color w:val="auto"/>
        </w:rPr>
      </w:pPr>
      <w:r>
        <w:rPr>
          <w:rFonts w:ascii="Courier New" w:cs="Courier New" w:eastAsia="Courier New" w:hAnsi="Courier New"/>
          <w:sz w:val="18"/>
          <w:szCs w:val="18"/>
          <w:color w:val="auto"/>
        </w:rPr>
        <w:t>of reports required by Section 16(a) of the Securities Exchange Act of 1934, as amended (the Exchange Act), or any rule or regulation of the SEC; and (b) execute for and on behalf of the undersigned, in the undersigneds capacity as a director or officer, or both, of the Company, Forms 3, 4 and 5 in accordance with Section 16 of the Exchange Act, as well as Forms 144, and complete and execute any amendment or amendments thereto, and to file the same or cause the same to be filed with the SEC.</w:t>
      </w:r>
    </w:p>
    <w:p>
      <w:pPr>
        <w:spacing w:after="0" w:line="11" w:lineRule="exact"/>
        <w:rPr>
          <w:sz w:val="20"/>
          <w:szCs w:val="20"/>
          <w:color w:val="auto"/>
        </w:rPr>
      </w:pPr>
    </w:p>
    <w:p>
      <w:pPr>
        <w:ind w:right="3999" w:firstLine="737"/>
        <w:spacing w:after="0" w:line="237" w:lineRule="auto"/>
        <w:rPr>
          <w:sz w:val="20"/>
          <w:szCs w:val="20"/>
          <w:color w:val="auto"/>
        </w:rPr>
      </w:pPr>
      <w:r>
        <w:rPr>
          <w:rFonts w:ascii="Courier New" w:cs="Courier New" w:eastAsia="Courier New" w:hAnsi="Courier New"/>
          <w:sz w:val="18"/>
          <w:szCs w:val="18"/>
          <w:color w:val="auto"/>
        </w:rPr>
        <w:t>This Power of Attorney supersedes any and all prior and existing powers of attorney signed by the undersigned with respect to the subject matter hereof, and shall remain in full force and effect until the undersigned is no longer required to file Forms 3, 4, 5 or 144 with respect to the undersigneds holdings of and transactions in securities issued by the Company, unless earlier revoked by the undersigned in a signed writing delivered to the foregoing attorneys-in-fact.</w:t>
      </w: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June 12, 2017</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Stephanie Cox</w:t>
      </w:r>
    </w:p>
    <w:p>
      <w:pPr>
        <w:spacing w:after="0" w:line="238" w:lineRule="auto"/>
        <w:rPr>
          <w:sz w:val="20"/>
          <w:szCs w:val="20"/>
          <w:color w:val="auto"/>
        </w:rPr>
      </w:pPr>
      <w:r>
        <w:rPr>
          <w:rFonts w:ascii="Courier New" w:cs="Courier New" w:eastAsia="Courier New" w:hAnsi="Courier New"/>
          <w:sz w:val="18"/>
          <w:szCs w:val="18"/>
          <w:color w:val="auto"/>
        </w:rPr>
        <w:t>Stephanie Cox</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1" Type="http://schemas.openxmlformats.org/officeDocument/2006/relationships/hyperlink" Target="http://www.sec.gov/cgi-bin/browse-edgar?action=getcompany&amp;CIK=0001463371" TargetMode="External"/><Relationship Id="rId12" Type="http://schemas.openxmlformats.org/officeDocument/2006/relationships/hyperlink" Target="http://www.sec.gov/cgi-bin/browse-edgar?action=getcompany&amp;CIK=000008734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2019-12-23T21:02:27Z</dcterms:created>
  <dcterms:modified xsi:type="dcterms:W3CDTF">2019-12-23T21:02:27Z</dcterms:modified>
</cp:coreProperties>
</file>