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As filed with the Securities and Exchange Commission on January 10, 2000</w:t>
      </w:r>
    </w:p>
    <w:p>
      <w:pPr>
        <w:spacing w:after="0" w:line="201" w:lineRule="exact"/>
        <w:rPr>
          <w:sz w:val="24"/>
          <w:szCs w:val="24"/>
          <w:color w:val="auto"/>
        </w:rPr>
      </w:pPr>
    </w:p>
    <w:p>
      <w:pPr>
        <w:ind w:left="5160"/>
        <w:spacing w:after="0"/>
        <w:rPr>
          <w:sz w:val="20"/>
          <w:szCs w:val="20"/>
          <w:color w:val="auto"/>
        </w:rPr>
      </w:pPr>
      <w:r>
        <w:rPr>
          <w:rFonts w:ascii="Courier New" w:cs="Courier New" w:eastAsia="Courier New" w:hAnsi="Courier New"/>
          <w:sz w:val="18"/>
          <w:szCs w:val="18"/>
          <w:color w:val="auto"/>
        </w:rPr>
        <w:t>Registration No. 333-92843</w:t>
      </w:r>
    </w:p>
    <w:p>
      <w:pPr>
        <w:spacing w:after="0" w:line="207"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6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to</w:t>
      </w:r>
    </w:p>
    <w:p>
      <w:pPr>
        <w:ind w:left="3800"/>
        <w:spacing w:after="0" w:line="238" w:lineRule="auto"/>
        <w:rPr>
          <w:sz w:val="20"/>
          <w:szCs w:val="20"/>
          <w:color w:val="auto"/>
        </w:rPr>
      </w:pPr>
      <w:r>
        <w:rPr>
          <w:rFonts w:ascii="Courier New" w:cs="Courier New" w:eastAsia="Courier New" w:hAnsi="Courier New"/>
          <w:sz w:val="18"/>
          <w:szCs w:val="18"/>
          <w:color w:val="auto"/>
        </w:rPr>
        <w:t>FORM S-3</w:t>
      </w:r>
    </w:p>
    <w:p>
      <w:pPr>
        <w:ind w:left="3060"/>
        <w:spacing w:after="0" w:line="238" w:lineRule="auto"/>
        <w:rPr>
          <w:sz w:val="20"/>
          <w:szCs w:val="20"/>
          <w:color w:val="auto"/>
        </w:rPr>
      </w:pPr>
      <w:r>
        <w:rPr>
          <w:rFonts w:ascii="Courier New" w:cs="Courier New" w:eastAsia="Courier New" w:hAnsi="Courier New"/>
          <w:sz w:val="18"/>
          <w:szCs w:val="18"/>
          <w:color w:val="auto"/>
        </w:rPr>
        <w:t>REGISTRATION STATEMENT</w:t>
      </w:r>
    </w:p>
    <w:p>
      <w:pPr>
        <w:ind w:left="3900"/>
        <w:spacing w:after="0"/>
        <w:rPr>
          <w:sz w:val="20"/>
          <w:szCs w:val="20"/>
          <w:color w:val="auto"/>
        </w:rPr>
      </w:pPr>
      <w:r>
        <w:rPr>
          <w:rFonts w:ascii="Courier New" w:cs="Courier New" w:eastAsia="Courier New" w:hAnsi="Courier New"/>
          <w:sz w:val="18"/>
          <w:szCs w:val="18"/>
          <w:color w:val="auto"/>
        </w:rPr>
        <w:t>Under</w:t>
      </w:r>
    </w:p>
    <w:p>
      <w:pPr>
        <w:ind w:left="2860"/>
        <w:spacing w:after="0" w:line="237" w:lineRule="auto"/>
        <w:rPr>
          <w:sz w:val="20"/>
          <w:szCs w:val="20"/>
          <w:color w:val="auto"/>
        </w:rPr>
      </w:pPr>
      <w:r>
        <w:rPr>
          <w:rFonts w:ascii="Courier New" w:cs="Courier New" w:eastAsia="Courier New" w:hAnsi="Courier New"/>
          <w:sz w:val="18"/>
          <w:szCs w:val="18"/>
          <w:color w:val="auto"/>
        </w:rPr>
        <w:t>THE SECURITIES ACT OF 1933</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SCHLUMBERGER N.V.</w:t>
      </w:r>
    </w:p>
    <w:p>
      <w:pPr>
        <w:ind w:left="3060"/>
        <w:spacing w:after="0" w:line="238" w:lineRule="auto"/>
        <w:rPr>
          <w:sz w:val="20"/>
          <w:szCs w:val="20"/>
          <w:color w:val="auto"/>
        </w:rPr>
      </w:pPr>
      <w:r>
        <w:rPr>
          <w:rFonts w:ascii="Courier New" w:cs="Courier New" w:eastAsia="Courier New" w:hAnsi="Courier New"/>
          <w:sz w:val="18"/>
          <w:szCs w:val="18"/>
          <w:color w:val="auto"/>
        </w:rPr>
        <w:t>(Schlumberger Limited)</w:t>
      </w:r>
    </w:p>
    <w:p>
      <w:pPr>
        <w:spacing w:after="0" w:line="201"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77" w:orient="portrait"/>
          <w:cols w:equalWidth="0" w:num="1">
            <w:col w:w="10139"/>
          </w:cols>
          <w:pgMar w:left="320" w:top="852" w:right="1440" w:bottom="0" w:gutter="0" w:footer="0" w:header="0"/>
        </w:sectPr>
      </w:pPr>
    </w:p>
    <w:p>
      <w:pPr>
        <w:spacing w:after="0" w:line="207" w:lineRule="exact"/>
        <w:rPr>
          <w:sz w:val="24"/>
          <w:szCs w:val="24"/>
          <w:color w:val="auto"/>
        </w:rPr>
      </w:pPr>
    </w:p>
    <w:p>
      <w:pPr>
        <w:ind w:left="320" w:firstLine="527"/>
        <w:spacing w:after="0" w:line="279" w:lineRule="auto"/>
        <w:rPr>
          <w:sz w:val="20"/>
          <w:szCs w:val="20"/>
          <w:color w:val="auto"/>
        </w:rPr>
      </w:pPr>
      <w:r>
        <w:rPr>
          <w:rFonts w:ascii="Courier New" w:cs="Courier New" w:eastAsia="Courier New" w:hAnsi="Courier New"/>
          <w:sz w:val="16"/>
          <w:szCs w:val="16"/>
          <w:color w:val="auto"/>
        </w:rPr>
        <w:t>Netherlands Antilles (State or other jurisdiction of 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8"/>
          <w:szCs w:val="18"/>
          <w:color w:val="auto"/>
        </w:rPr>
        <w:t>52-0684746</w:t>
      </w:r>
    </w:p>
    <w:p>
      <w:pPr>
        <w:spacing w:after="0" w:line="4"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6"/>
          <w:szCs w:val="16"/>
          <w:color w:val="auto"/>
        </w:rPr>
        <w:t>(I.R.S. Employer Identification No.)</w:t>
      </w:r>
    </w:p>
    <w:p>
      <w:pPr>
        <w:spacing w:after="0" w:line="420" w:lineRule="exact"/>
        <w:rPr>
          <w:sz w:val="24"/>
          <w:szCs w:val="24"/>
          <w:color w:val="auto"/>
        </w:rPr>
      </w:pPr>
    </w:p>
    <w:p>
      <w:pPr>
        <w:sectPr>
          <w:pgSz w:w="11900" w:h="16877" w:orient="portrait"/>
          <w:cols w:equalWidth="0" w:num="2">
            <w:col w:w="3580" w:space="640"/>
            <w:col w:w="5919"/>
          </w:cols>
          <w:pgMar w:left="320" w:top="852" w:right="1440" w:bottom="0" w:gutter="0" w:footer="0" w:header="0"/>
          <w:type w:val="continuous"/>
        </w:sectPr>
      </w:pPr>
    </w:p>
    <w:p>
      <w:pPr>
        <w:ind w:left="540"/>
        <w:spacing w:after="0"/>
        <w:tabs>
          <w:tab w:leader="none" w:pos="2940" w:val="left"/>
          <w:tab w:leader="none" w:pos="5780" w:val="left"/>
        </w:tabs>
        <w:rPr>
          <w:sz w:val="20"/>
          <w:szCs w:val="20"/>
          <w:color w:val="auto"/>
        </w:rPr>
      </w:pPr>
      <w:r>
        <w:rPr>
          <w:rFonts w:ascii="Courier New" w:cs="Courier New" w:eastAsia="Courier New" w:hAnsi="Courier New"/>
          <w:sz w:val="18"/>
          <w:szCs w:val="18"/>
          <w:color w:val="auto"/>
        </w:rPr>
        <w:t>277 Park Avenue</w:t>
      </w:r>
      <w:r>
        <w:rPr>
          <w:sz w:val="20"/>
          <w:szCs w:val="20"/>
          <w:color w:val="auto"/>
        </w:rPr>
        <w:tab/>
      </w:r>
      <w:r>
        <w:rPr>
          <w:rFonts w:ascii="Courier New" w:cs="Courier New" w:eastAsia="Courier New" w:hAnsi="Courier New"/>
          <w:sz w:val="18"/>
          <w:szCs w:val="18"/>
          <w:color w:val="auto"/>
        </w:rPr>
        <w:t>42, Rue Saint-Dominique</w:t>
      </w:r>
      <w:r>
        <w:rPr>
          <w:sz w:val="20"/>
          <w:szCs w:val="20"/>
          <w:color w:val="auto"/>
        </w:rPr>
        <w:tab/>
      </w:r>
      <w:r>
        <w:rPr>
          <w:rFonts w:ascii="Courier New" w:cs="Courier New" w:eastAsia="Courier New" w:hAnsi="Courier New"/>
          <w:sz w:val="16"/>
          <w:szCs w:val="16"/>
          <w:color w:val="auto"/>
        </w:rPr>
        <w:t>Parkstraat 83, The Hague</w:t>
      </w:r>
    </w:p>
    <w:p>
      <w:pPr>
        <w:ind w:left="320"/>
        <w:spacing w:after="0"/>
        <w:tabs>
          <w:tab w:leader="none" w:pos="3460" w:val="left"/>
          <w:tab w:leader="none" w:pos="6300" w:val="left"/>
        </w:tabs>
        <w:rPr>
          <w:sz w:val="20"/>
          <w:szCs w:val="20"/>
          <w:color w:val="auto"/>
        </w:rPr>
      </w:pPr>
      <w:r>
        <w:rPr>
          <w:rFonts w:ascii="Courier New" w:cs="Courier New" w:eastAsia="Courier New" w:hAnsi="Courier New"/>
          <w:sz w:val="18"/>
          <w:szCs w:val="18"/>
          <w:color w:val="auto"/>
        </w:rPr>
        <w:t>New York, New York</w:t>
      </w:r>
      <w:r>
        <w:rPr>
          <w:sz w:val="20"/>
          <w:szCs w:val="20"/>
          <w:color w:val="auto"/>
        </w:rPr>
        <w:tab/>
      </w:r>
      <w:r>
        <w:rPr>
          <w:rFonts w:ascii="Courier New" w:cs="Courier New" w:eastAsia="Courier New" w:hAnsi="Courier New"/>
          <w:sz w:val="18"/>
          <w:szCs w:val="18"/>
          <w:color w:val="auto"/>
        </w:rPr>
        <w:t>Paris, France</w:t>
      </w:r>
      <w:r>
        <w:rPr>
          <w:sz w:val="20"/>
          <w:szCs w:val="20"/>
          <w:color w:val="auto"/>
        </w:rPr>
        <w:tab/>
      </w:r>
      <w:r>
        <w:rPr>
          <w:rFonts w:ascii="Courier New" w:cs="Courier New" w:eastAsia="Courier New" w:hAnsi="Courier New"/>
          <w:sz w:val="16"/>
          <w:szCs w:val="16"/>
          <w:color w:val="auto"/>
        </w:rPr>
        <w:t>The Netherlands</w:t>
      </w:r>
    </w:p>
    <w:p>
      <w:pPr>
        <w:ind w:left="740"/>
        <w:spacing w:after="0"/>
        <w:tabs>
          <w:tab w:leader="none" w:pos="3880" w:val="left"/>
          <w:tab w:leader="none" w:pos="6720" w:val="left"/>
        </w:tabs>
        <w:rPr>
          <w:sz w:val="20"/>
          <w:szCs w:val="20"/>
          <w:color w:val="auto"/>
        </w:rPr>
      </w:pPr>
      <w:r>
        <w:rPr>
          <w:rFonts w:ascii="Courier New" w:cs="Courier New" w:eastAsia="Courier New" w:hAnsi="Courier New"/>
          <w:sz w:val="18"/>
          <w:szCs w:val="18"/>
          <w:color w:val="auto"/>
        </w:rPr>
        <w:t>10172-2066</w:t>
      </w:r>
      <w:r>
        <w:rPr>
          <w:sz w:val="20"/>
          <w:szCs w:val="20"/>
          <w:color w:val="auto"/>
        </w:rPr>
        <w:tab/>
      </w:r>
      <w:r>
        <w:rPr>
          <w:rFonts w:ascii="Courier New" w:cs="Courier New" w:eastAsia="Courier New" w:hAnsi="Courier New"/>
          <w:sz w:val="18"/>
          <w:szCs w:val="18"/>
          <w:color w:val="auto"/>
        </w:rPr>
        <w:t>75007</w:t>
      </w:r>
      <w:r>
        <w:rPr>
          <w:sz w:val="20"/>
          <w:szCs w:val="20"/>
          <w:color w:val="auto"/>
        </w:rPr>
        <w:tab/>
      </w:r>
      <w:r>
        <w:rPr>
          <w:rFonts w:ascii="Courier New" w:cs="Courier New" w:eastAsia="Courier New" w:hAnsi="Courier New"/>
          <w:sz w:val="16"/>
          <w:szCs w:val="16"/>
          <w:color w:val="auto"/>
        </w:rPr>
        <w:t>2514 JG</w:t>
      </w:r>
    </w:p>
    <w:p>
      <w:pPr>
        <w:sectPr>
          <w:pgSz w:w="11900" w:h="16877" w:orient="portrait"/>
          <w:cols w:equalWidth="0" w:num="1">
            <w:col w:w="10139"/>
          </w:cols>
          <w:pgMar w:left="320" w:top="852" w:right="1440" w:bottom="0" w:gutter="0" w:footer="0" w:header="0"/>
          <w:type w:val="continuous"/>
        </w:sectPr>
      </w:pPr>
    </w:p>
    <w:p>
      <w:pPr>
        <w:jc w:val="center"/>
        <w:ind w:right="1819"/>
        <w:spacing w:after="0"/>
        <w:rPr>
          <w:sz w:val="20"/>
          <w:szCs w:val="20"/>
          <w:color w:val="auto"/>
        </w:rPr>
      </w:pPr>
      <w:r>
        <w:rPr>
          <w:rFonts w:ascii="Courier New" w:cs="Courier New" w:eastAsia="Courier New" w:hAnsi="Courier New"/>
          <w:sz w:val="18"/>
          <w:szCs w:val="18"/>
          <w:color w:val="auto"/>
        </w:rPr>
        <w:t>(Address, including zip code, and telephone number, including area code, of</w:t>
      </w:r>
    </w:p>
    <w:p>
      <w:pPr>
        <w:jc w:val="center"/>
        <w:ind w:right="1819"/>
        <w:spacing w:after="0" w:line="237" w:lineRule="auto"/>
        <w:rPr>
          <w:sz w:val="20"/>
          <w:szCs w:val="20"/>
          <w:color w:val="auto"/>
        </w:rPr>
      </w:pPr>
      <w:r>
        <w:rPr>
          <w:rFonts w:ascii="Courier New" w:cs="Courier New" w:eastAsia="Courier New" w:hAnsi="Courier New"/>
          <w:sz w:val="18"/>
          <w:szCs w:val="18"/>
          <w:color w:val="auto"/>
        </w:rPr>
        <w:t>registrant's principal executive offices)</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James L. Gunderson, Esq.</w:t>
      </w:r>
    </w:p>
    <w:p>
      <w:pPr>
        <w:ind w:left="2640"/>
        <w:spacing w:after="0" w:line="238" w:lineRule="auto"/>
        <w:rPr>
          <w:sz w:val="20"/>
          <w:szCs w:val="20"/>
          <w:color w:val="auto"/>
        </w:rPr>
      </w:pPr>
      <w:r>
        <w:rPr>
          <w:rFonts w:ascii="Courier New" w:cs="Courier New" w:eastAsia="Courier New" w:hAnsi="Courier New"/>
          <w:sz w:val="18"/>
          <w:szCs w:val="18"/>
          <w:color w:val="auto"/>
        </w:rPr>
        <w:t>General Counsel and Secretary</w:t>
      </w:r>
    </w:p>
    <w:p>
      <w:pPr>
        <w:ind w:left="3160"/>
        <w:spacing w:after="0" w:line="238" w:lineRule="auto"/>
        <w:rPr>
          <w:sz w:val="20"/>
          <w:szCs w:val="20"/>
          <w:color w:val="auto"/>
        </w:rPr>
      </w:pPr>
      <w:r>
        <w:rPr>
          <w:rFonts w:ascii="Courier New" w:cs="Courier New" w:eastAsia="Courier New" w:hAnsi="Courier New"/>
          <w:sz w:val="18"/>
          <w:szCs w:val="18"/>
          <w:color w:val="auto"/>
        </w:rPr>
        <w:t>Schlumberger Limited</w:t>
      </w:r>
    </w:p>
    <w:p>
      <w:pPr>
        <w:ind w:left="3380"/>
        <w:spacing w:after="0"/>
        <w:rPr>
          <w:sz w:val="20"/>
          <w:szCs w:val="20"/>
          <w:color w:val="auto"/>
        </w:rPr>
      </w:pPr>
      <w:r>
        <w:rPr>
          <w:rFonts w:ascii="Courier New" w:cs="Courier New" w:eastAsia="Courier New" w:hAnsi="Courier New"/>
          <w:sz w:val="18"/>
          <w:szCs w:val="18"/>
          <w:color w:val="auto"/>
        </w:rPr>
        <w:t>277 Park Avenue</w:t>
      </w:r>
    </w:p>
    <w:p>
      <w:pPr>
        <w:ind w:left="2640"/>
        <w:spacing w:after="0" w:line="237" w:lineRule="auto"/>
        <w:rPr>
          <w:sz w:val="20"/>
          <w:szCs w:val="20"/>
          <w:color w:val="auto"/>
        </w:rPr>
      </w:pPr>
      <w:r>
        <w:rPr>
          <w:rFonts w:ascii="Courier New" w:cs="Courier New" w:eastAsia="Courier New" w:hAnsi="Courier New"/>
          <w:sz w:val="18"/>
          <w:szCs w:val="18"/>
          <w:color w:val="auto"/>
        </w:rPr>
        <w:t>New York, New York 10172-2066</w:t>
      </w:r>
    </w:p>
    <w:p>
      <w:pPr>
        <w:ind w:left="3480"/>
        <w:spacing w:after="0" w:line="238" w:lineRule="auto"/>
        <w:rPr>
          <w:sz w:val="20"/>
          <w:szCs w:val="20"/>
          <w:color w:val="auto"/>
        </w:rPr>
      </w:pPr>
      <w:r>
        <w:rPr>
          <w:rFonts w:ascii="Courier New" w:cs="Courier New" w:eastAsia="Courier New" w:hAnsi="Courier New"/>
          <w:sz w:val="18"/>
          <w:szCs w:val="18"/>
          <w:color w:val="auto"/>
        </w:rPr>
        <w:t>(212) 350-9400</w:t>
      </w:r>
    </w:p>
    <w:p>
      <w:pPr>
        <w:spacing w:after="0" w:line="5" w:lineRule="exact"/>
        <w:rPr>
          <w:sz w:val="24"/>
          <w:szCs w:val="24"/>
          <w:color w:val="auto"/>
        </w:rPr>
      </w:pPr>
    </w:p>
    <w:p>
      <w:pPr>
        <w:jc w:val="center"/>
        <w:ind w:left="440"/>
        <w:spacing w:after="0" w:line="235" w:lineRule="auto"/>
        <w:rPr>
          <w:sz w:val="20"/>
          <w:szCs w:val="20"/>
          <w:color w:val="auto"/>
        </w:rPr>
      </w:pPr>
      <w:r>
        <w:rPr>
          <w:rFonts w:ascii="Courier New" w:cs="Courier New" w:eastAsia="Courier New" w:hAnsi="Courier New"/>
          <w:sz w:val="18"/>
          <w:szCs w:val="18"/>
          <w:color w:val="auto"/>
        </w:rPr>
        <w:t>(Name, address, including zip code, and telephone number, including area code, of agent for service)</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Copy to:</w:t>
      </w:r>
    </w:p>
    <w:p>
      <w:pPr>
        <w:ind w:left="2740"/>
        <w:spacing w:after="0" w:line="238" w:lineRule="auto"/>
        <w:rPr>
          <w:sz w:val="20"/>
          <w:szCs w:val="20"/>
          <w:color w:val="auto"/>
        </w:rPr>
      </w:pPr>
      <w:r>
        <w:rPr>
          <w:rFonts w:ascii="Courier New" w:cs="Courier New" w:eastAsia="Courier New" w:hAnsi="Courier New"/>
          <w:sz w:val="18"/>
          <w:szCs w:val="18"/>
          <w:color w:val="auto"/>
        </w:rPr>
        <w:t>J. David Kirkland, Jr., Esq.</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Baker Botts L.L.P.</w:t>
      </w:r>
    </w:p>
    <w:p>
      <w:pPr>
        <w:ind w:left="3160"/>
        <w:spacing w:after="0" w:line="238" w:lineRule="auto"/>
        <w:rPr>
          <w:sz w:val="20"/>
          <w:szCs w:val="20"/>
          <w:color w:val="auto"/>
        </w:rPr>
      </w:pPr>
      <w:r>
        <w:rPr>
          <w:rFonts w:ascii="Courier New" w:cs="Courier New" w:eastAsia="Courier New" w:hAnsi="Courier New"/>
          <w:sz w:val="18"/>
          <w:szCs w:val="18"/>
          <w:color w:val="auto"/>
        </w:rPr>
        <w:t>3000 One Shell Plaza</w:t>
      </w:r>
    </w:p>
    <w:p>
      <w:pPr>
        <w:ind w:left="3480"/>
        <w:spacing w:after="0" w:line="238" w:lineRule="auto"/>
        <w:rPr>
          <w:sz w:val="20"/>
          <w:szCs w:val="20"/>
          <w:color w:val="auto"/>
        </w:rPr>
      </w:pPr>
      <w:r>
        <w:rPr>
          <w:rFonts w:ascii="Courier New" w:cs="Courier New" w:eastAsia="Courier New" w:hAnsi="Courier New"/>
          <w:sz w:val="18"/>
          <w:szCs w:val="18"/>
          <w:color w:val="auto"/>
        </w:rPr>
        <w:t>910 Louisiana</w:t>
      </w:r>
    </w:p>
    <w:p>
      <w:pPr>
        <w:ind w:left="3160"/>
        <w:spacing w:after="0"/>
        <w:rPr>
          <w:sz w:val="20"/>
          <w:szCs w:val="20"/>
          <w:color w:val="auto"/>
        </w:rPr>
      </w:pPr>
      <w:r>
        <w:rPr>
          <w:rFonts w:ascii="Courier New" w:cs="Courier New" w:eastAsia="Courier New" w:hAnsi="Courier New"/>
          <w:sz w:val="18"/>
          <w:szCs w:val="18"/>
          <w:color w:val="auto"/>
        </w:rPr>
        <w:t>Houston, Texas 77002</w:t>
      </w:r>
    </w:p>
    <w:p>
      <w:pPr>
        <w:ind w:left="3480"/>
        <w:spacing w:after="0" w:line="237" w:lineRule="auto"/>
        <w:rPr>
          <w:sz w:val="20"/>
          <w:szCs w:val="20"/>
          <w:color w:val="auto"/>
        </w:rPr>
      </w:pPr>
      <w:r>
        <w:rPr>
          <w:rFonts w:ascii="Courier New" w:cs="Courier New" w:eastAsia="Courier New" w:hAnsi="Courier New"/>
          <w:sz w:val="18"/>
          <w:szCs w:val="18"/>
          <w:color w:val="auto"/>
        </w:rPr>
        <w:t>(713) 229-1101</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2019" w:firstLine="316"/>
        <w:spacing w:after="0" w:line="235" w:lineRule="auto"/>
        <w:rPr>
          <w:sz w:val="20"/>
          <w:szCs w:val="20"/>
          <w:color w:val="auto"/>
        </w:rPr>
      </w:pPr>
      <w:r>
        <w:rPr>
          <w:rFonts w:ascii="Courier New" w:cs="Courier New" w:eastAsia="Courier New" w:hAnsi="Courier New"/>
          <w:sz w:val="18"/>
          <w:szCs w:val="18"/>
          <w:color w:val="auto"/>
        </w:rPr>
        <w:t>Approximate date of commencement of proposed sale to the public: From time to time after this Registration Statement becomes effective.</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819" w:firstLine="316"/>
        <w:spacing w:after="0" w:line="236" w:lineRule="auto"/>
        <w:rPr>
          <w:sz w:val="20"/>
          <w:szCs w:val="20"/>
          <w:color w:val="auto"/>
        </w:rPr>
      </w:pPr>
      <w:r>
        <w:rPr>
          <w:rFonts w:ascii="Courier New" w:cs="Courier New" w:eastAsia="Courier New" w:hAnsi="Courier New"/>
          <w:sz w:val="18"/>
          <w:szCs w:val="18"/>
          <w:color w:val="auto"/>
        </w:rPr>
        <w:t>If the only securities being registered on this Form are to be offered pursuant to dividend or interest reinvestment plans, please check the following box. [_]</w:t>
      </w:r>
    </w:p>
    <w:p>
      <w:pPr>
        <w:spacing w:after="0" w:line="208" w:lineRule="exact"/>
        <w:rPr>
          <w:sz w:val="24"/>
          <w:szCs w:val="24"/>
          <w:color w:val="auto"/>
        </w:rPr>
      </w:pPr>
    </w:p>
    <w:p>
      <w:pPr>
        <w:ind w:right="1919" w:firstLine="316"/>
        <w:spacing w:after="0" w:line="237" w:lineRule="auto"/>
        <w:rPr>
          <w:sz w:val="20"/>
          <w:szCs w:val="20"/>
          <w:color w:val="auto"/>
        </w:rPr>
      </w:pPr>
      <w:r>
        <w:rPr>
          <w:rFonts w:ascii="Courier New" w:cs="Courier New" w:eastAsia="Courier New" w:hAnsi="Courier New"/>
          <w:sz w:val="18"/>
          <w:szCs w:val="18"/>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207" w:lineRule="exact"/>
        <w:rPr>
          <w:sz w:val="24"/>
          <w:szCs w:val="24"/>
          <w:color w:val="auto"/>
        </w:rPr>
      </w:pPr>
    </w:p>
    <w:p>
      <w:pPr>
        <w:ind w:right="2119" w:firstLine="316"/>
        <w:spacing w:after="0" w:line="279" w:lineRule="auto"/>
        <w:rPr>
          <w:sz w:val="20"/>
          <w:szCs w:val="20"/>
          <w:color w:val="auto"/>
        </w:rPr>
      </w:pPr>
      <w:r>
        <w:rPr>
          <w:rFonts w:ascii="Courier New" w:cs="Courier New" w:eastAsia="Courier New" w:hAnsi="Courier New"/>
          <w:sz w:val="16"/>
          <w:szCs w:val="16"/>
          <w:color w:val="auto"/>
        </w:rPr>
        <w:t>If this Form is filed to register additional securities for an offering pursuant to Rule 462(b) under the Securities Act, please check the following box and list the Securities Act registration statement number of the earlier</w:t>
      </w:r>
    </w:p>
    <w:p>
      <w:pPr>
        <w:sectPr>
          <w:pgSz w:w="11900" w:h="16877" w:orient="portrait"/>
          <w:cols w:equalWidth="0" w:num="1">
            <w:col w:w="10139"/>
          </w:cols>
          <w:pgMar w:left="320" w:top="852"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effective registration statement for the same offering. [_]</w:t>
      </w:r>
    </w:p>
    <w:p>
      <w:pPr>
        <w:spacing w:after="0" w:line="207" w:lineRule="exact"/>
        <w:rPr>
          <w:sz w:val="20"/>
          <w:szCs w:val="20"/>
          <w:color w:val="auto"/>
        </w:rPr>
      </w:pPr>
    </w:p>
    <w:p>
      <w:pPr>
        <w:ind w:right="2019" w:firstLine="316"/>
        <w:spacing w:after="0" w:line="237" w:lineRule="auto"/>
        <w:rPr>
          <w:sz w:val="20"/>
          <w:szCs w:val="20"/>
          <w:color w:val="auto"/>
        </w:rPr>
      </w:pPr>
      <w:r>
        <w:rPr>
          <w:rFonts w:ascii="Courier New" w:cs="Courier New" w:eastAsia="Courier New" w:hAnsi="Courier New"/>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[_]</w:t>
      </w:r>
    </w:p>
    <w:p>
      <w:pPr>
        <w:spacing w:after="0" w:line="207" w:lineRule="exact"/>
        <w:rPr>
          <w:sz w:val="20"/>
          <w:szCs w:val="20"/>
          <w:color w:val="auto"/>
        </w:rPr>
      </w:pPr>
    </w:p>
    <w:p>
      <w:pPr>
        <w:ind w:right="2019" w:firstLine="316"/>
        <w:spacing w:after="0" w:line="235" w:lineRule="auto"/>
        <w:rPr>
          <w:sz w:val="20"/>
          <w:szCs w:val="20"/>
          <w:color w:val="auto"/>
        </w:rPr>
      </w:pPr>
      <w:r>
        <w:rPr>
          <w:rFonts w:ascii="Courier New" w:cs="Courier New" w:eastAsia="Courier New" w:hAnsi="Courier New"/>
          <w:sz w:val="18"/>
          <w:szCs w:val="18"/>
          <w:color w:val="auto"/>
        </w:rPr>
        <w:t>If delivery of the prospectus is expected to be made pursuant to Rule 434, please check the following box. [_]</w:t>
      </w:r>
    </w:p>
    <w:p>
      <w:pPr>
        <w:spacing w:after="0" w:line="208" w:lineRule="exact"/>
        <w:rPr>
          <w:sz w:val="20"/>
          <w:szCs w:val="20"/>
          <w:color w:val="auto"/>
        </w:rPr>
      </w:pPr>
    </w:p>
    <w:p>
      <w:pPr>
        <w:ind w:right="1819" w:firstLine="316"/>
        <w:spacing w:after="0" w:line="237" w:lineRule="auto"/>
        <w:rPr>
          <w:sz w:val="20"/>
          <w:szCs w:val="20"/>
          <w:color w:val="auto"/>
        </w:rPr>
      </w:pPr>
      <w:r>
        <w:rPr>
          <w:rFonts w:ascii="Courier New" w:cs="Courier New" w:eastAsia="Courier New" w:hAnsi="Courier New"/>
          <w:sz w:val="18"/>
          <w:szCs w:val="18"/>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10" w:lineRule="exact"/>
        <w:rPr>
          <w:sz w:val="20"/>
          <w:szCs w:val="20"/>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13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40" w:type="dxa"/>
            <w:vAlign w:val="bottom"/>
          </w:tcPr>
          <w:p>
            <w:pPr>
              <w:spacing w:after="0"/>
              <w:rPr>
                <w:sz w:val="20"/>
                <w:szCs w:val="20"/>
                <w:color w:val="auto"/>
              </w:rPr>
            </w:pPr>
            <w:r>
              <w:rPr>
                <w:rFonts w:ascii="Courier New" w:cs="Courier New" w:eastAsia="Courier New" w:hAnsi="Courier New"/>
                <w:sz w:val="18"/>
                <w:szCs w:val="18"/>
                <w:color w:val="auto"/>
                <w:w w:val="98"/>
              </w:rPr>
              <w:t>+The information in this prospectus</w:t>
            </w:r>
          </w:p>
        </w:tc>
        <w:tc>
          <w:tcPr>
            <w:tcW w:w="2540" w:type="dxa"/>
            <w:vAlign w:val="bottom"/>
          </w:tcPr>
          <w:p>
            <w:pPr>
              <w:ind w:left="60"/>
              <w:spacing w:after="0"/>
              <w:rPr>
                <w:sz w:val="20"/>
                <w:szCs w:val="20"/>
                <w:color w:val="auto"/>
              </w:rPr>
            </w:pPr>
            <w:r>
              <w:rPr>
                <w:rFonts w:ascii="Courier New" w:cs="Courier New" w:eastAsia="Courier New" w:hAnsi="Courier New"/>
                <w:sz w:val="18"/>
                <w:szCs w:val="18"/>
                <w:color w:val="auto"/>
                <w:w w:val="99"/>
              </w:rPr>
              <w:t>is not complete and may</w:t>
            </w:r>
          </w:p>
        </w:tc>
        <w:tc>
          <w:tcPr>
            <w:tcW w:w="1940" w:type="dxa"/>
            <w:vAlign w:val="bottom"/>
          </w:tcPr>
          <w:p>
            <w:pPr>
              <w:ind w:left="40"/>
              <w:spacing w:after="0"/>
              <w:rPr>
                <w:sz w:val="20"/>
                <w:szCs w:val="20"/>
                <w:color w:val="auto"/>
              </w:rPr>
            </w:pPr>
            <w:r>
              <w:rPr>
                <w:rFonts w:ascii="Courier New" w:cs="Courier New" w:eastAsia="Courier New" w:hAnsi="Courier New"/>
                <w:sz w:val="18"/>
                <w:szCs w:val="18"/>
                <w:color w:val="auto"/>
              </w:rPr>
              <w:t>change. This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6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+prospectus is included in a registration statement that we</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 with the</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2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+Securities and Exchange Commission. The selling holder cannot sell these</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+securities until that registration</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statement becomes effective. This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+prospectus is not an offer to sell</w:t>
            </w:r>
          </w:p>
        </w:tc>
        <w:tc>
          <w:tcPr>
            <w:tcW w:w="2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these securities and is</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not soliciting an</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+offer to buy these securities in any state where the offer</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or sale is not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+permitted.</w:t>
            </w:r>
          </w:p>
        </w:tc>
        <w:tc>
          <w:tcPr>
            <w:tcW w:w="25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jc w:val="center"/>
        <w:ind w:right="1699"/>
        <w:spacing w:after="0" w:line="290" w:lineRule="auto"/>
        <w:rPr>
          <w:sz w:val="20"/>
          <w:szCs w:val="20"/>
          <w:color w:val="auto"/>
        </w:rPr>
      </w:pPr>
      <w:r>
        <w:rPr>
          <w:rFonts w:ascii="Courier New" w:cs="Courier New" w:eastAsia="Courier New" w:hAnsi="Courier New"/>
          <w:sz w:val="16"/>
          <w:szCs w:val="16"/>
          <w:color w:val="auto"/>
        </w:rPr>
        <w:t>++++++++++++++++++++++++++++++++++++++++++++++++++++++++++++++++++++++++++++++++ SUBJECT TO COMPLETION</w:t>
      </w:r>
    </w:p>
    <w:p>
      <w:pPr>
        <w:spacing w:after="0" w:line="164"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PRELIMINARY PROSPECTUS DATED JANUARY 10, 2000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PROSPECTUS</w:t>
      </w:r>
    </w:p>
    <w:p>
      <w:pPr>
        <w:spacing w:after="0" w:line="201"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8"/>
          <w:szCs w:val="18"/>
          <w:color w:val="auto"/>
        </w:rPr>
        <w:t>LOGO FOR SCHLUMBERGER LIMITED APPEARS HERE</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15,153,018 Shares</w:t>
      </w:r>
    </w:p>
    <w:p>
      <w:pPr>
        <w:spacing w:after="0" w:line="201"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Schlumberger Limited</w:t>
      </w:r>
    </w:p>
    <w:p>
      <w:pPr>
        <w:spacing w:after="0" w:line="201" w:lineRule="exact"/>
        <w:rPr>
          <w:sz w:val="20"/>
          <w:szCs w:val="20"/>
          <w:color w:val="auto"/>
        </w:rPr>
      </w:pPr>
    </w:p>
    <w:p>
      <w:pPr>
        <w:jc w:val="center"/>
        <w:ind w:right="1799"/>
        <w:spacing w:after="0"/>
        <w:rPr>
          <w:sz w:val="20"/>
          <w:szCs w:val="20"/>
          <w:color w:val="auto"/>
        </w:rPr>
      </w:pPr>
      <w:r>
        <w:rPr>
          <w:rFonts w:ascii="Courier New" w:cs="Courier New" w:eastAsia="Courier New" w:hAnsi="Courier New"/>
          <w:sz w:val="18"/>
          <w:szCs w:val="18"/>
          <w:color w:val="auto"/>
        </w:rPr>
        <w:t>277 Park Avenue</w:t>
      </w:r>
    </w:p>
    <w:p>
      <w:pPr>
        <w:jc w:val="center"/>
        <w:ind w:right="1799"/>
        <w:spacing w:after="0" w:line="238" w:lineRule="auto"/>
        <w:rPr>
          <w:sz w:val="20"/>
          <w:szCs w:val="20"/>
          <w:color w:val="auto"/>
        </w:rPr>
      </w:pPr>
      <w:r>
        <w:rPr>
          <w:rFonts w:ascii="Courier New" w:cs="Courier New" w:eastAsia="Courier New" w:hAnsi="Courier New"/>
          <w:sz w:val="18"/>
          <w:szCs w:val="18"/>
          <w:color w:val="auto"/>
        </w:rPr>
        <w:t>New York, New York 10172-2066</w:t>
      </w:r>
    </w:p>
    <w:p>
      <w:pPr>
        <w:ind w:left="4120" w:hanging="637"/>
        <w:spacing w:after="0" w:line="238" w:lineRule="auto"/>
        <w:tabs>
          <w:tab w:leader="none" w:pos="41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350-9400</w:t>
      </w:r>
    </w:p>
    <w:p>
      <w:pPr>
        <w:spacing w:after="0" w:line="201" w:lineRule="exact"/>
        <w:rPr>
          <w:rFonts w:ascii="Courier New" w:cs="Courier New" w:eastAsia="Courier New" w:hAnsi="Courier New"/>
          <w:sz w:val="18"/>
          <w:szCs w:val="18"/>
          <w:color w:val="auto"/>
        </w:rPr>
      </w:pPr>
    </w:p>
    <w:p>
      <w:pPr>
        <w:ind w:left="34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19" w:firstLine="211"/>
        <w:spacing w:after="0" w:line="236" w:lineRule="auto"/>
        <w:rPr>
          <w:sz w:val="20"/>
          <w:szCs w:val="20"/>
          <w:color w:val="auto"/>
        </w:rPr>
      </w:pPr>
      <w:r>
        <w:rPr>
          <w:rFonts w:ascii="Courier New" w:cs="Courier New" w:eastAsia="Courier New" w:hAnsi="Courier New"/>
          <w:sz w:val="18"/>
          <w:szCs w:val="18"/>
          <w:color w:val="auto"/>
        </w:rPr>
        <w:t>This prospectus covers the offer and sale of common stock by Dow Financial Holdings Inc., the selling holder. We will not receive any proceeds from these sales.</w:t>
      </w:r>
    </w:p>
    <w:p>
      <w:pPr>
        <w:spacing w:after="0" w:line="208" w:lineRule="exact"/>
        <w:rPr>
          <w:sz w:val="20"/>
          <w:szCs w:val="20"/>
          <w:color w:val="auto"/>
        </w:rPr>
      </w:pPr>
    </w:p>
    <w:p>
      <w:pPr>
        <w:ind w:right="2339" w:firstLine="211"/>
        <w:spacing w:after="0" w:line="237" w:lineRule="auto"/>
        <w:rPr>
          <w:sz w:val="20"/>
          <w:szCs w:val="20"/>
          <w:color w:val="auto"/>
        </w:rPr>
      </w:pPr>
      <w:r>
        <w:rPr>
          <w:rFonts w:ascii="Courier New" w:cs="Courier New" w:eastAsia="Courier New" w:hAnsi="Courier New"/>
          <w:sz w:val="18"/>
          <w:szCs w:val="18"/>
          <w:color w:val="auto"/>
        </w:rPr>
        <w:t>The selling holder may offer and sell the shares from time to time. The selling holder may offer the shares at prevailing market prices, at prices related to such prevailing market prices, at negotiated prices or at fixed prices.</w:t>
      </w:r>
    </w:p>
    <w:p>
      <w:pPr>
        <w:spacing w:after="0" w:line="207" w:lineRule="exact"/>
        <w:rPr>
          <w:sz w:val="20"/>
          <w:szCs w:val="20"/>
          <w:color w:val="auto"/>
        </w:rPr>
      </w:pPr>
    </w:p>
    <w:p>
      <w:pPr>
        <w:jc w:val="both"/>
        <w:ind w:right="2119" w:firstLine="211"/>
        <w:spacing w:after="0" w:line="236" w:lineRule="auto"/>
        <w:rPr>
          <w:sz w:val="20"/>
          <w:szCs w:val="20"/>
          <w:color w:val="auto"/>
        </w:rPr>
      </w:pPr>
      <w:r>
        <w:rPr>
          <w:rFonts w:ascii="Courier New" w:cs="Courier New" w:eastAsia="Courier New" w:hAnsi="Courier New"/>
          <w:sz w:val="18"/>
          <w:szCs w:val="18"/>
          <w:color w:val="auto"/>
        </w:rPr>
        <w:t>The common stock is quoted on the New York Stock Exchange under the symbol SLB. On January 7, 2000, the last reported sale price of the common stock on the New York Stock Exchange was $58 13/16.</w:t>
      </w:r>
    </w:p>
    <w:p>
      <w:pPr>
        <w:spacing w:after="0" w:line="208" w:lineRule="exact"/>
        <w:rPr>
          <w:sz w:val="20"/>
          <w:szCs w:val="20"/>
          <w:color w:val="auto"/>
        </w:rPr>
      </w:pPr>
    </w:p>
    <w:p>
      <w:pPr>
        <w:ind w:right="1919" w:firstLine="211"/>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The date of this Prospectus is January 10, 2000.</w:t>
      </w:r>
    </w:p>
    <w:p>
      <w:pPr>
        <w:sectPr>
          <w:pgSz w:w="11900" w:h="16838" w:orient="portrait"/>
          <w:cols w:equalWidth="0" w:num="1">
            <w:col w:w="10139"/>
          </w:cols>
          <w:pgMar w:left="320" w:top="722" w:right="1440" w:bottom="1440" w:gutter="0" w:footer="0" w:header="0"/>
        </w:sectPr>
      </w:pPr>
    </w:p>
    <w:bookmarkStart w:id="3" w:name="page4"/>
    <w:bookmarkEnd w:id="3"/>
    <w:tbl>
      <w:tblPr>
        <w:tblLayout w:type="fixed"/>
        <w:tblInd w:w="320" w:type="dxa"/>
        <w:tblCellMar>
          <w:top w:w="0" w:type="dxa"/>
          <w:left w:w="0" w:type="dxa"/>
          <w:bottom w:w="0" w:type="dxa"/>
          <w:right w:w="0" w:type="dxa"/>
        </w:tblCellMar>
      </w:tblPr>
      <w:tr>
        <w:trPr>
          <w:trHeight w:val="204"/>
        </w:trPr>
        <w:tc>
          <w:tcPr>
            <w:tcW w:w="7640" w:type="dxa"/>
            <w:vAlign w:val="bottom"/>
          </w:tcPr>
          <w:p>
            <w:pPr>
              <w:ind w:left="2960"/>
              <w:spacing w:after="0"/>
              <w:rPr>
                <w:sz w:val="20"/>
                <w:szCs w:val="20"/>
                <w:color w:val="auto"/>
              </w:rPr>
            </w:pPr>
            <w:r>
              <w:rPr>
                <w:rFonts w:ascii="Courier New" w:cs="Courier New" w:eastAsia="Courier New" w:hAnsi="Courier New"/>
                <w:sz w:val="18"/>
                <w:szCs w:val="18"/>
                <w:color w:val="auto"/>
              </w:rPr>
              <w:t>TABLE OF CONTENTS</w:t>
            </w:r>
          </w:p>
        </w:tc>
        <w:tc>
          <w:tcPr>
            <w:tcW w:w="480" w:type="dxa"/>
            <w:vAlign w:val="bottom"/>
          </w:tcPr>
          <w:p>
            <w:pPr>
              <w:spacing w:after="0"/>
              <w:rPr>
                <w:sz w:val="17"/>
                <w:szCs w:val="17"/>
                <w:color w:val="auto"/>
              </w:rPr>
            </w:pPr>
          </w:p>
        </w:tc>
      </w:tr>
      <w:tr>
        <w:trPr>
          <w:trHeight w:val="810"/>
        </w:trPr>
        <w:tc>
          <w:tcPr>
            <w:tcW w:w="76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Page</w:t>
            </w:r>
          </w:p>
        </w:tc>
      </w:tr>
      <w:tr>
        <w:trPr>
          <w:trHeight w:val="203"/>
        </w:trPr>
        <w:tc>
          <w:tcPr>
            <w:tcW w:w="764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640" w:type="dxa"/>
            <w:vAlign w:val="bottom"/>
          </w:tcPr>
          <w:p>
            <w:pPr>
              <w:spacing w:after="0"/>
              <w:rPr>
                <w:sz w:val="20"/>
                <w:szCs w:val="20"/>
                <w:color w:val="auto"/>
              </w:rPr>
            </w:pPr>
            <w:r>
              <w:rPr>
                <w:rFonts w:ascii="Courier New" w:cs="Courier New" w:eastAsia="Courier New" w:hAnsi="Courier New"/>
                <w:sz w:val="18"/>
                <w:szCs w:val="18"/>
                <w:color w:val="auto"/>
                <w:w w:val="97"/>
              </w:rPr>
              <w:t>Schlumberger Limited....................................................</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2</w:t>
            </w:r>
          </w:p>
        </w:tc>
      </w:tr>
      <w:tr>
        <w:trPr>
          <w:trHeight w:val="203"/>
        </w:trPr>
        <w:tc>
          <w:tcPr>
            <w:tcW w:w="76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Forward-Looking Statements..............................................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76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Use of Proceeds.........................................................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76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The Selling Holder......................................................</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76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Plan of Distribution....................................................</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76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Description of Capital Stock............................................</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76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Legal Matters...........................................................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76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Experts.................................................................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76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Where You Can Find More Information.....................................</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bl>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019" w:firstLine="316"/>
        <w:spacing w:after="0" w:line="271" w:lineRule="auto"/>
        <w:rPr>
          <w:sz w:val="20"/>
          <w:szCs w:val="20"/>
          <w:color w:val="auto"/>
        </w:rPr>
      </w:pPr>
      <w:r>
        <w:rPr>
          <w:rFonts w:ascii="Courier New" w:cs="Courier New" w:eastAsia="Courier New" w:hAnsi="Courier New"/>
          <w:sz w:val="16"/>
          <w:szCs w:val="16"/>
          <w:color w:val="auto"/>
        </w:rPr>
        <w:t>You should rely only on the information contained in this prospectus. We have not authorized anyone to provide you with different information. You should assume that the information appearing in this prospectus is accurate only as of the date on the front cover of this prospectus and that any information we have incorporated by reference is accurate only as of the date of the document incorporated by reference. Our business, financial condition, results of operations and prospects may have changed since those dates.</w:t>
      </w: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139"/>
          </w:cols>
          <w:pgMar w:left="320" w:top="717" w:right="1440" w:bottom="1440" w:gutter="0" w:footer="0" w:header="0"/>
        </w:sectPr>
      </w:pPr>
    </w:p>
    <w:bookmarkStart w:id="4" w:name="page5"/>
    <w:bookmarkEnd w:id="4"/>
    <w:p>
      <w:pPr>
        <w:ind w:left="3160"/>
        <w:spacing w:after="0"/>
        <w:rPr>
          <w:sz w:val="20"/>
          <w:szCs w:val="20"/>
          <w:color w:val="auto"/>
        </w:rPr>
      </w:pPr>
      <w:r>
        <w:rPr>
          <w:rFonts w:ascii="Courier New" w:cs="Courier New" w:eastAsia="Courier New" w:hAnsi="Courier New"/>
          <w:sz w:val="18"/>
          <w:szCs w:val="18"/>
          <w:color w:val="auto"/>
        </w:rPr>
        <w:t>SCHLUMBERGER LIMITED</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Through our subsidiaries, we engage in the following businesses:</w:t>
      </w:r>
    </w:p>
    <w:p>
      <w:pPr>
        <w:spacing w:after="0" w:line="207" w:lineRule="exact"/>
        <w:rPr>
          <w:sz w:val="20"/>
          <w:szCs w:val="20"/>
          <w:color w:val="auto"/>
        </w:rPr>
      </w:pPr>
    </w:p>
    <w:p>
      <w:pPr>
        <w:jc w:val="both"/>
        <w:ind w:left="420" w:right="2439" w:hanging="201"/>
        <w:spacing w:after="0" w:line="236"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Oilfield Services, which provides exploration and production services during the life of an oil and gas reservoir to the petroleum industry throughout the world;</w:t>
      </w:r>
    </w:p>
    <w:p>
      <w:pPr>
        <w:spacing w:after="0" w:line="208" w:lineRule="exact"/>
        <w:rPr>
          <w:sz w:val="20"/>
          <w:szCs w:val="20"/>
          <w:color w:val="auto"/>
        </w:rPr>
      </w:pPr>
    </w:p>
    <w:p>
      <w:pPr>
        <w:ind w:left="420" w:right="2659" w:hanging="201"/>
        <w:spacing w:after="0" w:line="235"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Resource Management Services, which includes metering equipment and systems and related services; and</w:t>
      </w:r>
    </w:p>
    <w:p>
      <w:pPr>
        <w:spacing w:after="0" w:line="208" w:lineRule="exact"/>
        <w:rPr>
          <w:sz w:val="20"/>
          <w:szCs w:val="20"/>
          <w:color w:val="auto"/>
        </w:rPr>
      </w:pPr>
    </w:p>
    <w:p>
      <w:pPr>
        <w:ind w:left="420" w:right="2239" w:hanging="201"/>
        <w:spacing w:after="0" w:line="290" w:lineRule="auto"/>
        <w:tabs>
          <w:tab w:leader="none" w:pos="4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Test &amp; Transactions, which includes electronic transactions, automated test equipment and communications and information technology solutions.</w:t>
      </w:r>
    </w:p>
    <w:p>
      <w:pPr>
        <w:spacing w:after="0" w:line="169" w:lineRule="exact"/>
        <w:rPr>
          <w:sz w:val="20"/>
          <w:szCs w:val="20"/>
          <w:color w:val="auto"/>
        </w:rPr>
      </w:pPr>
    </w:p>
    <w:p>
      <w:pPr>
        <w:ind w:right="2119" w:firstLine="316"/>
        <w:spacing w:after="0" w:line="279" w:lineRule="auto"/>
        <w:rPr>
          <w:sz w:val="20"/>
          <w:szCs w:val="20"/>
          <w:color w:val="auto"/>
        </w:rPr>
      </w:pPr>
      <w:r>
        <w:rPr>
          <w:rFonts w:ascii="Courier New" w:cs="Courier New" w:eastAsia="Courier New" w:hAnsi="Courier New"/>
          <w:sz w:val="16"/>
          <w:szCs w:val="16"/>
          <w:color w:val="auto"/>
        </w:rPr>
        <w:t>For a description of some recent developments in our business, see our Current Report on Form 8-K filed January 10, 2000. For information on how to obtain that Form 8-K, see "Where You Can Find More Information" on page 7.</w:t>
      </w:r>
    </w:p>
    <w:p>
      <w:pPr>
        <w:spacing w:after="0" w:line="172"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8"/>
          <w:szCs w:val="18"/>
          <w:color w:val="auto"/>
        </w:rPr>
        <w:t>FORWARD-LOOKING STATEMENTS</w:t>
      </w:r>
    </w:p>
    <w:p>
      <w:pPr>
        <w:spacing w:after="0" w:line="207" w:lineRule="exact"/>
        <w:rPr>
          <w:sz w:val="20"/>
          <w:szCs w:val="20"/>
          <w:color w:val="auto"/>
        </w:rPr>
      </w:pPr>
    </w:p>
    <w:p>
      <w:pPr>
        <w:ind w:right="1819" w:firstLine="316"/>
        <w:spacing w:after="0" w:line="271" w:lineRule="auto"/>
        <w:rPr>
          <w:sz w:val="20"/>
          <w:szCs w:val="20"/>
          <w:color w:val="auto"/>
        </w:rPr>
      </w:pPr>
      <w:r>
        <w:rPr>
          <w:rFonts w:ascii="Courier New" w:cs="Courier New" w:eastAsia="Courier New" w:hAnsi="Courier New"/>
          <w:sz w:val="16"/>
          <w:szCs w:val="16"/>
          <w:color w:val="auto"/>
        </w:rPr>
        <w:t>This document and the documents incorporated by reference in this prospectus contain both historical and forward-looking statements. All statements other than statements of historical fact are, or may be deemed to be, forward-looking statements within the meaning of Section 27A of the Securities Act of 1933 and Section 21E of the Securities Exchange Act of 1934. Forward-looking statements include the information concerning our possible or assumed future results of operations, including statements about the following subjects:</w:t>
      </w:r>
    </w:p>
    <w:p>
      <w:pPr>
        <w:spacing w:after="0" w:line="182" w:lineRule="exact"/>
        <w:rPr>
          <w:sz w:val="20"/>
          <w:szCs w:val="20"/>
          <w:color w:val="auto"/>
        </w:rPr>
      </w:pPr>
    </w:p>
    <w:p>
      <w:pPr>
        <w:ind w:left="220"/>
        <w:spacing w:after="0"/>
        <w:tabs>
          <w:tab w:leader="none" w:pos="520" w:val="left"/>
          <w:tab w:leader="none" w:pos="4300" w:val="left"/>
          <w:tab w:leader="none" w:pos="4620" w:val="left"/>
        </w:tabs>
        <w:rPr>
          <w:sz w:val="20"/>
          <w:szCs w:val="20"/>
          <w:color w:val="auto"/>
        </w:rPr>
      </w:pPr>
      <w:r>
        <w:rPr>
          <w:rFonts w:ascii="Courier New" w:cs="Courier New" w:eastAsia="Courier New" w:hAnsi="Courier New"/>
          <w:sz w:val="18"/>
          <w:szCs w:val="18"/>
          <w:color w:val="auto"/>
        </w:rPr>
        <w:t>.</w:t>
        <w:tab/>
        <w:t>business strategies</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financing plans</w:t>
      </w:r>
    </w:p>
    <w:p>
      <w:pPr>
        <w:spacing w:after="0" w:line="207" w:lineRule="exact"/>
        <w:rPr>
          <w:sz w:val="20"/>
          <w:szCs w:val="20"/>
          <w:color w:val="auto"/>
        </w:rPr>
      </w:pPr>
    </w:p>
    <w:p>
      <w:pPr>
        <w:ind w:left="4640" w:right="2439" w:hanging="4421"/>
        <w:spacing w:after="0" w:line="235" w:lineRule="auto"/>
        <w:tabs>
          <w:tab w:leader="none" w:pos="53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operating efficiencies or synergies . budgets for capital and other expenditures</w:t>
      </w:r>
    </w:p>
    <w:p>
      <w:pPr>
        <w:spacing w:after="0" w:line="202"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00" w:type="dxa"/>
            <w:vAlign w:val="bottom"/>
          </w:tcPr>
          <w:p>
            <w:pPr>
              <w:jc w:val="right"/>
              <w:ind w:right="12"/>
              <w:spacing w:after="0"/>
              <w:rPr>
                <w:sz w:val="20"/>
                <w:szCs w:val="20"/>
                <w:color w:val="auto"/>
              </w:rPr>
            </w:pPr>
            <w:r>
              <w:rPr>
                <w:rFonts w:ascii="Courier New" w:cs="Courier New" w:eastAsia="Courier New" w:hAnsi="Courier New"/>
                <w:sz w:val="18"/>
                <w:szCs w:val="18"/>
                <w:color w:val="auto"/>
                <w:w w:val="73"/>
              </w:rPr>
              <w:t>.</w:t>
            </w:r>
          </w:p>
        </w:tc>
        <w:tc>
          <w:tcPr>
            <w:tcW w:w="3580" w:type="dxa"/>
            <w:vAlign w:val="bottom"/>
          </w:tcPr>
          <w:p>
            <w:pPr>
              <w:ind w:left="120"/>
              <w:spacing w:after="0"/>
              <w:rPr>
                <w:sz w:val="20"/>
                <w:szCs w:val="20"/>
                <w:color w:val="auto"/>
              </w:rPr>
            </w:pPr>
            <w:r>
              <w:rPr>
                <w:rFonts w:ascii="Courier New" w:cs="Courier New" w:eastAsia="Courier New" w:hAnsi="Courier New"/>
                <w:sz w:val="18"/>
                <w:szCs w:val="18"/>
                <w:color w:val="auto"/>
              </w:rPr>
              <w:t>growth opportunities</w:t>
            </w:r>
          </w:p>
        </w:tc>
        <w:tc>
          <w:tcPr>
            <w:tcW w:w="5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3480" w:type="dxa"/>
            <w:vAlign w:val="bottom"/>
          </w:tcPr>
          <w:p>
            <w:pPr>
              <w:ind w:left="100"/>
              <w:spacing w:after="0"/>
              <w:rPr>
                <w:sz w:val="20"/>
                <w:szCs w:val="20"/>
                <w:color w:val="auto"/>
              </w:rPr>
            </w:pPr>
            <w:r>
              <w:rPr>
                <w:rFonts w:ascii="Courier New" w:cs="Courier New" w:eastAsia="Courier New" w:hAnsi="Courier New"/>
                <w:sz w:val="18"/>
                <w:szCs w:val="18"/>
                <w:color w:val="auto"/>
                <w:w w:val="97"/>
              </w:rPr>
              <w:t>timing and cost of completion of</w:t>
            </w:r>
          </w:p>
        </w:tc>
      </w:tr>
      <w:tr>
        <w:trPr>
          <w:trHeight w:val="203"/>
        </w:trPr>
        <w:tc>
          <w:tcPr>
            <w:tcW w:w="20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capital projects</w:t>
            </w:r>
          </w:p>
        </w:tc>
      </w:tr>
      <w:tr>
        <w:trPr>
          <w:trHeight w:val="405"/>
        </w:trPr>
        <w:tc>
          <w:tcPr>
            <w:tcW w:w="200" w:type="dxa"/>
            <w:vAlign w:val="bottom"/>
          </w:tcPr>
          <w:p>
            <w:pPr>
              <w:jc w:val="right"/>
              <w:ind w:right="12"/>
              <w:spacing w:after="0"/>
              <w:rPr>
                <w:sz w:val="20"/>
                <w:szCs w:val="20"/>
                <w:color w:val="auto"/>
              </w:rPr>
            </w:pPr>
            <w:r>
              <w:rPr>
                <w:rFonts w:ascii="Courier New" w:cs="Courier New" w:eastAsia="Courier New" w:hAnsi="Courier New"/>
                <w:sz w:val="18"/>
                <w:szCs w:val="18"/>
                <w:color w:val="auto"/>
                <w:w w:val="73"/>
              </w:rPr>
              <w:t>.</w:t>
            </w:r>
          </w:p>
        </w:tc>
        <w:tc>
          <w:tcPr>
            <w:tcW w:w="3580" w:type="dxa"/>
            <w:vAlign w:val="bottom"/>
          </w:tcPr>
          <w:p>
            <w:pPr>
              <w:ind w:left="120"/>
              <w:spacing w:after="0"/>
              <w:rPr>
                <w:sz w:val="20"/>
                <w:szCs w:val="20"/>
                <w:color w:val="auto"/>
              </w:rPr>
            </w:pPr>
            <w:r>
              <w:rPr>
                <w:rFonts w:ascii="Courier New" w:cs="Courier New" w:eastAsia="Courier New" w:hAnsi="Courier New"/>
                <w:sz w:val="18"/>
                <w:szCs w:val="18"/>
                <w:color w:val="auto"/>
              </w:rPr>
              <w:t>competitive position</w:t>
            </w:r>
          </w:p>
        </w:tc>
        <w:tc>
          <w:tcPr>
            <w:tcW w:w="5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3480" w:type="dxa"/>
            <w:vAlign w:val="bottom"/>
          </w:tcPr>
          <w:p>
            <w:pPr>
              <w:ind w:left="100"/>
              <w:spacing w:after="0"/>
              <w:rPr>
                <w:sz w:val="20"/>
                <w:szCs w:val="20"/>
                <w:color w:val="auto"/>
              </w:rPr>
            </w:pPr>
            <w:r>
              <w:rPr>
                <w:rFonts w:ascii="Courier New" w:cs="Courier New" w:eastAsia="Courier New" w:hAnsi="Courier New"/>
                <w:sz w:val="18"/>
                <w:szCs w:val="18"/>
                <w:color w:val="auto"/>
              </w:rPr>
              <w:t>performance of contracts</w:t>
            </w:r>
          </w:p>
        </w:tc>
      </w:tr>
      <w:tr>
        <w:trPr>
          <w:trHeight w:val="405"/>
        </w:trPr>
        <w:tc>
          <w:tcPr>
            <w:tcW w:w="200" w:type="dxa"/>
            <w:vAlign w:val="bottom"/>
          </w:tcPr>
          <w:p>
            <w:pPr>
              <w:jc w:val="right"/>
              <w:ind w:right="12"/>
              <w:spacing w:after="0"/>
              <w:rPr>
                <w:sz w:val="20"/>
                <w:szCs w:val="20"/>
                <w:color w:val="auto"/>
              </w:rPr>
            </w:pPr>
            <w:r>
              <w:rPr>
                <w:rFonts w:ascii="Courier New" w:cs="Courier New" w:eastAsia="Courier New" w:hAnsi="Courier New"/>
                <w:sz w:val="18"/>
                <w:szCs w:val="18"/>
                <w:color w:val="auto"/>
                <w:w w:val="73"/>
              </w:rPr>
              <w:t>.</w:t>
            </w:r>
          </w:p>
        </w:tc>
        <w:tc>
          <w:tcPr>
            <w:tcW w:w="3580" w:type="dxa"/>
            <w:vAlign w:val="bottom"/>
          </w:tcPr>
          <w:p>
            <w:pPr>
              <w:ind w:left="120"/>
              <w:spacing w:after="0"/>
              <w:rPr>
                <w:sz w:val="20"/>
                <w:szCs w:val="20"/>
                <w:color w:val="auto"/>
              </w:rPr>
            </w:pPr>
            <w:r>
              <w:rPr>
                <w:rFonts w:ascii="Courier New" w:cs="Courier New" w:eastAsia="Courier New" w:hAnsi="Courier New"/>
                <w:sz w:val="18"/>
                <w:szCs w:val="18"/>
                <w:color w:val="auto"/>
              </w:rPr>
              <w:t>market outlook</w:t>
            </w:r>
          </w:p>
        </w:tc>
        <w:tc>
          <w:tcPr>
            <w:tcW w:w="5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3480" w:type="dxa"/>
            <w:vAlign w:val="bottom"/>
          </w:tcPr>
          <w:p>
            <w:pPr>
              <w:ind w:left="100"/>
              <w:spacing w:after="0"/>
              <w:rPr>
                <w:sz w:val="20"/>
                <w:szCs w:val="20"/>
                <w:color w:val="auto"/>
              </w:rPr>
            </w:pPr>
            <w:r>
              <w:rPr>
                <w:rFonts w:ascii="Courier New" w:cs="Courier New" w:eastAsia="Courier New" w:hAnsi="Courier New"/>
                <w:sz w:val="18"/>
                <w:szCs w:val="18"/>
                <w:color w:val="auto"/>
              </w:rPr>
              <w:t>outcomes of legal proceedings</w:t>
            </w:r>
          </w:p>
        </w:tc>
      </w:tr>
      <w:tr>
        <w:trPr>
          <w:trHeight w:val="405"/>
        </w:trPr>
        <w:tc>
          <w:tcPr>
            <w:tcW w:w="200" w:type="dxa"/>
            <w:vAlign w:val="bottom"/>
          </w:tcPr>
          <w:p>
            <w:pPr>
              <w:jc w:val="right"/>
              <w:ind w:right="12"/>
              <w:spacing w:after="0"/>
              <w:rPr>
                <w:sz w:val="20"/>
                <w:szCs w:val="20"/>
                <w:color w:val="auto"/>
              </w:rPr>
            </w:pPr>
            <w:r>
              <w:rPr>
                <w:rFonts w:ascii="Courier New" w:cs="Courier New" w:eastAsia="Courier New" w:hAnsi="Courier New"/>
                <w:sz w:val="18"/>
                <w:szCs w:val="18"/>
                <w:color w:val="auto"/>
                <w:w w:val="73"/>
              </w:rPr>
              <w:t>.</w:t>
            </w:r>
          </w:p>
        </w:tc>
        <w:tc>
          <w:tcPr>
            <w:tcW w:w="3580" w:type="dxa"/>
            <w:vAlign w:val="bottom"/>
          </w:tcPr>
          <w:p>
            <w:pPr>
              <w:ind w:left="120"/>
              <w:spacing w:after="0"/>
              <w:rPr>
                <w:sz w:val="20"/>
                <w:szCs w:val="20"/>
                <w:color w:val="auto"/>
              </w:rPr>
            </w:pPr>
            <w:r>
              <w:rPr>
                <w:rFonts w:ascii="Courier New" w:cs="Courier New" w:eastAsia="Courier New" w:hAnsi="Courier New"/>
                <w:sz w:val="18"/>
                <w:szCs w:val="18"/>
                <w:color w:val="auto"/>
              </w:rPr>
              <w:t>expected financial position</w:t>
            </w:r>
          </w:p>
        </w:tc>
        <w:tc>
          <w:tcPr>
            <w:tcW w:w="5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3480" w:type="dxa"/>
            <w:vAlign w:val="bottom"/>
          </w:tcPr>
          <w:p>
            <w:pPr>
              <w:ind w:left="100"/>
              <w:spacing w:after="0"/>
              <w:rPr>
                <w:sz w:val="20"/>
                <w:szCs w:val="20"/>
                <w:color w:val="auto"/>
              </w:rPr>
            </w:pPr>
            <w:r>
              <w:rPr>
                <w:rFonts w:ascii="Courier New" w:cs="Courier New" w:eastAsia="Courier New" w:hAnsi="Courier New"/>
                <w:sz w:val="18"/>
                <w:szCs w:val="18"/>
                <w:color w:val="auto"/>
              </w:rPr>
              <w:t>compliance with applicable laws</w:t>
            </w:r>
          </w:p>
        </w:tc>
      </w:tr>
      <w:tr>
        <w:trPr>
          <w:trHeight w:val="405"/>
        </w:trPr>
        <w:tc>
          <w:tcPr>
            <w:tcW w:w="200" w:type="dxa"/>
            <w:vAlign w:val="bottom"/>
          </w:tcPr>
          <w:p>
            <w:pPr>
              <w:jc w:val="right"/>
              <w:ind w:right="12"/>
              <w:spacing w:after="0"/>
              <w:rPr>
                <w:sz w:val="20"/>
                <w:szCs w:val="20"/>
                <w:color w:val="auto"/>
              </w:rPr>
            </w:pPr>
            <w:r>
              <w:rPr>
                <w:rFonts w:ascii="Courier New" w:cs="Courier New" w:eastAsia="Courier New" w:hAnsi="Courier New"/>
                <w:sz w:val="18"/>
                <w:szCs w:val="18"/>
                <w:color w:val="auto"/>
                <w:w w:val="73"/>
              </w:rPr>
              <w:t>.</w:t>
            </w:r>
          </w:p>
        </w:tc>
        <w:tc>
          <w:tcPr>
            <w:tcW w:w="3580" w:type="dxa"/>
            <w:vAlign w:val="bottom"/>
          </w:tcPr>
          <w:p>
            <w:pPr>
              <w:ind w:left="120"/>
              <w:spacing w:after="0"/>
              <w:rPr>
                <w:sz w:val="20"/>
                <w:szCs w:val="20"/>
                <w:color w:val="auto"/>
              </w:rPr>
            </w:pPr>
            <w:r>
              <w:rPr>
                <w:rFonts w:ascii="Courier New" w:cs="Courier New" w:eastAsia="Courier New" w:hAnsi="Courier New"/>
                <w:sz w:val="18"/>
                <w:szCs w:val="18"/>
                <w:color w:val="auto"/>
              </w:rPr>
              <w:t>expected results of operations</w:t>
            </w:r>
          </w:p>
        </w:tc>
        <w:tc>
          <w:tcPr>
            <w:tcW w:w="5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3480" w:type="dxa"/>
            <w:vAlign w:val="bottom"/>
          </w:tcPr>
          <w:p>
            <w:pPr>
              <w:ind w:left="100"/>
              <w:spacing w:after="0"/>
              <w:rPr>
                <w:sz w:val="20"/>
                <w:szCs w:val="20"/>
                <w:color w:val="auto"/>
              </w:rPr>
            </w:pPr>
            <w:r>
              <w:rPr>
                <w:rFonts w:ascii="Courier New" w:cs="Courier New" w:eastAsia="Courier New" w:hAnsi="Courier New"/>
                <w:sz w:val="18"/>
                <w:szCs w:val="18"/>
                <w:color w:val="auto"/>
              </w:rPr>
              <w:t>adequacy of insurance</w:t>
            </w:r>
          </w:p>
        </w:tc>
      </w:tr>
      <w:tr>
        <w:trPr>
          <w:trHeight w:val="405"/>
        </w:trPr>
        <w:tc>
          <w:tcPr>
            <w:tcW w:w="200" w:type="dxa"/>
            <w:vAlign w:val="bottom"/>
          </w:tcPr>
          <w:p>
            <w:pPr>
              <w:jc w:val="right"/>
              <w:ind w:right="12"/>
              <w:spacing w:after="0"/>
              <w:rPr>
                <w:sz w:val="20"/>
                <w:szCs w:val="20"/>
                <w:color w:val="auto"/>
              </w:rPr>
            </w:pPr>
            <w:r>
              <w:rPr>
                <w:rFonts w:ascii="Courier New" w:cs="Courier New" w:eastAsia="Courier New" w:hAnsi="Courier New"/>
                <w:sz w:val="18"/>
                <w:szCs w:val="18"/>
                <w:color w:val="auto"/>
                <w:w w:val="73"/>
              </w:rPr>
              <w:t>.</w:t>
            </w:r>
          </w:p>
        </w:tc>
        <w:tc>
          <w:tcPr>
            <w:tcW w:w="3580" w:type="dxa"/>
            <w:vAlign w:val="bottom"/>
          </w:tcPr>
          <w:p>
            <w:pPr>
              <w:ind w:left="120"/>
              <w:spacing w:after="0"/>
              <w:rPr>
                <w:sz w:val="20"/>
                <w:szCs w:val="20"/>
                <w:color w:val="auto"/>
              </w:rPr>
            </w:pPr>
            <w:r>
              <w:rPr>
                <w:rFonts w:ascii="Courier New" w:cs="Courier New" w:eastAsia="Courier New" w:hAnsi="Courier New"/>
                <w:sz w:val="18"/>
                <w:szCs w:val="18"/>
                <w:color w:val="auto"/>
              </w:rPr>
              <w:t>future cash flows</w:t>
            </w:r>
          </w:p>
        </w:tc>
        <w:tc>
          <w:tcPr>
            <w:tcW w:w="5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3480" w:type="dxa"/>
            <w:vAlign w:val="bottom"/>
          </w:tcPr>
          <w:p>
            <w:pPr>
              <w:ind w:left="100"/>
              <w:spacing w:after="0"/>
              <w:rPr>
                <w:sz w:val="20"/>
                <w:szCs w:val="20"/>
                <w:color w:val="auto"/>
              </w:rPr>
            </w:pPr>
            <w:r>
              <w:rPr>
                <w:rFonts w:ascii="Courier New" w:cs="Courier New" w:eastAsia="Courier New" w:hAnsi="Courier New"/>
                <w:sz w:val="18"/>
                <w:szCs w:val="18"/>
                <w:color w:val="auto"/>
                <w:w w:val="97"/>
              </w:rPr>
              <w:t>plans and expectations regarding</w:t>
            </w:r>
          </w:p>
        </w:tc>
      </w:tr>
      <w:tr>
        <w:trPr>
          <w:trHeight w:val="203"/>
        </w:trPr>
        <w:tc>
          <w:tcPr>
            <w:tcW w:w="20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year 2000 issues</w:t>
            </w:r>
          </w:p>
        </w:tc>
      </w:tr>
    </w:tbl>
    <w:p>
      <w:pPr>
        <w:spacing w:after="0" w:line="201" w:lineRule="exact"/>
        <w:rPr>
          <w:sz w:val="20"/>
          <w:szCs w:val="20"/>
          <w:color w:val="auto"/>
        </w:rPr>
      </w:pPr>
    </w:p>
    <w:p>
      <w:pPr>
        <w:ind w:left="540" w:hanging="321"/>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future dividends</w:t>
      </w:r>
    </w:p>
    <w:p>
      <w:pPr>
        <w:spacing w:after="0" w:line="207" w:lineRule="exact"/>
        <w:rPr>
          <w:sz w:val="20"/>
          <w:szCs w:val="20"/>
          <w:color w:val="auto"/>
        </w:rPr>
      </w:pPr>
    </w:p>
    <w:p>
      <w:pPr>
        <w:ind w:right="2759" w:firstLine="316"/>
        <w:spacing w:after="0" w:line="235" w:lineRule="auto"/>
        <w:rPr>
          <w:sz w:val="20"/>
          <w:szCs w:val="20"/>
          <w:color w:val="auto"/>
        </w:rPr>
      </w:pPr>
      <w:r>
        <w:rPr>
          <w:rFonts w:ascii="Courier New" w:cs="Courier New" w:eastAsia="Courier New" w:hAnsi="Courier New"/>
          <w:sz w:val="18"/>
          <w:szCs w:val="18"/>
          <w:color w:val="auto"/>
        </w:rPr>
        <w:t>Forward-looking statements are generally identifiable by use of the following words and other similar expressions, among others:</w:t>
      </w:r>
    </w:p>
    <w:p>
      <w:pPr>
        <w:spacing w:after="0" w:line="202"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00" w:type="dxa"/>
            <w:vAlign w:val="bottom"/>
          </w:tcPr>
          <w:p>
            <w:pPr>
              <w:jc w:val="right"/>
              <w:ind w:right="12"/>
              <w:spacing w:after="0"/>
              <w:rPr>
                <w:sz w:val="20"/>
                <w:szCs w:val="20"/>
                <w:color w:val="auto"/>
              </w:rPr>
            </w:pPr>
            <w:r>
              <w:rPr>
                <w:rFonts w:ascii="Courier New" w:cs="Courier New" w:eastAsia="Courier New" w:hAnsi="Courier New"/>
                <w:sz w:val="18"/>
                <w:szCs w:val="18"/>
                <w:color w:val="auto"/>
                <w:w w:val="73"/>
              </w:rPr>
              <w:t>.</w:t>
            </w:r>
          </w:p>
        </w:tc>
        <w:tc>
          <w:tcPr>
            <w:tcW w:w="2540" w:type="dxa"/>
            <w:vAlign w:val="bottom"/>
          </w:tcPr>
          <w:p>
            <w:pPr>
              <w:ind w:left="120"/>
              <w:spacing w:after="0"/>
              <w:rPr>
                <w:sz w:val="20"/>
                <w:szCs w:val="20"/>
                <w:color w:val="auto"/>
              </w:rPr>
            </w:pPr>
            <w:r>
              <w:rPr>
                <w:rFonts w:ascii="Courier New" w:cs="Courier New" w:eastAsia="Courier New" w:hAnsi="Courier New"/>
                <w:sz w:val="18"/>
                <w:szCs w:val="18"/>
                <w:color w:val="auto"/>
              </w:rPr>
              <w:t>"anticipate"</w:t>
            </w:r>
          </w:p>
        </w:tc>
        <w:tc>
          <w:tcPr>
            <w:tcW w:w="1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ind w:left="100"/>
              <w:spacing w:after="0"/>
              <w:rPr>
                <w:sz w:val="20"/>
                <w:szCs w:val="20"/>
                <w:color w:val="auto"/>
              </w:rPr>
            </w:pPr>
            <w:r>
              <w:rPr>
                <w:rFonts w:ascii="Courier New" w:cs="Courier New" w:eastAsia="Courier New" w:hAnsi="Courier New"/>
                <w:sz w:val="18"/>
                <w:szCs w:val="18"/>
                <w:color w:val="auto"/>
              </w:rPr>
              <w:t>"intend"</w:t>
            </w:r>
          </w:p>
        </w:tc>
      </w:tr>
      <w:tr>
        <w:trPr>
          <w:trHeight w:val="405"/>
        </w:trPr>
        <w:tc>
          <w:tcPr>
            <w:tcW w:w="200" w:type="dxa"/>
            <w:vAlign w:val="bottom"/>
          </w:tcPr>
          <w:p>
            <w:pPr>
              <w:jc w:val="right"/>
              <w:ind w:right="12"/>
              <w:spacing w:after="0"/>
              <w:rPr>
                <w:sz w:val="20"/>
                <w:szCs w:val="20"/>
                <w:color w:val="auto"/>
              </w:rPr>
            </w:pPr>
            <w:r>
              <w:rPr>
                <w:rFonts w:ascii="Courier New" w:cs="Courier New" w:eastAsia="Courier New" w:hAnsi="Courier New"/>
                <w:sz w:val="18"/>
                <w:szCs w:val="18"/>
                <w:color w:val="auto"/>
                <w:w w:val="73"/>
              </w:rPr>
              <w:t>.</w:t>
            </w:r>
          </w:p>
        </w:tc>
        <w:tc>
          <w:tcPr>
            <w:tcW w:w="2540" w:type="dxa"/>
            <w:vAlign w:val="bottom"/>
          </w:tcPr>
          <w:p>
            <w:pPr>
              <w:ind w:left="120"/>
              <w:spacing w:after="0"/>
              <w:rPr>
                <w:sz w:val="20"/>
                <w:szCs w:val="20"/>
                <w:color w:val="auto"/>
              </w:rPr>
            </w:pPr>
            <w:r>
              <w:rPr>
                <w:rFonts w:ascii="Courier New" w:cs="Courier New" w:eastAsia="Courier New" w:hAnsi="Courier New"/>
                <w:sz w:val="18"/>
                <w:szCs w:val="18"/>
                <w:color w:val="auto"/>
              </w:rPr>
              <w:t>"believe"</w:t>
            </w:r>
          </w:p>
        </w:tc>
        <w:tc>
          <w:tcPr>
            <w:tcW w:w="1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ind w:left="100"/>
              <w:spacing w:after="0"/>
              <w:rPr>
                <w:sz w:val="20"/>
                <w:szCs w:val="20"/>
                <w:color w:val="auto"/>
              </w:rPr>
            </w:pPr>
            <w:r>
              <w:rPr>
                <w:rFonts w:ascii="Courier New" w:cs="Courier New" w:eastAsia="Courier New" w:hAnsi="Courier New"/>
                <w:sz w:val="18"/>
                <w:szCs w:val="18"/>
                <w:color w:val="auto"/>
              </w:rPr>
              <w:t>"may"</w:t>
            </w:r>
          </w:p>
        </w:tc>
      </w:tr>
      <w:tr>
        <w:trPr>
          <w:trHeight w:val="405"/>
        </w:trPr>
        <w:tc>
          <w:tcPr>
            <w:tcW w:w="200" w:type="dxa"/>
            <w:vAlign w:val="bottom"/>
          </w:tcPr>
          <w:p>
            <w:pPr>
              <w:jc w:val="right"/>
              <w:ind w:right="12"/>
              <w:spacing w:after="0"/>
              <w:rPr>
                <w:sz w:val="20"/>
                <w:szCs w:val="20"/>
                <w:color w:val="auto"/>
              </w:rPr>
            </w:pPr>
            <w:r>
              <w:rPr>
                <w:rFonts w:ascii="Courier New" w:cs="Courier New" w:eastAsia="Courier New" w:hAnsi="Courier New"/>
                <w:sz w:val="18"/>
                <w:szCs w:val="18"/>
                <w:color w:val="auto"/>
                <w:w w:val="73"/>
              </w:rPr>
              <w:t>.</w:t>
            </w:r>
          </w:p>
        </w:tc>
        <w:tc>
          <w:tcPr>
            <w:tcW w:w="2540" w:type="dxa"/>
            <w:vAlign w:val="bottom"/>
          </w:tcPr>
          <w:p>
            <w:pPr>
              <w:ind w:left="120"/>
              <w:spacing w:after="0"/>
              <w:rPr>
                <w:sz w:val="20"/>
                <w:szCs w:val="20"/>
                <w:color w:val="auto"/>
              </w:rPr>
            </w:pPr>
            <w:r>
              <w:rPr>
                <w:rFonts w:ascii="Courier New" w:cs="Courier New" w:eastAsia="Courier New" w:hAnsi="Courier New"/>
                <w:sz w:val="18"/>
                <w:szCs w:val="18"/>
                <w:color w:val="auto"/>
              </w:rPr>
              <w:t>"budget"</w:t>
            </w:r>
          </w:p>
        </w:tc>
        <w:tc>
          <w:tcPr>
            <w:tcW w:w="1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ind w:left="100"/>
              <w:spacing w:after="0"/>
              <w:rPr>
                <w:sz w:val="20"/>
                <w:szCs w:val="20"/>
                <w:color w:val="auto"/>
              </w:rPr>
            </w:pPr>
            <w:r>
              <w:rPr>
                <w:rFonts w:ascii="Courier New" w:cs="Courier New" w:eastAsia="Courier New" w:hAnsi="Courier New"/>
                <w:sz w:val="18"/>
                <w:szCs w:val="18"/>
                <w:color w:val="auto"/>
              </w:rPr>
              <w:t>"might"</w:t>
            </w:r>
          </w:p>
        </w:tc>
      </w:tr>
      <w:tr>
        <w:trPr>
          <w:trHeight w:val="405"/>
        </w:trPr>
        <w:tc>
          <w:tcPr>
            <w:tcW w:w="200" w:type="dxa"/>
            <w:vAlign w:val="bottom"/>
          </w:tcPr>
          <w:p>
            <w:pPr>
              <w:jc w:val="right"/>
              <w:ind w:right="12"/>
              <w:spacing w:after="0"/>
              <w:rPr>
                <w:sz w:val="20"/>
                <w:szCs w:val="20"/>
                <w:color w:val="auto"/>
              </w:rPr>
            </w:pPr>
            <w:r>
              <w:rPr>
                <w:rFonts w:ascii="Courier New" w:cs="Courier New" w:eastAsia="Courier New" w:hAnsi="Courier New"/>
                <w:sz w:val="18"/>
                <w:szCs w:val="18"/>
                <w:color w:val="auto"/>
                <w:w w:val="73"/>
              </w:rPr>
              <w:t>.</w:t>
            </w:r>
          </w:p>
        </w:tc>
        <w:tc>
          <w:tcPr>
            <w:tcW w:w="2540" w:type="dxa"/>
            <w:vAlign w:val="bottom"/>
          </w:tcPr>
          <w:p>
            <w:pPr>
              <w:ind w:left="120"/>
              <w:spacing w:after="0"/>
              <w:rPr>
                <w:sz w:val="20"/>
                <w:szCs w:val="20"/>
                <w:color w:val="auto"/>
              </w:rPr>
            </w:pPr>
            <w:r>
              <w:rPr>
                <w:rFonts w:ascii="Courier New" w:cs="Courier New" w:eastAsia="Courier New" w:hAnsi="Courier New"/>
                <w:sz w:val="18"/>
                <w:szCs w:val="18"/>
                <w:color w:val="auto"/>
              </w:rPr>
              <w:t>"could"</w:t>
            </w:r>
          </w:p>
        </w:tc>
        <w:tc>
          <w:tcPr>
            <w:tcW w:w="1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ind w:left="100"/>
              <w:spacing w:after="0"/>
              <w:rPr>
                <w:sz w:val="20"/>
                <w:szCs w:val="20"/>
                <w:color w:val="auto"/>
              </w:rPr>
            </w:pPr>
            <w:r>
              <w:rPr>
                <w:rFonts w:ascii="Courier New" w:cs="Courier New" w:eastAsia="Courier New" w:hAnsi="Courier New"/>
                <w:sz w:val="18"/>
                <w:szCs w:val="18"/>
                <w:color w:val="auto"/>
              </w:rPr>
              <w:t>"plan"</w:t>
            </w:r>
          </w:p>
        </w:tc>
      </w:tr>
      <w:tr>
        <w:trPr>
          <w:trHeight w:val="405"/>
        </w:trPr>
        <w:tc>
          <w:tcPr>
            <w:tcW w:w="200" w:type="dxa"/>
            <w:vAlign w:val="bottom"/>
          </w:tcPr>
          <w:p>
            <w:pPr>
              <w:jc w:val="right"/>
              <w:ind w:right="12"/>
              <w:spacing w:after="0"/>
              <w:rPr>
                <w:sz w:val="20"/>
                <w:szCs w:val="20"/>
                <w:color w:val="auto"/>
              </w:rPr>
            </w:pPr>
            <w:r>
              <w:rPr>
                <w:rFonts w:ascii="Courier New" w:cs="Courier New" w:eastAsia="Courier New" w:hAnsi="Courier New"/>
                <w:sz w:val="18"/>
                <w:szCs w:val="18"/>
                <w:color w:val="auto"/>
                <w:w w:val="73"/>
              </w:rPr>
              <w:t>.</w:t>
            </w:r>
          </w:p>
        </w:tc>
        <w:tc>
          <w:tcPr>
            <w:tcW w:w="2540" w:type="dxa"/>
            <w:vAlign w:val="bottom"/>
          </w:tcPr>
          <w:p>
            <w:pPr>
              <w:ind w:left="120"/>
              <w:spacing w:after="0"/>
              <w:rPr>
                <w:sz w:val="20"/>
                <w:szCs w:val="20"/>
                <w:color w:val="auto"/>
              </w:rPr>
            </w:pPr>
            <w:r>
              <w:rPr>
                <w:rFonts w:ascii="Courier New" w:cs="Courier New" w:eastAsia="Courier New" w:hAnsi="Courier New"/>
                <w:sz w:val="18"/>
                <w:szCs w:val="18"/>
                <w:color w:val="auto"/>
              </w:rPr>
              <w:t>"estimate"</w:t>
            </w:r>
          </w:p>
        </w:tc>
        <w:tc>
          <w:tcPr>
            <w:tcW w:w="1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ind w:left="100"/>
              <w:spacing w:after="0"/>
              <w:rPr>
                <w:sz w:val="20"/>
                <w:szCs w:val="20"/>
                <w:color w:val="auto"/>
              </w:rPr>
            </w:pPr>
            <w:r>
              <w:rPr>
                <w:rFonts w:ascii="Courier New" w:cs="Courier New" w:eastAsia="Courier New" w:hAnsi="Courier New"/>
                <w:sz w:val="18"/>
                <w:szCs w:val="18"/>
                <w:color w:val="auto"/>
                <w:w w:val="94"/>
              </w:rPr>
              <w:t>"predict"</w:t>
            </w:r>
          </w:p>
        </w:tc>
      </w:tr>
      <w:tr>
        <w:trPr>
          <w:trHeight w:val="405"/>
        </w:trPr>
        <w:tc>
          <w:tcPr>
            <w:tcW w:w="2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5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w:t>
            </w:r>
          </w:p>
        </w:tc>
        <w:tc>
          <w:tcPr>
            <w:tcW w:w="1040" w:type="dxa"/>
            <w:vAlign w:val="bottom"/>
          </w:tcPr>
          <w:p>
            <w:pPr>
              <w:spacing w:after="0"/>
              <w:rPr>
                <w:sz w:val="24"/>
                <w:szCs w:val="24"/>
                <w:color w:val="auto"/>
              </w:rPr>
            </w:pPr>
          </w:p>
        </w:tc>
      </w:tr>
    </w:tbl>
    <w:p>
      <w:pPr>
        <w:sectPr>
          <w:pgSz w:w="11900" w:h="16838" w:orient="portrait"/>
          <w:cols w:equalWidth="0" w:num="1">
            <w:col w:w="10139"/>
          </w:cols>
          <w:pgMar w:left="320" w:top="717" w:right="1440" w:bottom="1440" w:gutter="0" w:footer="0" w:header="0"/>
        </w:sectPr>
      </w:pPr>
    </w:p>
    <w:bookmarkStart w:id="5" w:name="page6"/>
    <w:bookmarkEnd w:id="5"/>
    <w:p>
      <w:pPr>
        <w:ind w:left="220"/>
        <w:spacing w:after="0"/>
        <w:tabs>
          <w:tab w:leader="none" w:pos="520" w:val="left"/>
        </w:tabs>
        <w:rPr>
          <w:sz w:val="20"/>
          <w:szCs w:val="20"/>
          <w:color w:val="auto"/>
        </w:rPr>
      </w:pPr>
      <w:r>
        <w:rPr>
          <w:rFonts w:ascii="Courier New" w:cs="Courier New" w:eastAsia="Courier New" w:hAnsi="Courier New"/>
          <w:sz w:val="16"/>
          <w:szCs w:val="16"/>
          <w:color w:val="auto"/>
        </w:rPr>
        <w:t>.</w:t>
        <w:tab/>
        <w:t>"expect"</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Courier New" w:cs="Courier New" w:eastAsia="Courier New" w:hAnsi="Courier New"/>
          <w:sz w:val="16"/>
          <w:szCs w:val="16"/>
          <w:color w:val="auto"/>
        </w:rPr>
        <w:t>.</w:t>
        <w:tab/>
        <w:t>"project"</w:t>
      </w:r>
    </w:p>
    <w:p>
      <w:pPr>
        <w:spacing w:after="0" w:line="200" w:lineRule="exact"/>
        <w:rPr>
          <w:sz w:val="20"/>
          <w:szCs w:val="20"/>
          <w:color w:val="auto"/>
        </w:rPr>
      </w:pPr>
    </w:p>
    <w:p>
      <w:pPr>
        <w:sectPr>
          <w:pgSz w:w="11900" w:h="16838" w:orient="portrait"/>
          <w:cols w:equalWidth="0" w:num="2">
            <w:col w:w="3500" w:space="720"/>
            <w:col w:w="5919"/>
          </w:cols>
          <w:pgMar w:left="320" w:top="722" w:right="1440" w:bottom="1440" w:gutter="0" w:footer="0" w:header="0"/>
        </w:sectPr>
      </w:pPr>
    </w:p>
    <w:p>
      <w:pPr>
        <w:spacing w:after="0" w:line="24" w:lineRule="exact"/>
        <w:rPr>
          <w:sz w:val="20"/>
          <w:szCs w:val="20"/>
          <w:color w:val="auto"/>
        </w:rPr>
      </w:pPr>
    </w:p>
    <w:p>
      <w:pPr>
        <w:ind w:left="220"/>
        <w:spacing w:after="0"/>
        <w:tabs>
          <w:tab w:leader="none" w:pos="520" w:val="left"/>
        </w:tabs>
        <w:rPr>
          <w:sz w:val="20"/>
          <w:szCs w:val="20"/>
          <w:color w:val="auto"/>
        </w:rPr>
      </w:pPr>
      <w:r>
        <w:rPr>
          <w:rFonts w:ascii="Courier New" w:cs="Courier New" w:eastAsia="Courier New" w:hAnsi="Courier New"/>
          <w:sz w:val="16"/>
          <w:szCs w:val="16"/>
          <w:color w:val="auto"/>
        </w:rPr>
        <w:t>.</w:t>
        <w:tab/>
        <w:t>"forecast"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tabs>
          <w:tab w:leader="none" w:pos="300" w:val="left"/>
        </w:tabs>
        <w:rPr>
          <w:sz w:val="20"/>
          <w:szCs w:val="20"/>
          <w:color w:val="auto"/>
        </w:rPr>
      </w:pPr>
      <w:r>
        <w:rPr>
          <w:rFonts w:ascii="Courier New" w:cs="Courier New" w:eastAsia="Courier New" w:hAnsi="Courier New"/>
          <w:sz w:val="16"/>
          <w:szCs w:val="16"/>
          <w:color w:val="auto"/>
        </w:rPr>
        <w:t>.</w:t>
        <w:tab/>
        <w:t>"should"</w:t>
      </w:r>
    </w:p>
    <w:p>
      <w:pPr>
        <w:spacing w:after="0" w:line="200" w:lineRule="exact"/>
        <w:rPr>
          <w:sz w:val="20"/>
          <w:szCs w:val="20"/>
          <w:color w:val="auto"/>
        </w:rPr>
      </w:pPr>
    </w:p>
    <w:p>
      <w:pPr>
        <w:sectPr>
          <w:pgSz w:w="11900" w:h="16838" w:orient="portrait"/>
          <w:cols w:equalWidth="0" w:num="2">
            <w:col w:w="3500" w:space="720"/>
            <w:col w:w="5919"/>
          </w:cols>
          <w:pgMar w:left="320" w:top="722" w:right="1440" w:bottom="1440" w:gutter="0" w:footer="0" w:header="0"/>
          <w:type w:val="continuous"/>
        </w:sectPr>
      </w:pPr>
    </w:p>
    <w:p>
      <w:pPr>
        <w:spacing w:after="0" w:line="24" w:lineRule="exact"/>
        <w:rPr>
          <w:sz w:val="20"/>
          <w:szCs w:val="20"/>
          <w:color w:val="auto"/>
        </w:rPr>
      </w:pPr>
    </w:p>
    <w:p>
      <w:pPr>
        <w:ind w:right="2239" w:firstLine="316"/>
        <w:spacing w:after="0" w:line="237" w:lineRule="auto"/>
        <w:rPr>
          <w:sz w:val="20"/>
          <w:szCs w:val="20"/>
          <w:color w:val="auto"/>
        </w:rPr>
      </w:pPr>
      <w:r>
        <w:rPr>
          <w:rFonts w:ascii="Courier New" w:cs="Courier New" w:eastAsia="Courier New" w:hAnsi="Courier New"/>
          <w:sz w:val="18"/>
          <w:szCs w:val="18"/>
          <w:color w:val="auto"/>
        </w:rPr>
        <w:t>The following factors could affect our future results of operations, and could cause those results to differ materially from those expressed in the forward-looking statements we include in this document or incorporate by reference:</w:t>
      </w:r>
    </w:p>
    <w:p>
      <w:pPr>
        <w:spacing w:after="0" w:line="201" w:lineRule="exact"/>
        <w:rPr>
          <w:sz w:val="20"/>
          <w:szCs w:val="20"/>
          <w:color w:val="auto"/>
        </w:rPr>
      </w:pPr>
    </w:p>
    <w:p>
      <w:pPr>
        <w:ind w:left="540" w:hanging="321"/>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worldwide demand for oil and gas</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oil and gas prices</w:t>
      </w:r>
    </w:p>
    <w:p>
      <w:pPr>
        <w:spacing w:after="0" w:line="207" w:lineRule="exact"/>
        <w:rPr>
          <w:sz w:val="20"/>
          <w:szCs w:val="20"/>
          <w:color w:val="auto"/>
        </w:rPr>
      </w:pPr>
    </w:p>
    <w:p>
      <w:pPr>
        <w:ind w:left="540" w:right="2759" w:hanging="321"/>
        <w:spacing w:after="0" w:line="235"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level of activity in oil and gas exploration, development and production</w:t>
      </w:r>
    </w:p>
    <w:p>
      <w:pPr>
        <w:spacing w:after="0" w:line="202" w:lineRule="exact"/>
        <w:rPr>
          <w:sz w:val="20"/>
          <w:szCs w:val="20"/>
          <w:color w:val="auto"/>
        </w:rPr>
      </w:pPr>
    </w:p>
    <w:p>
      <w:pPr>
        <w:ind w:left="540" w:hanging="321"/>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exploration success by producers</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competition and market conditions</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availability of qualified personnel</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labor relations and wage negotiations with unions</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operating hazards</w:t>
      </w:r>
    </w:p>
    <w:p>
      <w:pPr>
        <w:spacing w:after="0" w:line="207" w:lineRule="exact"/>
        <w:rPr>
          <w:sz w:val="20"/>
          <w:szCs w:val="20"/>
          <w:color w:val="auto"/>
        </w:rPr>
      </w:pPr>
    </w:p>
    <w:p>
      <w:pPr>
        <w:ind w:left="540" w:right="2659" w:hanging="321"/>
        <w:spacing w:after="0" w:line="235"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political and other uncertainties inherent in non-U.S. operations, including exchange and currency fluctuations</w:t>
      </w:r>
    </w:p>
    <w:p>
      <w:pPr>
        <w:spacing w:after="0" w:line="202" w:lineRule="exact"/>
        <w:rPr>
          <w:sz w:val="20"/>
          <w:szCs w:val="20"/>
          <w:color w:val="auto"/>
        </w:rPr>
      </w:pPr>
    </w:p>
    <w:p>
      <w:pPr>
        <w:ind w:left="540" w:hanging="321"/>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impact of governmental laws and regulations</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adequacy of sources of liquidity</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 of litigation and contingencies</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success in implementing a year 2000 compliance plan</w:t>
      </w:r>
    </w:p>
    <w:p>
      <w:pPr>
        <w:spacing w:after="0" w:line="207" w:lineRule="exact"/>
        <w:rPr>
          <w:sz w:val="20"/>
          <w:szCs w:val="20"/>
          <w:color w:val="auto"/>
        </w:rPr>
      </w:pPr>
    </w:p>
    <w:p>
      <w:pPr>
        <w:ind w:left="540" w:right="2239" w:hanging="321"/>
        <w:spacing w:after="0" w:line="235"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failure of service providers to be year 2000 compliant on a timely basis</w:t>
      </w:r>
    </w:p>
    <w:p>
      <w:pPr>
        <w:spacing w:after="0" w:line="208" w:lineRule="exact"/>
        <w:rPr>
          <w:sz w:val="20"/>
          <w:szCs w:val="20"/>
          <w:color w:val="auto"/>
        </w:rPr>
      </w:pPr>
    </w:p>
    <w:p>
      <w:pPr>
        <w:ind w:right="1819"/>
        <w:spacing w:after="0" w:line="237" w:lineRule="auto"/>
        <w:rPr>
          <w:sz w:val="20"/>
          <w:szCs w:val="20"/>
          <w:color w:val="auto"/>
        </w:rPr>
      </w:pPr>
      <w:r>
        <w:rPr>
          <w:rFonts w:ascii="Courier New" w:cs="Courier New" w:eastAsia="Courier New" w:hAnsi="Courier New"/>
          <w:sz w:val="18"/>
          <w:szCs w:val="18"/>
          <w:color w:val="auto"/>
        </w:rPr>
        <w:t>The above factors are in addition to those factors discussed in the documents we incorporate by reference into this prospectus, including in the "Currency Risks," "Environmental Matters," "Year 2000 Readiness Disclosure" and "Euro Disclosures" subsections of the "Management's Discussion and Analysis of Financial Condition and Results of Operations" sections of our Annual Report on Form 10-K for the fiscal year ended December 31, 1998 and our Quarterly Reports on Form 10-Q for the periods ended March 31, 1999, June 30, 1999 and September 30, 1999, and subsequent SEC filings on those forms.</w:t>
      </w:r>
    </w:p>
    <w:p>
      <w:pPr>
        <w:spacing w:after="0" w:line="212" w:lineRule="exact"/>
        <w:rPr>
          <w:sz w:val="20"/>
          <w:szCs w:val="20"/>
          <w:color w:val="auto"/>
        </w:rPr>
      </w:pPr>
    </w:p>
    <w:p>
      <w:pPr>
        <w:ind w:right="2339" w:firstLine="316"/>
        <w:spacing w:after="0" w:line="237" w:lineRule="auto"/>
        <w:rPr>
          <w:sz w:val="20"/>
          <w:szCs w:val="20"/>
          <w:color w:val="auto"/>
        </w:rPr>
      </w:pPr>
      <w:r>
        <w:rPr>
          <w:rFonts w:ascii="Courier New" w:cs="Courier New" w:eastAsia="Courier New" w:hAnsi="Courier New"/>
          <w:sz w:val="18"/>
          <w:szCs w:val="18"/>
          <w:color w:val="auto"/>
        </w:rPr>
        <w:t>You should not place undue reliance on forward-looking statements. Each forward-looking statement speaks only as of the date of the particular statement, and we undertake no obligation to publicly update or revise any forward-looking statements.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139"/>
          </w:cols>
          <w:pgMar w:left="320" w:top="722" w:right="1440" w:bottom="1440" w:gutter="0" w:footer="0" w:header="0"/>
          <w:type w:val="continuous"/>
        </w:sectPr>
      </w:pPr>
    </w:p>
    <w:bookmarkStart w:id="6" w:name="page7"/>
    <w:bookmarkEnd w:id="6"/>
    <w:p>
      <w:pPr>
        <w:jc w:val="center"/>
        <w:ind w:right="1819"/>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2019" w:firstLine="316"/>
        <w:spacing w:after="0" w:line="235" w:lineRule="auto"/>
        <w:rPr>
          <w:sz w:val="20"/>
          <w:szCs w:val="20"/>
          <w:color w:val="auto"/>
        </w:rPr>
      </w:pPr>
      <w:r>
        <w:rPr>
          <w:rFonts w:ascii="Courier New" w:cs="Courier New" w:eastAsia="Courier New" w:hAnsi="Courier New"/>
          <w:sz w:val="18"/>
          <w:szCs w:val="18"/>
          <w:color w:val="auto"/>
        </w:rPr>
        <w:t>We will not receive any proceeds from sales of common stock by the selling holder.</w:t>
      </w:r>
    </w:p>
    <w:p>
      <w:pPr>
        <w:spacing w:after="0" w:line="202"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8"/>
          <w:szCs w:val="18"/>
          <w:color w:val="auto"/>
        </w:rPr>
        <w:t>THE SELLING HOLDER</w:t>
      </w:r>
    </w:p>
    <w:p>
      <w:pPr>
        <w:spacing w:after="0" w:line="207" w:lineRule="exact"/>
        <w:rPr>
          <w:sz w:val="20"/>
          <w:szCs w:val="20"/>
          <w:color w:val="auto"/>
        </w:rPr>
      </w:pPr>
    </w:p>
    <w:p>
      <w:pPr>
        <w:ind w:right="1819" w:firstLine="316"/>
        <w:spacing w:after="0" w:line="237" w:lineRule="auto"/>
        <w:rPr>
          <w:sz w:val="20"/>
          <w:szCs w:val="20"/>
          <w:color w:val="auto"/>
        </w:rPr>
      </w:pPr>
      <w:r>
        <w:rPr>
          <w:rFonts w:ascii="Courier New" w:cs="Courier New" w:eastAsia="Courier New" w:hAnsi="Courier New"/>
          <w:sz w:val="18"/>
          <w:szCs w:val="18"/>
          <w:color w:val="auto"/>
        </w:rPr>
        <w:t>This prospectus covers the offer and sale by Dow Financial Holdings Inc., the selling holder, of up to 15,153,018 shares of our common stock. The shares were purchased by Dow Financial Holdings Inc. on December 16, 1999 for $29.6723 per share upon exercise of a warrant held by Dow Financial Holdings Inc. We originally issued the warrant entitling the holder to purchase 7,500,000 shares of our common stock in connection with our acquisition in 1992 of various companies that were owned 50% by Schlumberger entities and 50% by Dow entities prior to that transaction. As a result of a two-for-one split of our common stock and various transactions, the warrant entitled Dow Financial Holdings Inc. to purchase 15,153,018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1280" w:type="dxa"/>
        <w:tblCellMar>
          <w:top w:w="0" w:type="dxa"/>
          <w:left w:w="0" w:type="dxa"/>
          <w:bottom w:w="0" w:type="dxa"/>
          <w:right w:w="0" w:type="dxa"/>
        </w:tblCellMar>
      </w:tblPr>
      <w:tr>
        <w:trPr>
          <w:trHeight w:val="204"/>
        </w:trPr>
        <w:tc>
          <w:tcPr>
            <w:tcW w:w="4300" w:type="dxa"/>
            <w:vAlign w:val="bottom"/>
          </w:tcPr>
          <w:p>
            <w:pPr>
              <w:jc w:val="center"/>
              <w:ind w:right="852"/>
              <w:spacing w:after="0"/>
              <w:rPr>
                <w:sz w:val="20"/>
                <w:szCs w:val="20"/>
                <w:color w:val="auto"/>
              </w:rPr>
            </w:pPr>
            <w:r>
              <w:rPr>
                <w:rFonts w:ascii="Courier New" w:cs="Courier New" w:eastAsia="Courier New" w:hAnsi="Courier New"/>
                <w:sz w:val="18"/>
                <w:szCs w:val="18"/>
                <w:color w:val="auto"/>
                <w:w w:val="97"/>
              </w:rPr>
              <w:t>Number of shares of common stock</w:t>
            </w:r>
          </w:p>
        </w:tc>
        <w:tc>
          <w:tcPr>
            <w:tcW w:w="3700" w:type="dxa"/>
            <w:vAlign w:val="bottom"/>
          </w:tcPr>
          <w:p>
            <w:pPr>
              <w:spacing w:after="0"/>
              <w:rPr>
                <w:sz w:val="17"/>
                <w:szCs w:val="17"/>
                <w:color w:val="auto"/>
              </w:rPr>
            </w:pPr>
          </w:p>
        </w:tc>
      </w:tr>
      <w:tr>
        <w:trPr>
          <w:trHeight w:val="203"/>
        </w:trPr>
        <w:tc>
          <w:tcPr>
            <w:tcW w:w="4300" w:type="dxa"/>
            <w:vAlign w:val="bottom"/>
          </w:tcPr>
          <w:p>
            <w:pPr>
              <w:jc w:val="center"/>
              <w:ind w:right="972"/>
              <w:spacing w:after="0" w:line="203" w:lineRule="exact"/>
              <w:rPr>
                <w:sz w:val="20"/>
                <w:szCs w:val="20"/>
                <w:color w:val="auto"/>
              </w:rPr>
            </w:pPr>
            <w:r>
              <w:rPr>
                <w:rFonts w:ascii="Courier New" w:cs="Courier New" w:eastAsia="Courier New" w:hAnsi="Courier New"/>
                <w:sz w:val="18"/>
                <w:szCs w:val="18"/>
                <w:color w:val="auto"/>
                <w:w w:val="97"/>
              </w:rPr>
              <w:t>owned by the selling holder</w:t>
            </w:r>
          </w:p>
        </w:tc>
        <w:tc>
          <w:tcPr>
            <w:tcW w:w="37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w w:val="96"/>
              </w:rPr>
              <w:t>Number of shares of common</w:t>
            </w:r>
          </w:p>
        </w:tc>
      </w:tr>
      <w:tr>
        <w:trPr>
          <w:trHeight w:val="203"/>
        </w:trPr>
        <w:tc>
          <w:tcPr>
            <w:tcW w:w="4300" w:type="dxa"/>
            <w:vAlign w:val="bottom"/>
          </w:tcPr>
          <w:p>
            <w:pPr>
              <w:jc w:val="center"/>
              <w:ind w:right="972"/>
              <w:spacing w:after="0" w:line="203" w:lineRule="exact"/>
              <w:rPr>
                <w:sz w:val="20"/>
                <w:szCs w:val="20"/>
                <w:color w:val="auto"/>
              </w:rPr>
            </w:pPr>
            <w:r>
              <w:rPr>
                <w:rFonts w:ascii="Courier New" w:cs="Courier New" w:eastAsia="Courier New" w:hAnsi="Courier New"/>
                <w:sz w:val="18"/>
                <w:szCs w:val="18"/>
                <w:color w:val="auto"/>
                <w:w w:val="96"/>
              </w:rPr>
              <w:t>prior to the offering</w:t>
            </w:r>
          </w:p>
        </w:tc>
        <w:tc>
          <w:tcPr>
            <w:tcW w:w="37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stock offered</w:t>
            </w:r>
          </w:p>
        </w:tc>
      </w:tr>
      <w:tr>
        <w:trPr>
          <w:trHeight w:val="203"/>
        </w:trPr>
        <w:tc>
          <w:tcPr>
            <w:tcW w:w="4300" w:type="dxa"/>
            <w:vAlign w:val="bottom"/>
          </w:tcPr>
          <w:p>
            <w:pPr>
              <w:jc w:val="center"/>
              <w:ind w:right="852"/>
              <w:spacing w:after="0" w:line="203" w:lineRule="exact"/>
              <w:rPr>
                <w:sz w:val="20"/>
                <w:szCs w:val="20"/>
                <w:color w:val="auto"/>
              </w:rPr>
            </w:pPr>
            <w:r>
              <w:rPr>
                <w:rFonts w:ascii="Courier New" w:cs="Courier New" w:eastAsia="Courier New" w:hAnsi="Courier New"/>
                <w:sz w:val="18"/>
                <w:szCs w:val="18"/>
                <w:color w:val="auto"/>
                <w:w w:val="97"/>
              </w:rPr>
              <w:t>--------------------------------</w:t>
            </w:r>
          </w:p>
        </w:tc>
        <w:tc>
          <w:tcPr>
            <w:tcW w:w="3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00" w:type="dxa"/>
            <w:vAlign w:val="bottom"/>
          </w:tcPr>
          <w:p>
            <w:pPr>
              <w:jc w:val="center"/>
              <w:ind w:right="872"/>
              <w:spacing w:after="0"/>
              <w:rPr>
                <w:sz w:val="20"/>
                <w:szCs w:val="20"/>
                <w:color w:val="auto"/>
              </w:rPr>
            </w:pPr>
            <w:r>
              <w:rPr>
                <w:rFonts w:ascii="Courier New" w:cs="Courier New" w:eastAsia="Courier New" w:hAnsi="Courier New"/>
                <w:sz w:val="18"/>
                <w:szCs w:val="18"/>
                <w:color w:val="auto"/>
                <w:w w:val="98"/>
              </w:rPr>
              <w:t>15,153,018</w:t>
            </w:r>
          </w:p>
        </w:tc>
        <w:tc>
          <w:tcPr>
            <w:tcW w:w="370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15,153,018</w:t>
            </w:r>
          </w:p>
        </w:tc>
      </w:tr>
    </w:tbl>
    <w:p>
      <w:pPr>
        <w:spacing w:after="0" w:line="200" w:lineRule="exact"/>
        <w:rPr>
          <w:sz w:val="20"/>
          <w:szCs w:val="20"/>
          <w:color w:val="auto"/>
        </w:rPr>
      </w:pPr>
    </w:p>
    <w:p>
      <w:pPr>
        <w:spacing w:after="0" w:line="209" w:lineRule="exact"/>
        <w:rPr>
          <w:sz w:val="20"/>
          <w:szCs w:val="20"/>
          <w:color w:val="auto"/>
        </w:rPr>
      </w:pPr>
    </w:p>
    <w:p>
      <w:pPr>
        <w:ind w:right="2119" w:firstLine="316"/>
        <w:spacing w:after="0" w:line="237" w:lineRule="auto"/>
        <w:rPr>
          <w:sz w:val="20"/>
          <w:szCs w:val="20"/>
          <w:color w:val="auto"/>
        </w:rPr>
      </w:pPr>
      <w:r>
        <w:rPr>
          <w:rFonts w:ascii="Courier New" w:cs="Courier New" w:eastAsia="Courier New" w:hAnsi="Courier New"/>
          <w:sz w:val="18"/>
          <w:szCs w:val="18"/>
          <w:color w:val="auto"/>
        </w:rPr>
        <w:t>The selling holder may sell up to all of the shares of the common stock shown above under the heading "Number of shares of common stock offered" pursuant to this prospectus in one or more transactions from time to time as described below under "Plan of Distribution." However, the selling holder is not obligated to sell any of the shares of common stock offered by this prospectus.</w:t>
      </w:r>
    </w:p>
    <w:p>
      <w:pPr>
        <w:spacing w:after="0" w:line="204"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8"/>
          <w:szCs w:val="18"/>
          <w:color w:val="auto"/>
        </w:rPr>
        <w:t>PLAN OF DISTRIBUTION</w:t>
      </w:r>
    </w:p>
    <w:p>
      <w:pPr>
        <w:spacing w:after="0" w:line="207" w:lineRule="exact"/>
        <w:rPr>
          <w:sz w:val="20"/>
          <w:szCs w:val="20"/>
          <w:color w:val="auto"/>
        </w:rPr>
      </w:pPr>
    </w:p>
    <w:p>
      <w:pPr>
        <w:ind w:right="1819" w:firstLine="316"/>
        <w:spacing w:after="0" w:line="290" w:lineRule="auto"/>
        <w:rPr>
          <w:sz w:val="20"/>
          <w:szCs w:val="20"/>
          <w:color w:val="auto"/>
        </w:rPr>
      </w:pPr>
      <w:r>
        <w:rPr>
          <w:rFonts w:ascii="Courier New" w:cs="Courier New" w:eastAsia="Courier New" w:hAnsi="Courier New"/>
          <w:sz w:val="16"/>
          <w:szCs w:val="16"/>
          <w:color w:val="auto"/>
        </w:rPr>
        <w:t>The selling holder may offer and sell the shares of common stock offered by this prospectus from time to time in one or more of the following transactions:</w:t>
      </w:r>
    </w:p>
    <w:p>
      <w:pPr>
        <w:spacing w:after="0" w:line="169" w:lineRule="exact"/>
        <w:rPr>
          <w:sz w:val="20"/>
          <w:szCs w:val="20"/>
          <w:color w:val="auto"/>
        </w:rPr>
      </w:pPr>
    </w:p>
    <w:p>
      <w:pPr>
        <w:ind w:left="420" w:right="2019" w:hanging="201"/>
        <w:spacing w:after="0" w:line="235" w:lineRule="auto"/>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through the New York Stock Exchange or any other securities exchange that quotes the common stock</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in the over-the-counter market</w:t>
      </w:r>
    </w:p>
    <w:p>
      <w:pPr>
        <w:spacing w:after="0" w:line="207" w:lineRule="exact"/>
        <w:rPr>
          <w:sz w:val="20"/>
          <w:szCs w:val="20"/>
          <w:color w:val="auto"/>
        </w:rPr>
      </w:pPr>
    </w:p>
    <w:p>
      <w:pPr>
        <w:ind w:left="420" w:right="2019" w:hanging="201"/>
        <w:spacing w:after="0" w:line="290" w:lineRule="auto"/>
        <w:tabs>
          <w:tab w:leader="none" w:pos="4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transactions other than on those exchanges or in the over-the-counter market (including negotiated transactions and other private transactions)</w:t>
      </w:r>
    </w:p>
    <w:p>
      <w:pPr>
        <w:spacing w:after="0" w:line="169" w:lineRule="exact"/>
        <w:rPr>
          <w:sz w:val="20"/>
          <w:szCs w:val="20"/>
          <w:color w:val="auto"/>
        </w:rPr>
      </w:pPr>
    </w:p>
    <w:p>
      <w:pPr>
        <w:ind w:left="420" w:right="2119" w:hanging="201"/>
        <w:spacing w:after="0" w:line="235" w:lineRule="auto"/>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short sales of the common stock, in transactions to cover short sales or otherwise in connection with short sales</w:t>
      </w:r>
    </w:p>
    <w:p>
      <w:pPr>
        <w:spacing w:after="0" w:line="208" w:lineRule="exact"/>
        <w:rPr>
          <w:sz w:val="20"/>
          <w:szCs w:val="20"/>
          <w:color w:val="auto"/>
        </w:rPr>
      </w:pPr>
    </w:p>
    <w:p>
      <w:pPr>
        <w:ind w:left="420" w:right="2339" w:hanging="201"/>
        <w:spacing w:after="0" w:line="235" w:lineRule="auto"/>
        <w:tabs>
          <w:tab w:leader="none" w:pos="4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pledge to secure debts and other obligations or on foreclosure of a pledge</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in a combination of any of the above transactions</w:t>
      </w:r>
    </w:p>
    <w:p>
      <w:pPr>
        <w:spacing w:after="0" w:line="207" w:lineRule="exact"/>
        <w:rPr>
          <w:sz w:val="20"/>
          <w:szCs w:val="20"/>
          <w:color w:val="auto"/>
        </w:rPr>
      </w:pPr>
    </w:p>
    <w:p>
      <w:pPr>
        <w:ind w:right="1919" w:firstLine="316"/>
        <w:spacing w:after="0" w:line="237" w:lineRule="auto"/>
        <w:rPr>
          <w:sz w:val="20"/>
          <w:szCs w:val="20"/>
          <w:color w:val="auto"/>
        </w:rPr>
      </w:pPr>
      <w:r>
        <w:rPr>
          <w:rFonts w:ascii="Courier New" w:cs="Courier New" w:eastAsia="Courier New" w:hAnsi="Courier New"/>
          <w:sz w:val="18"/>
          <w:szCs w:val="18"/>
          <w:color w:val="auto"/>
        </w:rPr>
        <w:t>The selling holder may sell its shares at market prices prevailing at the time of sale, at prices related to the prevailing market prices, at negotiated prices or at fixed prices. The transactions listed above may include block transactions.</w:t>
      </w:r>
    </w:p>
    <w:p>
      <w:pPr>
        <w:spacing w:after="0" w:line="207" w:lineRule="exact"/>
        <w:rPr>
          <w:sz w:val="20"/>
          <w:szCs w:val="20"/>
          <w:color w:val="auto"/>
        </w:rPr>
      </w:pPr>
    </w:p>
    <w:p>
      <w:pPr>
        <w:ind w:right="1819" w:firstLine="316"/>
        <w:spacing w:after="0" w:line="237" w:lineRule="auto"/>
        <w:rPr>
          <w:sz w:val="20"/>
          <w:szCs w:val="20"/>
          <w:color w:val="auto"/>
        </w:rPr>
      </w:pPr>
      <w:r>
        <w:rPr>
          <w:rFonts w:ascii="Courier New" w:cs="Courier New" w:eastAsia="Courier New" w:hAnsi="Courier New"/>
          <w:sz w:val="18"/>
          <w:szCs w:val="18"/>
          <w:color w:val="auto"/>
        </w:rPr>
        <w:t>The selling holder may use broker-dealers to sell its shares or may sell its shares to broker-dealers acting as principals. If this happens, broker-dealers will either receive discounts or commissions from the selling holder, or they will receive commissions from purchasers of shares for whom they acted as agents, or both. If a broker-dealer purchases shares as a principal, it may resell the shares for its own account under this prospectus.</w:t>
      </w:r>
    </w:p>
    <w:p>
      <w:pPr>
        <w:spacing w:after="0" w:line="209" w:lineRule="exact"/>
        <w:rPr>
          <w:sz w:val="20"/>
          <w:szCs w:val="20"/>
          <w:color w:val="auto"/>
        </w:rPr>
      </w:pPr>
    </w:p>
    <w:p>
      <w:pPr>
        <w:ind w:right="1819" w:firstLine="316"/>
        <w:spacing w:after="0" w:line="236" w:lineRule="auto"/>
        <w:rPr>
          <w:sz w:val="20"/>
          <w:szCs w:val="20"/>
          <w:color w:val="auto"/>
        </w:rPr>
      </w:pPr>
      <w:r>
        <w:rPr>
          <w:rFonts w:ascii="Courier New" w:cs="Courier New" w:eastAsia="Courier New" w:hAnsi="Courier New"/>
          <w:sz w:val="18"/>
          <w:szCs w:val="18"/>
          <w:color w:val="auto"/>
        </w:rPr>
        <w:t>We have informed the selling holder that the anti-manipulation provisions of Regulation M under the Securities Exchange Act of 1934 may apply to its sales of common stock.</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139"/>
          </w:cols>
          <w:pgMar w:left="320" w:top="717" w:right="1440" w:bottom="773" w:gutter="0" w:footer="0" w:header="0"/>
        </w:sectPr>
      </w:pPr>
    </w:p>
    <w:bookmarkStart w:id="7" w:name="page8"/>
    <w:bookmarkEnd w:id="7"/>
    <w:p>
      <w:pPr>
        <w:ind w:right="1819" w:firstLine="316"/>
        <w:spacing w:after="0" w:line="237" w:lineRule="auto"/>
        <w:rPr>
          <w:sz w:val="20"/>
          <w:szCs w:val="20"/>
          <w:color w:val="auto"/>
        </w:rPr>
      </w:pPr>
      <w:r>
        <w:rPr>
          <w:rFonts w:ascii="Courier New" w:cs="Courier New" w:eastAsia="Courier New" w:hAnsi="Courier New"/>
          <w:sz w:val="18"/>
          <w:szCs w:val="18"/>
          <w:color w:val="auto"/>
        </w:rPr>
        <w:t>The selling holder and any agent, broker or dealer that participates in sales of common stock offered by this prospectus may be deemed "underwriters" under the Securities Act of 1933, and any commissions or other consideration received by any agent, broker or dealer may be considered underwriting discounts or commissions under the Securities Act. We have agreed to indemnify the selling holder against certain liabilities arising under the Securities Act of 1933 from sales of common stock. The selling holder may agree to indemnify any agent, broker or dealer that participates in sales of common stock or warrants against liabilities arising under the Securities Act of 1933 from sales of common stock.</w:t>
      </w:r>
    </w:p>
    <w:p>
      <w:pPr>
        <w:spacing w:after="0" w:line="214" w:lineRule="exact"/>
        <w:rPr>
          <w:sz w:val="20"/>
          <w:szCs w:val="20"/>
          <w:color w:val="auto"/>
        </w:rPr>
      </w:pPr>
    </w:p>
    <w:p>
      <w:pPr>
        <w:jc w:val="both"/>
        <w:ind w:right="2019" w:firstLine="316"/>
        <w:spacing w:after="0" w:line="236" w:lineRule="auto"/>
        <w:rPr>
          <w:sz w:val="20"/>
          <w:szCs w:val="20"/>
          <w:color w:val="auto"/>
        </w:rPr>
      </w:pPr>
      <w:r>
        <w:rPr>
          <w:rFonts w:ascii="Courier New" w:cs="Courier New" w:eastAsia="Courier New" w:hAnsi="Courier New"/>
          <w:sz w:val="18"/>
          <w:szCs w:val="18"/>
          <w:color w:val="auto"/>
        </w:rPr>
        <w:t>Instead of selling common stock under this prospectus, the selling holder may sell common stock in compliance with the provisions of Rule 144 under the Securities Act of 1933, if available.</w:t>
      </w:r>
    </w:p>
    <w:p>
      <w:pPr>
        <w:spacing w:after="0" w:line="208" w:lineRule="exact"/>
        <w:rPr>
          <w:sz w:val="20"/>
          <w:szCs w:val="20"/>
          <w:color w:val="auto"/>
        </w:rPr>
      </w:pPr>
    </w:p>
    <w:p>
      <w:pPr>
        <w:jc w:val="both"/>
        <w:ind w:right="1819" w:firstLine="316"/>
        <w:spacing w:after="0" w:line="236" w:lineRule="auto"/>
        <w:rPr>
          <w:sz w:val="20"/>
          <w:szCs w:val="20"/>
          <w:color w:val="auto"/>
        </w:rPr>
      </w:pPr>
      <w:r>
        <w:rPr>
          <w:rFonts w:ascii="Courier New" w:cs="Courier New" w:eastAsia="Courier New" w:hAnsi="Courier New"/>
          <w:sz w:val="18"/>
          <w:szCs w:val="18"/>
          <w:color w:val="auto"/>
        </w:rPr>
        <w:t>The term "selling holder" also includes persons who obtain common stock from the selling holder in a distribution or dividend of assets by an entity to its equity holders.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139"/>
          </w:cols>
          <w:pgMar w:left="320" w:top="722" w:right="1440" w:bottom="1440" w:gutter="0" w:footer="0" w:header="0"/>
        </w:sectPr>
      </w:pPr>
    </w:p>
    <w:bookmarkStart w:id="8" w:name="page9"/>
    <w:bookmarkEnd w:id="8"/>
    <w:p>
      <w:pPr>
        <w:ind w:left="2740"/>
        <w:spacing w:after="0"/>
        <w:rPr>
          <w:sz w:val="20"/>
          <w:szCs w:val="20"/>
          <w:color w:val="auto"/>
        </w:rPr>
      </w:pPr>
      <w:r>
        <w:rPr>
          <w:rFonts w:ascii="Courier New" w:cs="Courier New" w:eastAsia="Courier New" w:hAnsi="Courier New"/>
          <w:sz w:val="18"/>
          <w:szCs w:val="18"/>
          <w:color w:val="auto"/>
        </w:rPr>
        <w:t>DESCRIPTION OF CAPITAL STOCK</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The following descriptions provide a summary of our capital stock.</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Authorized, Issued and Treasury Shares</w:t>
      </w:r>
    </w:p>
    <w:p>
      <w:pPr>
        <w:spacing w:after="0" w:line="207" w:lineRule="exact"/>
        <w:rPr>
          <w:sz w:val="20"/>
          <w:szCs w:val="20"/>
          <w:color w:val="auto"/>
        </w:rPr>
      </w:pPr>
    </w:p>
    <w:p>
      <w:pPr>
        <w:ind w:right="1919" w:firstLine="316"/>
        <w:spacing w:after="0" w:line="270" w:lineRule="auto"/>
        <w:rPr>
          <w:sz w:val="20"/>
          <w:szCs w:val="20"/>
          <w:color w:val="auto"/>
        </w:rPr>
      </w:pPr>
      <w:r>
        <w:rPr>
          <w:rFonts w:ascii="Courier New" w:cs="Courier New" w:eastAsia="Courier New" w:hAnsi="Courier New"/>
          <w:sz w:val="16"/>
          <w:szCs w:val="16"/>
          <w:color w:val="auto"/>
        </w:rPr>
        <w:t>We are authorized to issue 1,000,000,000 shares of common stock, par value $0.01 per share. On December 31, 1999, 667,054,806 shares were issued; 565,931,130 shares were outstanding; and 101,123,676 shares were held by us as treasury stock. In addition, we are authorized to issue, with some limitations with respect to voting rights, liquidation and dividend preferences, 200,000,000 shares of cumulative preferred stock, par value $0.01 per share, which may be issued in one or more separate series. If issued, the preferred stock may contain provisions allowing it to be converted into common stock under terms and conditions specified by our board of directors. No shares of preferred stock have been issued as of the date of this prospectus.</w:t>
      </w:r>
    </w:p>
    <w:p>
      <w:pPr>
        <w:spacing w:after="0" w:line="18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Dividend Rights</w:t>
      </w:r>
    </w:p>
    <w:p>
      <w:pPr>
        <w:spacing w:after="0" w:line="207" w:lineRule="exact"/>
        <w:rPr>
          <w:sz w:val="20"/>
          <w:szCs w:val="20"/>
          <w:color w:val="auto"/>
        </w:rPr>
      </w:pPr>
    </w:p>
    <w:p>
      <w:pPr>
        <w:ind w:right="2019" w:firstLine="316"/>
        <w:spacing w:after="0" w:line="271" w:lineRule="auto"/>
        <w:rPr>
          <w:sz w:val="20"/>
          <w:szCs w:val="20"/>
          <w:color w:val="auto"/>
        </w:rPr>
      </w:pPr>
      <w:r>
        <w:rPr>
          <w:rFonts w:ascii="Courier New" w:cs="Courier New" w:eastAsia="Courier New" w:hAnsi="Courier New"/>
          <w:sz w:val="16"/>
          <w:szCs w:val="16"/>
          <w:color w:val="auto"/>
        </w:rPr>
        <w:t>All outstanding shares of our common stock (i.e., shares not held by us or our subsidiaries) are entitled to participate equally and receive dividends which may be paid out of available profits of the preceding fiscal year or years. All accumulated and unpaid dividends payable on preferred stock (if issued and outstanding) must be paid prior to the payment of any dividends on common stock. The amount of dividends payable with respect to any fiscal year is determined by the stockholders at the annual general meeting held within nine months of such fiscal year following such fiscal year, except that our board of directors may declare interim dividends.</w:t>
      </w:r>
    </w:p>
    <w:p>
      <w:pPr>
        <w:spacing w:after="0" w:line="38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Voting Rights</w:t>
      </w:r>
    </w:p>
    <w:p>
      <w:pPr>
        <w:spacing w:after="0" w:line="207" w:lineRule="exact"/>
        <w:rPr>
          <w:sz w:val="20"/>
          <w:szCs w:val="20"/>
          <w:color w:val="auto"/>
        </w:rPr>
      </w:pPr>
    </w:p>
    <w:p>
      <w:pPr>
        <w:ind w:right="1819" w:firstLine="316"/>
        <w:spacing w:after="0" w:line="238" w:lineRule="auto"/>
        <w:rPr>
          <w:sz w:val="20"/>
          <w:szCs w:val="20"/>
          <w:color w:val="auto"/>
        </w:rPr>
      </w:pPr>
      <w:r>
        <w:rPr>
          <w:rFonts w:ascii="Courier New" w:cs="Courier New" w:eastAsia="Courier New" w:hAnsi="Courier New"/>
          <w:sz w:val="18"/>
          <w:szCs w:val="18"/>
          <w:color w:val="auto"/>
        </w:rPr>
        <w:t>Each holder of shares of common stock is entitled to one vote for each share registered in that holder's name. Voting rights may be exercised in person or by proxy. No action to amend our articles of incorporation or to sell all or substantially all of our assets or to dissolve us can be taken except upon the authorization of the holders of at least a majority of the outstanding shares eligible to vote. In addition, holders of preferred stock (if issued and outstanding) would have additional rights to vote as a class on certain amendments to our articles of incorporation that would adversely affect the preferred stock. Any other action requiring the approval of the stockholders may be authorized by a majority of the votes cast at any meeting at which a quorum is present, except that, if a quorum is not present at any meeting, a second meeting may be called, to be held within two months, at which second meeting, despite the absence of a quorum, valid resolutions may be adopted with respect to any matter stated in the notice of the original meeting and of the second meeting. A quorum consists of not less than 50% of the shares outstanding and eligible to vote.</w:t>
      </w:r>
    </w:p>
    <w:p>
      <w:pPr>
        <w:spacing w:after="0" w:line="207" w:lineRule="exact"/>
        <w:rPr>
          <w:sz w:val="20"/>
          <w:szCs w:val="20"/>
          <w:color w:val="auto"/>
        </w:rPr>
      </w:pPr>
    </w:p>
    <w:p>
      <w:pPr>
        <w:ind w:right="1919" w:firstLine="316"/>
        <w:spacing w:after="0" w:line="237" w:lineRule="auto"/>
        <w:rPr>
          <w:sz w:val="20"/>
          <w:szCs w:val="20"/>
          <w:color w:val="auto"/>
        </w:rPr>
      </w:pPr>
      <w:r>
        <w:rPr>
          <w:rFonts w:ascii="Courier New" w:cs="Courier New" w:eastAsia="Courier New" w:hAnsi="Courier New"/>
          <w:sz w:val="18"/>
          <w:szCs w:val="18"/>
          <w:color w:val="auto"/>
        </w:rPr>
        <w:t>Our board of directors is authorized to effect reorganizations or rearrangements of our corporate structure or that of our subsidiaries without the vote of stockholders if such reorganization or rearrangement does not result in any diminution of the beneficial interest of the stockholders in our assets. The board of directors may change our corporate domicile from the Netherlands Antilles to another jurisdiction without the necessity of any stockholder action or approval.</w:t>
      </w:r>
    </w:p>
    <w:p>
      <w:pPr>
        <w:spacing w:after="0" w:line="205"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Preemptive and Other Rights</w:t>
      </w:r>
    </w:p>
    <w:p>
      <w:pPr>
        <w:spacing w:after="0" w:line="207" w:lineRule="exact"/>
        <w:rPr>
          <w:sz w:val="20"/>
          <w:szCs w:val="20"/>
          <w:color w:val="auto"/>
        </w:rPr>
      </w:pPr>
    </w:p>
    <w:p>
      <w:pPr>
        <w:ind w:right="1919" w:firstLine="316"/>
        <w:spacing w:after="0" w:line="271" w:lineRule="auto"/>
        <w:rPr>
          <w:sz w:val="20"/>
          <w:szCs w:val="20"/>
          <w:color w:val="auto"/>
        </w:rPr>
      </w:pPr>
      <w:r>
        <w:rPr>
          <w:rFonts w:ascii="Courier New" w:cs="Courier New" w:eastAsia="Courier New" w:hAnsi="Courier New"/>
          <w:sz w:val="16"/>
          <w:szCs w:val="16"/>
          <w:color w:val="auto"/>
        </w:rPr>
        <w:t>The shares of our common stock do not carry any preemptive or conversion rights, and there are no redemption provisions with respect to the common stock. The shares of preferred stock (if issued and outstanding) would not carry any preemptive rights, but our board of directors could specify conversion rights, redemption provisions and (within limits) liquidation preferences with respect to one or more series of preferred stock. We may for our own account purchase shares of common stock so long as at least one-fifth of our authorized capital stock remains outstanding with other holders. In the event of liquidation, each share of common stock is entitled to equal rights after satisfaction of any preferred stock liquidation preference.</w:t>
      </w:r>
    </w:p>
    <w:p>
      <w:pPr>
        <w:spacing w:after="0" w:line="38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Listing; Transfer Agents and Registrars</w:t>
      </w:r>
    </w:p>
    <w:p>
      <w:pPr>
        <w:spacing w:after="0" w:line="207" w:lineRule="exact"/>
        <w:rPr>
          <w:sz w:val="20"/>
          <w:szCs w:val="20"/>
          <w:color w:val="auto"/>
        </w:rPr>
      </w:pPr>
    </w:p>
    <w:p>
      <w:pPr>
        <w:ind w:right="2019" w:firstLine="316"/>
        <w:spacing w:after="0" w:line="236" w:lineRule="auto"/>
        <w:rPr>
          <w:sz w:val="20"/>
          <w:szCs w:val="20"/>
          <w:color w:val="auto"/>
        </w:rPr>
      </w:pPr>
      <w:r>
        <w:rPr>
          <w:rFonts w:ascii="Courier New" w:cs="Courier New" w:eastAsia="Courier New" w:hAnsi="Courier New"/>
          <w:sz w:val="18"/>
          <w:szCs w:val="18"/>
          <w:color w:val="auto"/>
        </w:rPr>
        <w:t>Our common stock is listed for trading on the New York, London, Paris, Amsterdam and Swiss stock exchanges. The Transfer Agent and Registrar for the Common Stock is Boston EquiServe LP, Boston, Massachusetts.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139"/>
          </w:cols>
          <w:pgMar w:left="320" w:top="717" w:right="1440" w:bottom="165" w:gutter="0" w:footer="0" w:header="0"/>
        </w:sectPr>
      </w:pPr>
    </w:p>
    <w:bookmarkStart w:id="9" w:name="page10"/>
    <w:bookmarkEnd w:id="9"/>
    <w:p>
      <w:pPr>
        <w:jc w:val="center"/>
        <w:ind w:right="1819"/>
        <w:spacing w:after="0"/>
        <w:rPr>
          <w:sz w:val="20"/>
          <w:szCs w:val="20"/>
          <w:color w:val="auto"/>
        </w:rPr>
      </w:pPr>
      <w:r>
        <w:rPr>
          <w:rFonts w:ascii="Courier New" w:cs="Courier New" w:eastAsia="Courier New" w:hAnsi="Courier New"/>
          <w:sz w:val="18"/>
          <w:szCs w:val="18"/>
          <w:color w:val="auto"/>
        </w:rPr>
        <w:t>LEGAL MATTERS</w:t>
      </w:r>
    </w:p>
    <w:p>
      <w:pPr>
        <w:spacing w:after="0" w:line="207" w:lineRule="exact"/>
        <w:rPr>
          <w:sz w:val="20"/>
          <w:szCs w:val="20"/>
          <w:color w:val="auto"/>
        </w:rPr>
      </w:pPr>
    </w:p>
    <w:p>
      <w:pPr>
        <w:jc w:val="both"/>
        <w:ind w:right="2119" w:firstLine="316"/>
        <w:spacing w:after="0" w:line="236" w:lineRule="auto"/>
        <w:rPr>
          <w:sz w:val="20"/>
          <w:szCs w:val="20"/>
          <w:color w:val="auto"/>
        </w:rPr>
      </w:pPr>
      <w:r>
        <w:rPr>
          <w:rFonts w:ascii="Courier New" w:cs="Courier New" w:eastAsia="Courier New" w:hAnsi="Courier New"/>
          <w:sz w:val="18"/>
          <w:szCs w:val="18"/>
          <w:color w:val="auto"/>
        </w:rPr>
        <w:t>Certain legal matters in connection with the common stock offered by this prospectus will be passed on for us by James L. Gunderson, Esq., our General Counsel.</w:t>
      </w:r>
    </w:p>
    <w:p>
      <w:pPr>
        <w:spacing w:after="0" w:line="203"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1819" w:firstLine="316"/>
        <w:spacing w:after="0" w:line="237" w:lineRule="auto"/>
        <w:rPr>
          <w:sz w:val="20"/>
          <w:szCs w:val="20"/>
          <w:color w:val="auto"/>
        </w:rPr>
      </w:pPr>
      <w:r>
        <w:rPr>
          <w:rFonts w:ascii="Courier New" w:cs="Courier New" w:eastAsia="Courier New" w:hAnsi="Courier New"/>
          <w:sz w:val="18"/>
          <w:szCs w:val="18"/>
          <w:color w:val="auto"/>
        </w:rPr>
        <w:t>The consolidated financial statements incorporated in this prospectus by reference to our Annual Report on Form 10-K for the year December 31, 1998 have been so incorporated in reliance on the report of PricewaterhouseCoopers LLP, independent accountants, given on the authority of said firm as experts in auditing and accounting.</w:t>
      </w:r>
    </w:p>
    <w:p>
      <w:pPr>
        <w:spacing w:after="0" w:line="202"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8"/>
          <w:szCs w:val="18"/>
          <w:color w:val="auto"/>
        </w:rPr>
        <w:t>WHERE YOU CAN FIND MORE INFORMATION</w:t>
      </w:r>
    </w:p>
    <w:p>
      <w:pPr>
        <w:spacing w:after="0" w:line="207" w:lineRule="exact"/>
        <w:rPr>
          <w:sz w:val="20"/>
          <w:szCs w:val="20"/>
          <w:color w:val="auto"/>
        </w:rPr>
      </w:pPr>
    </w:p>
    <w:p>
      <w:pPr>
        <w:ind w:right="1919" w:firstLine="316"/>
        <w:spacing w:after="0" w:line="237" w:lineRule="auto"/>
        <w:rPr>
          <w:sz w:val="20"/>
          <w:szCs w:val="20"/>
          <w:color w:val="auto"/>
        </w:rPr>
      </w:pPr>
      <w:r>
        <w:rPr>
          <w:rFonts w:ascii="Courier New" w:cs="Courier New" w:eastAsia="Courier New" w:hAnsi="Courier New"/>
          <w:sz w:val="18"/>
          <w:szCs w:val="18"/>
          <w:color w:val="auto"/>
        </w:rPr>
        <w:t>We file annual, quarterly and special reports, proxy statements and other information with the SEC. You may read and copy any document we file at the SEC's public reference room at 450 Fifth Street, N.W., Washington, D.C. 20549. Please call the SEC at 1-800-SEC-0330 for further information on the public reference room. Our SEC filings also are available to the public at the SEC's web site at http://www.sec.gov.</w:t>
      </w:r>
    </w:p>
    <w:p>
      <w:pPr>
        <w:spacing w:after="0" w:line="209" w:lineRule="exact"/>
        <w:rPr>
          <w:sz w:val="20"/>
          <w:szCs w:val="20"/>
          <w:color w:val="auto"/>
        </w:rPr>
      </w:pPr>
    </w:p>
    <w:p>
      <w:pPr>
        <w:ind w:right="1819" w:firstLine="316"/>
        <w:spacing w:after="0" w:line="237" w:lineRule="auto"/>
        <w:rPr>
          <w:sz w:val="20"/>
          <w:szCs w:val="20"/>
          <w:color w:val="auto"/>
        </w:rPr>
      </w:pPr>
      <w:r>
        <w:rPr>
          <w:rFonts w:ascii="Courier New" w:cs="Courier New" w:eastAsia="Courier New" w:hAnsi="Courier New"/>
          <w:sz w:val="18"/>
          <w:szCs w:val="18"/>
          <w:color w:val="auto"/>
        </w:rPr>
        <w:t>The SEC allows us to "incorporate by reference" the information we file with them, which means that we can disclose important information to you by referring you to those documents. The information incorporated by reference is considered to be part of this prospectus, and later information that we file with the SEC will automatically update and supersede this information. We incorporate by reference the documents listed below and any future filings we make with the SEC under Sections 13(a), 13(c), 14, or 15(d) of the Securities Exchange Act of 1934:</w:t>
      </w:r>
    </w:p>
    <w:p>
      <w:pPr>
        <w:spacing w:after="0" w:line="212" w:lineRule="exact"/>
        <w:rPr>
          <w:sz w:val="20"/>
          <w:szCs w:val="20"/>
          <w:color w:val="auto"/>
        </w:rPr>
      </w:pPr>
    </w:p>
    <w:p>
      <w:pPr>
        <w:ind w:left="420" w:right="2019" w:hanging="201"/>
        <w:spacing w:after="0" w:line="235" w:lineRule="auto"/>
        <w:tabs>
          <w:tab w:leader="none" w:pos="4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Annual Report on Form 10-K for the year ended December 31, 1998 (File No. 1-4601);</w:t>
      </w:r>
    </w:p>
    <w:p>
      <w:pPr>
        <w:spacing w:after="0" w:line="208" w:lineRule="exact"/>
        <w:rPr>
          <w:sz w:val="20"/>
          <w:szCs w:val="20"/>
          <w:color w:val="auto"/>
        </w:rPr>
      </w:pPr>
    </w:p>
    <w:p>
      <w:pPr>
        <w:ind w:left="420" w:right="2239" w:hanging="201"/>
        <w:spacing w:after="0" w:line="236" w:lineRule="auto"/>
        <w:tabs>
          <w:tab w:leader="none" w:pos="4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Quarterly Report on Form 10-Q for the quarter ended March 31, 1999; the quarter ended June 30, 1999; and the quarter ended September 30, 1999;</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our Current Report on Form 8-K filed January 10, 2000; and</w:t>
      </w:r>
    </w:p>
    <w:p>
      <w:pPr>
        <w:spacing w:after="0" w:line="207" w:lineRule="exact"/>
        <w:rPr>
          <w:sz w:val="20"/>
          <w:szCs w:val="20"/>
          <w:color w:val="auto"/>
        </w:rPr>
      </w:pPr>
    </w:p>
    <w:p>
      <w:pPr>
        <w:ind w:left="420" w:right="2019" w:hanging="201"/>
        <w:spacing w:after="0" w:line="237" w:lineRule="auto"/>
        <w:tabs>
          <w:tab w:leader="none" w:pos="4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the common stock contained in our registration statement on Form 20 dated January 8, 1962, filed under the Securities Exchange Act of 1934, as amended, including any amendment or report filed for the purpose of updating such description.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You may obtain a copy of these filings, at no cost, by writing or telephoning:</w:t>
      </w:r>
    </w:p>
    <w:p>
      <w:pPr>
        <w:spacing w:after="0" w:line="218"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Rex Ross</w:t>
      </w:r>
    </w:p>
    <w:p>
      <w:pPr>
        <w:ind w:left="1280"/>
        <w:spacing w:after="0" w:line="238" w:lineRule="auto"/>
        <w:rPr>
          <w:sz w:val="20"/>
          <w:szCs w:val="20"/>
          <w:color w:val="auto"/>
        </w:rPr>
      </w:pPr>
      <w:r>
        <w:rPr>
          <w:rFonts w:ascii="Courier New" w:cs="Courier New" w:eastAsia="Courier New" w:hAnsi="Courier New"/>
          <w:sz w:val="18"/>
          <w:szCs w:val="18"/>
          <w:color w:val="auto"/>
        </w:rPr>
        <w:t>Vice President, Communications</w:t>
      </w:r>
    </w:p>
    <w:p>
      <w:pPr>
        <w:ind w:left="1280"/>
        <w:spacing w:after="0" w:line="238" w:lineRule="auto"/>
        <w:rPr>
          <w:sz w:val="20"/>
          <w:szCs w:val="20"/>
          <w:color w:val="auto"/>
        </w:rPr>
      </w:pPr>
      <w:r>
        <w:rPr>
          <w:rFonts w:ascii="Courier New" w:cs="Courier New" w:eastAsia="Courier New" w:hAnsi="Courier New"/>
          <w:sz w:val="18"/>
          <w:szCs w:val="18"/>
          <w:color w:val="auto"/>
        </w:rPr>
        <w:t>Schlumberger Limited</w:t>
      </w:r>
    </w:p>
    <w:p>
      <w:pPr>
        <w:ind w:left="1280"/>
        <w:spacing w:after="0"/>
        <w:rPr>
          <w:sz w:val="20"/>
          <w:szCs w:val="20"/>
          <w:color w:val="auto"/>
        </w:rPr>
      </w:pPr>
      <w:r>
        <w:rPr>
          <w:rFonts w:ascii="Courier New" w:cs="Courier New" w:eastAsia="Courier New" w:hAnsi="Courier New"/>
          <w:sz w:val="18"/>
          <w:szCs w:val="18"/>
          <w:color w:val="auto"/>
        </w:rPr>
        <w:t>277 Park Avenue</w:t>
      </w:r>
    </w:p>
    <w:p>
      <w:pPr>
        <w:ind w:left="1280"/>
        <w:spacing w:after="0" w:line="237" w:lineRule="auto"/>
        <w:rPr>
          <w:sz w:val="20"/>
          <w:szCs w:val="20"/>
          <w:color w:val="auto"/>
        </w:rPr>
      </w:pPr>
      <w:r>
        <w:rPr>
          <w:rFonts w:ascii="Courier New" w:cs="Courier New" w:eastAsia="Courier New" w:hAnsi="Courier New"/>
          <w:sz w:val="18"/>
          <w:szCs w:val="18"/>
          <w:color w:val="auto"/>
        </w:rPr>
        <w:t>New York, New York 10172-2066</w:t>
      </w:r>
    </w:p>
    <w:p>
      <w:pPr>
        <w:ind w:left="1280"/>
        <w:spacing w:after="0" w:line="238" w:lineRule="auto"/>
        <w:rPr>
          <w:sz w:val="20"/>
          <w:szCs w:val="20"/>
          <w:color w:val="auto"/>
        </w:rPr>
      </w:pPr>
      <w:r>
        <w:rPr>
          <w:rFonts w:ascii="Courier New" w:cs="Courier New" w:eastAsia="Courier New" w:hAnsi="Courier New"/>
          <w:sz w:val="18"/>
          <w:szCs w:val="18"/>
          <w:color w:val="auto"/>
        </w:rPr>
        <w:t>(212) 350-9432</w:t>
      </w:r>
    </w:p>
    <w:p>
      <w:pPr>
        <w:spacing w:after="0" w:line="202"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8"/>
          <w:szCs w:val="18"/>
          <w:color w:val="auto"/>
        </w:rPr>
        <w:t>This prospectus is part of a registration statement we filed with the SEC.</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139"/>
          </w:cols>
          <w:pgMar w:left="320" w:top="717" w:right="1440" w:bottom="1440" w:gutter="0" w:footer="0" w:header="0"/>
        </w:sectPr>
      </w:pPr>
    </w:p>
    <w:bookmarkStart w:id="10" w:name="page11"/>
    <w:bookmarkEnd w:id="10"/>
    <w:p>
      <w:pPr>
        <w:jc w:val="center"/>
        <w:ind w:right="181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INFORMATION NOT REQUIRED IN PROSPECTUS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14. Other Expenses of Issuance and Distribution</w:t>
      </w:r>
    </w:p>
    <w:p>
      <w:pPr>
        <w:spacing w:after="0" w:line="207" w:lineRule="exact"/>
        <w:rPr>
          <w:sz w:val="20"/>
          <w:szCs w:val="20"/>
          <w:color w:val="auto"/>
        </w:rPr>
      </w:pPr>
    </w:p>
    <w:p>
      <w:pPr>
        <w:ind w:right="1919" w:firstLine="316"/>
        <w:spacing w:after="0" w:line="290" w:lineRule="auto"/>
        <w:rPr>
          <w:sz w:val="20"/>
          <w:szCs w:val="20"/>
          <w:color w:val="auto"/>
        </w:rPr>
      </w:pPr>
      <w:r>
        <w:rPr>
          <w:rFonts w:ascii="Courier New" w:cs="Courier New" w:eastAsia="Courier New" w:hAnsi="Courier New"/>
          <w:sz w:val="16"/>
          <w:szCs w:val="16"/>
          <w:color w:val="auto"/>
        </w:rPr>
        <w:t>All expenses in connection with the offering described in this Registration Statement will be paid by the selling holder. Such expenses are as follows:*</w:t>
      </w:r>
    </w:p>
    <w:p>
      <w:pPr>
        <w:spacing w:after="0" w:line="200" w:lineRule="exact"/>
        <w:rPr>
          <w:sz w:val="20"/>
          <w:szCs w:val="20"/>
          <w:color w:val="auto"/>
        </w:rPr>
      </w:pPr>
    </w:p>
    <w:p>
      <w:pPr>
        <w:spacing w:after="0" w:line="369"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7220" w:type="dxa"/>
            <w:vAlign w:val="bottom"/>
          </w:tcPr>
          <w:p>
            <w:pPr>
              <w:jc w:val="right"/>
              <w:spacing w:after="0"/>
              <w:rPr>
                <w:sz w:val="20"/>
                <w:szCs w:val="20"/>
                <w:color w:val="auto"/>
              </w:rPr>
            </w:pPr>
            <w:r>
              <w:rPr>
                <w:rFonts w:ascii="Courier New" w:cs="Courier New" w:eastAsia="Courier New" w:hAnsi="Courier New"/>
                <w:sz w:val="18"/>
                <w:szCs w:val="18"/>
                <w:color w:val="auto"/>
                <w:w w:val="97"/>
              </w:rPr>
              <w:t>Securities and Exchange Commission registration fee.................</w:t>
            </w: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w w:val="99"/>
              </w:rPr>
              <w:t>$222,398</w:t>
            </w:r>
          </w:p>
        </w:tc>
      </w:tr>
      <w:tr>
        <w:trPr>
          <w:trHeight w:val="203"/>
        </w:trPr>
        <w:tc>
          <w:tcPr>
            <w:tcW w:w="7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Printing expenses...................................................</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$ 10,000</w:t>
            </w:r>
          </w:p>
        </w:tc>
      </w:tr>
      <w:tr>
        <w:trPr>
          <w:trHeight w:val="203"/>
        </w:trPr>
        <w:tc>
          <w:tcPr>
            <w:tcW w:w="7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Accounting fees and expenses........................................</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$ 10,000</w:t>
            </w:r>
          </w:p>
        </w:tc>
      </w:tr>
      <w:tr>
        <w:trPr>
          <w:trHeight w:val="203"/>
        </w:trPr>
        <w:tc>
          <w:tcPr>
            <w:tcW w:w="7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Legal fees and expenses.............................................</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$ 10,000</w:t>
            </w:r>
          </w:p>
        </w:tc>
      </w:tr>
      <w:tr>
        <w:trPr>
          <w:trHeight w:val="203"/>
        </w:trPr>
        <w:tc>
          <w:tcPr>
            <w:tcW w:w="7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Miscellaneous.......................................................</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  7,602</w:t>
            </w:r>
          </w:p>
        </w:tc>
      </w:tr>
      <w:tr>
        <w:trPr>
          <w:trHeight w:val="203"/>
        </w:trPr>
        <w:tc>
          <w:tcPr>
            <w:tcW w:w="722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7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$260,000</w:t>
            </w:r>
          </w:p>
        </w:tc>
      </w:tr>
      <w:tr>
        <w:trPr>
          <w:trHeight w:val="203"/>
        </w:trPr>
        <w:tc>
          <w:tcPr>
            <w:tcW w:w="722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right="2339" w:firstLine="8"/>
        <w:spacing w:after="0" w:line="235" w:lineRule="auto"/>
        <w:tabs>
          <w:tab w:leader="none" w:pos="211"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amounts set forth, except for the filing fees for the Securities and Exchange Commission, are estimated.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15. Indemnification of Directors and Officers</w:t>
      </w:r>
    </w:p>
    <w:p>
      <w:pPr>
        <w:spacing w:after="0" w:line="207"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Article IX, Section 7 of our Articles of Incorporation and Article V of our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By-Laws provide that:</w:t>
      </w:r>
    </w:p>
    <w:p>
      <w:pPr>
        <w:spacing w:after="0" w:line="207" w:lineRule="exact"/>
        <w:rPr>
          <w:sz w:val="20"/>
          <w:szCs w:val="20"/>
          <w:color w:val="auto"/>
        </w:rPr>
      </w:pPr>
    </w:p>
    <w:p>
      <w:pPr>
        <w:ind w:right="1819" w:firstLine="316"/>
        <w:spacing w:after="0" w:line="269" w:lineRule="auto"/>
        <w:rPr>
          <w:sz w:val="20"/>
          <w:szCs w:val="20"/>
          <w:color w:val="auto"/>
        </w:rPr>
      </w:pPr>
      <w:r>
        <w:rPr>
          <w:rFonts w:ascii="Courier New" w:cs="Courier New" w:eastAsia="Courier New" w:hAnsi="Courier New"/>
          <w:sz w:val="16"/>
          <w:szCs w:val="16"/>
          <w:color w:val="auto"/>
        </w:rPr>
        <w:t>We have the power to indemnify any person who was or is a party or is threatened to be made a party to any threatened, pending or completed action, suit or proceeding, whether civil, criminal, administrative or investigative (other than an action by or in the right of Schlumberger) by reason of the fact that he or she is or was a director, officer, employee or agent of Schlumberger, or is or was serving at our request as a director, officer, employee or agent of another corporation, partnership, joint venture, trust or other enterprise or entity, against expenses (including attorneys' fees), judgments, fines and amounts paid in settlement actually and reasonably incurred by him in connection with such action, suit or proceeding if he or she acted in good faith and in a manner he or she reasonably believed to be in or not opposed to the best interests of Schlumberger, and, with respect to any criminal action or proceeding, had no reasonable cause to believe his conduct was unlawful. The termination of any action, suit or proceeding by judgment, order, settlement, conviction, or upon a plea of nolo contendere or its equivalent does not, of itself, create a presumption that the person did not act in good faith and in a manner which he or she reasonably believed to be in or not opposed to our best interests, and, with respect to any criminal action or proceeding, had reasonable cause to believe that his conduct was unlawful.</w:t>
      </w:r>
    </w:p>
    <w:p>
      <w:pPr>
        <w:spacing w:after="0" w:line="393" w:lineRule="exact"/>
        <w:rPr>
          <w:sz w:val="20"/>
          <w:szCs w:val="20"/>
          <w:color w:val="auto"/>
        </w:rPr>
      </w:pPr>
    </w:p>
    <w:p>
      <w:pPr>
        <w:ind w:right="1819" w:firstLine="316"/>
        <w:spacing w:after="0" w:line="269" w:lineRule="auto"/>
        <w:rPr>
          <w:sz w:val="20"/>
          <w:szCs w:val="20"/>
          <w:color w:val="auto"/>
        </w:rPr>
      </w:pPr>
      <w:r>
        <w:rPr>
          <w:rFonts w:ascii="Courier New" w:cs="Courier New" w:eastAsia="Courier New" w:hAnsi="Courier New"/>
          <w:sz w:val="16"/>
          <w:szCs w:val="16"/>
          <w:color w:val="auto"/>
        </w:rPr>
        <w:t>We have the power to indemnify any person who was or is a party or is threatened to be made a party to any threatened, pending or completed action or suit by or in the right of Schlumberger to procure a judgment in our favor by reason of the fact that he or she is or was a director, officer, employee or agent of Schlumberger, or is or was serving at our request as a director, officer, employee or agent of another corporation, partnership, joint venture, trust or other enterprise or entity against expenses (including attorneys' fees), judgments, fines and amounts paid in settlement actually and reasonably incurred by him or her in connection with the defense or settlement of such action or suit if he or she acted in good faith and in a manner he or she reasonably believed to be in or not opposed to our best interests and except that no indemnification may be made in respect of any claim, issue or matter as to which that person has been finally adjudged to be liable to us for improper conduct unless and only to the extent that the court in which that action or suit was brought or any other court having appropriate jurisdiction determines upon application that, despite the adjudication of liability, but in view of all the circumstances of the case, that person is fairly and reasonably entitled to indemnity for those expenses, judgments, fines and amounts paid in settlement which the court in which the action or suit was brought or such other court having appropriate jurisdiction deems proper.</w:t>
      </w:r>
    </w:p>
    <w:p>
      <w:pPr>
        <w:spacing w:after="0" w:line="200" w:lineRule="exact"/>
        <w:rPr>
          <w:sz w:val="20"/>
          <w:szCs w:val="20"/>
          <w:color w:val="auto"/>
        </w:rPr>
      </w:pPr>
    </w:p>
    <w:p>
      <w:pPr>
        <w:spacing w:after="0" w:line="390"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II-1</w:t>
      </w:r>
    </w:p>
    <w:p>
      <w:pPr>
        <w:sectPr>
          <w:pgSz w:w="11900" w:h="16838" w:orient="portrait"/>
          <w:cols w:equalWidth="0" w:num="1">
            <w:col w:w="10139"/>
          </w:cols>
          <w:pgMar w:left="320" w:top="717" w:right="1440" w:bottom="1440" w:gutter="0" w:footer="0" w:header="0"/>
        </w:sectPr>
      </w:pPr>
    </w:p>
    <w:bookmarkStart w:id="11" w:name="page12"/>
    <w:bookmarkEnd w:id="11"/>
    <w:p>
      <w:pPr>
        <w:ind w:right="1919" w:firstLine="316"/>
        <w:spacing w:after="0" w:line="237" w:lineRule="auto"/>
        <w:rPr>
          <w:sz w:val="20"/>
          <w:szCs w:val="20"/>
          <w:color w:val="auto"/>
        </w:rPr>
      </w:pPr>
      <w:r>
        <w:rPr>
          <w:rFonts w:ascii="Courier New" w:cs="Courier New" w:eastAsia="Courier New" w:hAnsi="Courier New"/>
          <w:sz w:val="18"/>
          <w:szCs w:val="18"/>
          <w:color w:val="auto"/>
        </w:rPr>
        <w:t>To the extent that one of our directors, officers, employees or agents has been successful on the merits or otherwise in defense of any action, suit or proceeding referred to in the two preceding paragraphs, or in defense of any claim, issue or matter therein, we will indemnify that person against expenses (including attorneys' fees) actually and reasonably incurred by him or her in connection therewith.</w:t>
      </w:r>
    </w:p>
    <w:p>
      <w:pPr>
        <w:spacing w:after="0" w:line="209" w:lineRule="exact"/>
        <w:rPr>
          <w:sz w:val="20"/>
          <w:szCs w:val="20"/>
          <w:color w:val="auto"/>
        </w:rPr>
      </w:pPr>
    </w:p>
    <w:p>
      <w:pPr>
        <w:ind w:right="1919" w:firstLine="316"/>
        <w:spacing w:after="0" w:line="237" w:lineRule="auto"/>
        <w:rPr>
          <w:sz w:val="20"/>
          <w:szCs w:val="20"/>
          <w:color w:val="auto"/>
        </w:rPr>
      </w:pPr>
      <w:r>
        <w:rPr>
          <w:rFonts w:ascii="Courier New" w:cs="Courier New" w:eastAsia="Courier New" w:hAnsi="Courier New"/>
          <w:sz w:val="18"/>
          <w:szCs w:val="18"/>
          <w:color w:val="auto"/>
        </w:rPr>
        <w:t>Any indemnification under the first two paragraphs in this item (unless ordered by a court) may be made by us only as authorized by contract approved, or by-laws, resolution or other action adopted or taken, by the Board of Directors or by the stockholders.</w:t>
      </w:r>
    </w:p>
    <w:p>
      <w:pPr>
        <w:spacing w:after="0" w:line="207" w:lineRule="exact"/>
        <w:rPr>
          <w:sz w:val="20"/>
          <w:szCs w:val="20"/>
          <w:color w:val="auto"/>
        </w:rPr>
      </w:pPr>
    </w:p>
    <w:p>
      <w:pPr>
        <w:ind w:right="1819" w:firstLine="316"/>
        <w:spacing w:after="0" w:line="237" w:lineRule="auto"/>
        <w:rPr>
          <w:sz w:val="20"/>
          <w:szCs w:val="20"/>
          <w:color w:val="auto"/>
        </w:rPr>
      </w:pPr>
      <w:r>
        <w:rPr>
          <w:rFonts w:ascii="Courier New" w:cs="Courier New" w:eastAsia="Courier New" w:hAnsi="Courier New"/>
          <w:sz w:val="18"/>
          <w:szCs w:val="18"/>
          <w:color w:val="auto"/>
        </w:rPr>
        <w:t>Expenses incurred in defending a civil or criminal action, suit or proceeding will be paid by us in advance of the final disposition of such action, suit or proceeding upon receipt of an undertaking by or on behalf of the director, officer, employee or agent to repay such amount if it is ultimately determined that he or she is not entitled to be indemnified by us as authorized by Article V of the By-Laws or Article IX, Section 7 of the Articles of Incorporation.</w:t>
      </w:r>
    </w:p>
    <w:p>
      <w:pPr>
        <w:spacing w:after="0" w:line="210" w:lineRule="exact"/>
        <w:rPr>
          <w:sz w:val="20"/>
          <w:szCs w:val="20"/>
          <w:color w:val="auto"/>
        </w:rPr>
      </w:pPr>
    </w:p>
    <w:p>
      <w:pPr>
        <w:ind w:right="1819" w:firstLine="316"/>
        <w:spacing w:after="0" w:line="237" w:lineRule="auto"/>
        <w:rPr>
          <w:sz w:val="20"/>
          <w:szCs w:val="20"/>
          <w:color w:val="auto"/>
        </w:rPr>
      </w:pPr>
      <w:r>
        <w:rPr>
          <w:rFonts w:ascii="Courier New" w:cs="Courier New" w:eastAsia="Courier New" w:hAnsi="Courier New"/>
          <w:sz w:val="18"/>
          <w:szCs w:val="18"/>
          <w:color w:val="auto"/>
        </w:rPr>
        <w:t>The indemnification and advancement of expenses provided by or granted pursuant to the other Sections of Article V of the By-Laws and Article IX, Section 7 of the Articles of Incorporation are not exclusive of any other rights to which those seeking indemnification or advancement of expenses may be entitled under any law, by-law, agreement, vote of stockholders or disinterested directors, or otherwise, both as to action in his or her official capacity and as to action in another capacity while holding such office, and continues as to a person who has ceased to be a director, officer, employee or agent and inures to the benefit of the heirs, executors and administrators of that person.</w:t>
      </w:r>
    </w:p>
    <w:p>
      <w:pPr>
        <w:spacing w:after="0" w:line="214" w:lineRule="exact"/>
        <w:rPr>
          <w:sz w:val="20"/>
          <w:szCs w:val="20"/>
          <w:color w:val="auto"/>
        </w:rPr>
      </w:pPr>
    </w:p>
    <w:p>
      <w:pPr>
        <w:ind w:right="1819" w:firstLine="316"/>
        <w:spacing w:after="0" w:line="271" w:lineRule="auto"/>
        <w:rPr>
          <w:sz w:val="20"/>
          <w:szCs w:val="20"/>
          <w:color w:val="auto"/>
        </w:rPr>
      </w:pPr>
      <w:r>
        <w:rPr>
          <w:rFonts w:ascii="Courier New" w:cs="Courier New" w:eastAsia="Courier New" w:hAnsi="Courier New"/>
          <w:sz w:val="16"/>
          <w:szCs w:val="16"/>
          <w:color w:val="auto"/>
        </w:rPr>
        <w:t>We have the power to purchase and maintain insurance on behalf of any person who is or was a director, officer, employee or agent of Schlumberger, or is or was serving at our request in such a capacity for another corporation, partnership, joint venture, trust or other enterprise against any liability asserted against that person and incurred by that person in any of those capacities or arising out of his status as such, whether or not we may indemnify him or her against such liability under the provisions of Article V of the By-Laws or Article IX, Section 7 of the Articles of Incorporation.</w:t>
      </w:r>
    </w:p>
    <w:p>
      <w:pPr>
        <w:spacing w:after="0" w:line="185" w:lineRule="exact"/>
        <w:rPr>
          <w:sz w:val="20"/>
          <w:szCs w:val="20"/>
          <w:color w:val="auto"/>
        </w:rPr>
      </w:pPr>
    </w:p>
    <w:p>
      <w:pPr>
        <w:ind w:right="1919" w:firstLine="316"/>
        <w:spacing w:after="0" w:line="237" w:lineRule="auto"/>
        <w:rPr>
          <w:sz w:val="20"/>
          <w:szCs w:val="20"/>
          <w:color w:val="auto"/>
        </w:rPr>
      </w:pPr>
      <w:r>
        <w:rPr>
          <w:rFonts w:ascii="Courier New" w:cs="Courier New" w:eastAsia="Courier New" w:hAnsi="Courier New"/>
          <w:sz w:val="18"/>
          <w:szCs w:val="18"/>
          <w:color w:val="auto"/>
        </w:rPr>
        <w:t>For purposes of Article V of the By-Laws and Article IX, Section 7 of the Articles of Incorporation, reference to us or Schlumberger includes,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stands in the same position under the provisions of Article V of the By-Laws and Article IX, Section 7 of the Articles of Incorporation with respect to the resulting or surviving corporation as he would have with respect to such constituent corporation if its separate existence had continued.</w:t>
      </w:r>
    </w:p>
    <w:p>
      <w:pPr>
        <w:spacing w:after="0" w:line="218" w:lineRule="exact"/>
        <w:rPr>
          <w:sz w:val="20"/>
          <w:szCs w:val="20"/>
          <w:color w:val="auto"/>
        </w:rPr>
      </w:pPr>
    </w:p>
    <w:p>
      <w:pPr>
        <w:ind w:right="1919" w:firstLine="316"/>
        <w:spacing w:after="0" w:line="236" w:lineRule="auto"/>
        <w:rPr>
          <w:sz w:val="20"/>
          <w:szCs w:val="20"/>
          <w:color w:val="auto"/>
        </w:rPr>
      </w:pPr>
      <w:r>
        <w:rPr>
          <w:rFonts w:ascii="Courier New" w:cs="Courier New" w:eastAsia="Courier New" w:hAnsi="Courier New"/>
          <w:sz w:val="18"/>
          <w:szCs w:val="18"/>
          <w:color w:val="auto"/>
        </w:rPr>
        <w:t>In addition, we maintain directors' and officers' liability insurance which insures against certain liabilities that the officers and directors of Schlumberger may incur in such capacities.</w:t>
      </w:r>
    </w:p>
    <w:p>
      <w:pPr>
        <w:spacing w:after="0" w:line="203"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II-2</w:t>
      </w:r>
    </w:p>
    <w:p>
      <w:pPr>
        <w:sectPr>
          <w:pgSz w:w="11900" w:h="16838" w:orient="portrait"/>
          <w:cols w:equalWidth="0" w:num="1">
            <w:col w:w="10139"/>
          </w:cols>
          <w:pgMar w:left="320" w:top="722"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ITEM 16. Exhibits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Exhibit No.</w:t>
            </w:r>
          </w:p>
        </w:tc>
        <w:tc>
          <w:tcPr>
            <w:tcW w:w="6940" w:type="dxa"/>
            <w:vAlign w:val="bottom"/>
          </w:tcPr>
          <w:p>
            <w:pPr>
              <w:ind w:left="3260"/>
              <w:spacing w:after="0"/>
              <w:rPr>
                <w:sz w:val="20"/>
                <w:szCs w:val="20"/>
                <w:color w:val="auto"/>
              </w:rPr>
            </w:pPr>
            <w:r>
              <w:rPr>
                <w:rFonts w:ascii="Courier New" w:cs="Courier New" w:eastAsia="Courier New" w:hAnsi="Courier New"/>
                <w:sz w:val="18"/>
                <w:szCs w:val="18"/>
                <w:color w:val="auto"/>
              </w:rPr>
              <w:t>Document</w:t>
            </w:r>
          </w:p>
        </w:tc>
      </w:tr>
      <w:tr>
        <w:trPr>
          <w:trHeight w:val="203"/>
        </w:trPr>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c>
          <w:tcPr>
            <w:tcW w:w="69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*4.1</w:t>
            </w:r>
          </w:p>
        </w:tc>
        <w:tc>
          <w:tcPr>
            <w:tcW w:w="6940" w:type="dxa"/>
            <w:vAlign w:val="bottom"/>
          </w:tcPr>
          <w:p>
            <w:pPr>
              <w:ind w:left="100"/>
              <w:spacing w:after="0"/>
              <w:rPr>
                <w:sz w:val="20"/>
                <w:szCs w:val="20"/>
                <w:color w:val="auto"/>
              </w:rPr>
            </w:pPr>
            <w:r>
              <w:rPr>
                <w:rFonts w:ascii="Courier New" w:cs="Courier New" w:eastAsia="Courier New" w:hAnsi="Courier New"/>
                <w:sz w:val="18"/>
                <w:szCs w:val="18"/>
                <w:color w:val="auto"/>
                <w:w w:val="97"/>
              </w:rPr>
              <w:t>-- Articles of Incorporation of Schlumberger N.V. as last amended</w:t>
            </w:r>
          </w:p>
        </w:tc>
      </w:tr>
      <w:tr>
        <w:trPr>
          <w:trHeight w:val="203"/>
        </w:trPr>
        <w:tc>
          <w:tcPr>
            <w:tcW w:w="1260" w:type="dxa"/>
            <w:vAlign w:val="bottom"/>
          </w:tcPr>
          <w:p>
            <w:pPr>
              <w:spacing w:after="0"/>
              <w:rPr>
                <w:sz w:val="17"/>
                <w:szCs w:val="17"/>
                <w:color w:val="auto"/>
              </w:rPr>
            </w:pPr>
          </w:p>
        </w:tc>
        <w:tc>
          <w:tcPr>
            <w:tcW w:w="69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8"/>
              </w:rPr>
              <w:t>on April 28, 1997 (Incorporated by reference to the Form 10-Q</w:t>
            </w:r>
          </w:p>
        </w:tc>
      </w:tr>
      <w:tr>
        <w:trPr>
          <w:trHeight w:val="203"/>
        </w:trPr>
        <w:tc>
          <w:tcPr>
            <w:tcW w:w="1260" w:type="dxa"/>
            <w:vAlign w:val="bottom"/>
          </w:tcPr>
          <w:p>
            <w:pPr>
              <w:spacing w:after="0"/>
              <w:rPr>
                <w:sz w:val="17"/>
                <w:szCs w:val="17"/>
                <w:color w:val="auto"/>
              </w:rPr>
            </w:pPr>
          </w:p>
        </w:tc>
        <w:tc>
          <w:tcPr>
            <w:tcW w:w="69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for the period ended March 31, 1997, File No. 1-4601)</w:t>
            </w:r>
          </w:p>
        </w:tc>
      </w:tr>
      <w:tr>
        <w:trPr>
          <w:trHeight w:val="405"/>
        </w:trPr>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*4.2</w:t>
            </w:r>
          </w:p>
        </w:tc>
        <w:tc>
          <w:tcPr>
            <w:tcW w:w="6940" w:type="dxa"/>
            <w:vAlign w:val="bottom"/>
          </w:tcPr>
          <w:p>
            <w:pPr>
              <w:ind w:left="100"/>
              <w:spacing w:after="0"/>
              <w:rPr>
                <w:sz w:val="20"/>
                <w:szCs w:val="20"/>
                <w:color w:val="auto"/>
              </w:rPr>
            </w:pPr>
            <w:r>
              <w:rPr>
                <w:rFonts w:ascii="Courier New" w:cs="Courier New" w:eastAsia="Courier New" w:hAnsi="Courier New"/>
                <w:sz w:val="18"/>
                <w:szCs w:val="18"/>
                <w:color w:val="auto"/>
              </w:rPr>
              <w:t>-- By-laws of Schlumberger N.V. as last amended on October 20,</w:t>
            </w:r>
          </w:p>
        </w:tc>
      </w:tr>
      <w:tr>
        <w:trPr>
          <w:trHeight w:val="203"/>
        </w:trPr>
        <w:tc>
          <w:tcPr>
            <w:tcW w:w="1260" w:type="dxa"/>
            <w:vAlign w:val="bottom"/>
          </w:tcPr>
          <w:p>
            <w:pPr>
              <w:spacing w:after="0"/>
              <w:rPr>
                <w:sz w:val="17"/>
                <w:szCs w:val="17"/>
                <w:color w:val="auto"/>
              </w:rPr>
            </w:pPr>
          </w:p>
        </w:tc>
        <w:tc>
          <w:tcPr>
            <w:tcW w:w="69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8"/>
              </w:rPr>
              <w:t>1993 (Incorporated by reference to Exhibit 3 to the Form 10-K</w:t>
            </w:r>
          </w:p>
        </w:tc>
      </w:tr>
      <w:tr>
        <w:trPr>
          <w:trHeight w:val="203"/>
        </w:trPr>
        <w:tc>
          <w:tcPr>
            <w:tcW w:w="1260" w:type="dxa"/>
            <w:vAlign w:val="bottom"/>
          </w:tcPr>
          <w:p>
            <w:pPr>
              <w:spacing w:after="0"/>
              <w:rPr>
                <w:sz w:val="17"/>
                <w:szCs w:val="17"/>
                <w:color w:val="auto"/>
              </w:rPr>
            </w:pPr>
          </w:p>
        </w:tc>
        <w:tc>
          <w:tcPr>
            <w:tcW w:w="69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for the year ended December 31, 1993, File No. 1-4601)</w:t>
            </w:r>
          </w:p>
        </w:tc>
      </w:tr>
      <w:tr>
        <w:trPr>
          <w:trHeight w:val="405"/>
        </w:trPr>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6940" w:type="dxa"/>
            <w:vAlign w:val="bottom"/>
          </w:tcPr>
          <w:p>
            <w:pPr>
              <w:ind w:left="100"/>
              <w:spacing w:after="0"/>
              <w:rPr>
                <w:sz w:val="20"/>
                <w:szCs w:val="20"/>
                <w:color w:val="auto"/>
              </w:rPr>
            </w:pPr>
            <w:r>
              <w:rPr>
                <w:rFonts w:ascii="Courier New" w:cs="Courier New" w:eastAsia="Courier New" w:hAnsi="Courier New"/>
                <w:sz w:val="18"/>
                <w:szCs w:val="18"/>
                <w:color w:val="auto"/>
              </w:rPr>
              <w:t>-- Opinion of James L. Gunderson, Esq. (filed herewith)</w:t>
            </w:r>
          </w:p>
        </w:tc>
      </w:tr>
      <w:tr>
        <w:trPr>
          <w:trHeight w:val="405"/>
        </w:trPr>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23.1</w:t>
            </w:r>
          </w:p>
        </w:tc>
        <w:tc>
          <w:tcPr>
            <w:tcW w:w="6940" w:type="dxa"/>
            <w:vAlign w:val="bottom"/>
          </w:tcPr>
          <w:p>
            <w:pPr>
              <w:ind w:left="100"/>
              <w:spacing w:after="0"/>
              <w:rPr>
                <w:sz w:val="20"/>
                <w:szCs w:val="20"/>
                <w:color w:val="auto"/>
              </w:rPr>
            </w:pPr>
            <w:r>
              <w:rPr>
                <w:rFonts w:ascii="Courier New" w:cs="Courier New" w:eastAsia="Courier New" w:hAnsi="Courier New"/>
                <w:sz w:val="18"/>
                <w:szCs w:val="18"/>
                <w:color w:val="auto"/>
                <w:w w:val="97"/>
              </w:rPr>
              <w:t>-- Consent of PricewaterhouseCoopers LLP, independent accountants</w:t>
            </w:r>
          </w:p>
        </w:tc>
      </w:tr>
      <w:tr>
        <w:trPr>
          <w:trHeight w:val="203"/>
        </w:trPr>
        <w:tc>
          <w:tcPr>
            <w:tcW w:w="1260" w:type="dxa"/>
            <w:vAlign w:val="bottom"/>
          </w:tcPr>
          <w:p>
            <w:pPr>
              <w:spacing w:after="0"/>
              <w:rPr>
                <w:sz w:val="17"/>
                <w:szCs w:val="17"/>
                <w:color w:val="auto"/>
              </w:rPr>
            </w:pPr>
          </w:p>
        </w:tc>
        <w:tc>
          <w:tcPr>
            <w:tcW w:w="69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(filed herewith)</w:t>
            </w:r>
          </w:p>
        </w:tc>
      </w:tr>
      <w:tr>
        <w:trPr>
          <w:trHeight w:val="405"/>
        </w:trPr>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23.2</w:t>
            </w:r>
          </w:p>
        </w:tc>
        <w:tc>
          <w:tcPr>
            <w:tcW w:w="6940" w:type="dxa"/>
            <w:vAlign w:val="bottom"/>
          </w:tcPr>
          <w:p>
            <w:pPr>
              <w:ind w:left="100"/>
              <w:spacing w:after="0"/>
              <w:rPr>
                <w:sz w:val="20"/>
                <w:szCs w:val="20"/>
                <w:color w:val="auto"/>
              </w:rPr>
            </w:pPr>
            <w:r>
              <w:rPr>
                <w:rFonts w:ascii="Courier New" w:cs="Courier New" w:eastAsia="Courier New" w:hAnsi="Courier New"/>
                <w:sz w:val="18"/>
                <w:szCs w:val="18"/>
                <w:color w:val="auto"/>
                <w:w w:val="98"/>
              </w:rPr>
              <w:t>-- Consent of James L. Gunderson, Esq. (contained in Exhibit 5).</w:t>
            </w:r>
          </w:p>
        </w:tc>
      </w:tr>
      <w:tr>
        <w:trPr>
          <w:trHeight w:val="405"/>
        </w:trPr>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24</w:t>
            </w:r>
          </w:p>
        </w:tc>
        <w:tc>
          <w:tcPr>
            <w:tcW w:w="6940" w:type="dxa"/>
            <w:vAlign w:val="bottom"/>
          </w:tcPr>
          <w:p>
            <w:pPr>
              <w:ind w:left="100"/>
              <w:spacing w:after="0"/>
              <w:rPr>
                <w:sz w:val="20"/>
                <w:szCs w:val="20"/>
                <w:color w:val="auto"/>
              </w:rPr>
            </w:pPr>
            <w:r>
              <w:rPr>
                <w:rFonts w:ascii="Courier New" w:cs="Courier New" w:eastAsia="Courier New" w:hAnsi="Courier New"/>
                <w:sz w:val="18"/>
                <w:szCs w:val="18"/>
                <w:color w:val="auto"/>
              </w:rPr>
              <w:t>-- Powers of Attorney (filed herewith and previously filed)</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right="5819" w:firstLine="8"/>
        <w:spacing w:after="0" w:line="469" w:lineRule="auto"/>
        <w:tabs>
          <w:tab w:leader="none" w:pos="211"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as indicated. ITEM 17. Undertakings</w:t>
      </w:r>
    </w:p>
    <w:p>
      <w:pPr>
        <w:spacing w:after="0" w:line="7" w:lineRule="exact"/>
        <w:rPr>
          <w:rFonts w:ascii="Courier New" w:cs="Courier New" w:eastAsia="Courier New" w:hAnsi="Courier New"/>
          <w:sz w:val="18"/>
          <w:szCs w:val="18"/>
          <w:color w:val="auto"/>
        </w:rPr>
      </w:pPr>
    </w:p>
    <w:p>
      <w:pPr>
        <w:ind w:left="860" w:hanging="431"/>
        <w:spacing w:after="0"/>
        <w:tabs>
          <w:tab w:leader="none" w:pos="86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w:t>
      </w:r>
    </w:p>
    <w:p>
      <w:pPr>
        <w:spacing w:after="0" w:line="206" w:lineRule="exact"/>
        <w:rPr>
          <w:rFonts w:ascii="Courier New" w:cs="Courier New" w:eastAsia="Courier New" w:hAnsi="Courier New"/>
          <w:sz w:val="18"/>
          <w:szCs w:val="18"/>
          <w:color w:val="auto"/>
        </w:rPr>
      </w:pPr>
    </w:p>
    <w:p>
      <w:pPr>
        <w:ind w:left="220" w:right="2119" w:firstLine="314"/>
        <w:spacing w:after="0" w:line="235" w:lineRule="auto"/>
        <w:tabs>
          <w:tab w:leader="none" w:pos="957" w:val="left"/>
        </w:tabs>
        <w:numPr>
          <w:ilvl w:val="2"/>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a post-effective amendment to this Registration Statement:</w:t>
      </w:r>
    </w:p>
    <w:p>
      <w:pPr>
        <w:spacing w:after="0" w:line="208" w:lineRule="exact"/>
        <w:rPr>
          <w:rFonts w:ascii="Courier New" w:cs="Courier New" w:eastAsia="Courier New" w:hAnsi="Courier New"/>
          <w:sz w:val="18"/>
          <w:szCs w:val="18"/>
          <w:color w:val="auto"/>
        </w:rPr>
      </w:pPr>
    </w:p>
    <w:p>
      <w:pPr>
        <w:ind w:left="420" w:right="2559" w:firstLine="325"/>
        <w:spacing w:after="0" w:line="235" w:lineRule="auto"/>
        <w:tabs>
          <w:tab w:leader="none" w:pos="1157" w:val="left"/>
        </w:tabs>
        <w:numPr>
          <w:ilvl w:val="3"/>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 of 1933;</w:t>
      </w:r>
    </w:p>
    <w:p>
      <w:pPr>
        <w:spacing w:after="0" w:line="208" w:lineRule="exact"/>
        <w:rPr>
          <w:rFonts w:ascii="Courier New" w:cs="Courier New" w:eastAsia="Courier New" w:hAnsi="Courier New"/>
          <w:sz w:val="18"/>
          <w:szCs w:val="18"/>
          <w:color w:val="auto"/>
        </w:rPr>
      </w:pPr>
    </w:p>
    <w:p>
      <w:pPr>
        <w:ind w:left="420" w:right="2239" w:firstLine="325"/>
        <w:spacing w:after="0" w:line="237" w:lineRule="auto"/>
        <w:tabs>
          <w:tab w:leader="none" w:pos="1262" w:val="left"/>
        </w:tabs>
        <w:numPr>
          <w:ilvl w:val="3"/>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of the Securities Act if, in the aggregate, the changes in volume and price represent no more than a 20% change in the maximum aggregate offering price set forth in the "Calculation of Registration Fee" table in the effective Registration Statement; and</w:t>
      </w:r>
    </w:p>
    <w:p>
      <w:pPr>
        <w:spacing w:after="0" w:line="212" w:lineRule="exact"/>
        <w:rPr>
          <w:rFonts w:ascii="Courier New" w:cs="Courier New" w:eastAsia="Courier New" w:hAnsi="Courier New"/>
          <w:sz w:val="18"/>
          <w:szCs w:val="18"/>
          <w:color w:val="auto"/>
        </w:rPr>
      </w:pPr>
    </w:p>
    <w:p>
      <w:pPr>
        <w:ind w:left="1380" w:hanging="635"/>
        <w:spacing w:after="0"/>
        <w:tabs>
          <w:tab w:leader="none" w:pos="1380" w:val="left"/>
        </w:tabs>
        <w:numPr>
          <w:ilvl w:val="3"/>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 with respect to the plan</w:t>
      </w:r>
    </w:p>
    <w:p>
      <w:pPr>
        <w:spacing w:after="0" w:line="4" w:lineRule="exact"/>
        <w:rPr>
          <w:sz w:val="20"/>
          <w:szCs w:val="20"/>
          <w:color w:val="auto"/>
        </w:rPr>
      </w:pPr>
    </w:p>
    <w:p>
      <w:pPr>
        <w:ind w:left="420" w:right="2339"/>
        <w:spacing w:after="0" w:line="236" w:lineRule="auto"/>
        <w:rPr>
          <w:sz w:val="20"/>
          <w:szCs w:val="20"/>
          <w:color w:val="auto"/>
        </w:rPr>
      </w:pPr>
      <w:r>
        <w:rPr>
          <w:rFonts w:ascii="Courier New" w:cs="Courier New" w:eastAsia="Courier New" w:hAnsi="Courier New"/>
          <w:sz w:val="18"/>
          <w:szCs w:val="18"/>
          <w:color w:val="auto"/>
        </w:rPr>
        <w:t>of distribution not previously disclosed in the Registration Statement or any material change to such information in the Registration Statement;</w:t>
      </w:r>
    </w:p>
    <w:p>
      <w:pPr>
        <w:spacing w:after="0" w:line="208" w:lineRule="exact"/>
        <w:rPr>
          <w:sz w:val="20"/>
          <w:szCs w:val="20"/>
          <w:color w:val="auto"/>
        </w:rPr>
      </w:pPr>
    </w:p>
    <w:p>
      <w:pPr>
        <w:ind w:left="220" w:right="2019"/>
        <w:spacing w:after="0" w:line="237" w:lineRule="auto"/>
        <w:rPr>
          <w:sz w:val="20"/>
          <w:szCs w:val="20"/>
          <w:color w:val="auto"/>
        </w:rPr>
      </w:pPr>
      <w:r>
        <w:rPr>
          <w:rFonts w:ascii="Courier New" w:cs="Courier New" w:eastAsia="Courier New" w:hAnsi="Courier New"/>
          <w:sz w:val="18"/>
          <w:szCs w:val="18"/>
          <w:color w:val="auto"/>
        </w:rPr>
        <w:t>provided, however, that paragraphs (a)(1)(i) and (a)(1)(ii) do not apply if the registration statement is on Form S-3 or Form S-8 and the information required to be included in a post-effective amendment by those paragraphs is contained in periodic reports filed by the registrant pursuant to section 13 or section 15(d) of the Securities Exchange Act of 1934 that are incorporated by reference in the Registration Statement.</w:t>
      </w:r>
    </w:p>
    <w:p>
      <w:pPr>
        <w:spacing w:after="0" w:line="204" w:lineRule="exact"/>
        <w:rPr>
          <w:sz w:val="20"/>
          <w:szCs w:val="20"/>
          <w:color w:val="auto"/>
        </w:rPr>
      </w:pPr>
    </w:p>
    <w:p>
      <w:pPr>
        <w:ind w:left="960" w:hanging="426"/>
        <w:spacing w:after="0"/>
        <w:tabs>
          <w:tab w:leader="none" w:pos="9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w:t>
      </w:r>
    </w:p>
    <w:p>
      <w:pPr>
        <w:spacing w:after="0" w:line="4" w:lineRule="exact"/>
        <w:rPr>
          <w:rFonts w:ascii="Courier New" w:cs="Courier New" w:eastAsia="Courier New" w:hAnsi="Courier New"/>
          <w:sz w:val="18"/>
          <w:szCs w:val="18"/>
          <w:color w:val="auto"/>
        </w:rPr>
      </w:pPr>
    </w:p>
    <w:p>
      <w:pPr>
        <w:ind w:left="220" w:right="211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07" w:lineRule="exact"/>
        <w:rPr>
          <w:rFonts w:ascii="Courier New" w:cs="Courier New" w:eastAsia="Courier New" w:hAnsi="Courier New"/>
          <w:sz w:val="18"/>
          <w:szCs w:val="18"/>
          <w:color w:val="auto"/>
        </w:rPr>
      </w:pPr>
    </w:p>
    <w:p>
      <w:pPr>
        <w:ind w:left="220" w:right="2239" w:firstLine="314"/>
        <w:spacing w:after="0" w:line="236" w:lineRule="auto"/>
        <w:tabs>
          <w:tab w:leader="none" w:pos="957"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3"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II-3</w:t>
      </w:r>
    </w:p>
    <w:p>
      <w:pPr>
        <w:sectPr>
          <w:pgSz w:w="11900" w:h="16838" w:orient="portrait"/>
          <w:cols w:equalWidth="0" w:num="1">
            <w:col w:w="10139"/>
          </w:cols>
          <w:pgMar w:left="320" w:top="717" w:right="1440" w:bottom="165" w:gutter="0" w:footer="0" w:header="0"/>
        </w:sectPr>
      </w:pPr>
    </w:p>
    <w:bookmarkStart w:id="13" w:name="page14"/>
    <w:bookmarkEnd w:id="13"/>
    <w:p>
      <w:pPr>
        <w:ind w:left="-324" w:right="1819" w:firstLine="324"/>
        <w:spacing w:after="0" w:line="271" w:lineRule="auto"/>
        <w:tabs>
          <w:tab w:leader="none" w:pos="413"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387" w:lineRule="exact"/>
        <w:rPr>
          <w:rFonts w:ascii="Courier New" w:cs="Courier New" w:eastAsia="Courier New" w:hAnsi="Courier New"/>
          <w:sz w:val="16"/>
          <w:szCs w:val="16"/>
          <w:color w:val="auto"/>
        </w:rPr>
      </w:pPr>
    </w:p>
    <w:p>
      <w:pPr>
        <w:ind w:left="-324" w:right="1819" w:firstLine="324"/>
        <w:spacing w:after="0" w:line="269" w:lineRule="auto"/>
        <w:tabs>
          <w:tab w:leader="none" w:pos="413"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390" w:lineRule="exact"/>
        <w:rPr>
          <w:sz w:val="20"/>
          <w:szCs w:val="20"/>
          <w:color w:val="auto"/>
        </w:rPr>
      </w:pPr>
    </w:p>
    <w:p>
      <w:pPr>
        <w:ind w:left="3676"/>
        <w:spacing w:after="0"/>
        <w:rPr>
          <w:sz w:val="20"/>
          <w:szCs w:val="20"/>
          <w:color w:val="auto"/>
        </w:rPr>
      </w:pPr>
      <w:r>
        <w:rPr>
          <w:rFonts w:ascii="Courier New" w:cs="Courier New" w:eastAsia="Courier New" w:hAnsi="Courier New"/>
          <w:sz w:val="18"/>
          <w:szCs w:val="18"/>
          <w:color w:val="auto"/>
        </w:rPr>
        <w:t>II-4</w:t>
      </w:r>
    </w:p>
    <w:p>
      <w:pPr>
        <w:sectPr>
          <w:pgSz w:w="11900" w:h="16838" w:orient="portrait"/>
          <w:cols w:equalWidth="0" w:num="1">
            <w:col w:w="9815"/>
          </w:cols>
          <w:pgMar w:left="644" w:top="722" w:right="1440" w:bottom="1440" w:gutter="0" w:footer="0" w:header="0"/>
        </w:sectPr>
      </w:pPr>
    </w:p>
    <w:bookmarkStart w:id="14" w:name="page15"/>
    <w:bookmarkEnd w:id="14"/>
    <w:p>
      <w:pPr>
        <w:spacing w:after="0" w:line="77"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819" w:firstLine="316"/>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Registrant certifies that it has reasonable grounds to believe that it meets all of the requirements for filing on Form S-3 and has duly caused this amendment to be signed on its behalf by the undersigned, thereunto duly authorized, in the City of New York, the State of New York, on January 10, 2000.</w:t>
      </w:r>
    </w:p>
    <w:p>
      <w:pPr>
        <w:spacing w:after="0" w:line="202"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SCHLUMBERGER N.V.</w:t>
      </w:r>
    </w:p>
    <w:p>
      <w:pPr>
        <w:ind w:left="4440"/>
        <w:spacing w:after="0" w:line="238" w:lineRule="auto"/>
        <w:rPr>
          <w:sz w:val="20"/>
          <w:szCs w:val="20"/>
          <w:color w:val="auto"/>
        </w:rPr>
      </w:pPr>
      <w:r>
        <w:rPr>
          <w:rFonts w:ascii="Courier New" w:cs="Courier New" w:eastAsia="Courier New" w:hAnsi="Courier New"/>
          <w:sz w:val="18"/>
          <w:szCs w:val="18"/>
          <w:color w:val="auto"/>
        </w:rPr>
        <w:t>(Schlumberger Limited)</w:t>
      </w:r>
    </w:p>
    <w:p>
      <w:pPr>
        <w:sectPr>
          <w:pgSz w:w="11900" w:h="16916" w:orient="portrait"/>
          <w:cols w:equalWidth="0" w:num="1">
            <w:col w:w="10139"/>
          </w:cols>
          <w:pgMar w:left="320" w:top="717" w:right="1440" w:bottom="0" w:gutter="0" w:footer="0" w:header="0"/>
        </w:sectPr>
      </w:pPr>
    </w:p>
    <w:p>
      <w:pPr>
        <w:spacing w:after="0" w:line="207"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 Jack Liu</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Jack Liu Executive Vice</w:t>
      </w:r>
    </w:p>
    <w:p>
      <w:pPr>
        <w:spacing w:after="0" w:line="238" w:lineRule="auto"/>
        <w:rPr>
          <w:sz w:val="20"/>
          <w:szCs w:val="20"/>
          <w:color w:val="auto"/>
        </w:rPr>
      </w:pPr>
      <w:r>
        <w:rPr>
          <w:rFonts w:ascii="Courier New" w:cs="Courier New" w:eastAsia="Courier New" w:hAnsi="Courier New"/>
          <w:sz w:val="18"/>
          <w:szCs w:val="18"/>
          <w:color w:val="auto"/>
        </w:rPr>
        <w:t>President--Finance;</w:t>
      </w:r>
    </w:p>
    <w:p>
      <w:pPr>
        <w:spacing w:after="0" w:line="238" w:lineRule="auto"/>
        <w:rPr>
          <w:sz w:val="20"/>
          <w:szCs w:val="20"/>
          <w:color w:val="auto"/>
        </w:rPr>
      </w:pPr>
      <w:r>
        <w:rPr>
          <w:rFonts w:ascii="Courier New" w:cs="Courier New" w:eastAsia="Courier New" w:hAnsi="Courier New"/>
          <w:sz w:val="18"/>
          <w:szCs w:val="18"/>
          <w:color w:val="auto"/>
        </w:rPr>
        <w:t>Chief Financial Officer and Chief</w:t>
      </w:r>
    </w:p>
    <w:p>
      <w:pPr>
        <w:spacing w:after="0"/>
        <w:rPr>
          <w:sz w:val="20"/>
          <w:szCs w:val="20"/>
          <w:color w:val="auto"/>
        </w:rPr>
      </w:pPr>
      <w:r>
        <w:rPr>
          <w:rFonts w:ascii="Courier New" w:cs="Courier New" w:eastAsia="Courier New" w:hAnsi="Courier New"/>
          <w:sz w:val="18"/>
          <w:szCs w:val="18"/>
          <w:color w:val="auto"/>
        </w:rPr>
        <w:t>Accounting Officer</w:t>
      </w:r>
    </w:p>
    <w:p>
      <w:pPr>
        <w:spacing w:after="0" w:line="200" w:lineRule="exact"/>
        <w:rPr>
          <w:sz w:val="20"/>
          <w:szCs w:val="20"/>
          <w:color w:val="auto"/>
        </w:rPr>
      </w:pPr>
    </w:p>
    <w:p>
      <w:pPr>
        <w:sectPr>
          <w:pgSz w:w="11900" w:h="16916" w:orient="portrait"/>
          <w:cols w:equalWidth="0" w:num="2">
            <w:col w:w="4740" w:space="0"/>
            <w:col w:w="5399"/>
          </w:cols>
          <w:pgMar w:left="320" w:top="717" w:right="1440" w:bottom="0" w:gutter="0" w:footer="0" w:header="0"/>
          <w:type w:val="continuous"/>
        </w:sectPr>
      </w:pPr>
    </w:p>
    <w:p>
      <w:pPr>
        <w:spacing w:after="0" w:line="6" w:lineRule="exact"/>
        <w:rPr>
          <w:sz w:val="20"/>
          <w:szCs w:val="20"/>
          <w:color w:val="auto"/>
        </w:rPr>
      </w:pPr>
    </w:p>
    <w:p>
      <w:pPr>
        <w:ind w:right="2119" w:firstLine="316"/>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this amendment has been signed below by the following persons on behalf of the Registrant and in the capacities indicated on January 10, 2000.</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480"/>
        <w:spacing w:after="0"/>
        <w:tabs>
          <w:tab w:leader="none" w:pos="472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0" w:type="dxa"/>
            <w:vAlign w:val="bottom"/>
          </w:tcPr>
          <w:p>
            <w:pPr>
              <w:spacing w:after="0"/>
              <w:rPr>
                <w:sz w:val="17"/>
                <w:szCs w:val="17"/>
                <w:color w:val="auto"/>
              </w:rPr>
            </w:pPr>
          </w:p>
        </w:tc>
        <w:tc>
          <w:tcPr>
            <w:tcW w:w="3160" w:type="dxa"/>
            <w:vAlign w:val="bottom"/>
          </w:tcPr>
          <w:p>
            <w:pPr>
              <w:jc w:val="center"/>
              <w:ind w:right="852"/>
              <w:spacing w:after="0"/>
              <w:rPr>
                <w:sz w:val="20"/>
                <w:szCs w:val="20"/>
                <w:color w:val="auto"/>
              </w:rPr>
            </w:pPr>
            <w:r>
              <w:rPr>
                <w:rFonts w:ascii="Courier New" w:cs="Courier New" w:eastAsia="Courier New" w:hAnsi="Courier New"/>
                <w:sz w:val="18"/>
                <w:szCs w:val="18"/>
                <w:color w:val="auto"/>
                <w:w w:val="92"/>
              </w:rPr>
              <w:t>*</w:t>
            </w:r>
          </w:p>
        </w:tc>
        <w:tc>
          <w:tcPr>
            <w:tcW w:w="4220" w:type="dxa"/>
            <w:vAlign w:val="bottom"/>
          </w:tcPr>
          <w:p>
            <w:pPr>
              <w:spacing w:after="0"/>
              <w:rPr>
                <w:sz w:val="20"/>
                <w:szCs w:val="20"/>
                <w:color w:val="auto"/>
              </w:rPr>
            </w:pPr>
            <w:r>
              <w:rPr>
                <w:rFonts w:ascii="Courier New" w:cs="Courier New" w:eastAsia="Courier New" w:hAnsi="Courier New"/>
                <w:sz w:val="18"/>
                <w:szCs w:val="18"/>
                <w:color w:val="auto"/>
                <w:w w:val="97"/>
              </w:rPr>
              <w:t>Director, Chairman , President and Chief</w:t>
            </w:r>
          </w:p>
        </w:tc>
      </w:tr>
      <w:tr>
        <w:trPr>
          <w:trHeight w:val="203"/>
        </w:trPr>
        <w:tc>
          <w:tcPr>
            <w:tcW w:w="3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4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Executive Officer</w:t>
            </w:r>
          </w:p>
        </w:tc>
      </w:tr>
      <w:tr>
        <w:trPr>
          <w:trHeight w:val="203"/>
        </w:trPr>
        <w:tc>
          <w:tcPr>
            <w:tcW w:w="740" w:type="dxa"/>
            <w:vAlign w:val="bottom"/>
          </w:tcPr>
          <w:p>
            <w:pPr>
              <w:spacing w:after="0"/>
              <w:rPr>
                <w:sz w:val="17"/>
                <w:szCs w:val="17"/>
                <w:color w:val="auto"/>
              </w:rPr>
            </w:pPr>
          </w:p>
        </w:tc>
        <w:tc>
          <w:tcPr>
            <w:tcW w:w="3160" w:type="dxa"/>
            <w:vAlign w:val="bottom"/>
          </w:tcPr>
          <w:p>
            <w:pPr>
              <w:jc w:val="center"/>
              <w:ind w:right="852"/>
              <w:spacing w:after="0" w:line="203" w:lineRule="exact"/>
              <w:rPr>
                <w:sz w:val="20"/>
                <w:szCs w:val="20"/>
                <w:color w:val="auto"/>
              </w:rPr>
            </w:pPr>
            <w:r>
              <w:rPr>
                <w:rFonts w:ascii="Courier New" w:cs="Courier New" w:eastAsia="Courier New" w:hAnsi="Courier New"/>
                <w:sz w:val="18"/>
                <w:szCs w:val="18"/>
                <w:color w:val="auto"/>
                <w:w w:val="98"/>
              </w:rPr>
              <w:t>D. Euan Baird</w:t>
            </w:r>
          </w:p>
        </w:tc>
        <w:tc>
          <w:tcPr>
            <w:tcW w:w="4220" w:type="dxa"/>
            <w:vAlign w:val="bottom"/>
          </w:tcPr>
          <w:p>
            <w:pPr>
              <w:spacing w:after="0"/>
              <w:rPr>
                <w:sz w:val="17"/>
                <w:szCs w:val="17"/>
                <w:color w:val="auto"/>
              </w:rPr>
            </w:pPr>
          </w:p>
        </w:tc>
      </w:tr>
      <w:tr>
        <w:trPr>
          <w:trHeight w:val="405"/>
        </w:trPr>
        <w:tc>
          <w:tcPr>
            <w:tcW w:w="740" w:type="dxa"/>
            <w:vAlign w:val="bottom"/>
          </w:tcPr>
          <w:p>
            <w:pPr>
              <w:spacing w:after="0"/>
              <w:rPr>
                <w:sz w:val="24"/>
                <w:szCs w:val="24"/>
                <w:color w:val="auto"/>
              </w:rPr>
            </w:pPr>
          </w:p>
        </w:tc>
        <w:tc>
          <w:tcPr>
            <w:tcW w:w="3160" w:type="dxa"/>
            <w:vAlign w:val="bottom"/>
          </w:tcPr>
          <w:p>
            <w:pPr>
              <w:jc w:val="center"/>
              <w:ind w:right="852"/>
              <w:spacing w:after="0"/>
              <w:rPr>
                <w:sz w:val="20"/>
                <w:szCs w:val="20"/>
                <w:color w:val="auto"/>
              </w:rPr>
            </w:pPr>
            <w:r>
              <w:rPr>
                <w:rFonts w:ascii="Courier New" w:cs="Courier New" w:eastAsia="Courier New" w:hAnsi="Courier New"/>
                <w:sz w:val="18"/>
                <w:szCs w:val="18"/>
                <w:color w:val="auto"/>
                <w:w w:val="92"/>
              </w:rPr>
              <w:t>*</w:t>
            </w:r>
          </w:p>
        </w:tc>
        <w:tc>
          <w:tcPr>
            <w:tcW w:w="4220" w:type="dxa"/>
            <w:vAlign w:val="bottom"/>
          </w:tcPr>
          <w:p>
            <w:pPr>
              <w:spacing w:after="0"/>
              <w:rPr>
                <w:sz w:val="20"/>
                <w:szCs w:val="20"/>
                <w:color w:val="auto"/>
              </w:rPr>
            </w:pPr>
            <w:r>
              <w:rPr>
                <w:rFonts w:ascii="Courier New" w:cs="Courier New" w:eastAsia="Courier New" w:hAnsi="Courier New"/>
                <w:sz w:val="18"/>
                <w:szCs w:val="18"/>
                <w:color w:val="auto"/>
              </w:rPr>
              <w:t>Director, Vice Chairman</w:t>
            </w:r>
          </w:p>
        </w:tc>
      </w:tr>
      <w:tr>
        <w:trPr>
          <w:trHeight w:val="203"/>
        </w:trPr>
        <w:tc>
          <w:tcPr>
            <w:tcW w:w="3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422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31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Victor E. Grijalva</w:t>
            </w:r>
          </w:p>
        </w:tc>
        <w:tc>
          <w:tcPr>
            <w:tcW w:w="4220" w:type="dxa"/>
            <w:vAlign w:val="bottom"/>
          </w:tcPr>
          <w:p>
            <w:pPr>
              <w:spacing w:after="0"/>
              <w:rPr>
                <w:sz w:val="17"/>
                <w:szCs w:val="17"/>
                <w:color w:val="auto"/>
              </w:rPr>
            </w:pPr>
          </w:p>
        </w:tc>
      </w:tr>
      <w:tr>
        <w:trPr>
          <w:trHeight w:val="405"/>
        </w:trPr>
        <w:tc>
          <w:tcPr>
            <w:tcW w:w="740" w:type="dxa"/>
            <w:vAlign w:val="bottom"/>
          </w:tcPr>
          <w:p>
            <w:pPr>
              <w:ind w:left="320"/>
              <w:spacing w:after="0"/>
              <w:rPr>
                <w:sz w:val="20"/>
                <w:szCs w:val="20"/>
                <w:color w:val="auto"/>
              </w:rPr>
            </w:pPr>
            <w:r>
              <w:rPr>
                <w:rFonts w:ascii="Courier New" w:cs="Courier New" w:eastAsia="Courier New" w:hAnsi="Courier New"/>
                <w:sz w:val="18"/>
                <w:szCs w:val="18"/>
                <w:color w:val="auto"/>
              </w:rPr>
              <w:t>/s/</w:t>
            </w:r>
          </w:p>
        </w:tc>
        <w:tc>
          <w:tcPr>
            <w:tcW w:w="3160" w:type="dxa"/>
            <w:vAlign w:val="bottom"/>
          </w:tcPr>
          <w:p>
            <w:pPr>
              <w:jc w:val="right"/>
              <w:ind w:right="1592"/>
              <w:spacing w:after="0"/>
              <w:rPr>
                <w:sz w:val="20"/>
                <w:szCs w:val="20"/>
                <w:color w:val="auto"/>
              </w:rPr>
            </w:pPr>
            <w:r>
              <w:rPr>
                <w:rFonts w:ascii="Courier New" w:cs="Courier New" w:eastAsia="Courier New" w:hAnsi="Courier New"/>
                <w:sz w:val="18"/>
                <w:szCs w:val="18"/>
                <w:color w:val="auto"/>
              </w:rPr>
              <w:t>Jack Liu</w:t>
            </w:r>
          </w:p>
        </w:tc>
        <w:tc>
          <w:tcPr>
            <w:tcW w:w="4220" w:type="dxa"/>
            <w:vAlign w:val="bottom"/>
          </w:tcPr>
          <w:p>
            <w:pPr>
              <w:spacing w:after="0"/>
              <w:rPr>
                <w:sz w:val="20"/>
                <w:szCs w:val="20"/>
                <w:color w:val="auto"/>
              </w:rPr>
            </w:pPr>
            <w:r>
              <w:rPr>
                <w:rFonts w:ascii="Courier New" w:cs="Courier New" w:eastAsia="Courier New" w:hAnsi="Courier New"/>
                <w:sz w:val="18"/>
                <w:szCs w:val="18"/>
                <w:color w:val="auto"/>
                <w:w w:val="97"/>
              </w:rPr>
              <w:t>Executive Vice President--Finance; Chief</w:t>
            </w:r>
          </w:p>
        </w:tc>
      </w:tr>
      <w:tr>
        <w:trPr>
          <w:trHeight w:val="203"/>
        </w:trPr>
        <w:tc>
          <w:tcPr>
            <w:tcW w:w="3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4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Financial Officer and Chief Accounting</w:t>
            </w:r>
          </w:p>
        </w:tc>
      </w:tr>
      <w:tr>
        <w:trPr>
          <w:trHeight w:val="203"/>
        </w:trPr>
        <w:tc>
          <w:tcPr>
            <w:tcW w:w="740" w:type="dxa"/>
            <w:vAlign w:val="bottom"/>
          </w:tcPr>
          <w:p>
            <w:pPr>
              <w:spacing w:after="0"/>
              <w:rPr>
                <w:sz w:val="17"/>
                <w:szCs w:val="17"/>
                <w:color w:val="auto"/>
              </w:rPr>
            </w:pPr>
          </w:p>
        </w:tc>
        <w:tc>
          <w:tcPr>
            <w:tcW w:w="3160" w:type="dxa"/>
            <w:vAlign w:val="bottom"/>
          </w:tcPr>
          <w:p>
            <w:pPr>
              <w:jc w:val="right"/>
              <w:ind w:right="1592"/>
              <w:spacing w:after="0" w:line="203" w:lineRule="exact"/>
              <w:rPr>
                <w:sz w:val="20"/>
                <w:szCs w:val="20"/>
                <w:color w:val="auto"/>
              </w:rPr>
            </w:pPr>
            <w:r>
              <w:rPr>
                <w:rFonts w:ascii="Courier New" w:cs="Courier New" w:eastAsia="Courier New" w:hAnsi="Courier New"/>
                <w:sz w:val="18"/>
                <w:szCs w:val="18"/>
                <w:color w:val="auto"/>
              </w:rPr>
              <w:t>Jack Liu</w:t>
            </w:r>
          </w:p>
        </w:tc>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Officer</w:t>
            </w:r>
          </w:p>
        </w:tc>
      </w:tr>
      <w:tr>
        <w:trPr>
          <w:trHeight w:val="608"/>
        </w:trPr>
        <w:tc>
          <w:tcPr>
            <w:tcW w:w="740" w:type="dxa"/>
            <w:vAlign w:val="bottom"/>
          </w:tcPr>
          <w:p>
            <w:pPr>
              <w:spacing w:after="0"/>
              <w:rPr>
                <w:sz w:val="24"/>
                <w:szCs w:val="24"/>
                <w:color w:val="auto"/>
              </w:rPr>
            </w:pPr>
          </w:p>
        </w:tc>
        <w:tc>
          <w:tcPr>
            <w:tcW w:w="3160" w:type="dxa"/>
            <w:vAlign w:val="bottom"/>
          </w:tcPr>
          <w:p>
            <w:pPr>
              <w:jc w:val="center"/>
              <w:ind w:right="852"/>
              <w:spacing w:after="0"/>
              <w:rPr>
                <w:sz w:val="20"/>
                <w:szCs w:val="20"/>
                <w:color w:val="auto"/>
              </w:rPr>
            </w:pPr>
            <w:r>
              <w:rPr>
                <w:rFonts w:ascii="Courier New" w:cs="Courier New" w:eastAsia="Courier New" w:hAnsi="Courier New"/>
                <w:sz w:val="18"/>
                <w:szCs w:val="18"/>
                <w:color w:val="auto"/>
                <w:w w:val="92"/>
              </w:rPr>
              <w:t>*</w:t>
            </w:r>
          </w:p>
        </w:tc>
        <w:tc>
          <w:tcPr>
            <w:tcW w:w="4220" w:type="dxa"/>
            <w:vAlign w:val="bottom"/>
          </w:tcPr>
          <w:p>
            <w:pPr>
              <w:spacing w:after="0"/>
              <w:rPr>
                <w:sz w:val="20"/>
                <w:szCs w:val="20"/>
                <w:color w:val="auto"/>
              </w:rPr>
            </w:pPr>
            <w:r>
              <w:rPr>
                <w:rFonts w:ascii="Courier New" w:cs="Courier New" w:eastAsia="Courier New" w:hAnsi="Courier New"/>
                <w:sz w:val="18"/>
                <w:szCs w:val="18"/>
                <w:color w:val="auto"/>
              </w:rPr>
              <w:t>Director</w:t>
            </w:r>
          </w:p>
        </w:tc>
      </w:tr>
    </w:tbl>
    <w:p>
      <w:pPr>
        <w:ind w:left="220" w:hanging="212"/>
        <w:spacing w:after="0" w:line="238" w:lineRule="auto"/>
        <w:tabs>
          <w:tab w:leader="none" w:pos="2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Don E. Ackerman</w:t>
      </w:r>
    </w:p>
    <w:p>
      <w:pPr>
        <w:spacing w:after="0" w:line="201" w:lineRule="exact"/>
        <w:rPr>
          <w:sz w:val="20"/>
          <w:szCs w:val="20"/>
          <w:color w:val="auto"/>
        </w:rPr>
      </w:pPr>
    </w:p>
    <w:p>
      <w:pPr>
        <w:ind w:left="1800"/>
        <w:spacing w:after="0"/>
        <w:tabs>
          <w:tab w:leader="none" w:pos="38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p>
    <w:p>
      <w:pPr>
        <w:ind w:left="220" w:hanging="212"/>
        <w:spacing w:after="0" w:line="238" w:lineRule="auto"/>
        <w:tabs>
          <w:tab w:leader="none" w:pos="2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Deutch</w:t>
      </w:r>
    </w:p>
    <w:p>
      <w:pPr>
        <w:spacing w:after="0" w:line="201" w:lineRule="exact"/>
        <w:rPr>
          <w:sz w:val="20"/>
          <w:szCs w:val="20"/>
          <w:color w:val="auto"/>
        </w:rPr>
      </w:pPr>
    </w:p>
    <w:p>
      <w:pPr>
        <w:ind w:left="1800"/>
        <w:spacing w:after="0"/>
        <w:tabs>
          <w:tab w:leader="none" w:pos="38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p>
    <w:p>
      <w:pPr>
        <w:ind w:left="220" w:hanging="212"/>
        <w:spacing w:after="0" w:line="238" w:lineRule="auto"/>
        <w:tabs>
          <w:tab w:leader="none" w:pos="2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Denys Henderson</w:t>
      </w:r>
    </w:p>
    <w:p>
      <w:pPr>
        <w:spacing w:after="0" w:line="201" w:lineRule="exact"/>
        <w:rPr>
          <w:sz w:val="20"/>
          <w:szCs w:val="20"/>
          <w:color w:val="auto"/>
        </w:rPr>
      </w:pPr>
    </w:p>
    <w:p>
      <w:pPr>
        <w:ind w:left="1800"/>
        <w:spacing w:after="0"/>
        <w:tabs>
          <w:tab w:leader="none" w:pos="38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p>
    <w:p>
      <w:pPr>
        <w:ind w:left="220" w:hanging="212"/>
        <w:spacing w:after="0" w:line="238" w:lineRule="auto"/>
        <w:tabs>
          <w:tab w:leader="none" w:pos="2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Andre Levy-Lang</w:t>
      </w:r>
    </w:p>
    <w:p>
      <w:pPr>
        <w:spacing w:after="0" w:line="201" w:lineRule="exact"/>
        <w:rPr>
          <w:sz w:val="20"/>
          <w:szCs w:val="20"/>
          <w:color w:val="auto"/>
        </w:rPr>
      </w:pPr>
    </w:p>
    <w:p>
      <w:pPr>
        <w:ind w:left="1800"/>
        <w:spacing w:after="0"/>
        <w:tabs>
          <w:tab w:leader="none" w:pos="38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p>
    <w:p>
      <w:pPr>
        <w:ind w:left="220" w:hanging="212"/>
        <w:spacing w:after="0" w:line="238" w:lineRule="auto"/>
        <w:tabs>
          <w:tab w:leader="none" w:pos="2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William T. McCormick, Jr.</w:t>
      </w:r>
    </w:p>
    <w:p>
      <w:pPr>
        <w:spacing w:after="0" w:line="201" w:lineRule="exact"/>
        <w:rPr>
          <w:sz w:val="20"/>
          <w:szCs w:val="20"/>
          <w:color w:val="auto"/>
        </w:rPr>
      </w:pPr>
    </w:p>
    <w:p>
      <w:pPr>
        <w:ind w:left="1800"/>
        <w:spacing w:after="0"/>
        <w:tabs>
          <w:tab w:leader="none" w:pos="38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p>
    <w:p>
      <w:pPr>
        <w:ind w:left="220" w:hanging="212"/>
        <w:spacing w:after="0" w:line="238" w:lineRule="auto"/>
        <w:tabs>
          <w:tab w:leader="none" w:pos="2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Didier Primat</w:t>
      </w:r>
    </w:p>
    <w:p>
      <w:pPr>
        <w:spacing w:after="0" w:line="201" w:lineRule="exact"/>
        <w:rPr>
          <w:sz w:val="20"/>
          <w:szCs w:val="20"/>
          <w:color w:val="auto"/>
        </w:rPr>
      </w:pPr>
    </w:p>
    <w:p>
      <w:pPr>
        <w:ind w:left="1800"/>
        <w:spacing w:after="0"/>
        <w:tabs>
          <w:tab w:leader="none" w:pos="38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p>
    <w:p>
      <w:pPr>
        <w:ind w:left="220" w:hanging="212"/>
        <w:spacing w:after="0" w:line="238" w:lineRule="auto"/>
        <w:tabs>
          <w:tab w:leader="none" w:pos="22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Nicolas Seydoux</w:t>
      </w:r>
    </w:p>
    <w:p>
      <w:pPr>
        <w:spacing w:after="0" w:line="201" w:lineRule="exact"/>
        <w:rPr>
          <w:sz w:val="20"/>
          <w:szCs w:val="20"/>
          <w:color w:val="auto"/>
        </w:rPr>
      </w:pPr>
    </w:p>
    <w:p>
      <w:pPr>
        <w:ind w:left="1800"/>
        <w:spacing w:after="0"/>
        <w:tabs>
          <w:tab w:leader="none" w:pos="38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p>
    <w:p>
      <w:pPr>
        <w:ind w:left="220" w:hanging="212"/>
        <w:spacing w:after="0" w:line="238" w:lineRule="auto"/>
        <w:tabs>
          <w:tab w:leader="none" w:pos="22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Linda G. Stuntz</w:t>
      </w:r>
    </w:p>
    <w:p>
      <w:pPr>
        <w:spacing w:after="0" w:line="201" w:lineRule="exact"/>
        <w:rPr>
          <w:sz w:val="20"/>
          <w:szCs w:val="20"/>
          <w:color w:val="auto"/>
        </w:rPr>
      </w:pPr>
    </w:p>
    <w:p>
      <w:pPr>
        <w:ind w:left="1800"/>
        <w:spacing w:after="0"/>
        <w:tabs>
          <w:tab w:leader="none" w:pos="38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p>
    <w:p>
      <w:pPr>
        <w:ind w:left="220" w:hanging="212"/>
        <w:spacing w:after="0" w:line="238" w:lineRule="auto"/>
        <w:tabs>
          <w:tab w:leader="none" w:pos="22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Sven Ullring</w:t>
      </w:r>
    </w:p>
    <w:p>
      <w:pPr>
        <w:spacing w:after="0" w:line="201" w:lineRule="exact"/>
        <w:rPr>
          <w:sz w:val="20"/>
          <w:szCs w:val="20"/>
          <w:color w:val="auto"/>
        </w:rPr>
      </w:pPr>
    </w:p>
    <w:p>
      <w:pPr>
        <w:ind w:left="1800"/>
        <w:spacing w:after="0"/>
        <w:tabs>
          <w:tab w:leader="none" w:pos="38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p>
    <w:p>
      <w:pPr>
        <w:ind w:left="220" w:hanging="212"/>
        <w:spacing w:after="0" w:line="238" w:lineRule="auto"/>
        <w:tabs>
          <w:tab w:leader="none" w:pos="22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Yoshihiko Wakumoto</w:t>
      </w:r>
    </w:p>
    <w:p>
      <w:pPr>
        <w:sectPr>
          <w:pgSz w:w="11900" w:h="16916" w:orient="portrait"/>
          <w:cols w:equalWidth="0" w:num="1">
            <w:col w:w="10139"/>
          </w:cols>
          <w:pgMar w:left="320" w:top="717" w:right="1440" w:bottom="0" w:gutter="0" w:footer="0" w:header="0"/>
          <w:type w:val="continuous"/>
        </w:sectPr>
      </w:pPr>
    </w:p>
    <w:bookmarkStart w:id="15" w:name="page16"/>
    <w:bookmarkEnd w:id="15"/>
    <w:p>
      <w:pPr>
        <w:ind w:left="220" w:hanging="212"/>
        <w:spacing w:after="0"/>
        <w:tabs>
          <w:tab w:leader="none" w:pos="22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/s/ James L. Gunderson</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jc w:val="center"/>
        <w:ind w:right="6559"/>
        <w:spacing w:after="0" w:line="238" w:lineRule="auto"/>
        <w:rPr>
          <w:sz w:val="20"/>
          <w:szCs w:val="20"/>
          <w:color w:val="auto"/>
        </w:rPr>
      </w:pPr>
      <w:r>
        <w:rPr>
          <w:rFonts w:ascii="Courier New" w:cs="Courier New" w:eastAsia="Courier New" w:hAnsi="Courier New"/>
          <w:sz w:val="18"/>
          <w:szCs w:val="18"/>
          <w:color w:val="auto"/>
        </w:rPr>
        <w:t>James L. Gunderson, Attorney-in-</w:t>
      </w:r>
    </w:p>
    <w:p>
      <w:pPr>
        <w:jc w:val="center"/>
        <w:ind w:right="6559"/>
        <w:spacing w:after="0"/>
        <w:rPr>
          <w:sz w:val="20"/>
          <w:szCs w:val="20"/>
          <w:color w:val="auto"/>
        </w:rPr>
      </w:pPr>
      <w:r>
        <w:rPr>
          <w:rFonts w:ascii="Courier New" w:cs="Courier New" w:eastAsia="Courier New" w:hAnsi="Courier New"/>
          <w:sz w:val="18"/>
          <w:szCs w:val="18"/>
          <w:color w:val="auto"/>
        </w:rPr>
        <w:t>fact</w:t>
      </w:r>
    </w:p>
    <w:p>
      <w:pPr>
        <w:spacing w:after="0" w:line="200" w:lineRule="exact"/>
        <w:rPr>
          <w:sz w:val="20"/>
          <w:szCs w:val="20"/>
          <w:color w:val="auto"/>
        </w:rPr>
      </w:pPr>
    </w:p>
    <w:p>
      <w:pPr>
        <w:spacing w:after="0" w:line="203" w:lineRule="exact"/>
        <w:rPr>
          <w:sz w:val="20"/>
          <w:szCs w:val="20"/>
          <w:color w:val="auto"/>
        </w:rPr>
      </w:pPr>
    </w:p>
    <w:p>
      <w:pPr>
        <w:jc w:val="right"/>
        <w:ind w:right="5699"/>
        <w:spacing w:after="0"/>
        <w:rPr>
          <w:sz w:val="20"/>
          <w:szCs w:val="20"/>
          <w:color w:val="auto"/>
        </w:rPr>
      </w:pPr>
      <w:r>
        <w:rPr>
          <w:rFonts w:ascii="Courier New" w:cs="Courier New" w:eastAsia="Courier New" w:hAnsi="Courier New"/>
          <w:sz w:val="18"/>
          <w:szCs w:val="18"/>
          <w:color w:val="auto"/>
        </w:rPr>
        <w:t>II-5</w:t>
      </w:r>
    </w:p>
    <w:p>
      <w:pPr>
        <w:sectPr>
          <w:pgSz w:w="11900" w:h="16838" w:orient="portrait"/>
          <w:cols w:equalWidth="0" w:num="1">
            <w:col w:w="10139"/>
          </w:cols>
          <w:pgMar w:left="320" w:top="339"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6"/>
          <w:szCs w:val="16"/>
          <w:color w:val="auto"/>
        </w:rPr>
        <w:t>Schlumberger Limited</w:t>
      </w:r>
    </w:p>
    <w:p>
      <w:pPr>
        <w:sectPr>
          <w:pgSz w:w="11900" w:h="16838" w:orient="portrait"/>
          <w:cols w:equalWidth="0" w:num="1">
            <w:col w:w="10139"/>
          </w:cols>
          <w:pgMar w:left="320" w:top="547" w:right="1440" w:bottom="1440" w:gutter="0" w:footer="0" w:header="0"/>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277 Park Avenue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York NY 10172-0266 USA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Tel: (212) 350-9400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Schlumberger</w:t>
      </w:r>
    </w:p>
    <w:p>
      <w:pPr>
        <w:spacing w:after="0" w:line="621" w:lineRule="exact"/>
        <w:rPr>
          <w:sz w:val="20"/>
          <w:szCs w:val="20"/>
          <w:color w:val="auto"/>
        </w:rPr>
      </w:pPr>
    </w:p>
    <w:p>
      <w:pPr>
        <w:sectPr>
          <w:pgSz w:w="11900" w:h="16838" w:orient="portrait"/>
          <w:cols w:equalWidth="0" w:num="2">
            <w:col w:w="6340" w:space="720"/>
            <w:col w:w="3079"/>
          </w:cols>
          <w:pgMar w:left="320" w:top="547" w:right="1440" w:bottom="1440" w:gutter="0" w:footer="0" w:header="0"/>
          <w:type w:val="continuous"/>
        </w:sectPr>
      </w:pPr>
    </w:p>
    <w:p>
      <w:pPr>
        <w:spacing w:after="0" w:line="204" w:lineRule="exact"/>
        <w:rPr>
          <w:sz w:val="20"/>
          <w:szCs w:val="20"/>
          <w:color w:val="auto"/>
        </w:rPr>
      </w:pPr>
    </w:p>
    <w:p>
      <w:pPr>
        <w:jc w:val="right"/>
        <w:ind w:right="1699"/>
        <w:spacing w:after="0"/>
        <w:rPr>
          <w:sz w:val="20"/>
          <w:szCs w:val="20"/>
          <w:color w:val="auto"/>
        </w:rPr>
      </w:pPr>
      <w:r>
        <w:rPr>
          <w:rFonts w:ascii="Courier New" w:cs="Courier New" w:eastAsia="Courier New" w:hAnsi="Courier New"/>
          <w:sz w:val="18"/>
          <w:szCs w:val="18"/>
          <w:color w:val="auto"/>
        </w:rPr>
        <w:t>January 10, 2000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Schlumberger Limited</w:t>
      </w:r>
    </w:p>
    <w:p>
      <w:pPr>
        <w:spacing w:after="0" w:line="238" w:lineRule="auto"/>
        <w:rPr>
          <w:sz w:val="20"/>
          <w:szCs w:val="20"/>
          <w:color w:val="auto"/>
        </w:rPr>
      </w:pPr>
      <w:r>
        <w:rPr>
          <w:rFonts w:ascii="Courier New" w:cs="Courier New" w:eastAsia="Courier New" w:hAnsi="Courier New"/>
          <w:sz w:val="18"/>
          <w:szCs w:val="18"/>
          <w:color w:val="auto"/>
        </w:rPr>
        <w:t>277 Park Avenue</w:t>
      </w:r>
    </w:p>
    <w:p>
      <w:pPr>
        <w:spacing w:after="0" w:line="238" w:lineRule="auto"/>
        <w:rPr>
          <w:sz w:val="20"/>
          <w:szCs w:val="20"/>
          <w:color w:val="auto"/>
        </w:rPr>
      </w:pPr>
      <w:r>
        <w:rPr>
          <w:rFonts w:ascii="Courier New" w:cs="Courier New" w:eastAsia="Courier New" w:hAnsi="Courier New"/>
          <w:sz w:val="18"/>
          <w:szCs w:val="18"/>
          <w:color w:val="auto"/>
        </w:rPr>
        <w:t>New York, N.Y. 10172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Gentlemen:</w:t>
      </w:r>
    </w:p>
    <w:p>
      <w:pPr>
        <w:spacing w:after="0" w:line="207" w:lineRule="exact"/>
        <w:rPr>
          <w:sz w:val="20"/>
          <w:szCs w:val="20"/>
          <w:color w:val="auto"/>
        </w:rPr>
      </w:pPr>
    </w:p>
    <w:p>
      <w:pPr>
        <w:ind w:right="1699" w:firstLine="421"/>
        <w:spacing w:after="0" w:line="237" w:lineRule="auto"/>
        <w:rPr>
          <w:sz w:val="20"/>
          <w:szCs w:val="20"/>
          <w:color w:val="auto"/>
        </w:rPr>
      </w:pPr>
      <w:r>
        <w:rPr>
          <w:rFonts w:ascii="Courier New" w:cs="Courier New" w:eastAsia="Courier New" w:hAnsi="Courier New"/>
          <w:sz w:val="18"/>
          <w:szCs w:val="18"/>
          <w:color w:val="auto"/>
        </w:rPr>
        <w:t>I am General Counsel of Schlumberger Limited ("Schlumberger"), and, as set forth in the Registration Statement on Form S-3, File Number 333-92843 (the "Registration Statement"), filed by Schlumberger under the Securities Act of 1933, as amended, relating to 15,153,018 shares of common stock, par value $.01 per share, of Schlumberger (the "Shares"), I am passing upon certain legal matters in connection with the Shares for you. The shares were purchased upon exercise of a warrant held by Dow Financial Holdings Inc. The Shares issued upon exercise of the warrant were treasury shares. At your request, this opinion of counsel is being furnished for filing as Exhibit 5.1 to the Registration Statement.</w:t>
      </w:r>
    </w:p>
    <w:p>
      <w:pPr>
        <w:spacing w:after="0" w:line="214" w:lineRule="exact"/>
        <w:rPr>
          <w:sz w:val="20"/>
          <w:szCs w:val="20"/>
          <w:color w:val="auto"/>
        </w:rPr>
      </w:pPr>
    </w:p>
    <w:p>
      <w:pPr>
        <w:ind w:right="1699" w:firstLine="421"/>
        <w:spacing w:after="0" w:line="272" w:lineRule="auto"/>
        <w:rPr>
          <w:sz w:val="20"/>
          <w:szCs w:val="20"/>
          <w:color w:val="auto"/>
        </w:rPr>
      </w:pPr>
      <w:r>
        <w:rPr>
          <w:rFonts w:ascii="Courier New" w:cs="Courier New" w:eastAsia="Courier New" w:hAnsi="Courier New"/>
          <w:sz w:val="16"/>
          <w:szCs w:val="16"/>
          <w:color w:val="auto"/>
        </w:rPr>
        <w:t>I am a member of the New York bar, and I am not admitted to practice in, nor do I hold myself out as an expert on the laws of, the Netherlands Antilles. I have, however, consulted with the law firm of Smeets Thesseling von Bokhorst Spigt, counsel qualified to practice in the Netherlands Antilles. Insofar as the opinions expressed below involve conclusions as to matters governed by the laws of the Netherlands Antilles, I am relying on the opinion of such counsel.</w:t>
      </w:r>
    </w:p>
    <w:p>
      <w:pPr>
        <w:spacing w:after="0" w:line="185" w:lineRule="exact"/>
        <w:rPr>
          <w:sz w:val="20"/>
          <w:szCs w:val="20"/>
          <w:color w:val="auto"/>
        </w:rPr>
      </w:pPr>
    </w:p>
    <w:p>
      <w:pPr>
        <w:ind w:right="1699" w:firstLine="421"/>
        <w:spacing w:after="0" w:line="237" w:lineRule="auto"/>
        <w:rPr>
          <w:sz w:val="20"/>
          <w:szCs w:val="20"/>
          <w:color w:val="auto"/>
        </w:rPr>
      </w:pPr>
      <w:r>
        <w:rPr>
          <w:rFonts w:ascii="Courier New" w:cs="Courier New" w:eastAsia="Courier New" w:hAnsi="Courier New"/>
          <w:sz w:val="18"/>
          <w:szCs w:val="18"/>
          <w:color w:val="auto"/>
        </w:rPr>
        <w:t>In my capacity as General Counsel of Schlumberger, I am familiar with the Articles of Incorporation and By-Laws of Schlumberger, each as amended to date, have familiarized myself with the matters discussed herein and have examined all statutes and other records, instruments and documents pertaining to Schlumberger and the matters discussed herein that I deem necessary to examine for the purpose of this opinion.</w:t>
      </w:r>
    </w:p>
    <w:p>
      <w:pPr>
        <w:spacing w:after="0" w:line="209" w:lineRule="exact"/>
        <w:rPr>
          <w:sz w:val="20"/>
          <w:szCs w:val="20"/>
          <w:color w:val="auto"/>
        </w:rPr>
      </w:pPr>
    </w:p>
    <w:p>
      <w:pPr>
        <w:jc w:val="both"/>
        <w:ind w:right="1819" w:firstLine="421"/>
        <w:spacing w:after="0" w:line="290" w:lineRule="auto"/>
        <w:rPr>
          <w:sz w:val="20"/>
          <w:szCs w:val="20"/>
          <w:color w:val="auto"/>
        </w:rPr>
      </w:pPr>
      <w:r>
        <w:rPr>
          <w:rFonts w:ascii="Courier New" w:cs="Courier New" w:eastAsia="Courier New" w:hAnsi="Courier New"/>
          <w:sz w:val="16"/>
          <w:szCs w:val="16"/>
          <w:color w:val="auto"/>
        </w:rPr>
        <w:t>Based upon my examination as aforesaid, I am of the opinion that the Shares have been duly authorized and are validly issued, fully paid and nonassessable.</w:t>
      </w:r>
    </w:p>
    <w:p>
      <w:pPr>
        <w:sectPr>
          <w:pgSz w:w="11900" w:h="16838" w:orient="portrait"/>
          <w:cols w:equalWidth="0" w:num="1">
            <w:col w:w="10139"/>
          </w:cols>
          <w:pgMar w:left="320" w:top="547" w:right="1440"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204"/>
        </w:trPr>
        <w:tc>
          <w:tcPr>
            <w:tcW w:w="3280" w:type="dxa"/>
            <w:vAlign w:val="bottom"/>
          </w:tcPr>
          <w:p>
            <w:pPr>
              <w:spacing w:after="0"/>
              <w:rPr>
                <w:sz w:val="20"/>
                <w:szCs w:val="20"/>
                <w:color w:val="auto"/>
              </w:rPr>
            </w:pPr>
            <w:r>
              <w:rPr>
                <w:rFonts w:ascii="Courier New" w:cs="Courier New" w:eastAsia="Courier New" w:hAnsi="Courier New"/>
                <w:sz w:val="18"/>
                <w:szCs w:val="18"/>
                <w:color w:val="auto"/>
              </w:rPr>
              <w:t>Schlumberger Limited</w:t>
            </w:r>
          </w:p>
        </w:tc>
        <w:tc>
          <w:tcPr>
            <w:tcW w:w="1460" w:type="dxa"/>
            <w:vAlign w:val="bottom"/>
          </w:tcPr>
          <w:p>
            <w:pPr>
              <w:jc w:val="right"/>
              <w:spacing w:after="0"/>
              <w:rPr>
                <w:sz w:val="20"/>
                <w:szCs w:val="20"/>
                <w:color w:val="auto"/>
              </w:rPr>
            </w:pPr>
            <w:r>
              <w:rPr>
                <w:rFonts w:ascii="Courier New" w:cs="Courier New" w:eastAsia="Courier New" w:hAnsi="Courier New"/>
                <w:sz w:val="18"/>
                <w:szCs w:val="18"/>
                <w:color w:val="auto"/>
              </w:rPr>
              <w:t>-2-</w:t>
            </w:r>
          </w:p>
        </w:tc>
      </w:tr>
    </w:tbl>
    <w:p>
      <w:pPr>
        <w:spacing w:after="0" w:line="200" w:lineRule="exact"/>
        <w:rPr>
          <w:sz w:val="20"/>
          <w:szCs w:val="20"/>
          <w:color w:val="auto"/>
        </w:rPr>
      </w:pPr>
    </w:p>
    <w:p>
      <w:pPr>
        <w:spacing w:after="0" w:line="209" w:lineRule="exact"/>
        <w:rPr>
          <w:sz w:val="20"/>
          <w:szCs w:val="20"/>
          <w:color w:val="auto"/>
        </w:rPr>
      </w:pPr>
    </w:p>
    <w:p>
      <w:pPr>
        <w:ind w:right="1699" w:firstLine="421"/>
        <w:spacing w:after="0" w:line="272" w:lineRule="auto"/>
        <w:rPr>
          <w:sz w:val="20"/>
          <w:szCs w:val="20"/>
          <w:color w:val="auto"/>
        </w:rPr>
      </w:pPr>
      <w:r>
        <w:rPr>
          <w:rFonts w:ascii="Courier New" w:cs="Courier New" w:eastAsia="Courier New" w:hAnsi="Courier New"/>
          <w:sz w:val="16"/>
          <w:szCs w:val="16"/>
          <w:color w:val="auto"/>
        </w:rPr>
        <w:t>I consent to the filing of this opinion as an exhibit to the Registration Statement and to the reference to me under the caption "Legal Matters" in the prospectus included as part of the Registration Statement. In giving such consent, I do not thereby concede that I am within the category of persons whose consent is required under Section 7 of the Securities Act or the rules and regulations of the Securities and Exchange Commission promulgated thereunder.</w:t>
      </w:r>
    </w:p>
    <w:p>
      <w:pPr>
        <w:spacing w:after="0" w:line="382"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/s/ JAMES GUNDERSON</w:t>
      </w:r>
    </w:p>
    <w:p>
      <w:pPr>
        <w:ind w:left="506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James Gunderson</w:t>
      </w:r>
    </w:p>
    <w:p>
      <w:pPr>
        <w:sectPr>
          <w:pgSz w:w="11900" w:h="16838" w:orient="portrait"/>
          <w:cols w:equalWidth="0" w:num="1">
            <w:col w:w="10139"/>
          </w:cols>
          <w:pgMar w:left="320" w:top="717" w:right="1440" w:bottom="1440" w:gutter="0" w:footer="0" w:header="0"/>
        </w:sectPr>
      </w:pPr>
    </w:p>
    <w:bookmarkStart w:id="18" w:name="page19"/>
    <w:bookmarkEnd w:id="18"/>
    <w:p>
      <w:pPr>
        <w:ind w:left="2420"/>
        <w:spacing w:after="0"/>
        <w:rPr>
          <w:sz w:val="20"/>
          <w:szCs w:val="20"/>
          <w:color w:val="auto"/>
        </w:rPr>
      </w:pPr>
      <w:r>
        <w:rPr>
          <w:rFonts w:ascii="Courier New" w:cs="Courier New" w:eastAsia="Courier New" w:hAnsi="Courier New"/>
          <w:sz w:val="18"/>
          <w:szCs w:val="18"/>
          <w:color w:val="auto"/>
        </w:rPr>
        <w:t>CONSENT OF INDEPENDENT ACCOUNTANTS</w:t>
      </w:r>
    </w:p>
    <w:p>
      <w:pPr>
        <w:spacing w:after="0" w:line="207" w:lineRule="exact"/>
        <w:rPr>
          <w:sz w:val="20"/>
          <w:szCs w:val="20"/>
          <w:color w:val="auto"/>
        </w:rPr>
      </w:pPr>
    </w:p>
    <w:p>
      <w:pPr>
        <w:ind w:right="2119" w:firstLine="316"/>
        <w:spacing w:after="0" w:line="273" w:lineRule="auto"/>
        <w:rPr>
          <w:sz w:val="20"/>
          <w:szCs w:val="20"/>
          <w:color w:val="auto"/>
        </w:rPr>
      </w:pPr>
      <w:r>
        <w:rPr>
          <w:rFonts w:ascii="Courier New" w:cs="Courier New" w:eastAsia="Courier New" w:hAnsi="Courier New"/>
          <w:sz w:val="16"/>
          <w:szCs w:val="16"/>
          <w:color w:val="auto"/>
        </w:rPr>
        <w:t>We hereby consent to the incorporation by reference in this Registration Statement on Form S-3 of our report dated January 20, 1999 relating to the financial statements which appear in Schlumberger Limited's Annual Report on Form 10-K for the year ended December 31, 1998. We also consent to the reference to us under the heading "Experts" in such Registration Statement.</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PricewaterhouseCoopers LLP</w:t>
      </w:r>
    </w:p>
    <w:p>
      <w:pPr>
        <w:spacing w:after="0" w:line="238" w:lineRule="auto"/>
        <w:rPr>
          <w:sz w:val="20"/>
          <w:szCs w:val="20"/>
          <w:color w:val="auto"/>
        </w:rPr>
      </w:pPr>
      <w:r>
        <w:rPr>
          <w:rFonts w:ascii="Courier New" w:cs="Courier New" w:eastAsia="Courier New" w:hAnsi="Courier New"/>
          <w:sz w:val="18"/>
          <w:szCs w:val="18"/>
          <w:color w:val="auto"/>
        </w:rPr>
        <w:t>New York, 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January 7, 2000</w:t>
      </w:r>
    </w:p>
    <w:p>
      <w:pPr>
        <w:sectPr>
          <w:pgSz w:w="11900" w:h="16838" w:orient="portrait"/>
          <w:cols w:equalWidth="0" w:num="1">
            <w:col w:w="10139"/>
          </w:cols>
          <w:pgMar w:left="320" w:top="541" w:right="1440" w:bottom="1440" w:gutter="0" w:footer="0" w:header="0"/>
        </w:sectPr>
      </w:pPr>
    </w:p>
    <w:bookmarkStart w:id="19" w:name="page20"/>
    <w:bookmarkEnd w:id="19"/>
    <w:p>
      <w:pPr>
        <w:ind w:left="3060"/>
        <w:spacing w:after="0"/>
        <w:rPr>
          <w:sz w:val="20"/>
          <w:szCs w:val="20"/>
          <w:color w:val="auto"/>
        </w:rPr>
      </w:pPr>
      <w:r>
        <w:rPr>
          <w:rFonts w:ascii="Courier New" w:cs="Courier New" w:eastAsia="Courier New" w:hAnsi="Courier New"/>
          <w:sz w:val="18"/>
          <w:szCs w:val="18"/>
          <w:color w:val="auto"/>
        </w:rPr>
        <w:t>SCHLUMBERGER LIMITED</w:t>
      </w:r>
    </w:p>
    <w:p>
      <w:pPr>
        <w:ind w:left="3280"/>
        <w:spacing w:after="0" w:line="238" w:lineRule="auto"/>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19" w:firstLine="526"/>
        <w:spacing w:after="0" w:line="272" w:lineRule="auto"/>
        <w:rPr>
          <w:sz w:val="20"/>
          <w:szCs w:val="20"/>
          <w:color w:val="auto"/>
        </w:rPr>
      </w:pPr>
      <w:r>
        <w:rPr>
          <w:rFonts w:ascii="Courier New" w:cs="Courier New" w:eastAsia="Courier New" w:hAnsi="Courier New"/>
          <w:sz w:val="16"/>
          <w:szCs w:val="16"/>
          <w:color w:val="auto"/>
        </w:rPr>
        <w:t>The undersigned director or officer, or both, of Schlumberger Limited, a Netherlands Antilles corporation (the "Corporation"), hereby constitutes and appoints James L. Gunderson, Ellen Summer and Jack Liu, severally, the true and lawful Attorney-in-Fact and Agent of the undersigned, with full power of substitution, resubstitution and revocation, to execute and file from time to time on behalf of the undersigned in any and all capacities of the undersigned:</w:t>
      </w:r>
    </w:p>
    <w:p>
      <w:pPr>
        <w:spacing w:after="0" w:line="185" w:lineRule="exact"/>
        <w:rPr>
          <w:sz w:val="20"/>
          <w:szCs w:val="20"/>
          <w:color w:val="auto"/>
        </w:rPr>
      </w:pPr>
    </w:p>
    <w:p>
      <w:pPr>
        <w:ind w:left="1060" w:right="1819" w:hanging="526"/>
        <w:spacing w:after="0" w:line="237" w:lineRule="auto"/>
        <w:tabs>
          <w:tab w:leader="none" w:pos="106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Registration Statement on Form S-3 (or such other Form as may be required) to be filed with the Securities and Exchange Commission covering the shares of common stock of the Corporation owned by Dow Financial Holdings Inc. pursuant to the Registration Rights Agreement between Schlumberger Limited and Dow Holdings, Inc., as amended from time to time;</w:t>
      </w:r>
    </w:p>
    <w:p>
      <w:pPr>
        <w:spacing w:after="0" w:line="209" w:lineRule="exact"/>
        <w:rPr>
          <w:rFonts w:ascii="Courier New" w:cs="Courier New" w:eastAsia="Courier New" w:hAnsi="Courier New"/>
          <w:sz w:val="18"/>
          <w:szCs w:val="18"/>
          <w:color w:val="auto"/>
        </w:rPr>
      </w:pPr>
    </w:p>
    <w:p>
      <w:pPr>
        <w:ind w:left="1060" w:right="1819" w:hanging="526"/>
        <w:spacing w:after="0" w:line="237" w:lineRule="auto"/>
        <w:tabs>
          <w:tab w:leader="none" w:pos="106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and all amendments (including post-effective amendments) and supplements to such Registration Statement as may be required, and to take any and all such action for and in the name, place and stead of the undersigned as may be necessary or desirable in connection with any such Registration Statement or any amendments and supplements thereto, including the making of any representation as may be required.</w:t>
      </w:r>
    </w:p>
    <w:p>
      <w:pPr>
        <w:spacing w:after="0" w:line="200" w:lineRule="exact"/>
        <w:rPr>
          <w:sz w:val="20"/>
          <w:szCs w:val="20"/>
          <w:color w:val="auto"/>
        </w:rPr>
      </w:pPr>
    </w:p>
    <w:p>
      <w:pPr>
        <w:spacing w:after="0" w:line="20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December 30, 1999</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SVEN ULLRING</w:t>
      </w:r>
    </w:p>
    <w:p>
      <w:pPr>
        <w:ind w:left="3800"/>
        <w:spacing w:after="0" w:line="238" w:lineRule="auto"/>
        <w:rPr>
          <w:sz w:val="20"/>
          <w:szCs w:val="20"/>
          <w:color w:val="auto"/>
        </w:rPr>
      </w:pPr>
      <w:r>
        <w:rPr>
          <w:rFonts w:ascii="Courier New" w:cs="Courier New" w:eastAsia="Courier New" w:hAnsi="Courier New"/>
          <w:sz w:val="18"/>
          <w:szCs w:val="18"/>
          <w:color w:val="auto"/>
        </w:rPr>
        <w:t>_____________________________</w:t>
      </w:r>
    </w:p>
    <w:p>
      <w:pPr>
        <w:ind w:left="3800"/>
        <w:spacing w:after="0" w:line="238" w:lineRule="auto"/>
        <w:rPr>
          <w:sz w:val="20"/>
          <w:szCs w:val="20"/>
          <w:color w:val="auto"/>
        </w:rPr>
      </w:pPr>
      <w:r>
        <w:rPr>
          <w:rFonts w:ascii="Courier New" w:cs="Courier New" w:eastAsia="Courier New" w:hAnsi="Courier New"/>
          <w:sz w:val="18"/>
          <w:szCs w:val="18"/>
          <w:color w:val="auto"/>
        </w:rPr>
        <w:t>Name: Sven Ullring</w:t>
      </w:r>
    </w:p>
    <w:p>
      <w:pPr>
        <w:ind w:left="4440"/>
        <w:spacing w:after="0"/>
        <w:rPr>
          <w:sz w:val="20"/>
          <w:szCs w:val="20"/>
          <w:color w:val="auto"/>
        </w:rPr>
      </w:pPr>
      <w:r>
        <w:rPr>
          <w:rFonts w:ascii="Courier New" w:cs="Courier New" w:eastAsia="Courier New" w:hAnsi="Courier New"/>
          <w:sz w:val="18"/>
          <w:szCs w:val="18"/>
          <w:color w:val="auto"/>
        </w:rPr>
        <w:t>Director</w:t>
      </w:r>
    </w:p>
    <w:sectPr>
      <w:pgSz w:w="11900" w:h="16838" w:orient="portrait"/>
      <w:cols w:equalWidth="0" w:num="1">
        <w:col w:w="10139"/>
      </w:cols>
      <w:pgMar w:left="320" w:top="7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decimal"/>
      <w:start w:val="212"/>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lvl w:ilvl="1">
      <w:lvlJc w:val="left"/>
      <w:lvlText w:val="(%2)"/>
      <w:numFmt w:val="lowerLetter"/>
      <w:start w:val="1"/>
    </w:lvl>
    <w:lvl w:ilvl="2">
      <w:lvlJc w:val="left"/>
      <w:lvlText w:val="(%3)"/>
      <w:numFmt w:val="decimal"/>
      <w:start w:val="1"/>
    </w:lvl>
    <w:lvl w:ilvl="3">
      <w:lvlJc w:val="left"/>
      <w:lvlText w:val="(%4)"/>
      <w:numFmt w:val="lowerRoman"/>
      <w:start w:val="1"/>
    </w:lvl>
  </w:abstractNum>
  <w:abstractNum w:abstractNumId="23">
    <w:nsid w:val="1E7FF521"/>
    <w:multiLevelType w:val="hybridMultilevel"/>
    <w:lvl w:ilvl="0">
      <w:lvlJc w:val="left"/>
      <w:lvlText w:val="(%1)"/>
      <w:numFmt w:val="decimal"/>
      <w:start w:val="2"/>
    </w:lvl>
  </w:abstractNum>
  <w:abstractNum w:abstractNumId="24">
    <w:nsid w:val="7C3DBD3D"/>
    <w:multiLevelType w:val="hybridMultilevel"/>
    <w:lvl w:ilvl="0">
      <w:lvlJc w:val="left"/>
      <w:lvlText w:val="(%1)"/>
      <w:numFmt w:val="lowerLetter"/>
      <w:start w:val="2"/>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
      <w:numFmt w:val="bullet"/>
      <w:start w:val="1"/>
    </w:lvl>
  </w:abstractNum>
  <w:abstractNum w:abstractNumId="34">
    <w:nsid w:val="5072367"/>
    <w:multiLevelType w:val="hybridMultilevel"/>
    <w:lvl w:ilvl="0">
      <w:lvlJc w:val="left"/>
      <w:lvlText w:val="-"/>
      <w:numFmt w:val="bullet"/>
      <w:start w:val="1"/>
    </w:lvl>
  </w:abstractNum>
  <w:abstractNum w:abstractNumId="35">
    <w:nsid w:val="3804823E"/>
    <w:multiLevelType w:val="hybridMultilevel"/>
    <w:lvl w:ilvl="0">
      <w:lvlJc w:val="left"/>
      <w:lvlText w:val="*"/>
      <w:numFmt w:val="bullet"/>
      <w:start w:val="1"/>
    </w:lvl>
  </w:abstractNum>
  <w:abstractNum w:abstractNumId="36">
    <w:nsid w:val="77465F01"/>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2020-10-06T21:01:54Z</dcterms:created>
  <dcterms:modified xsi:type="dcterms:W3CDTF">2020-10-06T21:01:54Z</dcterms:modified>
</cp:coreProperties>
</file>