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July 25, 2025</w:t>
      </w:r>
    </w:p>
    <w:p>
      <w:pPr>
        <w:spacing w:after="0" w:line="14" w:lineRule="exact"/>
        <w:rPr>
          <w:sz w:val="24"/>
          <w:szCs w:val="24"/>
          <w:color w:val="auto"/>
        </w:rPr>
      </w:pPr>
    </w:p>
    <w:p>
      <w:pPr>
        <w:jc w:val="right"/>
        <w:ind w:right="80"/>
        <w:spacing w:after="0"/>
        <w:rPr>
          <w:sz w:val="20"/>
          <w:szCs w:val="20"/>
          <w:color w:val="auto"/>
        </w:rPr>
      </w:pPr>
      <w:r>
        <w:rPr>
          <w:rFonts w:ascii="Arial" w:cs="Arial" w:eastAsia="Arial" w:hAnsi="Arial"/>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1"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SCHLUMBERGER N.V.</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(SCHLUMBERGER LIMITED)</w:t>
      </w: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Curaçao</w:t>
      </w:r>
    </w:p>
    <w:p>
      <w:pPr>
        <w:spacing w:after="0" w:line="19"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52-0684746</w:t>
      </w:r>
    </w:p>
    <w:p>
      <w:pPr>
        <w:spacing w:after="0" w:line="15"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020" w:space="720"/>
            <w:col w:w="3220"/>
          </w:cols>
          <w:pgMar w:left="440" w:top="229" w:right="49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42 rue Saint-Dominique</w:t>
            </w:r>
          </w:p>
        </w:tc>
        <w:tc>
          <w:tcPr>
            <w:tcW w:w="290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75007</w:t>
            </w:r>
          </w:p>
        </w:tc>
      </w:tr>
      <w:tr>
        <w:trPr>
          <w:trHeight w:val="247"/>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Paris, France</w:t>
            </w:r>
          </w:p>
        </w:tc>
        <w:tc>
          <w:tcPr>
            <w:tcW w:w="2900" w:type="dxa"/>
            <w:vAlign w:val="bottom"/>
          </w:tcPr>
          <w:p>
            <w:pPr>
              <w:spacing w:after="0"/>
              <w:rPr>
                <w:sz w:val="21"/>
                <w:szCs w:val="21"/>
                <w:color w:val="auto"/>
              </w:rPr>
            </w:pPr>
          </w:p>
        </w:tc>
      </w:tr>
      <w:tr>
        <w:trPr>
          <w:trHeight w:val="266"/>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rPr>
              <w:t>5599 San Felipe</w:t>
            </w:r>
          </w:p>
        </w:tc>
        <w:tc>
          <w:tcPr>
            <w:tcW w:w="290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77056</w:t>
            </w:r>
          </w:p>
        </w:tc>
      </w:tr>
      <w:tr>
        <w:trPr>
          <w:trHeight w:val="247"/>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Houston, Texas, U.S.A.</w:t>
            </w:r>
          </w:p>
        </w:tc>
        <w:tc>
          <w:tcPr>
            <w:tcW w:w="2900" w:type="dxa"/>
            <w:vAlign w:val="bottom"/>
          </w:tcPr>
          <w:p>
            <w:pPr>
              <w:spacing w:after="0"/>
              <w:rPr>
                <w:sz w:val="21"/>
                <w:szCs w:val="21"/>
                <w:color w:val="auto"/>
              </w:rPr>
            </w:pPr>
          </w:p>
        </w:tc>
      </w:tr>
      <w:tr>
        <w:trPr>
          <w:trHeight w:val="266"/>
        </w:trPr>
        <w:tc>
          <w:tcPr>
            <w:tcW w:w="4180" w:type="dxa"/>
            <w:vAlign w:val="bottom"/>
          </w:tcPr>
          <w:p>
            <w:pPr>
              <w:jc w:val="center"/>
              <w:ind w:right="1950"/>
              <w:spacing w:after="0"/>
              <w:rPr>
                <w:sz w:val="20"/>
                <w:szCs w:val="20"/>
                <w:color w:val="auto"/>
              </w:rPr>
            </w:pPr>
            <w:r>
              <w:rPr>
                <w:rFonts w:ascii="Arial" w:cs="Arial" w:eastAsia="Arial" w:hAnsi="Arial"/>
                <w:sz w:val="18"/>
                <w:szCs w:val="18"/>
                <w:b w:val="1"/>
                <w:bCs w:val="1"/>
                <w:color w:val="auto"/>
                <w:w w:val="99"/>
              </w:rPr>
              <w:t>62 Buckingham Gate</w:t>
            </w:r>
          </w:p>
        </w:tc>
        <w:tc>
          <w:tcPr>
            <w:tcW w:w="290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SW1E 6AJ</w:t>
            </w:r>
          </w:p>
        </w:tc>
      </w:tr>
      <w:tr>
        <w:trPr>
          <w:trHeight w:val="247"/>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rPr>
              <w:t>London, United Kingdom</w:t>
            </w:r>
          </w:p>
        </w:tc>
        <w:tc>
          <w:tcPr>
            <w:tcW w:w="2900" w:type="dxa"/>
            <w:vAlign w:val="bottom"/>
          </w:tcPr>
          <w:p>
            <w:pPr>
              <w:spacing w:after="0"/>
              <w:rPr>
                <w:sz w:val="21"/>
                <w:szCs w:val="21"/>
                <w:color w:val="auto"/>
              </w:rPr>
            </w:pPr>
          </w:p>
        </w:tc>
      </w:tr>
      <w:tr>
        <w:trPr>
          <w:trHeight w:val="284"/>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Parkstraat 83</w:t>
            </w:r>
          </w:p>
        </w:tc>
        <w:tc>
          <w:tcPr>
            <w:tcW w:w="2900" w:type="dxa"/>
            <w:vAlign w:val="bottom"/>
          </w:tcPr>
          <w:p>
            <w:pPr>
              <w:ind w:left="2120"/>
              <w:spacing w:after="0"/>
              <w:rPr>
                <w:sz w:val="20"/>
                <w:szCs w:val="20"/>
                <w:color w:val="auto"/>
              </w:rPr>
            </w:pPr>
            <w:r>
              <w:rPr>
                <w:rFonts w:ascii="Arial" w:cs="Arial" w:eastAsia="Arial" w:hAnsi="Arial"/>
                <w:sz w:val="18"/>
                <w:szCs w:val="18"/>
                <w:b w:val="1"/>
                <w:bCs w:val="1"/>
                <w:color w:val="auto"/>
              </w:rPr>
              <w:t>2514 JG</w:t>
            </w:r>
          </w:p>
        </w:tc>
      </w:tr>
    </w:tbl>
    <w:p>
      <w:pPr>
        <w:spacing w:after="0" w:line="1" w:lineRule="exact"/>
        <w:rPr>
          <w:sz w:val="24"/>
          <w:szCs w:val="24"/>
          <w:color w:val="auto"/>
        </w:rPr>
      </w:pPr>
    </w:p>
    <w:tbl>
      <w:tblPr>
        <w:tblLayout w:type="fixed"/>
        <w:tblInd w:w="1340" w:type="dxa"/>
        <w:tblCellMar>
          <w:top w:w="0" w:type="dxa"/>
          <w:left w:w="0" w:type="dxa"/>
          <w:bottom w:w="0" w:type="dxa"/>
          <w:right w:w="0" w:type="dxa"/>
        </w:tblCellMar>
      </w:tblPr>
      <w:tr>
        <w:trPr>
          <w:trHeight w:val="194"/>
        </w:trPr>
        <w:tc>
          <w:tcPr>
            <w:tcW w:w="6360" w:type="dxa"/>
            <w:vAlign w:val="bottom"/>
          </w:tcPr>
          <w:p>
            <w:pPr>
              <w:jc w:val="center"/>
              <w:ind w:right="3399"/>
              <w:spacing w:after="0" w:line="195" w:lineRule="exact"/>
              <w:rPr>
                <w:sz w:val="20"/>
                <w:szCs w:val="20"/>
                <w:color w:val="auto"/>
              </w:rPr>
            </w:pPr>
            <w:r>
              <w:rPr>
                <w:rFonts w:ascii="Arial" w:cs="Arial" w:eastAsia="Arial" w:hAnsi="Arial"/>
                <w:sz w:val="18"/>
                <w:szCs w:val="18"/>
                <w:b w:val="1"/>
                <w:bCs w:val="1"/>
                <w:color w:val="auto"/>
              </w:rPr>
              <w:t>The Hague, The Netherlands</w:t>
            </w:r>
          </w:p>
        </w:tc>
        <w:tc>
          <w:tcPr>
            <w:tcW w:w="10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(Zip Codes)</w:t>
            </w:r>
          </w:p>
        </w:tc>
        <w:tc>
          <w:tcPr>
            <w:tcW w:w="0" w:type="dxa"/>
            <w:vAlign w:val="bottom"/>
          </w:tcPr>
          <w:p>
            <w:pPr>
              <w:spacing w:after="0"/>
              <w:rPr>
                <w:sz w:val="1"/>
                <w:szCs w:val="1"/>
                <w:color w:val="auto"/>
              </w:rPr>
            </w:pPr>
          </w:p>
        </w:tc>
      </w:tr>
      <w:tr>
        <w:trPr>
          <w:trHeight w:val="115"/>
        </w:trPr>
        <w:tc>
          <w:tcPr>
            <w:tcW w:w="6360" w:type="dxa"/>
            <w:vAlign w:val="bottom"/>
            <w:vMerge w:val="restart"/>
          </w:tcPr>
          <w:p>
            <w:pPr>
              <w:jc w:val="center"/>
              <w:ind w:right="3399"/>
              <w:spacing w:after="0"/>
              <w:rPr>
                <w:sz w:val="20"/>
                <w:szCs w:val="20"/>
                <w:color w:val="auto"/>
              </w:rPr>
            </w:pPr>
            <w:r>
              <w:rPr>
                <w:rFonts w:ascii="Arial" w:cs="Arial" w:eastAsia="Arial" w:hAnsi="Arial"/>
                <w:sz w:val="14"/>
                <w:szCs w:val="14"/>
                <w:b w:val="1"/>
                <w:bCs w:val="1"/>
                <w:color w:val="auto"/>
              </w:rPr>
              <w:t>(Addresses of Principal Executive Offices)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6360" w:type="dxa"/>
            <w:vAlign w:val="bottom"/>
          </w:tcPr>
          <w:p>
            <w:pPr>
              <w:jc w:val="center"/>
              <w:ind w:left="1879"/>
              <w:spacing w:after="0"/>
              <w:rPr>
                <w:sz w:val="20"/>
                <w:szCs w:val="20"/>
                <w:color w:val="auto"/>
              </w:rPr>
            </w:pPr>
            <w:r>
              <w:rPr>
                <w:rFonts w:ascii="Arial" w:cs="Arial" w:eastAsia="Arial" w:hAnsi="Arial"/>
                <w:sz w:val="18"/>
                <w:szCs w:val="18"/>
                <w:b w:val="1"/>
                <w:bCs w:val="1"/>
                <w:color w:val="auto"/>
                <w:w w:val="99"/>
              </w:rPr>
              <w:t>SLB DISCOUNTED STOCK PURCHASE PLAN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360" w:type="dxa"/>
            <w:vAlign w:val="bottom"/>
          </w:tcPr>
          <w:p>
            <w:pPr>
              <w:jc w:val="center"/>
              <w:ind w:left="1899"/>
              <w:spacing w:after="0"/>
              <w:rPr>
                <w:sz w:val="20"/>
                <w:szCs w:val="20"/>
                <w:color w:val="auto"/>
              </w:rPr>
            </w:pPr>
            <w:r>
              <w:rPr>
                <w:rFonts w:ascii="Arial" w:cs="Arial" w:eastAsia="Arial" w:hAnsi="Arial"/>
                <w:sz w:val="14"/>
                <w:szCs w:val="14"/>
                <w:b w:val="1"/>
                <w:bCs w:val="1"/>
                <w:color w:val="auto"/>
              </w:rPr>
              <w:t>(Full title of the plan)</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Dianne B. Ralston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Legal Officer and Secretary</w:t>
      </w:r>
    </w:p>
    <w:p>
      <w:pPr>
        <w:jc w:val="center"/>
        <w:ind w:right="-39"/>
        <w:spacing w:after="0" w:line="234" w:lineRule="auto"/>
        <w:rPr>
          <w:sz w:val="20"/>
          <w:szCs w:val="20"/>
          <w:color w:val="auto"/>
        </w:rPr>
      </w:pPr>
      <w:r>
        <w:rPr>
          <w:rFonts w:ascii="Arial" w:cs="Arial" w:eastAsia="Arial" w:hAnsi="Arial"/>
          <w:sz w:val="18"/>
          <w:szCs w:val="18"/>
          <w:b w:val="1"/>
          <w:bCs w:val="1"/>
          <w:color w:val="auto"/>
        </w:rPr>
        <w:t>Schlumberger Limited</w:t>
      </w:r>
    </w:p>
    <w:p>
      <w:pPr>
        <w:jc w:val="center"/>
        <w:ind w:right="-39"/>
        <w:spacing w:after="0" w:line="235" w:lineRule="auto"/>
        <w:rPr>
          <w:sz w:val="20"/>
          <w:szCs w:val="20"/>
          <w:color w:val="auto"/>
        </w:rPr>
      </w:pPr>
      <w:r>
        <w:rPr>
          <w:rFonts w:ascii="Arial" w:cs="Arial" w:eastAsia="Arial" w:hAnsi="Arial"/>
          <w:sz w:val="18"/>
          <w:szCs w:val="18"/>
          <w:b w:val="1"/>
          <w:bCs w:val="1"/>
          <w:color w:val="auto"/>
        </w:rPr>
        <w:t>5599 San Felipe</w:t>
      </w:r>
    </w:p>
    <w:p>
      <w:pPr>
        <w:jc w:val="center"/>
        <w:ind w:right="-39"/>
        <w:spacing w:after="0" w:line="235" w:lineRule="auto"/>
        <w:rPr>
          <w:sz w:val="20"/>
          <w:szCs w:val="20"/>
          <w:color w:val="auto"/>
        </w:rPr>
      </w:pPr>
      <w:r>
        <w:rPr>
          <w:rFonts w:ascii="Arial" w:cs="Arial" w:eastAsia="Arial" w:hAnsi="Arial"/>
          <w:sz w:val="18"/>
          <w:szCs w:val="18"/>
          <w:b w:val="1"/>
          <w:bCs w:val="1"/>
          <w:color w:val="auto"/>
        </w:rPr>
        <w:t>Houston, Texas, U.S.A. 77056</w:t>
      </w:r>
    </w:p>
    <w:p>
      <w:pPr>
        <w:jc w:val="center"/>
        <w:ind w:right="-39"/>
        <w:spacing w:after="0"/>
        <w:rPr>
          <w:sz w:val="20"/>
          <w:szCs w:val="20"/>
          <w:color w:val="auto"/>
        </w:rPr>
      </w:pPr>
      <w:r>
        <w:rPr>
          <w:rFonts w:ascii="Arial" w:cs="Arial" w:eastAsia="Arial" w:hAnsi="Arial"/>
          <w:sz w:val="18"/>
          <w:szCs w:val="18"/>
          <w:b w:val="1"/>
          <w:bCs w:val="1"/>
          <w:color w:val="auto"/>
        </w:rPr>
        <w:t>(713) 513-2000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6" w:lineRule="exact"/>
        <w:rPr>
          <w:sz w:val="24"/>
          <w:szCs w:val="24"/>
          <w:color w:val="auto"/>
        </w:rPr>
      </w:pPr>
    </w:p>
    <w:p>
      <w:pPr>
        <w:jc w:val="both"/>
        <w:ind w:right="10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6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12" w:lineRule="exact"/>
        <w:rPr>
          <w:sz w:val="20"/>
          <w:szCs w:val="20"/>
          <w:color w:val="auto"/>
        </w:rPr>
      </w:pPr>
    </w:p>
    <w:p>
      <w:pPr>
        <w:ind w:right="400" w:firstLine="440"/>
        <w:spacing w:after="0" w:line="247" w:lineRule="auto"/>
        <w:rPr>
          <w:sz w:val="20"/>
          <w:szCs w:val="20"/>
          <w:color w:val="auto"/>
        </w:rPr>
      </w:pPr>
      <w:r>
        <w:rPr>
          <w:rFonts w:ascii="Arial" w:cs="Arial" w:eastAsia="Arial" w:hAnsi="Arial"/>
          <w:sz w:val="18"/>
          <w:szCs w:val="18"/>
          <w:color w:val="auto"/>
        </w:rPr>
        <w:t>On April 2, 2025, shareholders of Schlumberger Limited (Schlumberger N.V.), a Curaçao corporation (“SLB” or the “Registrant”) approved the SLB Discounted Stock Purchase Plan (as amended and restated, the “Plan”) at the Registrant’s 2025 Annual General Meeting of Shareholders, which increased the number of shares of common stock, par value $0.01 per share, of SLB (“SLB Common Stock”) available for purchase under the Plan by 24,000,000 shares.</w:t>
      </w:r>
    </w:p>
    <w:p>
      <w:pPr>
        <w:spacing w:after="0" w:line="174" w:lineRule="exact"/>
        <w:rPr>
          <w:sz w:val="20"/>
          <w:szCs w:val="20"/>
          <w:color w:val="auto"/>
        </w:rPr>
      </w:pPr>
    </w:p>
    <w:p>
      <w:pPr>
        <w:ind w:right="240" w:firstLine="440"/>
        <w:spacing w:after="0" w:line="253" w:lineRule="auto"/>
        <w:rPr>
          <w:sz w:val="20"/>
          <w:szCs w:val="20"/>
          <w:color w:val="auto"/>
        </w:rPr>
      </w:pPr>
      <w:r>
        <w:rPr>
          <w:rFonts w:ascii="Arial" w:cs="Arial" w:eastAsia="Arial" w:hAnsi="Arial"/>
          <w:sz w:val="18"/>
          <w:szCs w:val="18"/>
          <w:color w:val="auto"/>
        </w:rPr>
        <w:t>The Registrant registered up to 20,000,000 shares of SLB Common Stock issuable under the Plan pursuant to the Registration Statement on Form S-8 filed with the Securities and Exchange Commission (the “SEC”) on July 1, 2025 (SEC File No. 333-288443) (as amended by the Post-Effective Amendment No. 1 filed on July 16, 2025, the “Previous Registration Statement”).</w:t>
      </w:r>
    </w:p>
    <w:p>
      <w:pPr>
        <w:spacing w:after="0" w:line="16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This Registration Statement on Form S-8 (the “Registration Statement”) is being filed by SLB to register the remaining up to 4,000,000 shares of SLB Common Stock issuable under the Plan and authorized by the SLB shareholders. SLB incorporates by reference in this Registration Statement the Previous Registration Statement relating to the Plan pursuant to General Instruction E on Form S-8.</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104" w:lineRule="exact"/>
        <w:rPr>
          <w:sz w:val="20"/>
          <w:szCs w:val="20"/>
          <w:color w:val="auto"/>
        </w:rPr>
      </w:pPr>
    </w:p>
    <w:p>
      <w:pPr>
        <w:jc w:val="both"/>
        <w:ind w:right="540" w:firstLine="440"/>
        <w:spacing w:after="0" w:line="253" w:lineRule="auto"/>
        <w:rPr>
          <w:sz w:val="20"/>
          <w:szCs w:val="20"/>
          <w:color w:val="auto"/>
        </w:rPr>
      </w:pPr>
      <w:r>
        <w:rPr>
          <w:rFonts w:ascii="Arial" w:cs="Arial" w:eastAsia="Arial" w:hAnsi="Arial"/>
          <w:sz w:val="18"/>
          <w:szCs w:val="18"/>
          <w:color w:val="auto"/>
        </w:rPr>
        <w:t>This Registration Statement incorporates herein by reference the following documents, which have been filed with SEC by the Registrant (SEC File No. 001-04601 unless otherwise indicated) pursuant to the Securities Exchange Act of 1934, as amended (the “Exchange Act”):</w:t>
      </w:r>
    </w:p>
    <w:p>
      <w:pPr>
        <w:spacing w:after="0" w:line="74" w:lineRule="exact"/>
        <w:rPr>
          <w:sz w:val="20"/>
          <w:szCs w:val="20"/>
          <w:color w:val="auto"/>
        </w:rPr>
      </w:pPr>
    </w:p>
    <w:p>
      <w:pPr>
        <w:ind w:left="960" w:right="800" w:hanging="532"/>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2024, as filed with the SEC on January 22, 2025 (the “2024 Annual Report);</w:t>
      </w:r>
    </w:p>
    <w:p>
      <w:pPr>
        <w:spacing w:after="0" w:line="59" w:lineRule="exact"/>
        <w:rPr>
          <w:rFonts w:ascii="Arial" w:cs="Arial" w:eastAsia="Arial" w:hAnsi="Arial"/>
          <w:sz w:val="18"/>
          <w:szCs w:val="18"/>
          <w:color w:val="auto"/>
        </w:rPr>
      </w:pPr>
    </w:p>
    <w:p>
      <w:pPr>
        <w:ind w:left="960" w:right="180" w:hanging="532"/>
        <w:spacing w:after="0" w:line="301"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portions of the Registrant’s </w:t>
      </w:r>
      <w:hyperlink r:id="rId18">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its 2025 Annual General Meeting of Shareholders that are incorporated by reference into the 2024 Annual Report, as filed with the SEC on February 20, 2025 (the “Proxy Statement”);</w:t>
      </w:r>
    </w:p>
    <w:p>
      <w:pPr>
        <w:spacing w:after="0" w:line="36" w:lineRule="exact"/>
        <w:rPr>
          <w:rFonts w:ascii="Arial" w:cs="Arial" w:eastAsia="Arial" w:hAnsi="Arial"/>
          <w:sz w:val="17"/>
          <w:szCs w:val="17"/>
          <w:color w:val="auto"/>
        </w:rPr>
      </w:pPr>
    </w:p>
    <w:p>
      <w:pPr>
        <w:ind w:left="960" w:right="340" w:hanging="532"/>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fiscal quarters ended March 31, 2025 and June 30, 2025, as filed with the SEC on </w:t>
      </w:r>
      <w:hyperlink r:id="rId19">
        <w:r>
          <w:rPr>
            <w:rFonts w:ascii="Arial" w:cs="Arial" w:eastAsia="Arial" w:hAnsi="Arial"/>
            <w:sz w:val="18"/>
            <w:szCs w:val="18"/>
            <w:u w:val="single" w:color="auto"/>
            <w:color w:val="0000EE"/>
          </w:rPr>
          <w:t>April 25, 2025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July 24, 2025</w:t>
        </w:r>
      </w:hyperlink>
      <w:r>
        <w:rPr>
          <w:rFonts w:ascii="Arial" w:cs="Arial" w:eastAsia="Arial" w:hAnsi="Arial"/>
          <w:sz w:val="18"/>
          <w:szCs w:val="18"/>
          <w:color w:val="auto"/>
        </w:rPr>
        <w:t>, respectively;</w:t>
      </w:r>
    </w:p>
    <w:p>
      <w:pPr>
        <w:spacing w:after="0" w:line="59" w:lineRule="exact"/>
        <w:rPr>
          <w:rFonts w:ascii="Arial" w:cs="Arial" w:eastAsia="Arial" w:hAnsi="Arial"/>
          <w:sz w:val="18"/>
          <w:szCs w:val="18"/>
          <w:color w:val="auto"/>
        </w:rPr>
      </w:pPr>
    </w:p>
    <w:p>
      <w:pPr>
        <w:ind w:left="960" w:right="260" w:hanging="532"/>
        <w:spacing w:after="0" w:line="271" w:lineRule="auto"/>
        <w:tabs>
          <w:tab w:leader="none" w:pos="960" w:val="left"/>
        </w:tabs>
        <w:numPr>
          <w:ilvl w:val="0"/>
          <w:numId w:val="1"/>
        </w:numPr>
        <w:rPr>
          <w:rFonts w:ascii="Arial" w:cs="Arial" w:eastAsia="Arial" w:hAnsi="Arial"/>
          <w:sz w:val="18"/>
          <w:szCs w:val="18"/>
          <w:color w:val="0000EE"/>
        </w:rPr>
      </w:pPr>
      <w:hyperlink r:id="rId21">
        <w:r>
          <w:rPr>
            <w:rFonts w:ascii="Arial" w:cs="Arial" w:eastAsia="Arial" w:hAnsi="Arial"/>
            <w:sz w:val="18"/>
            <w:szCs w:val="18"/>
            <w:color w:val="auto"/>
          </w:rPr>
          <w:t xml:space="preserve">the Registrant’s Current Reports on Form 8-K filed with the SEC on </w:t>
        </w:r>
        <w:r>
          <w:rPr>
            <w:rFonts w:ascii="Arial" w:cs="Arial" w:eastAsia="Arial" w:hAnsi="Arial"/>
            <w:sz w:val="18"/>
            <w:szCs w:val="18"/>
            <w:u w:val="single" w:color="auto"/>
            <w:color w:val="0000EE"/>
          </w:rPr>
          <w:t>April 2,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8,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15, 2025</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16,</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2025</w:t>
        </w:r>
        <w:r>
          <w:rPr>
            <w:rFonts w:ascii="Arial" w:cs="Arial" w:eastAsia="Arial" w:hAnsi="Arial"/>
            <w:sz w:val="18"/>
            <w:szCs w:val="18"/>
            <w:color w:val="0000EE"/>
          </w:rPr>
          <w:t xml:space="preserve"> </w:t>
        </w:r>
        <w:r>
          <w:rPr>
            <w:rFonts w:ascii="Arial" w:cs="Arial" w:eastAsia="Arial" w:hAnsi="Arial"/>
            <w:sz w:val="18"/>
            <w:szCs w:val="18"/>
            <w:color w:val="000000"/>
          </w:rPr>
          <w:t>(excluding Item 7.01 and Exhibit 99 attached thereto); and</w:t>
        </w:r>
      </w:hyperlink>
    </w:p>
    <w:p>
      <w:pPr>
        <w:spacing w:after="0" w:line="59" w:lineRule="exact"/>
        <w:rPr>
          <w:rFonts w:ascii="Arial" w:cs="Arial" w:eastAsia="Arial" w:hAnsi="Arial"/>
          <w:sz w:val="18"/>
          <w:szCs w:val="18"/>
          <w:color w:val="0000EE"/>
        </w:rPr>
      </w:pPr>
    </w:p>
    <w:p>
      <w:pPr>
        <w:ind w:left="960" w:right="280" w:hanging="532"/>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w:t>
      </w:r>
      <w:hyperlink r:id="rId22">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Registrant’s Annual Report on Form 10-K for the fiscal year ended December 31, 2020, as filed with the SEC on January 27, 2021, and as subsequently amended or updated.</w:t>
      </w:r>
    </w:p>
    <w:p>
      <w:pPr>
        <w:spacing w:after="0" w:line="154" w:lineRule="exact"/>
        <w:rPr>
          <w:rFonts w:ascii="Arial" w:cs="Arial" w:eastAsia="Arial" w:hAnsi="Arial"/>
          <w:sz w:val="18"/>
          <w:szCs w:val="18"/>
          <w:color w:val="auto"/>
        </w:rPr>
      </w:pPr>
    </w:p>
    <w:p>
      <w:pPr>
        <w:ind w:right="60" w:firstLine="440"/>
        <w:spacing w:after="0" w:line="247" w:lineRule="auto"/>
        <w:rPr>
          <w:sz w:val="20"/>
          <w:szCs w:val="20"/>
          <w:color w:val="auto"/>
        </w:rPr>
      </w:pPr>
      <w:r>
        <w:rPr>
          <w:rFonts w:ascii="Arial" w:cs="Arial" w:eastAsia="Arial" w:hAnsi="Arial"/>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74" w:lineRule="exact"/>
        <w:rPr>
          <w:rFonts w:ascii="Arial" w:cs="Arial" w:eastAsia="Arial" w:hAnsi="Arial"/>
          <w:sz w:val="18"/>
          <w:szCs w:val="18"/>
          <w:color w:val="auto"/>
        </w:rPr>
      </w:pPr>
    </w:p>
    <w:p>
      <w:pPr>
        <w:ind w:right="60" w:firstLine="440"/>
        <w:spacing w:after="0" w:line="244" w:lineRule="auto"/>
        <w:rPr>
          <w:sz w:val="20"/>
          <w:szCs w:val="20"/>
          <w:color w:val="auto"/>
        </w:rPr>
      </w:pPr>
      <w:r>
        <w:rPr>
          <w:rFonts w:ascii="Arial" w:cs="Arial" w:eastAsia="Arial" w:hAnsi="Arial"/>
          <w:sz w:val="18"/>
          <w:szCs w:val="18"/>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0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0"/>
          </w:cols>
          <w:pgMar w:left="440" w:top="269"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8.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documents are filed as a part of this Registration Statement or incorporated by reference herein:</w:t>
      </w:r>
    </w:p>
    <w:p>
      <w:pPr>
        <w:sectPr>
          <w:pgSz w:w="11900" w:h="16838" w:orient="portrait"/>
          <w:cols w:equalWidth="0" w:num="1">
            <w:col w:w="10664"/>
          </w:cols>
          <w:pgMar w:left="436" w:top="269" w:right="799" w:bottom="1440" w:gutter="0" w:footer="0" w:header="0"/>
        </w:sectPr>
      </w:pPr>
    </w:p>
    <w:p>
      <w:pPr>
        <w:spacing w:after="0" w:line="260" w:lineRule="exact"/>
        <w:rPr>
          <w:sz w:val="20"/>
          <w:szCs w:val="20"/>
          <w:color w:val="auto"/>
        </w:rPr>
      </w:pPr>
    </w:p>
    <w:p>
      <w:pPr>
        <w:ind w:left="44"/>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sectPr>
          <w:pgSz w:w="11900" w:h="16838" w:orient="portrait"/>
          <w:cols w:equalWidth="0" w:num="2">
            <w:col w:w="4884" w:space="720"/>
            <w:col w:w="5060"/>
          </w:cols>
          <w:pgMar w:left="436" w:top="269" w:right="799" w:bottom="1440" w:gutter="0" w:footer="0" w:header="0"/>
          <w:type w:val="continuous"/>
        </w:sectPr>
      </w:pPr>
    </w:p>
    <w:p>
      <w:pPr>
        <w:ind w:left="964" w:hanging="964"/>
        <w:spacing w:after="0" w:line="271" w:lineRule="auto"/>
        <w:tabs>
          <w:tab w:leader="none" w:pos="92"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4.1</w:t>
      </w:r>
      <w:hyperlink r:id="rId24">
        <w:r>
          <w:rPr>
            <w:rFonts w:ascii="Arial" w:cs="Arial" w:eastAsia="Arial" w:hAnsi="Arial"/>
            <w:sz w:val="18"/>
            <w:szCs w:val="18"/>
            <w:u w:val="single" w:color="auto"/>
            <w:color w:val="0000EE"/>
          </w:rPr>
          <w:t>Articles of Incorporation of Schlumberger Limited (Schlumberger N.V.), as last amended on April 6, 2016 (incorporated by</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reference to Exhibit 3.1 to SLB’s Current Report on Form 8-K filed on April 6, 2016).</w:t>
        </w:r>
      </w:hyperlink>
    </w:p>
    <w:p>
      <w:pPr>
        <w:spacing w:after="0" w:line="45" w:lineRule="exact"/>
        <w:rPr>
          <w:rFonts w:ascii="Arial" w:cs="Arial" w:eastAsia="Arial" w:hAnsi="Arial"/>
          <w:sz w:val="18"/>
          <w:szCs w:val="18"/>
          <w:u w:val="single" w:color="auto"/>
          <w:color w:val="0000EE"/>
        </w:rPr>
      </w:pPr>
    </w:p>
    <w:p>
      <w:pPr>
        <w:ind w:left="964" w:right="80" w:hanging="964"/>
        <w:spacing w:after="0" w:line="271" w:lineRule="auto"/>
        <w:tabs>
          <w:tab w:leader="none" w:pos="92"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4.2</w:t>
      </w:r>
      <w:hyperlink r:id="rId25">
        <w:r>
          <w:rPr>
            <w:rFonts w:ascii="Arial" w:cs="Arial" w:eastAsia="Arial" w:hAnsi="Arial"/>
            <w:sz w:val="18"/>
            <w:szCs w:val="18"/>
            <w:u w:val="single" w:color="auto"/>
            <w:color w:val="0000EE"/>
          </w:rPr>
          <w:t>Amended and Restated By-Laws of Schlumberger Limited (Schlumberger N.V.) (incorporated by reference to Exhibit 3 to</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SLB’s Current Report on Form 8-K filed April 21, 2023).</w:t>
        </w:r>
      </w:hyperlink>
    </w:p>
    <w:p>
      <w:pPr>
        <w:spacing w:after="0" w:line="33" w:lineRule="exact"/>
        <w:rPr>
          <w:rFonts w:ascii="Arial" w:cs="Arial" w:eastAsia="Arial" w:hAnsi="Arial"/>
          <w:sz w:val="18"/>
          <w:szCs w:val="18"/>
          <w:color w:val="auto"/>
        </w:rPr>
      </w:pPr>
    </w:p>
    <w:tbl>
      <w:tblPr>
        <w:tblLayout w:type="fixed"/>
        <w:tblInd w:w="4"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  5</w:t>
            </w:r>
          </w:p>
        </w:tc>
        <w:tc>
          <w:tcPr>
            <w:tcW w:w="5280" w:type="dxa"/>
            <w:vAlign w:val="bottom"/>
            <w:gridSpan w:val="3"/>
          </w:tcPr>
          <w:p>
            <w:pPr>
              <w:spacing w:after="0"/>
              <w:rPr>
                <w:sz w:val="20"/>
                <w:szCs w:val="20"/>
                <w:color w:val="auto"/>
              </w:rPr>
            </w:pPr>
            <w:r>
              <w:rPr>
                <w:rFonts w:ascii="Arial" w:cs="Arial" w:eastAsia="Arial" w:hAnsi="Arial"/>
                <w:sz w:val="18"/>
                <w:szCs w:val="18"/>
                <w:color w:val="0000EE"/>
              </w:rPr>
              <w:t>Opinion of STvB Advocaten (Europe), N.V.</w:t>
            </w: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34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PricewaterhouseCoopers LLP.</w:t>
            </w:r>
          </w:p>
        </w:tc>
        <w:tc>
          <w:tcPr>
            <w:tcW w:w="188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5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Consent of STvB Advocaten (Europe), N.V. (included in Exhibit 5).</w:t>
            </w:r>
          </w:p>
        </w:tc>
      </w:tr>
    </w:tbl>
    <w:p>
      <w:pPr>
        <w:spacing w:after="0" w:line="103" w:lineRule="exact"/>
        <w:rPr>
          <w:rFonts w:ascii="Arial" w:cs="Arial" w:eastAsia="Arial" w:hAnsi="Arial"/>
          <w:sz w:val="18"/>
          <w:szCs w:val="18"/>
          <w:color w:val="auto"/>
        </w:rPr>
      </w:pPr>
    </w:p>
    <w:p>
      <w:pPr>
        <w:ind w:left="964" w:hanging="96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Power of Attorney.</w:t>
      </w:r>
    </w:p>
    <w:p>
      <w:pPr>
        <w:spacing w:after="0" w:line="104" w:lineRule="exact"/>
        <w:rPr>
          <w:rFonts w:ascii="Arial" w:cs="Arial" w:eastAsia="Arial" w:hAnsi="Arial"/>
          <w:sz w:val="18"/>
          <w:szCs w:val="18"/>
          <w:color w:val="auto"/>
        </w:rPr>
      </w:pPr>
    </w:p>
    <w:p>
      <w:pPr>
        <w:ind w:left="964" w:right="20" w:hanging="964"/>
        <w:spacing w:after="0" w:line="271" w:lineRule="auto"/>
        <w:tabs>
          <w:tab w:leader="none" w:pos="964" w:val="left"/>
        </w:tabs>
        <w:numPr>
          <w:ilvl w:val="0"/>
          <w:numId w:val="4"/>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SLB Discounted Stock Purchase Plan, as amended and restated effective January 16, 2025 (incorporated by reference to</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Appendix B to the Proxy Statement).</w:t>
        </w:r>
      </w:hyperlink>
    </w:p>
    <w:p>
      <w:pPr>
        <w:spacing w:after="0" w:line="46" w:lineRule="exact"/>
        <w:rPr>
          <w:rFonts w:ascii="Arial" w:cs="Arial" w:eastAsia="Arial" w:hAnsi="Arial"/>
          <w:sz w:val="18"/>
          <w:szCs w:val="18"/>
          <w:color w:val="auto"/>
        </w:rPr>
      </w:pPr>
    </w:p>
    <w:p>
      <w:pPr>
        <w:ind w:left="964" w:hanging="96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144" w:lineRule="exact"/>
        <w:rPr>
          <w:rFonts w:ascii="Arial" w:cs="Arial" w:eastAsia="Arial" w:hAnsi="Arial"/>
          <w:sz w:val="18"/>
          <w:szCs w:val="18"/>
          <w:color w:val="auto"/>
        </w:rPr>
      </w:pPr>
    </w:p>
    <w:p>
      <w:pPr>
        <w:jc w:val="center"/>
        <w:ind w:right="-34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664"/>
          </w:cols>
          <w:pgMar w:left="436" w:top="269" w:right="7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12" w:lineRule="exact"/>
        <w:rPr>
          <w:sz w:val="20"/>
          <w:szCs w:val="20"/>
          <w:color w:val="auto"/>
        </w:rPr>
      </w:pPr>
    </w:p>
    <w:p>
      <w:pPr>
        <w:ind w:right="300" w:firstLine="44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July 25,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N.V.</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07"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By: /s/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8890</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Howard Guild</w:t>
      </w:r>
    </w:p>
    <w:p>
      <w:pPr>
        <w:ind w:left="6980"/>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July 25, 2025 in the capacities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177"/>
        </w:trPr>
        <w:tc>
          <w:tcPr>
            <w:tcW w:w="51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color w:val="auto"/>
              </w:rPr>
              <w:t>Olivier Le Peuch</w:t>
            </w:r>
          </w:p>
        </w:tc>
        <w:tc>
          <w:tcPr>
            <w:tcW w:w="560" w:type="dxa"/>
            <w:vAlign w:val="bottom"/>
          </w:tcPr>
          <w:p>
            <w:pPr>
              <w:spacing w:after="0"/>
              <w:rPr>
                <w:sz w:val="15"/>
                <w:szCs w:val="15"/>
                <w:color w:val="auto"/>
              </w:rPr>
            </w:pPr>
          </w:p>
        </w:tc>
        <w:tc>
          <w:tcPr>
            <w:tcW w:w="5280" w:type="dxa"/>
            <w:vAlign w:val="bottom"/>
            <w:tcBorders>
              <w:top w:val="single" w:sz="8" w:color="auto"/>
            </w:tcBorders>
          </w:tcPr>
          <w:p>
            <w:pPr>
              <w:ind w:left="100"/>
              <w:spacing w:after="0" w:line="177" w:lineRule="exact"/>
              <w:rPr>
                <w:sz w:val="20"/>
                <w:szCs w:val="20"/>
                <w:color w:val="auto"/>
              </w:rPr>
            </w:pPr>
            <w:r>
              <w:rPr>
                <w:rFonts w:ascii="Arial" w:cs="Arial" w:eastAsia="Arial" w:hAnsi="Arial"/>
                <w:sz w:val="18"/>
                <w:szCs w:val="18"/>
                <w:color w:val="auto"/>
              </w:rPr>
              <w:t>Jim Hackett</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 and Director</w:t>
            </w:r>
          </w:p>
        </w:tc>
        <w:tc>
          <w:tcPr>
            <w:tcW w:w="560" w:type="dxa"/>
            <w:vAlign w:val="bottom"/>
          </w:tcPr>
          <w:p>
            <w:pPr>
              <w:spacing w:after="0"/>
              <w:rPr>
                <w:sz w:val="17"/>
                <w:szCs w:val="17"/>
                <w:color w:val="auto"/>
              </w:rPr>
            </w:pPr>
          </w:p>
        </w:tc>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Chairman of the Board</w:t>
            </w: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4"/>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177"/>
        </w:trPr>
        <w:tc>
          <w:tcPr>
            <w:tcW w:w="51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color w:val="auto"/>
              </w:rPr>
              <w:t>Stephane Biguet</w:t>
            </w:r>
          </w:p>
        </w:tc>
        <w:tc>
          <w:tcPr>
            <w:tcW w:w="560" w:type="dxa"/>
            <w:vAlign w:val="bottom"/>
          </w:tcPr>
          <w:p>
            <w:pPr>
              <w:spacing w:after="0"/>
              <w:rPr>
                <w:sz w:val="15"/>
                <w:szCs w:val="15"/>
                <w:color w:val="auto"/>
              </w:rPr>
            </w:pPr>
          </w:p>
        </w:tc>
        <w:tc>
          <w:tcPr>
            <w:tcW w:w="5280" w:type="dxa"/>
            <w:vAlign w:val="bottom"/>
            <w:tcBorders>
              <w:top w:val="single" w:sz="8" w:color="auto"/>
            </w:tcBorders>
          </w:tcPr>
          <w:p>
            <w:pPr>
              <w:ind w:left="100"/>
              <w:spacing w:after="0" w:line="177" w:lineRule="exact"/>
              <w:rPr>
                <w:sz w:val="20"/>
                <w:szCs w:val="20"/>
                <w:color w:val="auto"/>
              </w:rPr>
            </w:pPr>
            <w:r>
              <w:rPr>
                <w:rFonts w:ascii="Arial" w:cs="Arial" w:eastAsia="Arial" w:hAnsi="Arial"/>
                <w:sz w:val="18"/>
                <w:szCs w:val="18"/>
                <w:color w:val="auto"/>
              </w:rPr>
              <w:t>Samuel Leupold</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560" w:type="dxa"/>
            <w:vAlign w:val="bottom"/>
          </w:tcPr>
          <w:p>
            <w:pPr>
              <w:spacing w:after="0"/>
              <w:rPr>
                <w:sz w:val="17"/>
                <w:szCs w:val="17"/>
                <w:color w:val="auto"/>
              </w:rPr>
            </w:pPr>
          </w:p>
        </w:tc>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01"/>
        </w:trPr>
        <w:tc>
          <w:tcPr>
            <w:tcW w:w="5180" w:type="dxa"/>
            <w:vAlign w:val="bottom"/>
            <w:gridSpan w:val="3"/>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177"/>
        </w:trPr>
        <w:tc>
          <w:tcPr>
            <w:tcW w:w="51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color w:val="auto"/>
              </w:rPr>
              <w:t>Howard Guild</w:t>
            </w:r>
          </w:p>
        </w:tc>
        <w:tc>
          <w:tcPr>
            <w:tcW w:w="560" w:type="dxa"/>
            <w:vAlign w:val="bottom"/>
          </w:tcPr>
          <w:p>
            <w:pPr>
              <w:spacing w:after="0"/>
              <w:rPr>
                <w:sz w:val="15"/>
                <w:szCs w:val="15"/>
                <w:color w:val="auto"/>
              </w:rPr>
            </w:pPr>
          </w:p>
        </w:tc>
        <w:tc>
          <w:tcPr>
            <w:tcW w:w="5280" w:type="dxa"/>
            <w:vAlign w:val="bottom"/>
            <w:tcBorders>
              <w:top w:val="single" w:sz="8" w:color="auto"/>
            </w:tcBorders>
          </w:tcPr>
          <w:p>
            <w:pPr>
              <w:ind w:left="100"/>
              <w:spacing w:after="0" w:line="177" w:lineRule="exact"/>
              <w:rPr>
                <w:sz w:val="20"/>
                <w:szCs w:val="20"/>
                <w:color w:val="auto"/>
              </w:rPr>
            </w:pPr>
            <w:r>
              <w:rPr>
                <w:rFonts w:ascii="Arial" w:cs="Arial" w:eastAsia="Arial" w:hAnsi="Arial"/>
                <w:sz w:val="18"/>
                <w:szCs w:val="18"/>
                <w:color w:val="auto"/>
              </w:rPr>
              <w:t>Maria Moræus Hanssen</w:t>
            </w:r>
          </w:p>
        </w:tc>
      </w:tr>
      <w:tr>
        <w:trPr>
          <w:trHeight w:val="202"/>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Chief Accounting Officer</w:t>
            </w:r>
          </w:p>
        </w:tc>
        <w:tc>
          <w:tcPr>
            <w:tcW w:w="560" w:type="dxa"/>
            <w:vAlign w:val="bottom"/>
          </w:tcPr>
          <w:p>
            <w:pPr>
              <w:spacing w:after="0"/>
              <w:rPr>
                <w:sz w:val="17"/>
                <w:szCs w:val="17"/>
                <w:color w:val="auto"/>
              </w:rPr>
            </w:pPr>
          </w:p>
        </w:tc>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01"/>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177"/>
        </w:trPr>
        <w:tc>
          <w:tcPr>
            <w:tcW w:w="51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color w:val="auto"/>
              </w:rPr>
              <w:t>Peter Coleman</w:t>
            </w:r>
          </w:p>
        </w:tc>
        <w:tc>
          <w:tcPr>
            <w:tcW w:w="560" w:type="dxa"/>
            <w:vAlign w:val="bottom"/>
          </w:tcPr>
          <w:p>
            <w:pPr>
              <w:spacing w:after="0"/>
              <w:rPr>
                <w:sz w:val="15"/>
                <w:szCs w:val="15"/>
                <w:color w:val="auto"/>
              </w:rPr>
            </w:pPr>
          </w:p>
        </w:tc>
        <w:tc>
          <w:tcPr>
            <w:tcW w:w="5280" w:type="dxa"/>
            <w:vAlign w:val="bottom"/>
            <w:tcBorders>
              <w:top w:val="single" w:sz="8" w:color="auto"/>
            </w:tcBorders>
          </w:tcPr>
          <w:p>
            <w:pPr>
              <w:ind w:left="100"/>
              <w:spacing w:after="0" w:line="177" w:lineRule="exact"/>
              <w:rPr>
                <w:sz w:val="20"/>
                <w:szCs w:val="20"/>
                <w:color w:val="auto"/>
              </w:rPr>
            </w:pPr>
            <w:r>
              <w:rPr>
                <w:rFonts w:ascii="Arial" w:cs="Arial" w:eastAsia="Arial" w:hAnsi="Arial"/>
                <w:sz w:val="18"/>
                <w:szCs w:val="18"/>
                <w:color w:val="auto"/>
              </w:rPr>
              <w:t>Vanitha Narayanan</w:t>
            </w: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15"/>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177"/>
        </w:trPr>
        <w:tc>
          <w:tcPr>
            <w:tcW w:w="51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color w:val="auto"/>
              </w:rPr>
              <w:t>Patrick de La Chevardière</w:t>
            </w:r>
          </w:p>
        </w:tc>
        <w:tc>
          <w:tcPr>
            <w:tcW w:w="560" w:type="dxa"/>
            <w:vAlign w:val="bottom"/>
          </w:tcPr>
          <w:p>
            <w:pPr>
              <w:spacing w:after="0"/>
              <w:rPr>
                <w:sz w:val="15"/>
                <w:szCs w:val="15"/>
                <w:color w:val="auto"/>
              </w:rPr>
            </w:pPr>
          </w:p>
        </w:tc>
        <w:tc>
          <w:tcPr>
            <w:tcW w:w="5280" w:type="dxa"/>
            <w:vAlign w:val="bottom"/>
            <w:tcBorders>
              <w:top w:val="single" w:sz="8" w:color="auto"/>
            </w:tcBorders>
          </w:tcPr>
          <w:p>
            <w:pPr>
              <w:ind w:left="100"/>
              <w:spacing w:after="0" w:line="177" w:lineRule="exact"/>
              <w:rPr>
                <w:sz w:val="20"/>
                <w:szCs w:val="20"/>
                <w:color w:val="auto"/>
              </w:rPr>
            </w:pPr>
            <w:r>
              <w:rPr>
                <w:rFonts w:ascii="Arial" w:cs="Arial" w:eastAsia="Arial" w:hAnsi="Arial"/>
                <w:sz w:val="18"/>
                <w:szCs w:val="18"/>
                <w:color w:val="auto"/>
              </w:rPr>
              <w:t>Jeff W. Sheets</w:t>
            </w: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0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77"/>
        </w:trPr>
        <w:tc>
          <w:tcPr>
            <w:tcW w:w="5180" w:type="dxa"/>
            <w:vAlign w:val="bottom"/>
            <w:gridSpan w:val="3"/>
          </w:tcPr>
          <w:p>
            <w:pPr>
              <w:spacing w:after="0" w:line="177" w:lineRule="exact"/>
              <w:rPr>
                <w:sz w:val="20"/>
                <w:szCs w:val="20"/>
                <w:color w:val="auto"/>
              </w:rPr>
            </w:pPr>
            <w:r>
              <w:rPr>
                <w:rFonts w:ascii="Arial" w:cs="Arial" w:eastAsia="Arial" w:hAnsi="Arial"/>
                <w:sz w:val="18"/>
                <w:szCs w:val="18"/>
                <w:color w:val="auto"/>
              </w:rPr>
              <w:t>Miguel M. Galuccio</w:t>
            </w: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239"/>
        </w:trPr>
        <w:tc>
          <w:tcPr>
            <w:tcW w:w="51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28"/>
        </w:trPr>
        <w:tc>
          <w:tcPr>
            <w:tcW w:w="5180" w:type="dxa"/>
            <w:vAlign w:val="bottom"/>
            <w:gridSpan w:val="3"/>
          </w:tcPr>
          <w:p>
            <w:pPr>
              <w:spacing w:after="0"/>
              <w:rPr>
                <w:sz w:val="20"/>
                <w:szCs w:val="20"/>
                <w:color w:val="auto"/>
              </w:rPr>
            </w:pPr>
            <w:r>
              <w:rPr>
                <w:rFonts w:ascii="Arial" w:cs="Arial" w:eastAsia="Arial" w:hAnsi="Arial"/>
                <w:sz w:val="18"/>
                <w:szCs w:val="18"/>
                <w:color w:val="auto"/>
              </w:rPr>
              <w:t>* By: /s/ D</w:t>
            </w:r>
            <w:r>
              <w:rPr>
                <w:rFonts w:ascii="Arial" w:cs="Arial" w:eastAsia="Arial" w:hAnsi="Arial"/>
                <w:sz w:val="14"/>
                <w:szCs w:val="14"/>
                <w:color w:val="auto"/>
              </w:rPr>
              <w:t>IANNE</w:t>
            </w:r>
            <w:r>
              <w:rPr>
                <w:rFonts w:ascii="Arial" w:cs="Arial" w:eastAsia="Arial" w:hAnsi="Arial"/>
                <w:sz w:val="18"/>
                <w:szCs w:val="18"/>
                <w:color w:val="auto"/>
              </w:rPr>
              <w:t xml:space="preserve"> B. R</w:t>
            </w:r>
            <w:r>
              <w:rPr>
                <w:rFonts w:ascii="Arial" w:cs="Arial" w:eastAsia="Arial" w:hAnsi="Arial"/>
                <w:sz w:val="14"/>
                <w:szCs w:val="14"/>
                <w:color w:val="auto"/>
              </w:rPr>
              <w:t>ALSTON</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98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color w:val="auto"/>
              </w:rPr>
              <w:t>Dianne B. Ralston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203"/>
        </w:trPr>
        <w:tc>
          <w:tcPr>
            <w:tcW w:w="420" w:type="dxa"/>
            <w:vAlign w:val="bottom"/>
          </w:tcPr>
          <w:p>
            <w:pPr>
              <w:spacing w:after="0"/>
              <w:rPr>
                <w:sz w:val="17"/>
                <w:szCs w:val="17"/>
                <w:color w:val="auto"/>
              </w:rPr>
            </w:pPr>
          </w:p>
        </w:tc>
        <w:tc>
          <w:tcPr>
            <w:tcW w:w="47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Chief Legal Officer and Secretary</w:t>
            </w:r>
          </w:p>
        </w:tc>
        <w:tc>
          <w:tcPr>
            <w:tcW w:w="56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7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(Attorney-in-Fact and Authorized Representative</w:t>
            </w:r>
          </w:p>
        </w:tc>
        <w:tc>
          <w:tcPr>
            <w:tcW w:w="56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9"/>
        </w:trPr>
        <w:tc>
          <w:tcPr>
            <w:tcW w:w="420" w:type="dxa"/>
            <w:vAlign w:val="bottom"/>
          </w:tcPr>
          <w:p>
            <w:pPr>
              <w:spacing w:after="0"/>
              <w:rPr>
                <w:sz w:val="20"/>
                <w:szCs w:val="20"/>
                <w:color w:val="auto"/>
              </w:rPr>
            </w:pP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in the U.S.)</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- 3 -</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 w:name="page5"/>
    <w:bookmarkEnd w:id="4"/>
    <w:p>
      <w:pPr>
        <w:ind w:left="10344"/>
        <w:spacing w:after="0"/>
        <w:rPr>
          <w:sz w:val="20"/>
          <w:szCs w:val="20"/>
          <w:color w:val="auto"/>
        </w:rPr>
      </w:pPr>
      <w:r>
        <w:rPr>
          <w:rFonts w:ascii="Times New Roman" w:cs="Times New Roman" w:eastAsia="Times New Roman" w:hAnsi="Times New Roman"/>
          <w:sz w:val="18"/>
          <w:szCs w:val="18"/>
          <w:color w:val="auto"/>
        </w:rPr>
        <w:t>Exhibit 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Amsterdam, 25 July 2025</w:t>
      </w:r>
    </w:p>
    <w:p>
      <w:pPr>
        <w:spacing w:after="0" w:line="24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Schlumberger N.V.</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We have acted as Curaçao legal counsel for Schlumberger N.V. (also referred to as Schlumberger Limited), a corporation with limited liability organized and existing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up to 4,000,000 shares of the Company’s common stock, par value US$0.01 per share to be traded on the New York Stock Exchange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 SLB Discounted Stock Purchase Plan, as amended and restated effective 16 January 2025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We understand that a registration statement on Form S-8 relating to the Plan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is being filed by the Company with the Securities and Exchange Commission under the Securities Act of 1933, as amended.</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Curaçao legal counsel for the Company we have examined and relied upon the following documents in original, photo static or facsimile form:</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Plan;</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Articles of Incorporation of the Company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as presently in effect;</w:t>
      </w:r>
    </w:p>
    <w:p>
      <w:pPr>
        <w:spacing w:after="0" w:line="134"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as, according to the Secretary Certificate (as defined below), in full force and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obtained online on 25 July 2025 from the Curaçao Commercial Register, relating to the registration of the Company;</w:t>
      </w:r>
    </w:p>
    <w:p>
      <w:pPr>
        <w:spacing w:after="0" w:line="130"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annual general meeting of shareholders of the Company as according to the Secretary Certificate held on 2 April 2025 </w:t>
      </w:r>
      <w:r>
        <w:rPr>
          <w:rFonts w:ascii="Times New Roman" w:cs="Times New Roman" w:eastAsia="Times New Roman" w:hAnsi="Times New Roman"/>
          <w:sz w:val="18"/>
          <w:szCs w:val="18"/>
          <w:i w:val="1"/>
          <w:iCs w:val="1"/>
          <w:color w:val="auto"/>
        </w:rPr>
        <w:t xml:space="preserve">inter alia </w:t>
      </w:r>
      <w:r>
        <w:rPr>
          <w:rFonts w:ascii="Times New Roman" w:cs="Times New Roman" w:eastAsia="Times New Roman" w:hAnsi="Times New Roman"/>
          <w:sz w:val="18"/>
          <w:szCs w:val="18"/>
          <w:color w:val="auto"/>
        </w:rPr>
        <w:t>including the resolution to approve the amendment and restatement of the SLB Discounted Stock Purchase Plan effective 16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21"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 July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24" w:right="80" w:hanging="424"/>
        <w:spacing w:after="0" w:line="26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according to the Secretary Certificate adopted on 16 January 2025 providing for the issuance of the Shares under the Plan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and the Shareholders Resolutions together with the Board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executed by the Assistant Secretary of the Company, dated 25 July 2025 with attached thereto a copy of the Resolutions, the Articles of Association and the Bylaws (the “</w:t>
      </w:r>
      <w:r>
        <w:rPr>
          <w:rFonts w:ascii="Times New Roman" w:cs="Times New Roman" w:eastAsia="Times New Roman" w:hAnsi="Times New Roman"/>
          <w:sz w:val="18"/>
          <w:szCs w:val="18"/>
          <w:b w:val="1"/>
          <w:bCs w:val="1"/>
          <w:color w:val="auto"/>
        </w:rPr>
        <w:t>Secretary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our examination of the documents referred to above and in expressing our opinion, we have assumed without independent verification of any kind:</w:t>
      </w:r>
    </w:p>
    <w:p>
      <w:pPr>
        <w:spacing w:after="0" w:line="13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we have reviewed;</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originals of all documents submitted to us as copies.</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cs="Times New Roman" w:eastAsia="Times New Roman" w:hAnsi="Times New Roman"/>
          <w:sz w:val="18"/>
          <w:szCs w:val="18"/>
          <w:i w:val="1"/>
          <w:iCs w:val="1"/>
          <w:u w:val="single" w:color="auto"/>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Nederlanden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and having due regard for such legal considerations as we deem relevant, we are of the opinion that:</w:t>
      </w:r>
    </w:p>
    <w:p>
      <w:pPr>
        <w:spacing w:after="0" w:line="67" w:lineRule="exact"/>
        <w:rPr>
          <w:sz w:val="20"/>
          <w:szCs w:val="20"/>
          <w:color w:val="auto"/>
        </w:rPr>
      </w:pPr>
    </w:p>
    <w:p>
      <w:pPr>
        <w:ind w:left="424" w:right="100" w:hanging="424"/>
        <w:spacing w:after="0" w:line="26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85"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and delivery of the Shares from time to time pursuant to and in accordance with the terms of the Plan, for consideration at least equal to the par value thereof, such Shares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personal liability will attach to the holders of the Shares under the laws of Curaçao by reason of their being stockholders of the Company.</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approvals, authorizations or other orders of Curaçao governmental authorities are legally required for the issuance of the Shares by the Company.</w:t>
      </w:r>
    </w:p>
    <w:p>
      <w:pPr>
        <w:spacing w:after="0" w:line="16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may not read as extending by implication to any matters not specifically referred to herein, including tax matters.</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July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STvB Advocaten (Europe) N.V.</w:t>
      </w:r>
    </w:p>
    <w:p>
      <w:pPr>
        <w:sectPr>
          <w:pgSz w:w="11900" w:h="16838" w:orient="portrait"/>
          <w:cols w:equalWidth="0" w:num="1">
            <w:col w:w="10960"/>
          </w:cols>
          <w:pgMar w:left="440" w:top="270"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Schlumberger Limited of our report dated January 22, 2025 relating to the financial statements and the effectiveness of internal control over financial reporting, which appears in Schlumberger Limited’s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2025</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Each of the undersigned, being a director or officer, or both, of Schlumberger Limited, a Curaçao corporation (the “Company”), hereby constitutes and appoints Howard Guild or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with respect to the registration of up to 4,000,000 shares of common stock, par value $0.01 per share, of the Company (the “Shares”) to be offered and issued under the SLB Discounted Stock Purchase Plan, as amended and restated effective January 16, 2025, on Form S-8, any amendments thereto, and all post-effective amendments and supplements to this Registration Statement for the registration of the Shares;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this Registration Statement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9"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2025</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Peter Coleman</w:t>
            </w:r>
          </w:p>
        </w:tc>
        <w:tc>
          <w:tcPr>
            <w:tcW w:w="560" w:type="dxa"/>
            <w:vAlign w:val="bottom"/>
          </w:tcPr>
          <w:p>
            <w:pPr>
              <w:spacing w:after="0"/>
              <w:rPr>
                <w:sz w:val="19"/>
                <w:szCs w:val="19"/>
                <w:color w:val="auto"/>
              </w:rPr>
            </w:pPr>
          </w:p>
        </w:tc>
        <w:tc>
          <w:tcPr>
            <w:tcW w:w="5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/s/ Samuel Leupold</w:t>
            </w:r>
          </w:p>
        </w:tc>
      </w:tr>
      <w:tr>
        <w:trPr>
          <w:trHeight w:val="177"/>
        </w:trPr>
        <w:tc>
          <w:tcPr>
            <w:tcW w:w="5180" w:type="dxa"/>
            <w:vAlign w:val="bottom"/>
          </w:tcPr>
          <w:p>
            <w:pPr>
              <w:jc w:val="center"/>
              <w:spacing w:after="0" w:line="177" w:lineRule="exact"/>
              <w:rPr>
                <w:sz w:val="20"/>
                <w:szCs w:val="20"/>
                <w:color w:val="auto"/>
              </w:rPr>
            </w:pPr>
            <w:r>
              <w:rPr>
                <w:rFonts w:ascii="Arial" w:cs="Arial" w:eastAsia="Arial" w:hAnsi="Arial"/>
                <w:sz w:val="18"/>
                <w:szCs w:val="18"/>
                <w:color w:val="auto"/>
                <w:w w:val="99"/>
              </w:rPr>
              <w:t>Peter Coleman</w:t>
            </w:r>
          </w:p>
        </w:tc>
        <w:tc>
          <w:tcPr>
            <w:tcW w:w="560" w:type="dxa"/>
            <w:vAlign w:val="bottom"/>
          </w:tcPr>
          <w:p>
            <w:pPr>
              <w:spacing w:after="0"/>
              <w:rPr>
                <w:sz w:val="15"/>
                <w:szCs w:val="15"/>
                <w:color w:val="auto"/>
              </w:rPr>
            </w:pPr>
          </w:p>
        </w:tc>
        <w:tc>
          <w:tcPr>
            <w:tcW w:w="5280" w:type="dxa"/>
            <w:vAlign w:val="bottom"/>
          </w:tcPr>
          <w:p>
            <w:pPr>
              <w:jc w:val="center"/>
              <w:ind w:left="10"/>
              <w:spacing w:after="0" w:line="177" w:lineRule="exact"/>
              <w:rPr>
                <w:sz w:val="20"/>
                <w:szCs w:val="20"/>
                <w:color w:val="auto"/>
              </w:rPr>
            </w:pPr>
            <w:r>
              <w:rPr>
                <w:rFonts w:ascii="Arial" w:cs="Arial" w:eastAsia="Arial" w:hAnsi="Arial"/>
                <w:sz w:val="18"/>
                <w:szCs w:val="18"/>
                <w:color w:val="auto"/>
                <w:w w:val="99"/>
              </w:rPr>
              <w:t>Samuel Leupold</w:t>
            </w:r>
          </w:p>
        </w:tc>
      </w:tr>
      <w:tr>
        <w:trPr>
          <w:trHeight w:val="239"/>
        </w:trPr>
        <w:tc>
          <w:tcPr>
            <w:tcW w:w="51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60" w:type="dxa"/>
            <w:vAlign w:val="bottom"/>
          </w:tcPr>
          <w:p>
            <w:pPr>
              <w:spacing w:after="0"/>
              <w:rPr>
                <w:sz w:val="20"/>
                <w:szCs w:val="20"/>
                <w:color w:val="auto"/>
              </w:rPr>
            </w:pPr>
          </w:p>
        </w:tc>
        <w:tc>
          <w:tcPr>
            <w:tcW w:w="5280" w:type="dxa"/>
            <w:vAlign w:val="bottom"/>
          </w:tcPr>
          <w:p>
            <w:pPr>
              <w:jc w:val="center"/>
              <w:ind w:left="10"/>
              <w:spacing w:after="0"/>
              <w:rPr>
                <w:sz w:val="20"/>
                <w:szCs w:val="20"/>
                <w:color w:val="auto"/>
              </w:rPr>
            </w:pPr>
            <w:r>
              <w:rPr>
                <w:rFonts w:ascii="Arial" w:cs="Arial" w:eastAsia="Arial" w:hAnsi="Arial"/>
                <w:sz w:val="18"/>
                <w:szCs w:val="18"/>
                <w:color w:val="auto"/>
                <w:w w:val="98"/>
              </w:rPr>
              <w:t>Director</w:t>
            </w:r>
          </w:p>
        </w:tc>
      </w:tr>
      <w:tr>
        <w:trPr>
          <w:trHeight w:val="414"/>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Patrick de La Chevardière</w:t>
            </w:r>
          </w:p>
        </w:tc>
        <w:tc>
          <w:tcPr>
            <w:tcW w:w="56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Maria Moræus Hanssen</w:t>
            </w:r>
          </w:p>
        </w:tc>
      </w:tr>
      <w:tr>
        <w:trPr>
          <w:trHeight w:val="177"/>
        </w:trPr>
        <w:tc>
          <w:tcPr>
            <w:tcW w:w="5180" w:type="dxa"/>
            <w:vAlign w:val="bottom"/>
          </w:tcPr>
          <w:p>
            <w:pPr>
              <w:jc w:val="center"/>
              <w:spacing w:after="0" w:line="177" w:lineRule="exact"/>
              <w:rPr>
                <w:sz w:val="20"/>
                <w:szCs w:val="20"/>
                <w:color w:val="auto"/>
              </w:rPr>
            </w:pPr>
            <w:r>
              <w:rPr>
                <w:rFonts w:ascii="Arial" w:cs="Arial" w:eastAsia="Arial" w:hAnsi="Arial"/>
                <w:sz w:val="18"/>
                <w:szCs w:val="18"/>
                <w:color w:val="auto"/>
                <w:w w:val="99"/>
              </w:rPr>
              <w:t>Patrick de La Chevardière</w:t>
            </w:r>
          </w:p>
        </w:tc>
        <w:tc>
          <w:tcPr>
            <w:tcW w:w="560" w:type="dxa"/>
            <w:vAlign w:val="bottom"/>
          </w:tcPr>
          <w:p>
            <w:pPr>
              <w:spacing w:after="0"/>
              <w:rPr>
                <w:sz w:val="15"/>
                <w:szCs w:val="15"/>
                <w:color w:val="auto"/>
              </w:rPr>
            </w:pPr>
          </w:p>
        </w:tc>
        <w:tc>
          <w:tcPr>
            <w:tcW w:w="5280" w:type="dxa"/>
            <w:vAlign w:val="bottom"/>
          </w:tcPr>
          <w:p>
            <w:pPr>
              <w:jc w:val="center"/>
              <w:spacing w:after="0" w:line="177" w:lineRule="exact"/>
              <w:rPr>
                <w:sz w:val="20"/>
                <w:szCs w:val="20"/>
                <w:color w:val="auto"/>
              </w:rPr>
            </w:pPr>
            <w:r>
              <w:rPr>
                <w:rFonts w:ascii="Arial" w:cs="Arial" w:eastAsia="Arial" w:hAnsi="Arial"/>
                <w:sz w:val="18"/>
                <w:szCs w:val="18"/>
                <w:color w:val="auto"/>
                <w:w w:val="99"/>
              </w:rPr>
              <w:t>Maria Moræus Hanssen</w:t>
            </w:r>
          </w:p>
        </w:tc>
      </w:tr>
      <w:tr>
        <w:trPr>
          <w:trHeight w:val="239"/>
        </w:trPr>
        <w:tc>
          <w:tcPr>
            <w:tcW w:w="51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60" w:type="dxa"/>
            <w:vAlign w:val="bottom"/>
          </w:tcPr>
          <w:p>
            <w:pPr>
              <w:spacing w:after="0"/>
              <w:rPr>
                <w:sz w:val="20"/>
                <w:szCs w:val="20"/>
                <w:color w:val="auto"/>
              </w:rPr>
            </w:pPr>
          </w:p>
        </w:tc>
        <w:tc>
          <w:tcPr>
            <w:tcW w:w="5280" w:type="dxa"/>
            <w:vAlign w:val="bottom"/>
          </w:tcPr>
          <w:p>
            <w:pPr>
              <w:jc w:val="center"/>
              <w:ind w:left="10"/>
              <w:spacing w:after="0"/>
              <w:rPr>
                <w:sz w:val="20"/>
                <w:szCs w:val="20"/>
                <w:color w:val="auto"/>
              </w:rPr>
            </w:pPr>
            <w:r>
              <w:rPr>
                <w:rFonts w:ascii="Arial" w:cs="Arial" w:eastAsia="Arial" w:hAnsi="Arial"/>
                <w:sz w:val="18"/>
                <w:szCs w:val="18"/>
                <w:color w:val="auto"/>
                <w:w w:val="98"/>
              </w:rPr>
              <w:t>Director</w:t>
            </w:r>
          </w:p>
        </w:tc>
      </w:tr>
      <w:tr>
        <w:trPr>
          <w:trHeight w:val="41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Miguel M. Galuccio</w:t>
            </w:r>
          </w:p>
        </w:tc>
        <w:tc>
          <w:tcPr>
            <w:tcW w:w="560" w:type="dxa"/>
            <w:vAlign w:val="bottom"/>
          </w:tcPr>
          <w:p>
            <w:pPr>
              <w:spacing w:after="0"/>
              <w:rPr>
                <w:sz w:val="24"/>
                <w:szCs w:val="24"/>
                <w:color w:val="auto"/>
              </w:rPr>
            </w:pPr>
          </w:p>
        </w:tc>
        <w:tc>
          <w:tcPr>
            <w:tcW w:w="5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/s/ Vanitha Narayanan</w:t>
            </w:r>
          </w:p>
        </w:tc>
      </w:tr>
      <w:tr>
        <w:trPr>
          <w:trHeight w:val="177"/>
        </w:trPr>
        <w:tc>
          <w:tcPr>
            <w:tcW w:w="5180" w:type="dxa"/>
            <w:vAlign w:val="bottom"/>
          </w:tcPr>
          <w:p>
            <w:pPr>
              <w:jc w:val="center"/>
              <w:spacing w:after="0" w:line="177" w:lineRule="exact"/>
              <w:rPr>
                <w:sz w:val="20"/>
                <w:szCs w:val="20"/>
                <w:color w:val="auto"/>
              </w:rPr>
            </w:pPr>
            <w:r>
              <w:rPr>
                <w:rFonts w:ascii="Arial" w:cs="Arial" w:eastAsia="Arial" w:hAnsi="Arial"/>
                <w:sz w:val="18"/>
                <w:szCs w:val="18"/>
                <w:color w:val="auto"/>
              </w:rPr>
              <w:t>Miguel M. Galuccio</w:t>
            </w:r>
          </w:p>
        </w:tc>
        <w:tc>
          <w:tcPr>
            <w:tcW w:w="560" w:type="dxa"/>
            <w:vAlign w:val="bottom"/>
          </w:tcPr>
          <w:p>
            <w:pPr>
              <w:spacing w:after="0"/>
              <w:rPr>
                <w:sz w:val="15"/>
                <w:szCs w:val="15"/>
                <w:color w:val="auto"/>
              </w:rPr>
            </w:pPr>
          </w:p>
        </w:tc>
        <w:tc>
          <w:tcPr>
            <w:tcW w:w="5280" w:type="dxa"/>
            <w:vAlign w:val="bottom"/>
          </w:tcPr>
          <w:p>
            <w:pPr>
              <w:jc w:val="center"/>
              <w:ind w:left="10"/>
              <w:spacing w:after="0" w:line="177" w:lineRule="exact"/>
              <w:rPr>
                <w:sz w:val="20"/>
                <w:szCs w:val="20"/>
                <w:color w:val="auto"/>
              </w:rPr>
            </w:pPr>
            <w:r>
              <w:rPr>
                <w:rFonts w:ascii="Arial" w:cs="Arial" w:eastAsia="Arial" w:hAnsi="Arial"/>
                <w:sz w:val="18"/>
                <w:szCs w:val="18"/>
                <w:color w:val="auto"/>
                <w:w w:val="99"/>
              </w:rPr>
              <w:t>Vanitha Narayanan</w:t>
            </w:r>
          </w:p>
        </w:tc>
      </w:tr>
      <w:tr>
        <w:trPr>
          <w:trHeight w:val="239"/>
        </w:trPr>
        <w:tc>
          <w:tcPr>
            <w:tcW w:w="51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60" w:type="dxa"/>
            <w:vAlign w:val="bottom"/>
          </w:tcPr>
          <w:p>
            <w:pPr>
              <w:spacing w:after="0"/>
              <w:rPr>
                <w:sz w:val="20"/>
                <w:szCs w:val="20"/>
                <w:color w:val="auto"/>
              </w:rPr>
            </w:pPr>
          </w:p>
        </w:tc>
        <w:tc>
          <w:tcPr>
            <w:tcW w:w="5280" w:type="dxa"/>
            <w:vAlign w:val="bottom"/>
          </w:tcPr>
          <w:p>
            <w:pPr>
              <w:jc w:val="center"/>
              <w:ind w:left="10"/>
              <w:spacing w:after="0"/>
              <w:rPr>
                <w:sz w:val="20"/>
                <w:szCs w:val="20"/>
                <w:color w:val="auto"/>
              </w:rPr>
            </w:pPr>
            <w:r>
              <w:rPr>
                <w:rFonts w:ascii="Arial" w:cs="Arial" w:eastAsia="Arial" w:hAnsi="Arial"/>
                <w:sz w:val="18"/>
                <w:szCs w:val="18"/>
                <w:color w:val="auto"/>
                <w:w w:val="98"/>
              </w:rPr>
              <w:t>Director</w:t>
            </w:r>
          </w:p>
        </w:tc>
      </w:tr>
      <w:tr>
        <w:trPr>
          <w:trHeight w:val="41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Jim Hackett</w:t>
            </w:r>
          </w:p>
        </w:tc>
        <w:tc>
          <w:tcPr>
            <w:tcW w:w="56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 W. Sheets</w:t>
            </w:r>
          </w:p>
        </w:tc>
      </w:tr>
      <w:tr>
        <w:trPr>
          <w:trHeight w:val="177"/>
        </w:trPr>
        <w:tc>
          <w:tcPr>
            <w:tcW w:w="5180" w:type="dxa"/>
            <w:vAlign w:val="bottom"/>
          </w:tcPr>
          <w:p>
            <w:pPr>
              <w:jc w:val="center"/>
              <w:spacing w:after="0" w:line="177" w:lineRule="exact"/>
              <w:rPr>
                <w:sz w:val="20"/>
                <w:szCs w:val="20"/>
                <w:color w:val="auto"/>
              </w:rPr>
            </w:pPr>
            <w:r>
              <w:rPr>
                <w:rFonts w:ascii="Arial" w:cs="Arial" w:eastAsia="Arial" w:hAnsi="Arial"/>
                <w:sz w:val="18"/>
                <w:szCs w:val="18"/>
                <w:color w:val="auto"/>
                <w:w w:val="99"/>
              </w:rPr>
              <w:t>Jim Hackett</w:t>
            </w:r>
          </w:p>
        </w:tc>
        <w:tc>
          <w:tcPr>
            <w:tcW w:w="560" w:type="dxa"/>
            <w:vAlign w:val="bottom"/>
          </w:tcPr>
          <w:p>
            <w:pPr>
              <w:spacing w:after="0"/>
              <w:rPr>
                <w:sz w:val="15"/>
                <w:szCs w:val="15"/>
                <w:color w:val="auto"/>
              </w:rPr>
            </w:pPr>
          </w:p>
        </w:tc>
        <w:tc>
          <w:tcPr>
            <w:tcW w:w="5280" w:type="dxa"/>
            <w:vAlign w:val="bottom"/>
          </w:tcPr>
          <w:p>
            <w:pPr>
              <w:jc w:val="center"/>
              <w:spacing w:after="0" w:line="177" w:lineRule="exact"/>
              <w:rPr>
                <w:sz w:val="20"/>
                <w:szCs w:val="20"/>
                <w:color w:val="auto"/>
              </w:rPr>
            </w:pPr>
            <w:r>
              <w:rPr>
                <w:rFonts w:ascii="Arial" w:cs="Arial" w:eastAsia="Arial" w:hAnsi="Arial"/>
                <w:sz w:val="18"/>
                <w:szCs w:val="18"/>
                <w:color w:val="auto"/>
                <w:w w:val="99"/>
              </w:rPr>
              <w:t>Jeff W. Sheets</w:t>
            </w:r>
          </w:p>
        </w:tc>
      </w:tr>
      <w:tr>
        <w:trPr>
          <w:trHeight w:val="239"/>
        </w:trPr>
        <w:tc>
          <w:tcPr>
            <w:tcW w:w="5180" w:type="dxa"/>
            <w:vAlign w:val="bottom"/>
          </w:tcPr>
          <w:p>
            <w:pPr>
              <w:jc w:val="center"/>
              <w:spacing w:after="0"/>
              <w:rPr>
                <w:sz w:val="20"/>
                <w:szCs w:val="20"/>
                <w:color w:val="auto"/>
              </w:rPr>
            </w:pPr>
            <w:r>
              <w:rPr>
                <w:rFonts w:ascii="Arial" w:cs="Arial" w:eastAsia="Arial" w:hAnsi="Arial"/>
                <w:sz w:val="18"/>
                <w:szCs w:val="18"/>
                <w:color w:val="auto"/>
              </w:rPr>
              <w:t>Chairman of the Board</w:t>
            </w:r>
          </w:p>
        </w:tc>
        <w:tc>
          <w:tcPr>
            <w:tcW w:w="560" w:type="dxa"/>
            <w:vAlign w:val="bottom"/>
          </w:tcPr>
          <w:p>
            <w:pPr>
              <w:spacing w:after="0"/>
              <w:rPr>
                <w:sz w:val="20"/>
                <w:szCs w:val="20"/>
                <w:color w:val="auto"/>
              </w:rPr>
            </w:pPr>
          </w:p>
        </w:tc>
        <w:tc>
          <w:tcPr>
            <w:tcW w:w="5280" w:type="dxa"/>
            <w:vAlign w:val="bottom"/>
          </w:tcPr>
          <w:p>
            <w:pPr>
              <w:jc w:val="center"/>
              <w:ind w:left="10"/>
              <w:spacing w:after="0"/>
              <w:rPr>
                <w:sz w:val="20"/>
                <w:szCs w:val="20"/>
                <w:color w:val="auto"/>
              </w:rPr>
            </w:pPr>
            <w:r>
              <w:rPr>
                <w:rFonts w:ascii="Arial" w:cs="Arial" w:eastAsia="Arial" w:hAnsi="Arial"/>
                <w:sz w:val="18"/>
                <w:szCs w:val="18"/>
                <w:color w:val="auto"/>
                <w:w w:val="98"/>
              </w:rPr>
              <w:t>Director</w:t>
            </w:r>
          </w:p>
        </w:tc>
      </w:tr>
      <w:tr>
        <w:trPr>
          <w:trHeight w:val="41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Olivier Le Peuch</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77"/>
        </w:trPr>
        <w:tc>
          <w:tcPr>
            <w:tcW w:w="5180" w:type="dxa"/>
            <w:vAlign w:val="bottom"/>
          </w:tcPr>
          <w:p>
            <w:pPr>
              <w:jc w:val="center"/>
              <w:spacing w:after="0" w:line="177" w:lineRule="exact"/>
              <w:rPr>
                <w:sz w:val="20"/>
                <w:szCs w:val="20"/>
                <w:color w:val="auto"/>
              </w:rPr>
            </w:pPr>
            <w:r>
              <w:rPr>
                <w:rFonts w:ascii="Arial" w:cs="Arial" w:eastAsia="Arial" w:hAnsi="Arial"/>
                <w:sz w:val="18"/>
                <w:szCs w:val="18"/>
                <w:color w:val="auto"/>
                <w:w w:val="99"/>
              </w:rPr>
              <w:t>Olivier Le Peuch</w:t>
            </w: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239"/>
        </w:trPr>
        <w:tc>
          <w:tcPr>
            <w:tcW w:w="51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22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8890</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Stephane Biguet</w:t>
      </w: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FEES TABLE</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Type)</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(SCHLUMBERGER LIMITED)</w:t>
      </w: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37"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Proposed</w:t>
            </w:r>
          </w:p>
        </w:tc>
        <w:tc>
          <w:tcPr>
            <w:tcW w:w="12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Security</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Fee</w:t>
            </w: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5"/>
              </w:rPr>
              <w:t>Offering</w:t>
            </w:r>
          </w:p>
        </w:tc>
        <w:tc>
          <w:tcPr>
            <w:tcW w:w="12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6"/>
              </w:rPr>
              <w:t>Aggregate</w:t>
            </w:r>
          </w:p>
        </w:tc>
        <w:tc>
          <w:tcPr>
            <w:tcW w:w="1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7"/>
              </w:rPr>
              <w:t>Amount of</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Class</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Calculation</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Fee</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Registration</w:t>
            </w: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w w:val="98"/>
              </w:rPr>
              <w:t>Security 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Rule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Registered</w:t>
            </w:r>
            <w:r>
              <w:rPr>
                <w:rFonts w:ascii="Arial" w:cs="Arial" w:eastAsia="Arial" w:hAnsi="Arial"/>
                <w:sz w:val="15"/>
                <w:szCs w:val="15"/>
                <w:color w:val="auto"/>
                <w:w w:val="95"/>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Share</w:t>
            </w:r>
            <w:r>
              <w:rPr>
                <w:rFonts w:ascii="Arial" w:cs="Arial" w:eastAsia="Arial" w:hAnsi="Arial"/>
                <w:sz w:val="15"/>
                <w:szCs w:val="15"/>
                <w:color w:val="auto"/>
                <w:w w:val="93"/>
                <w:vertAlign w:val="superscript"/>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Price</w:t>
            </w:r>
            <w:r>
              <w:rPr>
                <w:rFonts w:ascii="Arial" w:cs="Arial" w:eastAsia="Arial" w:hAnsi="Arial"/>
                <w:sz w:val="15"/>
                <w:szCs w:val="15"/>
                <w:color w:val="auto"/>
                <w:w w:val="90"/>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Fee</w:t>
            </w: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ind w:left="280"/>
              <w:spacing w:after="0" w:line="191" w:lineRule="exact"/>
              <w:rPr>
                <w:sz w:val="20"/>
                <w:szCs w:val="20"/>
                <w:color w:val="auto"/>
              </w:rPr>
            </w:pPr>
            <w:r>
              <w:rPr>
                <w:rFonts w:ascii="Arial" w:cs="Arial" w:eastAsia="Arial" w:hAnsi="Arial"/>
                <w:sz w:val="18"/>
                <w:szCs w:val="18"/>
                <w:color w:val="auto"/>
              </w:rPr>
              <w:t>Equity</w:t>
            </w:r>
          </w:p>
        </w:tc>
        <w:tc>
          <w:tcPr>
            <w:tcW w:w="14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9"/>
              </w:rPr>
              <w:t>Common Stock,</w:t>
            </w:r>
          </w:p>
        </w:tc>
        <w:tc>
          <w:tcPr>
            <w:tcW w:w="7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  $0.01 par value</w:t>
            </w:r>
          </w:p>
        </w:tc>
        <w:tc>
          <w:tcPr>
            <w:tcW w:w="7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per share </w:t>
            </w:r>
          </w:p>
        </w:tc>
        <w:tc>
          <w:tcPr>
            <w:tcW w:w="7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rPr>
              <w:t>Other </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4,000,000 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$28.79 </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$115,160,000 </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0.00015310 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$17,631.00</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Total Offering Amounts</w:t>
            </w:r>
          </w:p>
        </w:tc>
        <w:tc>
          <w:tcPr>
            <w:tcW w:w="9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$115,160,000 </w:t>
            </w:r>
          </w:p>
        </w:tc>
        <w:tc>
          <w:tcPr>
            <w:tcW w:w="1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$17,631.00</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Total Fee Offsets</w:t>
            </w:r>
          </w:p>
        </w:tc>
        <w:tc>
          <w:tcPr>
            <w:tcW w:w="9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$ 0.00</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Net Fee Due</w:t>
            </w:r>
          </w:p>
        </w:tc>
        <w:tc>
          <w:tcPr>
            <w:tcW w:w="9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$17,631.00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4" w:right="120" w:hanging="424"/>
        <w:spacing w:after="0" w:line="24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include such additional indeterminate number of shares of common stock of Schlumberger Limited (Schlumberger N.V.) (“SLB”) that may become issuable under the SLB Discounted Stock Purchase Plan (as amended and restated, the “Plan”) as a result of stock splits, stock dividends or similar transactions.</w:t>
      </w:r>
    </w:p>
    <w:p>
      <w:pPr>
        <w:spacing w:after="0" w:line="200" w:lineRule="exact"/>
        <w:rPr>
          <w:rFonts w:ascii="Arial" w:cs="Arial" w:eastAsia="Arial" w:hAnsi="Arial"/>
          <w:sz w:val="18"/>
          <w:szCs w:val="18"/>
          <w:color w:val="auto"/>
        </w:rPr>
      </w:pPr>
    </w:p>
    <w:p>
      <w:pPr>
        <w:ind w:left="424" w:right="80" w:hanging="424"/>
        <w:spacing w:after="0" w:line="25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457(h)(1) of the Securities Act, based on a 15% discount from the average of the high and low prices for shares of common stock of SLB reported on the New York Stock Exchange on July 21, 2025, which is the discount applicable to purchasers under the Plan.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 "/>
      <w:numFmt w:val="bullet"/>
      <w:start w:val="1"/>
    </w:lvl>
  </w:abstractNum>
  <w:abstractNum w:abstractNumId="2">
    <w:nsid w:val="2EB141F2"/>
    <w:multiLevelType w:val="hybridMultilevel"/>
    <w:lvl w:ilvl="0">
      <w:lvlJc w:val="left"/>
      <w:lvlText w:val="%1"/>
      <w:numFmt w:val="decimal"/>
      <w:start w:val="24"/>
    </w:lvl>
  </w:abstractNum>
  <w:abstractNum w:abstractNumId="3">
    <w:nsid w:val="41B71EFB"/>
    <w:multiLevelType w:val="hybridMultilevel"/>
    <w:lvl w:ilvl="0">
      <w:lvlJc w:val="left"/>
      <w:lvlText w:val="%1"/>
      <w:numFmt w:val="decimal"/>
      <w:start w:val="99"/>
    </w:lvl>
  </w:abstractNum>
  <w:abstractNum w:abstractNumId="4">
    <w:nsid w:val="79E2A9E3"/>
    <w:multiLevelType w:val="hybridMultilevel"/>
    <w:lvl w:ilvl="0">
      <w:lvlJc w:val="left"/>
      <w:lvlText w:val="%1"/>
      <w:numFmt w:val="decimal"/>
      <w:start w:val="107"/>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17" Type="http://schemas.openxmlformats.org/officeDocument/2006/relationships/hyperlink" Target="http://www.sec.gov/ix?doc=/Archives/edgar/data/87347/000095017025007638/slb-20241231.htm" TargetMode="External"/><Relationship Id="rId18" Type="http://schemas.openxmlformats.org/officeDocument/2006/relationships/hyperlink" Target="http://www.sec.gov/ix?doc=/Archives/edgar/data/87347/000130817925000029/slb012574-def14a.htm" TargetMode="External"/><Relationship Id="rId19" Type="http://schemas.openxmlformats.org/officeDocument/2006/relationships/hyperlink" Target="http://www.sec.gov/ix?doc=/Archives/edgar/data/87347/000095017025058413/slb-20250331.htm" TargetMode="External"/><Relationship Id="rId20" Type="http://schemas.openxmlformats.org/officeDocument/2006/relationships/hyperlink" Target="http://www.sec.gov/ix?doc=/Archives/edgar/data/87347/000095017025098217/slb-20250630.htm" TargetMode="External"/><Relationship Id="rId21" Type="http://schemas.openxmlformats.org/officeDocument/2006/relationships/hyperlink" Target="http://www.sec.gov/ix?doc=/Archives/edgar/data/87347/000119312525159859/d907006d8k.htm" TargetMode="External"/><Relationship Id="rId22" Type="http://schemas.openxmlformats.org/officeDocument/2006/relationships/hyperlink" Target="http://www.sec.gov/Archives/edgar/data/87347/000156459021002477/slb-ex41_56.htm" TargetMode="External"/><Relationship Id="rId24" Type="http://schemas.openxmlformats.org/officeDocument/2006/relationships/hyperlink" Target="http://www.sec.gov/Archives/edgar/data/87347/000119312516532046/d176097dex31.htm" TargetMode="External"/><Relationship Id="rId25" Type="http://schemas.openxmlformats.org/officeDocument/2006/relationships/hyperlink" Target="http://www.sec.gov/Archives/edgar/data/87347/000119312523110532/d470769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2025-07-25T15:15:49Z</dcterms:created>
  <dcterms:modified xsi:type="dcterms:W3CDTF">2025-07-25T15:15:49Z</dcterms:modified>
</cp:coreProperties>
</file>