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9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Merad Abdellah</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53"/>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03/07/2025</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EVP, Core Services &amp; Equipment</w:t>
            </w:r>
          </w:p>
        </w:tc>
      </w:tr>
      <w:tr>
        <w:trPr>
          <w:trHeight w:val="248"/>
        </w:trPr>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9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100" w:type="dxa"/>
            <w:vAlign w:val="bottom"/>
            <w:tcBorders>
              <w:bottom w:val="single" w:sz="8" w:color="2C2C2C"/>
            </w:tcBorders>
            <w:gridSpan w:val="2"/>
          </w:tcPr>
          <w:p>
            <w:pPr>
              <w:spacing w:after="0"/>
              <w:rPr>
                <w:sz w:val="21"/>
                <w:szCs w:val="2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09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03/07/2025</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11,384</w:t>
            </w:r>
            <w:r>
              <w:rPr>
                <w:rFonts w:ascii="Times New Roman" w:cs="Times New Roman" w:eastAsia="Times New Roman" w:hAnsi="Times New Roman"/>
                <w:sz w:val="22"/>
                <w:szCs w:val="22"/>
                <w:color w:val="008000"/>
                <w:w w:val="93"/>
                <w:vertAlign w:val="superscript"/>
              </w:rPr>
              <w:t>(1)</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21"/>
                <w:szCs w:val="21"/>
                <w:color w:val="auto"/>
              </w:rPr>
            </w:pPr>
          </w:p>
        </w:tc>
        <w:tc>
          <w:tcPr>
            <w:tcW w:w="400" w:type="dxa"/>
            <w:vAlign w:val="bottom"/>
            <w:gridSpan w:val="2"/>
            <w:vMerge w:val="restart"/>
          </w:tcPr>
          <w:p>
            <w:pPr>
              <w:jc w:val="cente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Pr>
          <w:p>
            <w:pPr>
              <w:spacing w:after="0"/>
              <w:rPr>
                <w:sz w:val="21"/>
                <w:szCs w:val="21"/>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221,886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03/07/2025</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vMerge w:val="restart"/>
          </w:tcPr>
          <w:p>
            <w:pPr>
              <w:jc w:val="center"/>
              <w:ind w:left="15"/>
              <w:spacing w:after="0"/>
              <w:rPr>
                <w:sz w:val="20"/>
                <w:szCs w:val="20"/>
                <w:color w:val="auto"/>
              </w:rPr>
            </w:pPr>
            <w:r>
              <w:rPr>
                <w:rFonts w:ascii="Times New Roman" w:cs="Times New Roman" w:eastAsia="Times New Roman" w:hAnsi="Times New Roman"/>
                <w:sz w:val="34"/>
                <w:szCs w:val="34"/>
                <w:color w:val="0000FF"/>
                <w:w w:val="81"/>
                <w:vertAlign w:val="subscript"/>
              </w:rPr>
              <w:t>913</w:t>
            </w:r>
            <w:r>
              <w:rPr>
                <w:rFonts w:ascii="Times New Roman" w:cs="Times New Roman" w:eastAsia="Times New Roman" w:hAnsi="Times New Roman"/>
                <w:sz w:val="11"/>
                <w:szCs w:val="11"/>
                <w:color w:val="008000"/>
                <w:w w:val="81"/>
              </w:rPr>
              <w:t>(2)</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21"/>
                <w:szCs w:val="21"/>
                <w:color w:val="auto"/>
              </w:rPr>
            </w:pPr>
          </w:p>
        </w:tc>
        <w:tc>
          <w:tcPr>
            <w:tcW w:w="400" w:type="dxa"/>
            <w:vAlign w:val="bottom"/>
            <w:gridSpan w:val="2"/>
            <w:vMerge w:val="restart"/>
          </w:tcPr>
          <w:p>
            <w:pPr>
              <w:jc w:val="cente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Pr>
          <w:p>
            <w:pPr>
              <w:spacing w:after="0"/>
              <w:rPr>
                <w:sz w:val="21"/>
                <w:szCs w:val="21"/>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222,799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03/07/2025</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vMerge w:val="restart"/>
          </w:tcPr>
          <w:p>
            <w:pPr>
              <w:jc w:val="center"/>
              <w:ind w:left="15"/>
              <w:spacing w:after="0"/>
              <w:rPr>
                <w:sz w:val="20"/>
                <w:szCs w:val="20"/>
                <w:color w:val="auto"/>
              </w:rPr>
            </w:pPr>
            <w:r>
              <w:rPr>
                <w:rFonts w:ascii="Times New Roman" w:cs="Times New Roman" w:eastAsia="Times New Roman" w:hAnsi="Times New Roman"/>
                <w:sz w:val="17"/>
                <w:szCs w:val="17"/>
                <w:color w:val="0000FF"/>
                <w:w w:val="99"/>
              </w:rPr>
              <w:t>4,840</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0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40.87</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217,959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19, 2022. Vesting of the PSUs was based on three-year Company performance relative to select key competitors. Most of these competitors had not reported their 2024 audited financial results when the Company's compensation committee met in January 2025 to certify performance under the PSUs. As a result, the Company's compensation committee approved the issuance of 80% of the shares that the committee determined had been earned according to the information available to the committee at the time. As of March 7, 2025, all such competitors had reported their 2024 audited financial results. Shares of common stock reported hereunder represent shares finally determined to have been earned under the PSUs.</w:t>
      </w:r>
    </w:p>
    <w:p>
      <w:pPr>
        <w:spacing w:after="0" w:line="178" w:lineRule="exact"/>
        <w:rPr>
          <w:rFonts w:ascii="Times New Roman" w:cs="Times New Roman" w:eastAsia="Times New Roman" w:hAnsi="Times New Roman"/>
          <w:sz w:val="13"/>
          <w:szCs w:val="13"/>
          <w:color w:val="008000"/>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April 19, 2022. Vesting of the PSUs was based on three-year Company performance relative to select key competitors. Most of these competitors had not reported their 2024 audited financial results when the Company's compensation committee met in January 2025 to certify performance under the PSUs. As a result, the Company's compensation committee approved the issuance of 80% of the shares that the committee determined had been earned according to the information available to the committee at the time. As of March 7, 2025, all such competitors had reported their 2024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2116"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2025-03-11T16:13:43Z</dcterms:created>
  <dcterms:modified xsi:type="dcterms:W3CDTF">2025-03-11T16:13:43Z</dcterms:modified>
</cp:coreProperties>
</file>