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Al Mogharbel Khaled</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1080" w:type="dxa"/>
            <w:vAlign w:val="bottom"/>
            <w:tcBorders>
              <w:top w:val="single" w:sz="8" w:color="0000EE"/>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tcBorders>
              <w:top w:val="single" w:sz="8" w:color="EEEEEE"/>
            </w:tcBorders>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3220" w:type="dxa"/>
            <w:vAlign w:val="bottom"/>
            <w:gridSpan w:val="4"/>
            <w:vMerge w:val="restart"/>
          </w:tcPr>
          <w:p>
            <w:pPr>
              <w:ind w:left="160"/>
              <w:spacing w:after="0" w:line="182" w:lineRule="exact"/>
              <w:rPr>
                <w:sz w:val="20"/>
                <w:szCs w:val="20"/>
                <w:color w:val="auto"/>
              </w:rPr>
            </w:pPr>
            <w:r>
              <w:rPr>
                <w:rFonts w:ascii="Times New Roman" w:cs="Times New Roman" w:eastAsia="Times New Roman" w:hAnsi="Times New Roman"/>
                <w:sz w:val="18"/>
                <w:szCs w:val="18"/>
                <w:color w:val="0000FF"/>
              </w:rPr>
              <w:t>01/17/2020</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0"/>
          <w:szCs w:val="20"/>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0000FF"/>
        </w:rPr>
        <w:t>EVP, Operations</w:t>
      </w:r>
    </w:p>
    <w:p>
      <w:pPr>
        <w:spacing w:after="0" w:line="317" w:lineRule="exact"/>
        <w:rPr>
          <w:sz w:val="20"/>
          <w:szCs w:val="20"/>
          <w:color w:val="auto"/>
        </w:rPr>
      </w:pPr>
    </w:p>
    <w:p>
      <w:pPr>
        <w:sectPr>
          <w:pgSz w:w="11900" w:h="16838" w:orient="portrait"/>
          <w:cols w:equalWidth="0" w:num="2">
            <w:col w:w="7980" w:space="77"/>
            <w:col w:w="3363"/>
          </w:cols>
          <w:pgMar w:left="240" w:top="220" w:right="23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0"/>
          <w:szCs w:val="20"/>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8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w w:val="9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8"/>
                <w:szCs w:val="18"/>
                <w:color w:val="0000FF"/>
                <w:w w:val="93"/>
              </w:rPr>
              <w:t>24,872</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w w:val="91"/>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95,056</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w w:val="9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8"/>
                <w:szCs w:val="18"/>
                <w:color w:val="0000FF"/>
                <w:w w:val="93"/>
              </w:rPr>
              <w:t>54,750</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w w:val="91"/>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149,806</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w w:val="99"/>
              </w:rPr>
              <w:t>Common Stock, $0.01 Par Value Per Share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01/17/2020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80" w:type="dxa"/>
            <w:vAlign w:val="bottom"/>
          </w:tcPr>
          <w:p>
            <w:pPr>
              <w:jc w:val="center"/>
              <w:ind w:left="69"/>
              <w:spacing w:after="0"/>
              <w:rPr>
                <w:sz w:val="20"/>
                <w:szCs w:val="20"/>
                <w:color w:val="auto"/>
              </w:rPr>
            </w:pPr>
            <w:r>
              <w:rPr>
                <w:rFonts w:ascii="Times New Roman" w:cs="Times New Roman" w:eastAsia="Times New Roman" w:hAnsi="Times New Roman"/>
                <w:sz w:val="18"/>
                <w:szCs w:val="18"/>
                <w:color w:val="0000FF"/>
                <w:w w:val="96"/>
              </w:rPr>
              <w:t>31,411</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39.075</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118,395</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of common stock issued to the reporting person on January 17, 2020 upon achievement of the performance criteria and vesting of performance share units granted on January 19, 2017.</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312 shares for the period ended December 31, 2019, that were acquired under the Schlumberger discounted stock purchase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3"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01/21/2020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2020-01-21T19:13:48Z</dcterms:created>
  <dcterms:modified xsi:type="dcterms:W3CDTF">2020-01-21T19:13:48Z</dcterms:modified>
</cp:coreProperties>
</file>