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May 23,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4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1"/>
              </w:rPr>
              <w:t>Curaçao</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4980" w:type="dxa"/>
            <w:vAlign w:val="bottom"/>
          </w:tcPr>
          <w:p>
            <w:pPr>
              <w:jc w:val="center"/>
              <w:ind w:right="169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40" w:type="dxa"/>
            <w:vAlign w:val="bottom"/>
          </w:tcPr>
          <w:p>
            <w:pPr>
              <w:jc w:val="center"/>
              <w:ind w:left="173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80" w:type="dxa"/>
            <w:vAlign w:val="bottom"/>
          </w:tcPr>
          <w:p>
            <w:pPr>
              <w:jc w:val="center"/>
              <w:ind w:right="1694"/>
              <w:spacing w:after="0"/>
              <w:rPr>
                <w:sz w:val="20"/>
                <w:szCs w:val="20"/>
                <w:color w:val="auto"/>
              </w:rPr>
            </w:pPr>
            <w:r>
              <w:rPr>
                <w:rFonts w:ascii="Arial" w:cs="Arial" w:eastAsia="Arial" w:hAnsi="Arial"/>
                <w:sz w:val="14"/>
                <w:szCs w:val="14"/>
                <w:b w:val="1"/>
                <w:bCs w:val="1"/>
                <w:color w:val="auto"/>
                <w:w w:val="94"/>
              </w:rPr>
              <w:t>incorporation or organization)</w:t>
            </w:r>
          </w:p>
        </w:tc>
        <w:tc>
          <w:tcPr>
            <w:tcW w:w="2940" w:type="dxa"/>
            <w:vAlign w:val="bottom"/>
          </w:tcPr>
          <w:p>
            <w:pPr>
              <w:jc w:val="center"/>
              <w:ind w:left="1717"/>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42, rue Saint-Dominique</w:t>
            </w:r>
          </w:p>
        </w:tc>
        <w:tc>
          <w:tcPr>
            <w:tcW w:w="2940" w:type="dxa"/>
            <w:vAlign w:val="bottom"/>
          </w:tcPr>
          <w:p>
            <w:pPr>
              <w:spacing w:after="0"/>
              <w:rPr>
                <w:sz w:val="24"/>
                <w:szCs w:val="24"/>
                <w:color w:val="auto"/>
              </w:rPr>
            </w:pPr>
          </w:p>
        </w:tc>
      </w:tr>
      <w:tr>
        <w:trPr>
          <w:trHeight w:val="248"/>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0"/>
              </w:rPr>
              <w:t>Paris, France</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75007</w:t>
            </w:r>
          </w:p>
        </w:tc>
      </w:tr>
      <w:tr>
        <w:trPr>
          <w:trHeight w:val="414"/>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0"/>
              </w:rPr>
              <w:t>5599 San Felipe</w:t>
            </w:r>
          </w:p>
        </w:tc>
        <w:tc>
          <w:tcPr>
            <w:tcW w:w="2940" w:type="dxa"/>
            <w:vAlign w:val="bottom"/>
          </w:tcPr>
          <w:p>
            <w:pPr>
              <w:spacing w:after="0"/>
              <w:rPr>
                <w:sz w:val="24"/>
                <w:szCs w:val="24"/>
                <w:color w:val="auto"/>
              </w:rPr>
            </w:pPr>
          </w:p>
        </w:tc>
      </w:tr>
      <w:tr>
        <w:trPr>
          <w:trHeight w:val="248"/>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77056</w:t>
            </w:r>
          </w:p>
        </w:tc>
      </w:tr>
      <w:tr>
        <w:trPr>
          <w:trHeight w:val="414"/>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0"/>
              </w:rPr>
              <w:t>62 Buckingham Gate,</w:t>
            </w:r>
          </w:p>
        </w:tc>
        <w:tc>
          <w:tcPr>
            <w:tcW w:w="2940" w:type="dxa"/>
            <w:vAlign w:val="bottom"/>
          </w:tcPr>
          <w:p>
            <w:pPr>
              <w:spacing w:after="0"/>
              <w:rPr>
                <w:sz w:val="24"/>
                <w:szCs w:val="24"/>
                <w:color w:val="auto"/>
              </w:rPr>
            </w:pPr>
          </w:p>
        </w:tc>
      </w:tr>
      <w:tr>
        <w:trPr>
          <w:trHeight w:val="248"/>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London, United Kingdom</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96"/>
              </w:rPr>
              <w:t>SW1E 6AJ</w:t>
            </w:r>
          </w:p>
        </w:tc>
      </w:tr>
      <w:tr>
        <w:trPr>
          <w:trHeight w:val="414"/>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Parkstraat 83, The Hague</w:t>
            </w:r>
          </w:p>
        </w:tc>
        <w:tc>
          <w:tcPr>
            <w:tcW w:w="2940" w:type="dxa"/>
            <w:vAlign w:val="bottom"/>
          </w:tcPr>
          <w:p>
            <w:pPr>
              <w:spacing w:after="0"/>
              <w:rPr>
                <w:sz w:val="24"/>
                <w:szCs w:val="24"/>
                <w:color w:val="auto"/>
              </w:rPr>
            </w:pPr>
          </w:p>
        </w:tc>
      </w:tr>
      <w:tr>
        <w:trPr>
          <w:trHeight w:val="225"/>
        </w:trPr>
        <w:tc>
          <w:tcPr>
            <w:tcW w:w="4980" w:type="dxa"/>
            <w:vAlign w:val="bottom"/>
          </w:tcPr>
          <w:p>
            <w:pPr>
              <w:jc w:val="center"/>
              <w:ind w:right="1714"/>
              <w:spacing w:after="0"/>
              <w:rPr>
                <w:sz w:val="20"/>
                <w:szCs w:val="20"/>
                <w:color w:val="auto"/>
              </w:rPr>
            </w:pPr>
            <w:r>
              <w:rPr>
                <w:rFonts w:ascii="Arial" w:cs="Arial" w:eastAsia="Arial" w:hAnsi="Arial"/>
                <w:sz w:val="18"/>
                <w:szCs w:val="18"/>
                <w:b w:val="1"/>
                <w:bCs w:val="1"/>
                <w:color w:val="auto"/>
                <w:w w:val="92"/>
              </w:rPr>
              <w:t>The Netherlands</w:t>
            </w:r>
          </w:p>
        </w:tc>
        <w:tc>
          <w:tcPr>
            <w:tcW w:w="2940" w:type="dxa"/>
            <w:vAlign w:val="bottom"/>
          </w:tcPr>
          <w:p>
            <w:pPr>
              <w:jc w:val="center"/>
              <w:ind w:left="171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4980" w:type="dxa"/>
            <w:vAlign w:val="bottom"/>
          </w:tcPr>
          <w:p>
            <w:pPr>
              <w:jc w:val="center"/>
              <w:ind w:right="1714"/>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40" w:type="dxa"/>
            <w:vAlign w:val="bottom"/>
          </w:tcPr>
          <w:p>
            <w:pPr>
              <w:jc w:val="center"/>
              <w:ind w:left="1717"/>
              <w:spacing w:after="0"/>
              <w:rPr>
                <w:sz w:val="20"/>
                <w:szCs w:val="20"/>
                <w:color w:val="auto"/>
              </w:rPr>
            </w:pPr>
            <w:r>
              <w:rPr>
                <w:rFonts w:ascii="Arial" w:cs="Arial" w:eastAsia="Arial" w:hAnsi="Arial"/>
                <w:sz w:val="14"/>
                <w:szCs w:val="14"/>
                <w:b w:val="1"/>
                <w:bCs w:val="1"/>
                <w:color w:val="auto"/>
                <w:w w:val="96"/>
              </w:rPr>
              <w:t>(Zip Codes)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3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3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8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8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27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90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24"/>
              <w:spacing w:after="0" w:line="139" w:lineRule="exact"/>
              <w:rPr>
                <w:sz w:val="20"/>
                <w:szCs w:val="20"/>
                <w:color w:val="auto"/>
              </w:rPr>
            </w:pPr>
            <w:r>
              <w:rPr>
                <w:rFonts w:ascii="Arial" w:cs="Arial" w:eastAsia="Arial" w:hAnsi="Arial"/>
                <w:sz w:val="14"/>
                <w:szCs w:val="14"/>
                <w:b w:val="1"/>
                <w:bCs w:val="1"/>
                <w:color w:val="auto"/>
                <w:w w:val="89"/>
              </w:rPr>
              <w:t>Proposed</w:t>
            </w:r>
          </w:p>
        </w:tc>
        <w:tc>
          <w:tcPr>
            <w:tcW w:w="1600" w:type="dxa"/>
            <w:vAlign w:val="bottom"/>
            <w:tcBorders>
              <w:top w:val="single" w:sz="8" w:color="auto"/>
              <w:right w:val="single" w:sz="8" w:color="auto"/>
            </w:tcBorders>
          </w:tcPr>
          <w:p>
            <w:pPr>
              <w:jc w:val="center"/>
              <w:ind w:left="24"/>
              <w:spacing w:after="0" w:line="139"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Borders>
              <w:right w:val="single" w:sz="8" w:color="auto"/>
            </w:tcBorders>
            <w:vMerge w:val="restart"/>
          </w:tcPr>
          <w:p>
            <w:pPr>
              <w:jc w:val="center"/>
              <w:ind w:right="1108"/>
              <w:spacing w:after="0"/>
              <w:rPr>
                <w:sz w:val="20"/>
                <w:szCs w:val="20"/>
                <w:color w:val="auto"/>
              </w:rPr>
            </w:pPr>
            <w:r>
              <w:rPr>
                <w:rFonts w:ascii="Arial" w:cs="Arial" w:eastAsia="Arial" w:hAnsi="Arial"/>
                <w:sz w:val="14"/>
                <w:szCs w:val="14"/>
                <w:b w:val="1"/>
                <w:bCs w:val="1"/>
                <w:color w:val="auto"/>
                <w:w w:val="90"/>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4"/>
              <w:spacing w:after="0" w:line="145"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4"/>
              <w:spacing w:after="0" w:line="145"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jc w:val="center"/>
              <w:ind w:right="1108"/>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(2)</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per share (1)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 (1)</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 (2)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18,000,000 shares</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0"/>
              </w:rPr>
              <w:t>$71.29</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$1,283,220,000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$148,725.20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the average of the high and low prices for the common stock of Schlumberger Limited reported on the New York Stock Exchange on May 18, 2017.</w:t>
      </w:r>
    </w:p>
    <w:p>
      <w:pPr>
        <w:spacing w:after="0" w:line="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include such additional indeterminate number of shares of common stock that may become issuable under the Schlumberger Discounted Stock Purchase Plan as a result of stock splits, 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ADDITIONAL SECURITIES</w:t>
      </w:r>
    </w:p>
    <w:p>
      <w:pPr>
        <w:spacing w:after="0" w:line="189"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Under General Instruction E on Form S-8, Schlumberger Limited (Schlumberger N.V.), a Curaçao corporation (“Schlumberger” or the “Registrant”), files this Registration Statement to register an additional 18,000,000 shares of common stock, par value $0.01 per share, of Schlumberger (“Common Stock”) issuable under the Schlumberger Discounted Stock Purchase Plan (the “DSPP”), as amended and restated effective January 19, 2017. At the recommendation of the Schlumberger Board of Directors, the Registrant’s stockholders approved an amendment and restatement of the DSPP at the annual general meeting of stockholders on April 5, 2017, thereby increasing the number of shares available for purchase under the DSPP by 18,000,000 shares of Common Stock. Schlumberger incorporates by reference in this Registration Statement its previous registration statements (Nos. 333-36364, 333-124534, 333-173055 and 333-188589) on Form S-8 relating to the DSPP.</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Registration Statement incorporates herein by reference the following documents, which have been filed with the Commission by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Registrant (SEC File No. 001-04601) pursuant to the Securities Act and the Securities Exchange Act of 1934, as amended (the “Exchange Act”):</w:t>
      </w:r>
    </w:p>
    <w:p>
      <w:pPr>
        <w:spacing w:after="0" w:line="87"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2016, filed on January 25, 2017;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2017, filed on April 26, 2017;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January 19, 2017, and April 5, 2017;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Current Report on Form 8-K filed on April 29, 2005.</w:t>
      </w:r>
    </w:p>
    <w:p>
      <w:pPr>
        <w:spacing w:after="0" w:line="2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146"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Interests of Named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60"/>
          </w:cols>
          <w:pgMar w:left="240" w:top="270" w:right="299" w:bottom="1440" w:gutter="0" w:footer="0" w:header="0"/>
        </w:sectPr>
      </w:pPr>
    </w:p>
    <w:bookmarkStart w:id="3" w:name="page4"/>
    <w:bookmarkEnd w:id="3"/>
    <w:p>
      <w:pPr>
        <w:ind w:right="60"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fullest extent permitted by applicable law, Schlumberger will indemnify any current or former director or officer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or officer of Schlumberger, or is or was a director of any subsidiary of Schlumberger or an officer appointed or elected by the board of directors of Schlumberger or of a subsidiary, or is or was any such officer or director of Schlumberger or of a subsidiary of Schlumberger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 provided, however, that, except with respect to proceedings to enforce rights to indemnification and advancement, Schlumberger will indemnify any such person in connection with a proceeding (or part thereof) initiated by such person (including claims and counterclaims, whether such counterclaims are asserted by (a) such person, or (b) Schlumberger in a proceeding initiated by such person) only if such proceeding (or part thereof) was authorized by the Board of Directors of Schlumberger. Schlumberger is required to indemnify any present or former officer or director of Schlumberger to the fullest extent allowed by the preceding paragraphs in the event of a “Change of Control.” “Change of Control” means a change in control of Schlumberger, which will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175"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To the fullest extent permitted by applicable law, Schlumberger will indemnify any current or former director or officer of Schlumberger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in respect of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6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Any indemnification under the preceding two paragraphs in this item (unless ordered by a court) may be extended to current or former employees or agents of Schlumberger or a subsidiary of Schlumberger only as authorized by the Chief Executive Officer or by contract approved, or by-laws, resolution or other action adopted or taken, by the board of directors or by the stockholders.</w:t>
      </w:r>
    </w:p>
    <w:p>
      <w:pPr>
        <w:spacing w:after="0" w:line="18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Schlumberger or any subsidiary of Schlumberger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Schlumberger may pay such expenses (including attorneys’ fees) incurred by former officers or other employees and agents upon such terms and conditions, if any, it deems appropriate.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4" w:name="page5"/>
    <w:bookmarkEnd w:id="4"/>
    <w:p>
      <w:pPr>
        <w:ind w:right="10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9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References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26"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9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the Board of Directors, or by any other person as to matters the member reasonably believes are within such other person’s professional or expert competence and who has been selected with reasonable care by or on behalf of Schlumberger.</w:t>
      </w:r>
    </w:p>
    <w:p>
      <w:pPr>
        <w:spacing w:after="0" w:line="107"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In addition, Schlumberger maintains directors’ and officers’ liability insurance which insures against certain liabilities that the officers and directors of Schlumberger may incur in such capacities.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2016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3.1 to Schlumberger’s Current Report on Form 8-K filed on April 6, 2016).</w:t>
            </w:r>
          </w:p>
        </w:tc>
        <w:tc>
          <w:tcPr>
            <w:tcW w:w="0" w:type="dxa"/>
            <w:vAlign w:val="bottom"/>
          </w:tcPr>
          <w:p>
            <w:pPr>
              <w:spacing w:after="0"/>
              <w:rPr>
                <w:sz w:val="1"/>
                <w:szCs w:val="1"/>
                <w:color w:val="auto"/>
              </w:rPr>
            </w:pPr>
          </w:p>
        </w:tc>
      </w:tr>
      <w:tr>
        <w:trPr>
          <w:trHeight w:val="31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January 19, 2017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to Exhibit 3.1 to Schlumberger’s Current Report on Form 8-K filed January 19, 2017).</w:t>
            </w:r>
          </w:p>
        </w:tc>
        <w:tc>
          <w:tcPr>
            <w:tcW w:w="0" w:type="dxa"/>
            <w:vAlign w:val="bottom"/>
          </w:tcPr>
          <w:p>
            <w:pPr>
              <w:spacing w:after="0"/>
              <w:rPr>
                <w:sz w:val="1"/>
                <w:szCs w:val="1"/>
                <w:color w:val="auto"/>
              </w:rPr>
            </w:pPr>
          </w:p>
        </w:tc>
      </w:tr>
      <w:tr>
        <w:trPr>
          <w:trHeight w:val="31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Schlumberger Discounted Stock Purchase Plan (incorporated by reference to Appendix C to Schlumberger’s definitive proxy statement for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2017 Annual General Meeting of Stockholders held on April 5, 2017).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20" w:hanging="922"/>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STvB Advocaten (Curaçao), N.V. as to the legality of the shares of common stock being registered (filed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920" w:type="dxa"/>
            <w:vAlign w:val="bottom"/>
          </w:tcPr>
          <w:p>
            <w:pPr>
              <w:ind w:left="340"/>
              <w:spacing w:after="0"/>
              <w:rPr>
                <w:sz w:val="20"/>
                <w:szCs w:val="20"/>
                <w:color w:val="auto"/>
              </w:rPr>
            </w:pPr>
            <w:r>
              <w:rPr>
                <w:rFonts w:ascii="Arial" w:cs="Arial" w:eastAsia="Arial" w:hAnsi="Arial"/>
                <w:sz w:val="18"/>
                <w:szCs w:val="18"/>
                <w:color w:val="auto"/>
                <w:w w:val="90"/>
              </w:rPr>
              <w:t>Consent of PricewaterhouseCoopers LLP, independent registered public accounting firm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920" w:type="dxa"/>
            <w:vAlign w:val="bottom"/>
          </w:tcPr>
          <w:p>
            <w:pPr>
              <w:ind w:left="340"/>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7920" w:type="dxa"/>
            <w:vAlign w:val="bottom"/>
          </w:tcPr>
          <w:p>
            <w:pPr>
              <w:ind w:left="340"/>
              <w:spacing w:after="0"/>
              <w:rPr>
                <w:sz w:val="20"/>
                <w:szCs w:val="20"/>
                <w:color w:val="auto"/>
              </w:rPr>
            </w:pPr>
            <w:r>
              <w:rPr>
                <w:rFonts w:ascii="Arial" w:cs="Arial" w:eastAsia="Arial" w:hAnsi="Arial"/>
                <w:sz w:val="18"/>
                <w:szCs w:val="18"/>
                <w:color w:val="auto"/>
              </w:rPr>
              <w:t>Powers of Attorney (filed herewith).</w:t>
            </w:r>
          </w:p>
        </w:tc>
      </w:tr>
      <w:tr>
        <w:trPr>
          <w:trHeight w:val="365"/>
        </w:trPr>
        <w:tc>
          <w:tcPr>
            <w:tcW w:w="680" w:type="dxa"/>
            <w:vAlign w:val="bottom"/>
          </w:tcPr>
          <w:p>
            <w:pPr>
              <w:spacing w:after="0"/>
              <w:rPr>
                <w:sz w:val="24"/>
                <w:szCs w:val="24"/>
                <w:color w:val="auto"/>
              </w:rPr>
            </w:pPr>
          </w:p>
        </w:tc>
        <w:tc>
          <w:tcPr>
            <w:tcW w:w="7920" w:type="dxa"/>
            <w:vAlign w:val="bottom"/>
          </w:tcPr>
          <w:p>
            <w:pPr>
              <w:jc w:val="right"/>
              <w:ind w:right="2650"/>
              <w:spacing w:after="0"/>
              <w:rPr>
                <w:sz w:val="20"/>
                <w:szCs w:val="20"/>
                <w:color w:val="auto"/>
              </w:rPr>
            </w:pPr>
            <w:r>
              <w:rPr>
                <w:rFonts w:ascii="Arial" w:cs="Arial" w:eastAsia="Arial" w:hAnsi="Arial"/>
                <w:sz w:val="18"/>
                <w:szCs w:val="18"/>
                <w:color w:val="auto"/>
              </w:rPr>
              <w:t>- 3 -</w:t>
            </w: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840" w:hanging="37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220" w:firstLine="421"/>
        <w:spacing w:after="0" w:line="272" w:lineRule="auto"/>
        <w:tabs>
          <w:tab w:leader="none" w:pos="1605"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20" w:firstLine="421"/>
        <w:spacing w:after="0" w:line="277" w:lineRule="auto"/>
        <w:tabs>
          <w:tab w:leader="none" w:pos="165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undertakings set forth in paragraphs (a)(1)(i) and (a)(1)(ii) above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57" w:lineRule="exact"/>
        <w:rPr>
          <w:sz w:val="20"/>
          <w:szCs w:val="20"/>
          <w:color w:val="auto"/>
        </w:rPr>
      </w:pPr>
    </w:p>
    <w:p>
      <w:pPr>
        <w:ind w:left="460" w:right="20" w:firstLine="443"/>
        <w:spacing w:after="0" w:line="264" w:lineRule="auto"/>
        <w:tabs>
          <w:tab w:leader="none" w:pos="1153"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464"/>
        <w:spacing w:after="0" w:line="25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180" w:firstLine="464"/>
        <w:spacing w:after="0" w:line="271" w:lineRule="auto"/>
        <w:tabs>
          <w:tab w:leader="none" w:pos="70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7"/>
          <w:szCs w:val="17"/>
          <w:color w:val="auto"/>
        </w:rPr>
      </w:pPr>
    </w:p>
    <w:p>
      <w:pPr>
        <w:ind w:left="5660" w:hanging="96"/>
        <w:spacing w:after="0"/>
        <w:tabs>
          <w:tab w:leader="none" w:pos="5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70"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May 23,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23, 2017 in the capacities indicated.</w:t>
      </w:r>
    </w:p>
    <w:p>
      <w:pPr>
        <w:sectPr>
          <w:pgSz w:w="11900" w:h="16838" w:orient="portrait"/>
          <w:cols w:equalWidth="0" w:num="1">
            <w:col w:w="11360"/>
          </w:cols>
          <w:pgMar w:left="240" w:top="270" w:right="2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Paal Kibsgaard</w:t>
      </w:r>
    </w:p>
    <w:p>
      <w:pPr>
        <w:spacing w:after="0" w:line="23" w:lineRule="exact"/>
        <w:rPr>
          <w:sz w:val="20"/>
          <w:szCs w:val="20"/>
          <w:color w:val="auto"/>
        </w:rPr>
      </w:pPr>
    </w:p>
    <w:p>
      <w:pPr>
        <w:ind w:right="1440"/>
        <w:spacing w:after="0" w:line="261" w:lineRule="auto"/>
        <w:rPr>
          <w:sz w:val="20"/>
          <w:szCs w:val="20"/>
          <w:color w:val="auto"/>
        </w:rPr>
      </w:pPr>
      <w:r>
        <w:rPr>
          <w:rFonts w:ascii="Arial" w:cs="Arial" w:eastAsia="Arial" w:hAnsi="Arial"/>
          <w:sz w:val="18"/>
          <w:szCs w:val="18"/>
          <w:color w:val="auto"/>
        </w:rPr>
        <w:t>Chairman of the Board, Chief Executive Officer and Director (Principal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23" w:lineRule="exact"/>
        <w:rPr>
          <w:sz w:val="20"/>
          <w:szCs w:val="20"/>
          <w:color w:val="auto"/>
        </w:rPr>
      </w:pPr>
    </w:p>
    <w:p>
      <w:pPr>
        <w:ind w:right="202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Miguel M. Galuccio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 Maureen Kempston Darkes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704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Kudryavstev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481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Helge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Michael E. Marks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Lubna S. Olayan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Tore I. Sandvold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60" w:space="660"/>
            <w:col w:w="4840"/>
          </w:cols>
          <w:pgMar w:left="240" w:top="270" w:right="2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6, 2016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3.1 to Schlumberger’s Current Report on Form 8-K filed on April 6, 2016).</w:t>
            </w:r>
          </w:p>
        </w:tc>
        <w:tc>
          <w:tcPr>
            <w:tcW w:w="0" w:type="dxa"/>
            <w:vAlign w:val="bottom"/>
          </w:tcPr>
          <w:p>
            <w:pPr>
              <w:spacing w:after="0"/>
              <w:rPr>
                <w:sz w:val="1"/>
                <w:szCs w:val="1"/>
                <w:color w:val="auto"/>
              </w:rPr>
            </w:pPr>
          </w:p>
        </w:tc>
      </w:tr>
      <w:tr>
        <w:trPr>
          <w:trHeight w:val="31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January 19, 2017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to Exhibit 3.1 to Schlumberger’s Current Report on Form 8-K filed January 19, 2017).</w:t>
            </w:r>
          </w:p>
        </w:tc>
        <w:tc>
          <w:tcPr>
            <w:tcW w:w="0" w:type="dxa"/>
            <w:vAlign w:val="bottom"/>
          </w:tcPr>
          <w:p>
            <w:pPr>
              <w:spacing w:after="0"/>
              <w:rPr>
                <w:sz w:val="1"/>
                <w:szCs w:val="1"/>
                <w:color w:val="auto"/>
              </w:rPr>
            </w:pPr>
          </w:p>
        </w:tc>
      </w:tr>
      <w:tr>
        <w:trPr>
          <w:trHeight w:val="310"/>
        </w:trPr>
        <w:tc>
          <w:tcPr>
            <w:tcW w:w="460" w:type="dxa"/>
            <w:vAlign w:val="bottom"/>
          </w:tcPr>
          <w:p>
            <w:pPr>
              <w:jc w:val="right"/>
              <w:ind w:right="57"/>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Schlumberger Discounted Stock Purchase Plan (incorporated by reference to Appendix C to Schlumberger’s definitive proxy statement for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2017 Annual General Meeting of Stockholders held on April 5, 2017).</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20" w:hanging="9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STvB Advocaten (Curaçao), N.V. as to the legality of the shares of common stock being registered (filed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920" w:type="dxa"/>
            <w:vAlign w:val="bottom"/>
          </w:tcPr>
          <w:p>
            <w:pPr>
              <w:ind w:left="340"/>
              <w:spacing w:after="0"/>
              <w:rPr>
                <w:sz w:val="20"/>
                <w:szCs w:val="20"/>
                <w:color w:val="auto"/>
              </w:rPr>
            </w:pPr>
            <w:r>
              <w:rPr>
                <w:rFonts w:ascii="Arial" w:cs="Arial" w:eastAsia="Arial" w:hAnsi="Arial"/>
                <w:sz w:val="18"/>
                <w:szCs w:val="18"/>
                <w:color w:val="auto"/>
                <w:w w:val="90"/>
              </w:rPr>
              <w:t>Consent of PricewaterhouseCoopers LLP, independent registered public accounting firm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920" w:type="dxa"/>
            <w:vAlign w:val="bottom"/>
          </w:tcPr>
          <w:p>
            <w:pPr>
              <w:ind w:left="340"/>
              <w:spacing w:after="0"/>
              <w:rPr>
                <w:sz w:val="20"/>
                <w:szCs w:val="20"/>
                <w:color w:val="auto"/>
              </w:rPr>
            </w:pPr>
            <w:r>
              <w:rPr>
                <w:rFonts w:ascii="Arial" w:cs="Arial" w:eastAsia="Arial" w:hAnsi="Arial"/>
                <w:sz w:val="18"/>
                <w:szCs w:val="18"/>
                <w:color w:val="auto"/>
              </w:rPr>
              <w:t>Consent of STvB Advocaten (Curaçao), N.V. (included in Exhibit 5).</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7920" w:type="dxa"/>
            <w:vAlign w:val="bottom"/>
          </w:tcPr>
          <w:p>
            <w:pPr>
              <w:ind w:left="340"/>
              <w:spacing w:after="0"/>
              <w:rPr>
                <w:sz w:val="20"/>
                <w:szCs w:val="20"/>
                <w:color w:val="auto"/>
              </w:rPr>
            </w:pPr>
            <w:r>
              <w:rPr>
                <w:rFonts w:ascii="Arial" w:cs="Arial" w:eastAsia="Arial" w:hAnsi="Arial"/>
                <w:sz w:val="18"/>
                <w:szCs w:val="18"/>
                <w:color w:val="auto"/>
              </w:rPr>
              <w:t>Powers of Attorney (filed herewith)</w:t>
            </w:r>
          </w:p>
        </w:tc>
      </w:tr>
      <w:tr>
        <w:trPr>
          <w:trHeight w:val="729"/>
        </w:trPr>
        <w:tc>
          <w:tcPr>
            <w:tcW w:w="680" w:type="dxa"/>
            <w:vAlign w:val="bottom"/>
          </w:tcPr>
          <w:p>
            <w:pPr>
              <w:spacing w:after="0"/>
              <w:rPr>
                <w:sz w:val="24"/>
                <w:szCs w:val="24"/>
                <w:color w:val="auto"/>
              </w:rPr>
            </w:pPr>
          </w:p>
        </w:tc>
        <w:tc>
          <w:tcPr>
            <w:tcW w:w="7920" w:type="dxa"/>
            <w:vAlign w:val="bottom"/>
          </w:tcPr>
          <w:p>
            <w:pPr>
              <w:jc w:val="right"/>
              <w:ind w:right="2650"/>
              <w:spacing w:after="0"/>
              <w:rPr>
                <w:sz w:val="20"/>
                <w:szCs w:val="20"/>
                <w:color w:val="auto"/>
              </w:rPr>
            </w:pPr>
            <w:r>
              <w:rPr>
                <w:rFonts w:ascii="Arial" w:cs="Arial" w:eastAsia="Arial" w:hAnsi="Arial"/>
                <w:sz w:val="18"/>
                <w:szCs w:val="18"/>
                <w:color w:val="auto"/>
              </w:rPr>
              <w:t>- 6 -</w:t>
            </w:r>
          </w:p>
        </w:tc>
      </w:tr>
    </w:tbl>
    <w:p>
      <w:pPr>
        <w:sectPr>
          <w:pgSz w:w="11900" w:h="16838" w:orient="portrait"/>
          <w:cols w:equalWidth="0" w:num="1">
            <w:col w:w="11400"/>
          </w:cols>
          <w:pgMar w:left="240" w:top="270"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Curaçao, May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913"/>
        <w:spacing w:after="0" w:line="257" w:lineRule="auto"/>
        <w:rPr>
          <w:sz w:val="20"/>
          <w:szCs w:val="20"/>
          <w:color w:val="auto"/>
        </w:rPr>
      </w:pPr>
      <w:r>
        <w:rPr>
          <w:rFonts w:ascii="Arial" w:cs="Arial" w:eastAsia="Arial" w:hAnsi="Arial"/>
          <w:sz w:val="18"/>
          <w:szCs w:val="18"/>
          <w:color w:val="auto"/>
        </w:rPr>
        <w:t>We have acted as Curaçao legal counsel for Schlumberger N.V. (also referred to as Schlumberger Limited), a corporation with limited liability organized and existing under the laws of Curaçao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of 18,000,000 shares of the Company’s common stock, par value $0.01 per share (the “Shares”), issuable pursuant to the Schlumberger Discounted Stock Purchase Plan (the “</w:t>
      </w:r>
      <w:r>
        <w:rPr>
          <w:rFonts w:ascii="Arial" w:cs="Arial" w:eastAsia="Arial" w:hAnsi="Arial"/>
          <w:sz w:val="18"/>
          <w:szCs w:val="18"/>
          <w:b w:val="1"/>
          <w:bCs w:val="1"/>
          <w:color w:val="auto"/>
        </w:rPr>
        <w:t>Plan</w:t>
      </w:r>
      <w:r>
        <w:rPr>
          <w:rFonts w:ascii="Arial" w:cs="Arial" w:eastAsia="Arial" w:hAnsi="Arial"/>
          <w:sz w:val="18"/>
          <w:szCs w:val="18"/>
          <w:color w:val="auto"/>
        </w:rPr>
        <w:t>”). We understand that a registration statement on Form S-8 relating to the Plan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is being filed by the Company with the Securities and Exchange Commission under the Securities Act of 1933, as amended, on May 23, 2017.</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Curaçao legal counsel for the Company we have examined and relied upon the following documents in original, photo static or facsimile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16" w:lineRule="exact"/>
        <w:rPr>
          <w:sz w:val="20"/>
          <w:szCs w:val="20"/>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copy of the Plan;</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as presently in effect;</w:t>
      </w:r>
    </w:p>
    <w:p>
      <w:pPr>
        <w:spacing w:after="0" w:line="134" w:lineRule="exact"/>
        <w:rPr>
          <w:rFonts w:ascii="Arial" w:cs="Arial" w:eastAsia="Arial" w:hAnsi="Arial"/>
          <w:sz w:val="18"/>
          <w:szCs w:val="18"/>
          <w:color w:val="auto"/>
        </w:rPr>
      </w:pPr>
    </w:p>
    <w:p>
      <w:pPr>
        <w:ind w:left="1920" w:right="260" w:hanging="440"/>
        <w:spacing w:after="0" w:line="277"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extract obtained online on May 22, 2017 from the Curaçao Commercial Register, relating to the registration of the Company; and</w:t>
      </w:r>
    </w:p>
    <w:p>
      <w:pPr>
        <w:spacing w:after="0" w:line="71" w:lineRule="exact"/>
        <w:rPr>
          <w:rFonts w:ascii="Arial" w:cs="Arial" w:eastAsia="Arial" w:hAnsi="Arial"/>
          <w:sz w:val="18"/>
          <w:szCs w:val="18"/>
          <w:color w:val="auto"/>
        </w:rPr>
      </w:pPr>
    </w:p>
    <w:p>
      <w:pPr>
        <w:ind w:left="1920" w:right="120" w:hanging="440"/>
        <w:spacing w:after="0" w:line="282" w:lineRule="auto"/>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providing for the issuance of the Shares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our examination of the documents referred to above and in expressing our opinion, we have assumed without independent verification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kind:</w:t>
      </w:r>
    </w:p>
    <w:p>
      <w:pPr>
        <w:spacing w:after="0" w:line="116" w:lineRule="exact"/>
        <w:rPr>
          <w:sz w:val="20"/>
          <w:szCs w:val="20"/>
          <w:color w:val="auto"/>
        </w:rPr>
      </w:pPr>
    </w:p>
    <w:p>
      <w:pPr>
        <w:ind w:left="1920" w:hanging="440"/>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130" w:lineRule="exact"/>
        <w:rPr>
          <w:rFonts w:ascii="Arial" w:cs="Arial" w:eastAsia="Arial" w:hAnsi="Arial"/>
          <w:sz w:val="18"/>
          <w:szCs w:val="18"/>
          <w:color w:val="auto"/>
        </w:rPr>
      </w:pPr>
    </w:p>
    <w:p>
      <w:pPr>
        <w:ind w:left="1920" w:right="260" w:hanging="440"/>
        <w:spacing w:after="0" w:line="277"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(Hoge Raad der Nederlanden).</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76" w:lineRule="exact"/>
        <w:rPr>
          <w:sz w:val="20"/>
          <w:szCs w:val="20"/>
          <w:color w:val="auto"/>
        </w:rPr>
      </w:pPr>
    </w:p>
    <w:p>
      <w:pPr>
        <w:ind w:left="1920" w:right="80" w:hanging="440"/>
        <w:spacing w:after="0" w:line="259"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ectPr>
          <w:pgSz w:w="11900" w:h="16838" w:orient="portrait"/>
          <w:cols w:equalWidth="0" w:num="1">
            <w:col w:w="11420"/>
          </w:cols>
          <w:pgMar w:left="240" w:top="121" w:right="239" w:bottom="1440" w:gutter="0" w:footer="0" w:header="0"/>
        </w:sectPr>
      </w:pPr>
    </w:p>
    <w:bookmarkStart w:id="9" w:name="page10"/>
    <w:bookmarkEnd w:id="9"/>
    <w:p>
      <w:pPr>
        <w:ind w:left="1920" w:right="840" w:hanging="440"/>
        <w:spacing w:after="0" w:line="342" w:lineRule="auto"/>
        <w:tabs>
          <w:tab w:leader="none" w:pos="1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issuance and delivery of the Shares from time to time pursuant to and in accordance with the terms of the Plan for consideration at least equal to the par value thereof, such Shares will be validly issued, fully paid and non-assessable.</w:t>
      </w:r>
    </w:p>
    <w:p>
      <w:pPr>
        <w:spacing w:after="0" w:line="29" w:lineRule="exact"/>
        <w:rPr>
          <w:rFonts w:ascii="Arial" w:cs="Arial" w:eastAsia="Arial" w:hAnsi="Arial"/>
          <w:sz w:val="16"/>
          <w:szCs w:val="16"/>
          <w:color w:val="auto"/>
        </w:rPr>
      </w:pPr>
    </w:p>
    <w:p>
      <w:pPr>
        <w:ind w:left="1920" w:right="80" w:hanging="440"/>
        <w:spacing w:after="0" w:line="277"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personal liability will attach to the holders of the Shares under the laws of Curaçao by reason of their being stockholders of the Company.</w:t>
      </w:r>
    </w:p>
    <w:p>
      <w:pPr>
        <w:spacing w:after="0" w:line="75"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STvB Advocaten (Curaçao), N.V.</w:t>
      </w:r>
    </w:p>
    <w:p>
      <w:pPr>
        <w:sectPr>
          <w:pgSz w:w="11900" w:h="16838" w:orient="portrait"/>
          <w:cols w:equalWidth="0" w:num="1">
            <w:col w:w="11400"/>
          </w:cols>
          <w:pgMar w:left="240" w:top="274" w:right="2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Schlumberger Limited of our report dated January 25, 2017 relating to the consolidated financial statements and the effectiveness of internal control over financial reporting, which appears in Schlumberger Limited’s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2017</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or an officer, or both, of Schlumberger Limited, a Curaçao corporation (the “Company”), hereby constitutes and appoints Alexander C. Juden and Saul R. Laureles, and each of them, the true and lawful attorneys-in-fact and agents of the undersigned, each of whom will be authorized to act with or without the others, with full power of substitution and resubstitution, for and in the name, place and stead of the undersigned to execute one or more registration statements (whether on Form S-8 or such other form as may be required) with respect to the registration of shares of common stock, par value $0.01 per share, of the Company to be offered and issued under the Schlumberger Limited 2017 Omnibus Stock Incentive Plan or the Schlumberger Discounted Stock Purchase Plan, together with any and all amendments thereto (including post-effective amendments), and to file such registration statements and amendments, with any exhibits thereto and other documents in connection therewith, with the Securities and Exchange Commission. The aforementioned attorneys-in-fact will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these attorneys-in-fact. This Power of Attorney may be signed in any number of counterparts, each of which will constitute an original and all of which, taken together, will constitute one Power of Attorney.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Each of the undersigned has executed this Power of Attorney on the 20th day of April,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600" w:type="dxa"/>
            <w:vAlign w:val="bottom"/>
          </w:tcPr>
          <w:p>
            <w:pPr>
              <w:spacing w:after="0"/>
              <w:rPr>
                <w:sz w:val="14"/>
                <w:szCs w:val="14"/>
                <w:color w:val="auto"/>
              </w:rPr>
            </w:pPr>
          </w:p>
        </w:tc>
        <w:tc>
          <w:tcPr>
            <w:tcW w:w="4840" w:type="dxa"/>
            <w:vAlign w:val="bottom"/>
            <w:gridSpan w:val="3"/>
          </w:tcPr>
          <w:p>
            <w:pPr>
              <w:jc w:val="center"/>
              <w:ind w:left="911"/>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18"/>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Paal Kibsgaard</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2"/>
              </w:rPr>
              <w:t>Chief Executive Officer and Chairman</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89"/>
              </w:rPr>
              <w:t>(Paal Kibsgaard)</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3"/>
              </w:rPr>
              <w:t>(Principal Executive Officer)</w:t>
            </w: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Simon Ayat</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2"/>
              </w:rPr>
              <w:t>(Simon Ayat)</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Howard Guild</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5"/>
              </w:rPr>
              <w:t>(Howard Guild)</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Peter L.S. Currie</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1"/>
              </w:rPr>
              <w:t>(Peter L.S. Currie)</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Miguel M. Galuccio</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6"/>
              </w:rPr>
              <w:t>(Miguel M. Galuccio)</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Maureen Kempston Darkes</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0"/>
              </w:rPr>
              <w:t>(V. Maureen Kempston Darkes)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Nikolay Kudryavtsev</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5"/>
              </w:rPr>
              <w:t>(Nikolay Kudryavtsev)</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Helge Lund</w:t>
            </w:r>
          </w:p>
        </w:tc>
        <w:tc>
          <w:tcPr>
            <w:tcW w:w="4840" w:type="dxa"/>
            <w:vAlign w:val="bottom"/>
            <w:gridSpan w:val="3"/>
          </w:tcPr>
          <w:p>
            <w:pPr>
              <w:jc w:val="center"/>
              <w:ind w:left="911"/>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2"/>
              </w:rPr>
              <w:t>(Helge Lund)</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600" w:type="dxa"/>
            <w:vAlign w:val="bottom"/>
          </w:tcPr>
          <w:p>
            <w:pPr>
              <w:spacing w:after="0"/>
              <w:rPr>
                <w:sz w:val="14"/>
                <w:szCs w:val="14"/>
                <w:color w:val="auto"/>
              </w:rPr>
            </w:pPr>
          </w:p>
        </w:tc>
        <w:tc>
          <w:tcPr>
            <w:tcW w:w="3220" w:type="dxa"/>
            <w:vAlign w:val="bottom"/>
            <w:gridSpan w:val="3"/>
          </w:tcPr>
          <w:p>
            <w:pPr>
              <w:jc w:val="center"/>
              <w:ind w:left="2533"/>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Michael E. Marks</w:t>
            </w:r>
          </w:p>
        </w:tc>
        <w:tc>
          <w:tcPr>
            <w:tcW w:w="3220" w:type="dxa"/>
            <w:vAlign w:val="bottom"/>
            <w:gridSpan w:val="3"/>
          </w:tcPr>
          <w:p>
            <w:pPr>
              <w:jc w:val="center"/>
              <w:ind w:left="2533"/>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3"/>
              </w:rPr>
              <w:t>(Michael E. Marks)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Indra K. Nooyi</w:t>
            </w:r>
          </w:p>
        </w:tc>
        <w:tc>
          <w:tcPr>
            <w:tcW w:w="3220" w:type="dxa"/>
            <w:vAlign w:val="bottom"/>
            <w:gridSpan w:val="3"/>
          </w:tcPr>
          <w:p>
            <w:pPr>
              <w:jc w:val="center"/>
              <w:ind w:left="2533"/>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5"/>
              </w:rPr>
              <w:t>(Indra K. Nooyi)</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Lubna S. Olayan</w:t>
            </w:r>
          </w:p>
        </w:tc>
        <w:tc>
          <w:tcPr>
            <w:tcW w:w="3220" w:type="dxa"/>
            <w:vAlign w:val="bottom"/>
            <w:gridSpan w:val="3"/>
          </w:tcPr>
          <w:p>
            <w:pPr>
              <w:jc w:val="center"/>
              <w:ind w:left="2533"/>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0"/>
              </w:rPr>
              <w:t>(Lubna S. Olayan)</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Leo Rafael Reif</w:t>
            </w:r>
          </w:p>
        </w:tc>
        <w:tc>
          <w:tcPr>
            <w:tcW w:w="3220" w:type="dxa"/>
            <w:vAlign w:val="bottom"/>
            <w:gridSpan w:val="3"/>
          </w:tcPr>
          <w:p>
            <w:pPr>
              <w:jc w:val="center"/>
              <w:ind w:left="2533"/>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4"/>
              </w:rPr>
              <w:t>(Leo Rafael Reif)</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Tore I. Sandvold</w:t>
            </w:r>
          </w:p>
        </w:tc>
        <w:tc>
          <w:tcPr>
            <w:tcW w:w="3220" w:type="dxa"/>
            <w:vAlign w:val="bottom"/>
            <w:gridSpan w:val="3"/>
          </w:tcPr>
          <w:p>
            <w:pPr>
              <w:jc w:val="center"/>
              <w:ind w:left="2533"/>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1"/>
              </w:rPr>
              <w:t>(Tore I. Sandvold)</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1"/>
        </w:trPr>
        <w:tc>
          <w:tcPr>
            <w:tcW w:w="5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Henri Seydoux</w:t>
            </w:r>
          </w:p>
        </w:tc>
        <w:tc>
          <w:tcPr>
            <w:tcW w:w="3220" w:type="dxa"/>
            <w:vAlign w:val="bottom"/>
            <w:gridSpan w:val="3"/>
          </w:tcPr>
          <w:p>
            <w:pPr>
              <w:jc w:val="center"/>
              <w:ind w:left="2533"/>
              <w:spacing w:after="0"/>
              <w:rPr>
                <w:sz w:val="20"/>
                <w:szCs w:val="20"/>
                <w:color w:val="auto"/>
              </w:rPr>
            </w:pPr>
            <w:r>
              <w:rPr>
                <w:rFonts w:ascii="Arial" w:cs="Arial" w:eastAsia="Arial" w:hAnsi="Arial"/>
                <w:sz w:val="18"/>
                <w:szCs w:val="18"/>
                <w:color w:val="auto"/>
                <w:w w:val="95"/>
              </w:rPr>
              <w:t>Director</w:t>
            </w:r>
          </w:p>
        </w:tc>
      </w:tr>
      <w:tr>
        <w:trPr>
          <w:trHeight w:val="224"/>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2"/>
              </w:rPr>
              <w:t>(Henri Seydoux)</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219"/>
      </w:cols>
      <w:pgMar w:left="2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545E146"/>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5">
    <w:nsid w:val="515F007C"/>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2019-12-05T06:49:54Z</dcterms:created>
  <dcterms:modified xsi:type="dcterms:W3CDTF">2019-12-05T06:49:54Z</dcterms:modified>
</cp:coreProperties>
</file>