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90"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19"/>
          <w:szCs w:val="19"/>
          <w:b w:val="1"/>
          <w:bCs w:val="1"/>
          <w:color w:val="auto"/>
        </w:rPr>
        <w:t>Date of Report (Date of earliest event reported): November 8, 2010 (August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Curacao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amends the Current Report on Form 8-K that Schlumberger Limited (“Schlumberger”) filed with the SEC on August 27, 2010 concerning the completion of its merger with Smith International, Inc. (“Smith”), to include the pro forma financial information required by Item 9.01(b) of Form 8-K and to include an exhibit under Item 9.01(d) of Form 8-K.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Unaudited pro forma condensed combined financial statements and explanatory notes, relating to Schlumberger’s completion of its merger with Smith, as of and for the six months ended June 30, 2010 and for the year ended December 31, 2009 are attached to this Current Report on Form 8-K/A as Exhibit 99.1 and are filed herewith.</w:t>
      </w:r>
    </w:p>
    <w:p>
      <w:pPr>
        <w:spacing w:after="0" w:line="5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pacing w:after="0" w:line="90"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Unaudited pro forma condensed combined financial statements and explanatory notes.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93"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341"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7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unaudited pro forma condensed combined statements of income for the six months ended June 30, 2010 and for the year ended December 31, 2009 combines the historical consolidated statements of income of Schlumberger Limited (“Schlumberger”) and Smith International, Inc. (“Smith”), giving effect to the merger as if it had occurred on January 1, 2009. The unaudited pro forma condensed combined balance sheet as of June 30, 2010 combines the historical consolidated balance sheets of Schlumberger and Smith, giving effect to the merger as if it had occurred on June 30, 2010. The historical consolidated financial information has been adjusted in the unaudited pro forma condensed combined financial statements to give effect to pro forma events that are (1) directly attributable to the merger, (2) factually supportable, and (3) with respect to the statement of income, expected to have a continuing impact on the combined results. The unaudited pro forma condensed combined financial information should be read in conjunction with the accompanying notes to the unaudited pro forma condensed combined financial statements. In addition, the unaudited pro forma condensed combined financial information was based on and should be read in conjunction with the:</w:t>
      </w:r>
    </w:p>
    <w:p>
      <w:pPr>
        <w:spacing w:after="0" w:line="39" w:lineRule="exact"/>
        <w:rPr>
          <w:sz w:val="20"/>
          <w:szCs w:val="20"/>
          <w:color w:val="auto"/>
        </w:rPr>
      </w:pPr>
    </w:p>
    <w:p>
      <w:pPr>
        <w:ind w:left="900" w:right="8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2009 and the related notes included in Schlumberger’s Annual Report on Form 10-K for the year ended December 31, 2009;</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historical financial statements of Smith as of and for the year ended December 31, 2009 and the related notes included in Smith’s Annual Report on Form 10-K for the year ended December 31, 2009;</w:t>
      </w:r>
    </w:p>
    <w:p>
      <w:pPr>
        <w:spacing w:after="0" w:line="5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six months ended June 30, 2010 and the related notes included in Schlumberger’s Quarterly Report on Form 10-Q for the period ended June 30, 2010;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historical financial statements of Smith as of and for the six months ended June 30, 2010 and the related notes included in Smith’s Quarterly Report on Form 10-Q for the period ended June 30, 2010.</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U.S. generally accepted accounting principles, and the regulations of the SEC. All material transactions between Schlumberger and Smith during the periods presented in the unaudited pro forma condensed combined financial statement have been eliminated. Schlumberger has been treated as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this unaudited pro forma condensed combined financial information.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ectPr>
          <w:pgSz w:w="11900" w:h="16838" w:orient="portrait"/>
          <w:cols w:equalWidth="0" w:num="1">
            <w:col w:w="11420"/>
          </w:cols>
          <w:pgMar w:left="240" w:top="139" w:right="239" w:bottom="1440" w:gutter="0" w:footer="0" w:header="0"/>
        </w:sectPr>
      </w:pPr>
    </w:p>
    <w:bookmarkStart w:id="4" w:name="page5"/>
    <w:bookmarkEnd w:id="4"/>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Smith</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Adjustments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30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00" w:type="dxa"/>
            <w:vAlign w:val="bottom"/>
          </w:tcPr>
          <w:p>
            <w:pPr>
              <w:ind w:left="20"/>
              <w:spacing w:after="0"/>
              <w:rPr>
                <w:sz w:val="20"/>
                <w:szCs w:val="20"/>
                <w:color w:val="auto"/>
              </w:rPr>
            </w:pPr>
            <w:r>
              <w:rPr>
                <w:rFonts w:ascii="Arial" w:cs="Arial" w:eastAsia="Arial" w:hAnsi="Arial"/>
                <w:sz w:val="11"/>
                <w:szCs w:val="11"/>
                <w:color w:val="auto"/>
              </w:rPr>
              <w:t>(A)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17,029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Investments in Affiliated Companies</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(1,455)</w:t>
            </w:r>
          </w:p>
        </w:tc>
        <w:tc>
          <w:tcPr>
            <w:tcW w:w="200" w:type="dxa"/>
            <w:vAlign w:val="bottom"/>
          </w:tcPr>
          <w:p>
            <w:pPr>
              <w:ind w:left="20"/>
              <w:spacing w:after="0"/>
              <w:rPr>
                <w:sz w:val="20"/>
                <w:szCs w:val="20"/>
                <w:color w:val="auto"/>
              </w:rPr>
            </w:pPr>
            <w:r>
              <w:rPr>
                <w:rFonts w:ascii="Arial" w:cs="Arial" w:eastAsia="Arial" w:hAnsi="Arial"/>
                <w:sz w:val="11"/>
                <w:szCs w:val="11"/>
                <w:color w:val="auto"/>
              </w:rPr>
              <w:t>(C)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(3,132)</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7,382</w:t>
            </w:r>
          </w:p>
        </w:tc>
        <w:tc>
          <w:tcPr>
            <w:tcW w:w="200" w:type="dxa"/>
            <w:vAlign w:val="bottom"/>
          </w:tcPr>
          <w:p>
            <w:pPr>
              <w:ind w:left="20"/>
              <w:spacing w:after="0"/>
              <w:rPr>
                <w:sz w:val="20"/>
                <w:szCs w:val="20"/>
                <w:color w:val="auto"/>
              </w:rPr>
            </w:pPr>
            <w:r>
              <w:rPr>
                <w:rFonts w:ascii="Arial" w:cs="Arial" w:eastAsia="Arial" w:hAnsi="Arial"/>
                <w:sz w:val="11"/>
                <w:szCs w:val="11"/>
                <w:color w:val="auto"/>
              </w:rPr>
              <w: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4,100</w:t>
            </w:r>
          </w:p>
        </w:tc>
        <w:tc>
          <w:tcPr>
            <w:tcW w:w="200" w:type="dxa"/>
            <w:vAlign w:val="bottom"/>
          </w:tcPr>
          <w:p>
            <w:pPr>
              <w:ind w:left="20"/>
              <w:spacing w:after="0"/>
              <w:rPr>
                <w:sz w:val="20"/>
                <w:szCs w:val="20"/>
                <w:color w:val="auto"/>
              </w:rPr>
            </w:pPr>
            <w:r>
              <w:rPr>
                <w:rFonts w:ascii="Arial" w:cs="Arial" w:eastAsia="Arial" w:hAnsi="Arial"/>
                <w:sz w:val="11"/>
                <w:szCs w:val="11"/>
                <w:color w:val="auto"/>
              </w:rPr>
              <w:t>(G)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10,581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6,506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50,104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4,852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00" w:type="dxa"/>
            <w:vAlign w:val="bottom"/>
          </w:tcPr>
          <w:p>
            <w:pPr>
              <w:ind w:left="20"/>
              <w:spacing w:after="0"/>
              <w:rPr>
                <w:sz w:val="20"/>
                <w:szCs w:val="20"/>
                <w:color w:val="auto"/>
              </w:rPr>
            </w:pPr>
            <w:r>
              <w:rPr>
                <w:rFonts w:ascii="Arial" w:cs="Arial" w:eastAsia="Arial" w:hAnsi="Arial"/>
                <w:sz w:val="11"/>
                <w:szCs w:val="11"/>
                <w:color w:val="auto"/>
              </w:rPr>
              <w:t>(A)</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(H)</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41"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7080" w:type="dxa"/>
            <w:vAlign w:val="bottom"/>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908</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767</w:t>
            </w:r>
          </w:p>
        </w:tc>
        <w:tc>
          <w:tcPr>
            <w:tcW w:w="4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317</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6,776</w:t>
            </w:r>
          </w:p>
        </w:tc>
        <w:tc>
          <w:tcPr>
            <w:tcW w:w="4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318"/>
        </w:trPr>
        <w:tc>
          <w:tcPr>
            <w:tcW w:w="7080" w:type="dxa"/>
            <w:vAlign w:val="bottom"/>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3,729</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1,482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820" w:type="dxa"/>
            <w:vAlign w:val="bottom"/>
          </w:tcPr>
          <w:p>
            <w:pPr>
              <w:jc w:val="right"/>
              <w:spacing w:after="0"/>
              <w:rPr>
                <w:sz w:val="20"/>
                <w:szCs w:val="20"/>
                <w:color w:val="auto"/>
              </w:rPr>
            </w:pPr>
            <w:r>
              <w:rPr>
                <w:rFonts w:ascii="Arial" w:cs="Arial" w:eastAsia="Arial" w:hAnsi="Arial"/>
                <w:sz w:val="18"/>
                <w:szCs w:val="18"/>
                <w:color w:val="auto"/>
              </w:rPr>
              <w:t>1,581</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2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503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(289)</w:t>
            </w:r>
          </w:p>
        </w:tc>
      </w:tr>
      <w:tr>
        <w:trPr>
          <w:trHeight w:val="222"/>
        </w:trPr>
        <w:tc>
          <w:tcPr>
            <w:tcW w:w="7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-1044575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color w:val="auto"/>
        </w:rPr>
        <w:t>680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(J)</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(K)</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(L)</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(M)</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5"/>
          <w:szCs w:val="15"/>
          <w:color w:val="auto"/>
        </w:rPr>
        <w:t>1,017</w:t>
      </w:r>
    </w:p>
    <w:p>
      <w:pPr>
        <w:spacing w:after="0" w:line="4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29210</wp:posOffset>
            </wp:positionV>
            <wp:extent cx="403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8,366</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5,628</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1,581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2,313</w:t>
      </w:r>
    </w:p>
    <w:p>
      <w:pPr>
        <w:spacing w:after="0" w:line="691" w:lineRule="exact"/>
        <w:rPr>
          <w:sz w:val="20"/>
          <w:szCs w:val="20"/>
          <w:color w:val="auto"/>
        </w:rPr>
      </w:pPr>
    </w:p>
    <w:p>
      <w:pPr>
        <w:sectPr>
          <w:pgSz w:w="11900" w:h="16838" w:orient="portrait"/>
          <w:cols w:equalWidth="0" w:num="3">
            <w:col w:w="9880" w:space="340"/>
            <w:col w:w="180" w:space="520"/>
            <w:col w:w="5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080" w:type="dxa"/>
            <w:vAlign w:val="bottom"/>
          </w:tcPr>
          <w:p>
            <w:pPr>
              <w:spacing w:after="0"/>
              <w:rPr>
                <w:sz w:val="20"/>
                <w:szCs w:val="20"/>
                <w:color w:val="auto"/>
              </w:rPr>
            </w:pPr>
            <w:r>
              <w:rPr>
                <w:rFonts w:ascii="Arial" w:cs="Arial" w:eastAsia="Arial" w:hAnsi="Arial"/>
                <w:sz w:val="18"/>
                <w:szCs w:val="18"/>
                <w:color w:val="auto"/>
              </w:rPr>
              <w:t>Other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7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13,133</w:t>
            </w:r>
          </w:p>
        </w:tc>
        <w:tc>
          <w:tcPr>
            <w:tcW w:w="4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2,265</w:t>
            </w: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Equity</w:t>
            </w: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4,920</w:t>
            </w:r>
          </w:p>
        </w:tc>
        <w:tc>
          <w:tcPr>
            <w:tcW w:w="4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(3,001)</w:t>
            </w:r>
          </w:p>
        </w:tc>
      </w:tr>
      <w:tr>
        <w:trPr>
          <w:trHeight w:val="216"/>
        </w:trPr>
        <w:tc>
          <w:tcPr>
            <w:tcW w:w="7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9,830</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(5,420)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820" w:type="dxa"/>
            <w:vAlign w:val="bottom"/>
          </w:tcPr>
          <w:p>
            <w:pPr>
              <w:jc w:val="right"/>
              <w:spacing w:after="0"/>
              <w:rPr>
                <w:sz w:val="20"/>
                <w:szCs w:val="20"/>
                <w:color w:val="auto"/>
              </w:rPr>
            </w:pPr>
            <w:r>
              <w:rPr>
                <w:rFonts w:ascii="Arial" w:cs="Arial" w:eastAsia="Arial" w:hAnsi="Arial"/>
                <w:sz w:val="18"/>
                <w:szCs w:val="18"/>
                <w:color w:val="auto"/>
              </w:rPr>
              <w:t>23,007</w:t>
            </w:r>
          </w:p>
        </w:tc>
        <w:tc>
          <w:tcPr>
            <w:tcW w:w="4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(2,942)</w:t>
            </w:r>
          </w:p>
        </w:tc>
      </w:tr>
      <w:tr>
        <w:trPr>
          <w:trHeight w:val="216"/>
        </w:trPr>
        <w:tc>
          <w:tcPr>
            <w:tcW w:w="7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1,251</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income/(loss)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(2,729)</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7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-1387475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(O)</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(M)</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(M)</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color w:val="auto"/>
        </w:rPr>
        <w:t>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6985</wp:posOffset>
            </wp:positionV>
            <wp:extent cx="403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19,088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10795</wp:posOffset>
            </wp:positionV>
            <wp:extent cx="4032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14,750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(5,420)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24,173</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(2,727)</w:t>
      </w:r>
    </w:p>
    <w:p>
      <w:pPr>
        <w:spacing w:after="0" w:line="274" w:lineRule="exact"/>
        <w:rPr>
          <w:sz w:val="20"/>
          <w:szCs w:val="20"/>
          <w:color w:val="auto"/>
        </w:rPr>
      </w:pPr>
    </w:p>
    <w:p>
      <w:pPr>
        <w:sectPr>
          <w:pgSz w:w="11900" w:h="16838" w:orient="portrait"/>
          <w:cols w:equalWidth="0" w:num="3">
            <w:col w:w="9880" w:space="340"/>
            <w:col w:w="180" w:space="420"/>
            <w:col w:w="6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0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Schlumberger/Smith stockholders’ equity</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19,778</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5,445</w:t>
            </w:r>
          </w:p>
        </w:tc>
        <w:tc>
          <w:tcPr>
            <w:tcW w:w="980" w:type="dxa"/>
            <w:vAlign w:val="bottom"/>
            <w:gridSpan w:val="3"/>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5,553</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30,776</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1,446</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(1,312)</w:t>
            </w:r>
          </w:p>
        </w:tc>
        <w:tc>
          <w:tcPr>
            <w:tcW w:w="620" w:type="dxa"/>
            <w:vAlign w:val="bottom"/>
          </w:tcPr>
          <w:p>
            <w:pPr>
              <w:ind w:left="160"/>
              <w:spacing w:after="0"/>
              <w:rPr>
                <w:sz w:val="20"/>
                <w:szCs w:val="20"/>
                <w:color w:val="auto"/>
              </w:rPr>
            </w:pPr>
            <w:r>
              <w:rPr>
                <w:rFonts w:ascii="Arial" w:cs="Arial" w:eastAsia="Arial" w:hAnsi="Arial"/>
                <w:sz w:val="11"/>
                <w:szCs w:val="11"/>
                <w:color w:val="auto"/>
              </w:rPr>
              <w:t>(P)</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7"/>
        </w:trPr>
        <w:tc>
          <w:tcPr>
            <w:tcW w:w="7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4,241</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31,016</w:t>
            </w:r>
          </w:p>
        </w:tc>
      </w:tr>
      <w:tr>
        <w:trPr>
          <w:trHeight w:val="20"/>
        </w:trPr>
        <w:tc>
          <w:tcPr>
            <w:tcW w:w="7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33,017</w:t>
            </w:r>
          </w:p>
        </w:tc>
        <w:tc>
          <w:tcPr>
            <w:tcW w:w="4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10,581</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$ 6,506</w:t>
            </w:r>
          </w:p>
        </w:tc>
        <w:tc>
          <w:tcPr>
            <w:tcW w:w="6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$ 50,104</w:t>
            </w:r>
          </w:p>
        </w:tc>
      </w:tr>
      <w:tr>
        <w:trPr>
          <w:trHeight w:val="20"/>
        </w:trPr>
        <w:tc>
          <w:tcPr>
            <w:tcW w:w="7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34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10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Smith</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Pro Forma</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(AA)</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4,434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(BB)</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r>
              <w:rPr>
                <w:rFonts w:ascii="Arial" w:cs="Arial" w:eastAsia="Arial" w:hAnsi="Arial"/>
                <w:sz w:val="11"/>
                <w:szCs w:val="11"/>
                <w:color w:val="auto"/>
              </w:rPr>
              <w:t>(CC)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3,184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(BB)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line="217" w:lineRule="exact"/>
              <w:rPr>
                <w:sz w:val="20"/>
                <w:szCs w:val="20"/>
                <w:color w:val="auto"/>
              </w:rPr>
            </w:pPr>
            <w:r>
              <w:rPr>
                <w:rFonts w:ascii="Arial" w:cs="Arial" w:eastAsia="Arial" w:hAnsi="Arial"/>
                <w:sz w:val="18"/>
                <w:szCs w:val="18"/>
                <w:color w:val="auto"/>
                <w:w w:val="82"/>
              </w:rPr>
              <w:t>(27)</w:t>
            </w:r>
            <w:r>
              <w:rPr>
                <w:rFonts w:ascii="Arial" w:cs="Arial" w:eastAsia="Arial" w:hAnsi="Arial"/>
                <w:sz w:val="22"/>
                <w:szCs w:val="22"/>
                <w:color w:val="auto"/>
                <w:w w:val="82"/>
                <w:vertAlign w:val="superscript"/>
              </w:rPr>
              <w:t>(DD)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3"/>
              </w:rPr>
              <w:t xml:space="preserve">97 </w:t>
            </w:r>
            <w:r>
              <w:rPr>
                <w:rFonts w:ascii="Arial" w:cs="Arial" w:eastAsia="Arial" w:hAnsi="Arial"/>
                <w:sz w:val="11"/>
                <w:szCs w:val="11"/>
                <w:color w:val="auto"/>
                <w:w w:val="93"/>
              </w:rPr>
              <w:t>(EE)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Merger &amp; integration</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40" w:type="dxa"/>
            <w:vAlign w:val="bottom"/>
            <w:gridSpan w:val="2"/>
          </w:tcPr>
          <w:p>
            <w:pPr>
              <w:jc w:val="center"/>
              <w:ind w:right="40"/>
              <w:spacing w:after="0" w:line="216" w:lineRule="exact"/>
              <w:rPr>
                <w:sz w:val="20"/>
                <w:szCs w:val="20"/>
                <w:color w:val="auto"/>
              </w:rPr>
            </w:pPr>
            <w:r>
              <w:rPr>
                <w:rFonts w:ascii="Arial" w:cs="Arial" w:eastAsia="Arial" w:hAnsi="Arial"/>
                <w:sz w:val="25"/>
                <w:szCs w:val="25"/>
                <w:color w:val="auto"/>
                <w:w w:val="98"/>
                <w:vertAlign w:val="subscript"/>
              </w:rPr>
              <w:t>(59)</w:t>
            </w:r>
            <w:r>
              <w:rPr>
                <w:rFonts w:ascii="Arial" w:cs="Arial" w:eastAsia="Arial" w:hAnsi="Arial"/>
                <w:sz w:val="10"/>
                <w:szCs w:val="10"/>
                <w:color w:val="auto"/>
                <w:w w:val="98"/>
              </w:rPr>
              <w:t>(FF)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(15)</w:t>
            </w:r>
            <w:r>
              <w:rPr>
                <w:rFonts w:ascii="Arial" w:cs="Arial" w:eastAsia="Arial" w:hAnsi="Arial"/>
                <w:sz w:val="11"/>
                <w:szCs w:val="11"/>
                <w:color w:val="auto"/>
                <w:w w:val="92"/>
              </w:rPr>
              <w:t>(GG)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 xml:space="preserve">15 </w:t>
            </w:r>
            <w:r>
              <w:rPr>
                <w:rFonts w:ascii="Arial" w:cs="Arial" w:eastAsia="Arial" w:hAnsi="Arial"/>
                <w:sz w:val="11"/>
                <w:szCs w:val="11"/>
                <w:color w:val="auto"/>
                <w:w w:val="95"/>
              </w:rPr>
              <w:t>(CC)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4"/>
              </w:rPr>
              <w:t>(19)</w:t>
            </w:r>
            <w:r>
              <w:rPr>
                <w:rFonts w:ascii="Arial" w:cs="Arial" w:eastAsia="Arial" w:hAnsi="Arial"/>
                <w:sz w:val="11"/>
                <w:szCs w:val="11"/>
                <w:color w:val="auto"/>
                <w:w w:val="94"/>
              </w:rPr>
              <w:t>(HH)</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 xml:space="preserve">72 </w:t>
            </w:r>
            <w:r>
              <w:rPr>
                <w:rFonts w:ascii="Arial" w:cs="Arial" w:eastAsia="Arial" w:hAnsi="Arial"/>
                <w:sz w:val="11"/>
                <w:szCs w:val="11"/>
                <w:color w:val="auto"/>
                <w:w w:val="95"/>
              </w:rPr>
              <w:t>(CC)</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share attributable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0.31</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w:t>
            </w:r>
            <w:r>
              <w:rPr>
                <w:rFonts w:ascii="Arial" w:cs="Arial" w:eastAsia="Arial" w:hAnsi="Arial"/>
                <w:sz w:val="13"/>
                <w:szCs w:val="13"/>
                <w:color w:val="auto"/>
              </w:rPr>
              <w:t>(II)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2009</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10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Smith</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(AA)</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8,218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(209)</w:t>
            </w:r>
            <w:r>
              <w:rPr>
                <w:rFonts w:ascii="Arial" w:cs="Arial" w:eastAsia="Arial" w:hAnsi="Arial"/>
                <w:sz w:val="11"/>
                <w:szCs w:val="11"/>
                <w:color w:val="auto"/>
                <w:w w:val="93"/>
              </w:rPr>
              <w:t>(BB)</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(131)</w:t>
            </w:r>
            <w:r>
              <w:rPr>
                <w:rFonts w:ascii="Arial" w:cs="Arial" w:eastAsia="Arial" w:hAnsi="Arial"/>
                <w:sz w:val="11"/>
                <w:szCs w:val="11"/>
                <w:color w:val="auto"/>
                <w:w w:val="91"/>
              </w:rPr>
              <w:t>(CC)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17,483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5,969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1,321</w:t>
            </w:r>
          </w:p>
        </w:tc>
        <w:tc>
          <w:tcPr>
            <w:tcW w:w="26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(209)</w:t>
            </w:r>
            <w:r>
              <w:rPr>
                <w:rFonts w:ascii="Arial" w:cs="Arial" w:eastAsia="Arial" w:hAnsi="Arial"/>
                <w:sz w:val="11"/>
                <w:szCs w:val="11"/>
                <w:color w:val="auto"/>
                <w:w w:val="93"/>
              </w:rPr>
              <w:t>(BB)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(52)</w:t>
            </w:r>
            <w:r>
              <w:rPr>
                <w:rFonts w:ascii="Arial" w:cs="Arial" w:eastAsia="Arial" w:hAnsi="Arial"/>
                <w:sz w:val="11"/>
                <w:szCs w:val="11"/>
                <w:color w:val="auto"/>
                <w:w w:val="94"/>
              </w:rPr>
              <w:t>(DD)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 xml:space="preserve">194 </w:t>
            </w:r>
            <w:r>
              <w:rPr>
                <w:rFonts w:ascii="Arial" w:cs="Arial" w:eastAsia="Arial" w:hAnsi="Arial"/>
                <w:sz w:val="11"/>
                <w:szCs w:val="11"/>
                <w:color w:val="auto"/>
                <w:w w:val="91"/>
              </w:rPr>
              <w:t>(EE)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(60)</w:t>
            </w:r>
            <w:r>
              <w:rPr>
                <w:rFonts w:ascii="Arial" w:cs="Arial" w:eastAsia="Arial" w:hAnsi="Arial"/>
                <w:sz w:val="11"/>
                <w:szCs w:val="11"/>
                <w:color w:val="auto"/>
                <w:w w:val="92"/>
              </w:rPr>
              <w:t>(GG)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 xml:space="preserve">19 </w:t>
            </w:r>
            <w:r>
              <w:rPr>
                <w:rFonts w:ascii="Arial" w:cs="Arial" w:eastAsia="Arial" w:hAnsi="Arial"/>
                <w:sz w:val="11"/>
                <w:szCs w:val="11"/>
                <w:color w:val="auto"/>
                <w:w w:val="95"/>
              </w:rPr>
              <w:t>(CC)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(29)</w:t>
            </w:r>
            <w:r>
              <w:rPr>
                <w:rFonts w:ascii="Arial" w:cs="Arial" w:eastAsia="Arial" w:hAnsi="Arial"/>
                <w:sz w:val="11"/>
                <w:szCs w:val="11"/>
                <w:color w:val="auto"/>
                <w:w w:val="94"/>
              </w:rPr>
              <w:t>(HH)</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 xml:space="preserve">150 </w:t>
            </w:r>
            <w:r>
              <w:rPr>
                <w:rFonts w:ascii="Arial" w:cs="Arial" w:eastAsia="Arial" w:hAnsi="Arial"/>
                <w:sz w:val="11"/>
                <w:szCs w:val="11"/>
                <w:color w:val="auto"/>
                <w:w w:val="92"/>
              </w:rPr>
              <w:t>(CC)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500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5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per share attributable to</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0.67</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w:t>
            </w: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r>
              <w:rPr>
                <w:rFonts w:ascii="Arial" w:cs="Arial" w:eastAsia="Arial" w:hAnsi="Arial"/>
                <w:sz w:val="13"/>
                <w:szCs w:val="13"/>
                <w:color w:val="auto"/>
              </w:rPr>
              <w:t>(II)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 Description of Transaction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and gas exploration and production industry. The merger brings together the complementary drilling and measurements technologies and expertise of Schlumberger and Smith in order to facilitate the engineering of complete drilling systems which optimize all of the components of the drill string. Such systems will enable Schlumberger’s customers to achieve improved drilling efficiency, better well placement and increased wellbore assurance as they face increasingly more challenging environments. In addition, Schlumberger’s geographic footprint will facilitate the extension of joint offerings on a worldwide basis.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terms of the merger agreement, Smith became a wholly-owned subsidiary of Schlumberger. Each share of Smith common stock issued and outstanding immediately prior to the effective time of the merger was converted into the right to receive 0.6966 shares of Schlumberger common stock, with cash paid in lieu of fractional shares.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the effective time of the merger, each outstanding option to purchase Smith common stock was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was determined by multiplying the number of shares of Smith common stock underlying such Smith stock options by the 0.6966 exchange ratio, and rounding down to the nearest whole share. The exercise price per share of each converted Smith stock option was determined by dividing the per share exercise price of such stock option by the 0.6966 exchange ratio, and rounding up to the nearest whole cent. Smith stock options, whether or not then vested and exercisable, became fully vested and exercisable and assumed by Schlumberger at the effective date of the merger in accordance with preexisting change-in-control provisions. Smith stock options were converted into 0.6 million of Schlumberger stock options.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the effective time of the merger, Smith restricted stock units, whether or not then vested, became fully vested (except for grants between the date of the merger agreement and closing, which were not significant and did not automatically vest) and were converted into shares of Schlumberger common stock in connection with the merger,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merger is reflected in the unaudited pro forma condensed combined financial statements as being accounted for under the acquisition method of accounting. Under the acquisition method, the total purchase price described in Note 3 is measured at the closing date of the merger using the market price of Schlumberger common stock at that time. The assets and liabilities of Smith have been measured at fair value based on preliminary estimates using assumptions that Schlumberger management believes are reasonable utilizing information currently available. The final determination of fair value for certain assets and liabilities will be completed after the information necessary to complete the analysis is obtained. These amounts will be finalized as soon as practicable, but no later than one year from the acquisition date. Use of different estimates and judgments could yield materially different results.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Smith or the costs necessary to achieve these cost savings, operating synergies and revenue enhancements.</w:t>
      </w:r>
    </w:p>
    <w:p>
      <w:pPr>
        <w:sectPr>
          <w:pgSz w:w="11900" w:h="16838" w:orient="portrait"/>
          <w:cols w:equalWidth="0" w:num="1">
            <w:col w:w="11400"/>
          </w:cols>
          <w:pgMar w:left="240" w:top="422"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Calculation of Consideration Transferred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details the fair value of the consideration transferred to effect the acquisition of Smith.</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exchange ratio and per share amounts)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August 27, 2010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w w:val="97"/>
              </w:rPr>
              <w:t>Number of Smith unvested restricted stock units outstanding as of August 27, 2010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Multiplied by the exchange ratio</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0.6966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issued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Schlumberger common stock share price on August 27, 2010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Fair value of Schlumberger equivalent stock options issued</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 of the consideration transferred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Acquired and Liabilities Assumed</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preliminary estimate of the assets acquired and the liabilities assumed by Schlumberger in the merger, reconciled to the total fair value of the consideration transferred (in millions):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June 30, 2010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Less: Smith noncontrolling interest balance relating to M-I SWACO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Smith historical goodwill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Less: Smith historical intangible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Smith historical deferred tax liabilities relating to intangible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Less: Surviving postcombination noncontrolling interests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value of inventory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4,100</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book value of long-term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(2,068)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7,382</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color w:val="auto"/>
              </w:rPr>
              <w:t>Total fair value adjustments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affiliate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is a discussion of the adjustments made to Smith’s assets and liabilities in connection with the preparation of these unaudited pro forma condensed combined financial statements.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estimated adjustment to write up inventories to fair value is comprised of two components, approximately $117 million for 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FIFO cost and $165 million for inventories carried at LIFO cost. Commencing with the closing of the merger, all of Smith’s inventories will be carried at FIFO cost. Schlumberger’s cost of revenue will reflect this increased valuation as this inventory is sold. Accordingly, Schlumberger’s margins will be temporarily reduced in the initial periods subsequent to the merger. The impact of these inventory adjustments is not reflected in the unaudited pro forma condensed combined statement of income because they will not have a continuing impact.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fair value of identifiable intangible assets is determined primarily using the “income approach,” which requires a forecast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The fair value of the identifiable intangible assets, the related amortization expense and their weighted-average useful lives have been estimated as follows:</w:t>
      </w:r>
    </w:p>
    <w:p>
      <w:pPr>
        <w:sectPr>
          <w:pgSz w:w="11900" w:h="16838" w:orient="portrait"/>
          <w:cols w:equalWidth="0" w:num="1">
            <w:col w:w="11400"/>
          </w:cols>
          <w:pgMar w:left="240" w:top="422" w:right="259" w:bottom="1440" w:gutter="0" w:footer="0" w:header="0"/>
        </w:sectPr>
      </w:pPr>
    </w:p>
    <w:bookmarkStart w:id="9" w:name="page10"/>
    <w:bookmarkEnd w:id="9"/>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Weighted Average</w:t>
            </w:r>
          </w:p>
        </w:tc>
        <w:tc>
          <w:tcPr>
            <w:tcW w:w="8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4"/>
              </w:rPr>
              <w:t>Annual Amortization</w:t>
            </w:r>
          </w:p>
        </w:tc>
      </w:tr>
      <w:tr>
        <w:trPr>
          <w:trHeight w:val="161"/>
        </w:trPr>
        <w:tc>
          <w:tcPr>
            <w:tcW w:w="4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7"/>
              </w:rPr>
              <w:t>Estimated Useful Life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Expense</w:t>
            </w:r>
          </w:p>
        </w:tc>
      </w:tr>
      <w:tr>
        <w:trPr>
          <w:trHeight w:val="142"/>
        </w:trPr>
        <w:tc>
          <w:tcPr>
            <w:tcW w:w="45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80" w:type="dxa"/>
            <w:vAlign w:val="bottom"/>
          </w:tcPr>
          <w:p>
            <w:pPr>
              <w:spacing w:after="0"/>
              <w:rPr>
                <w:sz w:val="12"/>
                <w:szCs w:val="12"/>
                <w:color w:val="auto"/>
              </w:rPr>
            </w:pPr>
          </w:p>
        </w:tc>
        <w:tc>
          <w:tcPr>
            <w:tcW w:w="126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(in years)</w:t>
            </w: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4,100</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The carrying value of Smith’s long-term debt was remeasured to its fair value as of the closing of the merger.</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Deferred tax liabilities: </w:t>
      </w:r>
      <w:r>
        <w:rPr>
          <w:rFonts w:ascii="Arial" w:cs="Arial" w:eastAsia="Arial" w:hAnsi="Arial"/>
          <w:sz w:val="18"/>
          <w:szCs w:val="18"/>
          <w:color w:val="auto"/>
        </w:rPr>
        <w:t>As of the effective date of the merger, adjustments are made for deferred taxes as part of the accounting for the acquisition.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reflects the estimated deferred tax liability impact of the acquisition on the balance sheet, primarily relating to estimated fair value adjustments for acquired inventory, intangible assets and long-term debt. For purposes of these unaudited pro forma condensed combined financial statements, these deferred taxes are provided at the 35% U.S. federal statutory income tax rate.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included in the provisions for deferred taxes are amounts relating to the outside basis difference associated with shares in certain Smith non-US subsidiaries for which no taxes have previously been provided. Schlumberger expects to reverse the outside basis difference primarily through the reorganization of those subsidiaries as well as through repatriating earnings in lieu of permanently reinvesting them. In this regard, Schlumberger is in the process of assessing certain factors that impact the ultimate amount of deferred taxes to be recorded. The amount of deferred taxes recorded will likely be revised after this assessment is completed. Any revision to the amount of deferred taxes recorded will impact the amount of goodwill recorded.</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Gain on investment in affiliate: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M-I SWACO, a drilling fluids joint venture that is 40% owned by Schlumberger and 60% owned by Smith.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fair value of the consideration transferred and the values assigned to the identifiable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and liabilities assumed. Goodwill is not amortized, but rather is subject to impairment testing on at least an annual basis.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a difference in basis between Smith’s noncontrolling interest balance relating to M-I SWACO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M-I SWACO.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in connection with Smith revenue relating to Schlumberger.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acquired inventory to an estimate of fair value. Schlumberger’s cost of revenue will reflect the increased valuation of Smith’s inventory as the acquired inventory is sold. This adjustment does not have a continuing impact on the combined operating results and as such, it is not included in the unaudited pro forma condensed combined statement of income.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Schlumberger’s investment in M-I SWACO.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Smith’s historical goodwill.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Smith’s historical intangible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See Note 4 for further details.</w:t>
      </w:r>
    </w:p>
    <w:p>
      <w:pPr>
        <w:sectPr>
          <w:pgSz w:w="11900" w:h="16838" w:orient="portrait"/>
          <w:cols w:equalWidth="0" w:num="1">
            <w:col w:w="11380"/>
          </w:cols>
          <w:pgMar w:left="240" w:top="330" w:right="279" w:bottom="1440" w:gutter="0" w:footer="0" w:header="0"/>
        </w:sectPr>
      </w:pPr>
    </w:p>
    <w:bookmarkStart w:id="10" w:name="page11"/>
    <w:bookmarkEnd w:id="10"/>
    <w:p>
      <w:pPr>
        <w:ind w:left="900" w:right="160" w:hanging="446"/>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an estimate of Schlumberger’s remaining merger-related transaction costs to be incurred,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Smith subsequent to June 30, 2010, which were approximately $50 million.</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an adjustment to increase the carrying value of Smith’s long-term debt to its estimated fair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an adjustment to eliminate deferred tax liabilities associated with Smith’s preacquisition intangible assets and goodwill.</w:t>
      </w:r>
    </w:p>
    <w:p>
      <w:pPr>
        <w:spacing w:after="0" w:line="9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adjustment to deferred tax liabilities represents the estimated deferred tax liability based on the U.S. federal statutory tax rate of 35% multiplied by the fair value adjustments made to assets acquired and liabilities assumed, excluding goodwill, as calculated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Establish deferred tax liabilities (assets) for the following (in millions):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Identified intangible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$4,100</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inventory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Increase in the basis of long-term debt</w:t>
            </w:r>
          </w:p>
        </w:tc>
        <w:tc>
          <w:tcPr>
            <w:tcW w:w="10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r>
      <w:tr>
        <w:trPr>
          <w:trHeight w:val="216"/>
        </w:trPr>
        <w:tc>
          <w:tcPr>
            <w:tcW w:w="6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10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100" w:hanging="446"/>
        <w:spacing w:after="0" w:line="318"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a provision for deferred taxes relating to the outside basis difference associated with shares in certain Smith non-US subsidiaries for which no taxes have previously been provided. Schlumberger expects to reverse the outside basis difference primarily through the reorganization of those subsidiaries as well as through repatriating earnings in lieu of permanently reinvesting them. In this regard, Schlumberger is in the process of assessing certain factors that impact the ultimate amount of deferred taxes to be recorded. The amount of deferred taxes recorded will likely be revised after this assessment is completed. Any revision to the amount of deferred taxes recorded will impact the amount of goodwill recorded.</w:t>
      </w:r>
    </w:p>
    <w:p>
      <w:pPr>
        <w:spacing w:after="0" w:line="18" w:lineRule="exact"/>
        <w:rPr>
          <w:rFonts w:ascii="Arial" w:cs="Arial" w:eastAsia="Arial" w:hAnsi="Arial"/>
          <w:sz w:val="15"/>
          <w:szCs w:val="15"/>
          <w:color w:val="auto"/>
        </w:rPr>
      </w:pPr>
    </w:p>
    <w:p>
      <w:pPr>
        <w:ind w:left="900" w:right="4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fair value adjustment associated with Schlumberger’s previously held equity interest in the M-I SWACO joint venture, resulting in an estimated after-tax gain of $1.251 billion, net of deferred taxes of $31 million. Because this adjustment will not have a continuing impact, it is excluded from the unaudited pro forma condensed combined statement of income. See Note 4 for further details.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adjustments to eliminate Smith’s historical equity balances.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record merger consideration at fair value. See Note 4 for further details.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Smith’s noncontrolling interest balance relating to the M-I SWACO joint venture with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Income Statement</w:t>
      </w:r>
    </w:p>
    <w:p>
      <w:pPr>
        <w:spacing w:after="0" w:line="96" w:lineRule="exact"/>
        <w:rPr>
          <w:sz w:val="20"/>
          <w:szCs w:val="20"/>
          <w:color w:val="auto"/>
        </w:rPr>
      </w:pPr>
    </w:p>
    <w:p>
      <w:pPr>
        <w:ind w:left="1140" w:right="8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90" w:lineRule="exact"/>
        <w:rPr>
          <w:rFonts w:ascii="Arial" w:cs="Arial" w:eastAsia="Arial" w:hAnsi="Arial"/>
          <w:sz w:val="18"/>
          <w:szCs w:val="18"/>
          <w:color w:val="auto"/>
        </w:rPr>
      </w:pPr>
    </w:p>
    <w:p>
      <w:pPr>
        <w:ind w:left="1140" w:hanging="565"/>
        <w:spacing w:after="0" w:line="294"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the M-I SWACO joint venture as well as Smith’s corresponding noncontrolling interest in the net income of the venture, respectively. This joint venture is structured as a partnership in the U.S. Smith consolidates the results of M-I SWACO and, as such, has reflected the pretax income of the entire joint venture (including the U.S. partnership), and has appropriately not recorded income taxes associated with Schlumberger’s 40% interest in the U.S. partnership. Therefore, an adjustment is required to reclassify these additional taxes which were previously reflected as a component of Schlumberger’s equity income.</w:t>
      </w:r>
    </w:p>
    <w:p>
      <w:pPr>
        <w:sectPr>
          <w:pgSz w:w="11900" w:h="16838" w:orient="portrait"/>
          <w:cols w:equalWidth="0" w:num="1">
            <w:col w:w="11380"/>
          </w:cols>
          <w:pgMar w:left="240" w:top="293" w:right="279" w:bottom="1440" w:gutter="0" w:footer="0" w:header="0"/>
        </w:sectPr>
      </w:pPr>
    </w:p>
    <w:bookmarkStart w:id="11" w:name="page12"/>
    <w:bookmarkEnd w:id="11"/>
    <w:p>
      <w:pPr>
        <w:ind w:left="565" w:hanging="565"/>
        <w:spacing w:after="0"/>
        <w:tabs>
          <w:tab w:leader="none" w:pos="56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eliminate Smith’s historical intangible asset amortization expense.</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90" w:lineRule="exact"/>
        <w:rPr>
          <w:rFonts w:ascii="Arial" w:cs="Arial" w:eastAsia="Arial" w:hAnsi="Arial"/>
          <w:sz w:val="18"/>
          <w:szCs w:val="18"/>
          <w:color w:val="auto"/>
        </w:rPr>
      </w:pPr>
    </w:p>
    <w:p>
      <w:pPr>
        <w:ind w:left="565" w:right="40" w:hanging="565"/>
        <w:spacing w:after="0" w:line="332" w:lineRule="auto"/>
        <w:tabs>
          <w:tab w:leader="none" w:pos="56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merger related advisory and legal fees incurred by both Schlumberger and Smith during the six months ended June 30, 2010 which do not have a continuing impact and therefore are not reflected in the unaudited pro forma condensed combined statement of income.</w:t>
      </w:r>
    </w:p>
    <w:p>
      <w:pPr>
        <w:spacing w:after="0" w:line="4" w:lineRule="exact"/>
        <w:rPr>
          <w:rFonts w:ascii="Arial" w:cs="Arial" w:eastAsia="Arial" w:hAnsi="Arial"/>
          <w:sz w:val="16"/>
          <w:szCs w:val="16"/>
          <w:color w:val="auto"/>
        </w:rPr>
      </w:pPr>
    </w:p>
    <w:p>
      <w:pPr>
        <w:ind w:left="565" w:right="80" w:hanging="565"/>
        <w:spacing w:after="0" w:line="268" w:lineRule="auto"/>
        <w:tabs>
          <w:tab w:leader="none" w:pos="5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amortization associated with the fair value adjustment to increase Smith’s fixed rate long-term debt, over the weighted-average remaining term of the obligations.</w:t>
      </w:r>
    </w:p>
    <w:p>
      <w:pPr>
        <w:spacing w:after="0" w:line="50" w:lineRule="exact"/>
        <w:rPr>
          <w:rFonts w:ascii="Arial" w:cs="Arial" w:eastAsia="Arial" w:hAnsi="Arial"/>
          <w:sz w:val="18"/>
          <w:szCs w:val="18"/>
          <w:color w:val="auto"/>
        </w:rPr>
      </w:pPr>
    </w:p>
    <w:p>
      <w:pPr>
        <w:ind w:left="565" w:hanging="565"/>
        <w:spacing w:after="0" w:line="306" w:lineRule="auto"/>
        <w:tabs>
          <w:tab w:leader="none" w:pos="565" w:val="left"/>
        </w:tabs>
        <w:numPr>
          <w:ilvl w:val="0"/>
          <w:numId w:val="9"/>
        </w:numPr>
        <w:rPr>
          <w:rFonts w:ascii="Arial" w:cs="Arial" w:eastAsia="Arial" w:hAnsi="Arial"/>
          <w:sz w:val="16"/>
          <w:szCs w:val="16"/>
          <w:color w:val="auto"/>
        </w:rPr>
      </w:pPr>
      <w:r>
        <w:rPr>
          <w:rFonts w:ascii="Arial" w:cs="Arial" w:eastAsia="Arial" w:hAnsi="Arial"/>
          <w:sz w:val="16"/>
          <w:szCs w:val="16"/>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26" w:lineRule="exact"/>
        <w:rPr>
          <w:sz w:val="20"/>
          <w:szCs w:val="20"/>
          <w:color w:val="auto"/>
        </w:rPr>
      </w:pPr>
    </w:p>
    <w:p>
      <w:pPr>
        <w:ind w:left="765"/>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p>
      <w:pPr>
        <w:spacing w:after="0" w:line="195" w:lineRule="exact"/>
        <w:rPr>
          <w:sz w:val="20"/>
          <w:szCs w:val="20"/>
          <w:color w:val="auto"/>
        </w:rPr>
      </w:pPr>
    </w:p>
    <w:tbl>
      <w:tblPr>
        <w:tblLayout w:type="fixed"/>
        <w:tblInd w:w="805"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Year Ended</w:t>
            </w:r>
          </w:p>
        </w:tc>
        <w:tc>
          <w:tcPr>
            <w:tcW w:w="178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fair value adjustment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Pro forma incremental expenses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5" w:hanging="565"/>
        <w:spacing w:after="0"/>
        <w:tabs>
          <w:tab w:leader="none" w:pos="5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adjusted weighted-average shares outstanding calculated as follows (in millions):</w:t>
      </w:r>
    </w:p>
    <w:p>
      <w:pPr>
        <w:spacing w:after="0" w:line="195" w:lineRule="exact"/>
        <w:rPr>
          <w:sz w:val="20"/>
          <w:szCs w:val="20"/>
          <w:color w:val="auto"/>
        </w:rPr>
      </w:pPr>
    </w:p>
    <w:tbl>
      <w:tblPr>
        <w:tblLayout w:type="fixed"/>
        <w:tblInd w:w="345"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120" w:type="dxa"/>
            <w:vAlign w:val="bottom"/>
          </w:tcPr>
          <w:p>
            <w:pPr>
              <w:spacing w:after="0"/>
              <w:rPr>
                <w:sz w:val="14"/>
                <w:szCs w:val="1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2009</w:t>
            </w:r>
          </w:p>
        </w:tc>
        <w:tc>
          <w:tcPr>
            <w:tcW w:w="44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 2010</w:t>
            </w:r>
          </w:p>
        </w:tc>
      </w:tr>
      <w:tr>
        <w:trPr>
          <w:trHeight w:val="129"/>
        </w:trPr>
        <w:tc>
          <w:tcPr>
            <w:tcW w:w="6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Assuming</w:t>
            </w:r>
          </w:p>
        </w:tc>
        <w:tc>
          <w:tcPr>
            <w:tcW w:w="4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Assuming</w:t>
            </w:r>
          </w:p>
        </w:tc>
        <w:tc>
          <w:tcPr>
            <w:tcW w:w="100" w:type="dxa"/>
            <w:vAlign w:val="bottom"/>
          </w:tcPr>
          <w:p>
            <w:pPr>
              <w:spacing w:after="0"/>
              <w:rPr>
                <w:sz w:val="11"/>
                <w:szCs w:val="11"/>
                <w:color w:val="auto"/>
              </w:rPr>
            </w:pPr>
          </w:p>
        </w:tc>
      </w:tr>
      <w:tr>
        <w:trPr>
          <w:trHeight w:val="161"/>
        </w:trPr>
        <w:tc>
          <w:tcPr>
            <w:tcW w:w="6120" w:type="dxa"/>
            <w:vAlign w:val="bottom"/>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Basic</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Dilution</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Basic</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Dilution</w:t>
            </w:r>
          </w:p>
        </w:tc>
        <w:tc>
          <w:tcPr>
            <w:tcW w:w="10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r>
      <w:tr>
        <w:trPr>
          <w:trHeight w:val="27"/>
        </w:trPr>
        <w:tc>
          <w:tcPr>
            <w:tcW w:w="6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765"/>
        <w:spacing w:after="0"/>
        <w:rPr>
          <w:sz w:val="20"/>
          <w:szCs w:val="20"/>
          <w:color w:val="auto"/>
        </w:rPr>
      </w:pPr>
      <w:r>
        <w:rPr>
          <w:rFonts w:ascii="Arial" w:cs="Arial" w:eastAsia="Arial" w:hAnsi="Arial"/>
          <w:sz w:val="18"/>
          <w:szCs w:val="18"/>
          <w:color w:val="auto"/>
        </w:rPr>
        <w:t>The dilutive effect of Smith stock options that will be converted into Schlumberger stock options is not significant.</w:t>
      </w:r>
    </w:p>
    <w:sectPr>
      <w:pgSz w:w="11900" w:h="16838" w:orient="portrait"/>
      <w:cols w:equalWidth="0" w:num="1">
        <w:col w:w="10645"/>
      </w:cols>
      <w:pgMar w:left="815"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upperLetter"/>
      <w:start w:val="8"/>
    </w:lvl>
  </w:abstractNum>
  <w:abstractNum w:abstractNumId="6">
    <w:nsid w:val="515F007C"/>
    <w:multiLevelType w:val="hybridMultilevel"/>
    <w:lvl w:ilvl="0">
      <w:lvlJc w:val="left"/>
      <w:lvlText w:val="(%1)"/>
      <w:numFmt w:val="upperLetter"/>
      <w:start w:val="12"/>
    </w:lvl>
  </w:abstractNum>
  <w:abstractNum w:abstractNumId="7">
    <w:nsid w:val="5BD062C2"/>
    <w:multiLevelType w:val="hybridMultilevel"/>
    <w:lvl w:ilvl="0">
      <w:lvlJc w:val="left"/>
      <w:lvlText w:val="(%1)"/>
      <w:numFmt w:val="upperLetter"/>
      <w:start w:val="27"/>
    </w:lvl>
  </w:abstractNum>
  <w:abstractNum w:abstractNumId="8">
    <w:nsid w:val="12200854"/>
    <w:multiLevelType w:val="hybridMultilevel"/>
    <w:lvl w:ilvl="0">
      <w:lvlJc w:val="left"/>
      <w:lvlText w:val="(%1)"/>
      <w:numFmt w:val="upperLetter"/>
      <w:start w:val="30"/>
    </w:lvl>
  </w:abstractNum>
  <w:abstractNum w:abstractNumId="9">
    <w:nsid w:val="4DB127F8"/>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2019-12-10T03:05:04Z</dcterms:created>
  <dcterms:modified xsi:type="dcterms:W3CDTF">2019-12-10T03:05:04Z</dcterms:modified>
</cp:coreProperties>
</file>