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134620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151765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54" w:lineRule="exact"/>
        <w:rPr>
          <w:sz w:val="24"/>
          <w:szCs w:val="24"/>
          <w:color w:val="auto"/>
        </w:rPr>
      </w:pPr>
    </w:p>
    <w:p>
      <w:pPr>
        <w:ind w:left="5328"/>
        <w:spacing w:after="0"/>
        <w:rPr>
          <w:sz w:val="20"/>
          <w:szCs w:val="20"/>
          <w:color w:val="auto"/>
        </w:rPr>
      </w:pPr>
      <w:r>
        <w:rPr>
          <w:rFonts w:ascii="Arial" w:cs="Arial" w:eastAsia="Arial" w:hAnsi="Arial"/>
          <w:sz w:val="12"/>
          <w:szCs w:val="12"/>
          <w:b w:val="1"/>
          <w:bCs w:val="1"/>
          <w:color w:val="auto"/>
        </w:rPr>
        <w:t>SCHEDULE TO</w:t>
      </w:r>
    </w:p>
    <w:p>
      <w:pPr>
        <w:spacing w:after="0" w:line="60" w:lineRule="exact"/>
        <w:rPr>
          <w:sz w:val="24"/>
          <w:szCs w:val="24"/>
          <w:color w:val="auto"/>
        </w:rPr>
      </w:pPr>
    </w:p>
    <w:p>
      <w:pPr>
        <w:ind w:left="5148"/>
        <w:spacing w:after="0"/>
        <w:rPr>
          <w:sz w:val="20"/>
          <w:szCs w:val="20"/>
          <w:color w:val="auto"/>
        </w:rPr>
      </w:pPr>
      <w:r>
        <w:rPr>
          <w:rFonts w:ascii="Arial" w:cs="Arial" w:eastAsia="Arial" w:hAnsi="Arial"/>
          <w:sz w:val="12"/>
          <w:szCs w:val="12"/>
          <w:b w:val="1"/>
          <w:bCs w:val="1"/>
          <w:color w:val="auto"/>
        </w:rPr>
        <w:t>Tender Offer Statement</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under Section 14(d)(1) or 13(e)(1) of the Securities Exchange Act of 1934</w:t>
      </w:r>
    </w:p>
    <w:p>
      <w:pPr>
        <w:spacing w:after="0" w:line="54" w:lineRule="exact"/>
        <w:rPr>
          <w:sz w:val="24"/>
          <w:szCs w:val="24"/>
          <w:color w:val="auto"/>
        </w:rPr>
      </w:pPr>
    </w:p>
    <w:p>
      <w:pPr>
        <w:ind w:left="5068"/>
        <w:spacing w:after="0"/>
        <w:tabs>
          <w:tab w:leader="none" w:pos="6288" w:val="left"/>
        </w:tabs>
        <w:rPr>
          <w:sz w:val="20"/>
          <w:szCs w:val="20"/>
          <w:color w:val="auto"/>
        </w:rPr>
      </w:pPr>
      <w:r>
        <w:rPr>
          <w:rFonts w:ascii="Arial" w:cs="Arial" w:eastAsia="Arial" w:hAnsi="Arial"/>
          <w:sz w:val="12"/>
          <w:szCs w:val="12"/>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60" w:lineRule="exact"/>
        <w:rPr>
          <w:sz w:val="24"/>
          <w:szCs w:val="24"/>
          <w:color w:val="auto"/>
        </w:rPr>
      </w:pPr>
    </w:p>
    <w:tbl>
      <w:tblPr>
        <w:tblLayout w:type="fixed"/>
        <w:tblInd w:w="8" w:type="dxa"/>
        <w:tblCellMar>
          <w:top w:w="0" w:type="dxa"/>
          <w:left w:w="0" w:type="dxa"/>
          <w:bottom w:w="0" w:type="dxa"/>
          <w:right w:w="0" w:type="dxa"/>
        </w:tblCellMar>
      </w:tblPr>
      <w:tr>
        <w:trPr>
          <w:trHeight w:val="143"/>
        </w:trPr>
        <w:tc>
          <w:tcPr>
            <w:tcW w:w="3720" w:type="dxa"/>
            <w:vAlign w:val="bottom"/>
          </w:tcPr>
          <w:p>
            <w:pPr>
              <w:spacing w:after="0"/>
              <w:rPr>
                <w:sz w:val="12"/>
                <w:szCs w:val="12"/>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89"/>
              </w:rPr>
              <w:t>Schlumberger N.V. (Schlumberger Limited)</w:t>
            </w:r>
          </w:p>
        </w:tc>
      </w:tr>
      <w:tr>
        <w:trPr>
          <w:trHeight w:val="116"/>
        </w:trPr>
        <w:tc>
          <w:tcPr>
            <w:tcW w:w="3720" w:type="dxa"/>
            <w:vAlign w:val="bottom"/>
          </w:tcPr>
          <w:p>
            <w:pPr>
              <w:spacing w:after="0"/>
              <w:rPr>
                <w:sz w:val="10"/>
                <w:szCs w:val="10"/>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9"/>
                <w:szCs w:val="9"/>
                <w:b w:val="1"/>
                <w:bCs w:val="1"/>
                <w:color w:val="auto"/>
                <w:w w:val="90"/>
              </w:rPr>
              <w:t>(Name of Subject Company (issuer))</w:t>
            </w:r>
          </w:p>
        </w:tc>
      </w:tr>
      <w:tr>
        <w:trPr>
          <w:trHeight w:val="181"/>
        </w:trPr>
        <w:tc>
          <w:tcPr>
            <w:tcW w:w="3720" w:type="dxa"/>
            <w:vAlign w:val="bottom"/>
          </w:tcPr>
          <w:p>
            <w:pPr>
              <w:spacing w:after="0"/>
              <w:rPr>
                <w:sz w:val="15"/>
                <w:szCs w:val="15"/>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89"/>
              </w:rPr>
              <w:t>Schlumberger N.V. (Schlumberger Limited)</w:t>
            </w:r>
          </w:p>
        </w:tc>
      </w:tr>
      <w:tr>
        <w:trPr>
          <w:trHeight w:val="116"/>
        </w:trPr>
        <w:tc>
          <w:tcPr>
            <w:tcW w:w="3720" w:type="dxa"/>
            <w:vAlign w:val="bottom"/>
          </w:tcPr>
          <w:p>
            <w:pPr>
              <w:spacing w:after="0"/>
              <w:rPr>
                <w:sz w:val="10"/>
                <w:szCs w:val="10"/>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9"/>
                <w:szCs w:val="9"/>
                <w:b w:val="1"/>
                <w:bCs w:val="1"/>
                <w:color w:val="auto"/>
                <w:w w:val="88"/>
              </w:rPr>
              <w:t>(Names of Filing Persons (issuer))</w:t>
            </w:r>
          </w:p>
        </w:tc>
      </w:tr>
      <w:tr>
        <w:trPr>
          <w:trHeight w:val="181"/>
        </w:trPr>
        <w:tc>
          <w:tcPr>
            <w:tcW w:w="3720" w:type="dxa"/>
            <w:vAlign w:val="bottom"/>
          </w:tcPr>
          <w:p>
            <w:pPr>
              <w:spacing w:after="0"/>
              <w:rPr>
                <w:sz w:val="15"/>
                <w:szCs w:val="15"/>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8"/>
              </w:rPr>
              <w:t>2.125% Series B Convertible Debentures Due 2023</w:t>
            </w:r>
          </w:p>
        </w:tc>
      </w:tr>
      <w:tr>
        <w:trPr>
          <w:trHeight w:val="116"/>
        </w:trPr>
        <w:tc>
          <w:tcPr>
            <w:tcW w:w="3720" w:type="dxa"/>
            <w:vAlign w:val="bottom"/>
          </w:tcPr>
          <w:p>
            <w:pPr>
              <w:spacing w:after="0"/>
              <w:rPr>
                <w:sz w:val="10"/>
                <w:szCs w:val="10"/>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9"/>
                <w:szCs w:val="9"/>
                <w:b w:val="1"/>
                <w:bCs w:val="1"/>
                <w:color w:val="auto"/>
                <w:w w:val="89"/>
              </w:rPr>
              <w:t>(Title of Class of Debentures)</w:t>
            </w:r>
          </w:p>
        </w:tc>
      </w:tr>
      <w:tr>
        <w:trPr>
          <w:trHeight w:val="182"/>
        </w:trPr>
        <w:tc>
          <w:tcPr>
            <w:tcW w:w="3720" w:type="dxa"/>
            <w:vAlign w:val="bottom"/>
          </w:tcPr>
          <w:p>
            <w:pPr>
              <w:spacing w:after="0"/>
              <w:rPr>
                <w:sz w:val="15"/>
                <w:szCs w:val="15"/>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90"/>
              </w:rPr>
              <w:t>806857 AA 6</w:t>
            </w:r>
          </w:p>
        </w:tc>
      </w:tr>
      <w:tr>
        <w:trPr>
          <w:trHeight w:val="143"/>
        </w:trPr>
        <w:tc>
          <w:tcPr>
            <w:tcW w:w="3720" w:type="dxa"/>
            <w:vAlign w:val="bottom"/>
          </w:tcPr>
          <w:p>
            <w:pPr>
              <w:spacing w:after="0"/>
              <w:rPr>
                <w:sz w:val="12"/>
                <w:szCs w:val="12"/>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90"/>
              </w:rPr>
              <w:t>806857 AD 0</w:t>
            </w:r>
          </w:p>
        </w:tc>
      </w:tr>
      <w:tr>
        <w:trPr>
          <w:trHeight w:val="116"/>
        </w:trPr>
        <w:tc>
          <w:tcPr>
            <w:tcW w:w="3720" w:type="dxa"/>
            <w:vAlign w:val="bottom"/>
          </w:tcPr>
          <w:p>
            <w:pPr>
              <w:spacing w:after="0"/>
              <w:rPr>
                <w:sz w:val="10"/>
                <w:szCs w:val="10"/>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9"/>
                <w:szCs w:val="9"/>
                <w:b w:val="1"/>
                <w:bCs w:val="1"/>
                <w:color w:val="auto"/>
                <w:w w:val="91"/>
              </w:rPr>
              <w:t>(CUSIP Number of Class of Debentures)</w:t>
            </w:r>
          </w:p>
        </w:tc>
      </w:tr>
      <w:tr>
        <w:trPr>
          <w:trHeight w:val="182"/>
        </w:trPr>
        <w:tc>
          <w:tcPr>
            <w:tcW w:w="3720" w:type="dxa"/>
            <w:vAlign w:val="bottom"/>
          </w:tcPr>
          <w:p>
            <w:pPr>
              <w:spacing w:after="0"/>
              <w:rPr>
                <w:sz w:val="15"/>
                <w:szCs w:val="15"/>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8"/>
              </w:rPr>
              <w:t>Alexander Juden</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87"/>
              </w:rPr>
              <w:t>Secretary and General Counsel</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9"/>
              </w:rPr>
              <w:t>Schlumberger Limited</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9"/>
              </w:rPr>
              <w:t>5599 San Felipe, 17th Floor</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85"/>
              </w:rPr>
              <w:t>Houston, Texas 77056</w:t>
            </w:r>
          </w:p>
        </w:tc>
      </w:tr>
      <w:tr>
        <w:trPr>
          <w:trHeight w:val="143"/>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90"/>
              </w:rPr>
              <w:t>(713) 513-2000</w:t>
            </w:r>
          </w:p>
        </w:tc>
      </w:tr>
      <w:tr>
        <w:trPr>
          <w:trHeight w:val="99"/>
        </w:trPr>
        <w:tc>
          <w:tcPr>
            <w:tcW w:w="3720" w:type="dxa"/>
            <w:vAlign w:val="bottom"/>
          </w:tcPr>
          <w:p>
            <w:pPr>
              <w:spacing w:after="0"/>
              <w:rPr>
                <w:sz w:val="8"/>
                <w:szCs w:val="8"/>
                <w:color w:val="auto"/>
              </w:rPr>
            </w:pPr>
          </w:p>
        </w:tc>
        <w:tc>
          <w:tcPr>
            <w:tcW w:w="7760" w:type="dxa"/>
            <w:vAlign w:val="bottom"/>
            <w:gridSpan w:val="2"/>
          </w:tcPr>
          <w:p>
            <w:pPr>
              <w:jc w:val="center"/>
              <w:ind w:right="3688"/>
              <w:spacing w:after="0" w:line="99" w:lineRule="exact"/>
              <w:rPr>
                <w:sz w:val="20"/>
                <w:szCs w:val="20"/>
                <w:color w:val="auto"/>
              </w:rPr>
            </w:pPr>
            <w:r>
              <w:rPr>
                <w:rFonts w:ascii="Arial" w:cs="Arial" w:eastAsia="Arial" w:hAnsi="Arial"/>
                <w:sz w:val="9"/>
                <w:szCs w:val="9"/>
                <w:b w:val="1"/>
                <w:bCs w:val="1"/>
                <w:color w:val="auto"/>
                <w:w w:val="89"/>
              </w:rPr>
              <w:t>(Name, Address and Telephone Number of Person Authorized to Receive Notices</w:t>
            </w:r>
          </w:p>
        </w:tc>
      </w:tr>
      <w:tr>
        <w:trPr>
          <w:trHeight w:val="116"/>
        </w:trPr>
        <w:tc>
          <w:tcPr>
            <w:tcW w:w="3720" w:type="dxa"/>
            <w:vAlign w:val="bottom"/>
          </w:tcPr>
          <w:p>
            <w:pPr>
              <w:spacing w:after="0"/>
              <w:rPr>
                <w:sz w:val="10"/>
                <w:szCs w:val="10"/>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9"/>
                <w:szCs w:val="9"/>
                <w:b w:val="1"/>
                <w:bCs w:val="1"/>
                <w:color w:val="auto"/>
                <w:w w:val="88"/>
              </w:rPr>
              <w:t>and Communications on Behalf of Filing Persons)</w:t>
            </w:r>
          </w:p>
        </w:tc>
      </w:tr>
      <w:tr>
        <w:trPr>
          <w:trHeight w:val="188"/>
        </w:trPr>
        <w:tc>
          <w:tcPr>
            <w:tcW w:w="3720" w:type="dxa"/>
            <w:vAlign w:val="bottom"/>
          </w:tcPr>
          <w:p>
            <w:pPr>
              <w:spacing w:after="0"/>
              <w:rPr>
                <w:sz w:val="16"/>
                <w:szCs w:val="16"/>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i w:val="1"/>
                <w:iCs w:val="1"/>
                <w:color w:val="auto"/>
                <w:w w:val="89"/>
              </w:rPr>
              <w:t>Copy to:</w:t>
            </w:r>
          </w:p>
        </w:tc>
      </w:tr>
      <w:tr>
        <w:trPr>
          <w:trHeight w:val="192"/>
        </w:trPr>
        <w:tc>
          <w:tcPr>
            <w:tcW w:w="3720" w:type="dxa"/>
            <w:vAlign w:val="bottom"/>
          </w:tcPr>
          <w:p>
            <w:pPr>
              <w:spacing w:after="0"/>
              <w:rPr>
                <w:sz w:val="16"/>
                <w:szCs w:val="16"/>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92"/>
              </w:rPr>
              <w:t>J. David Kirkland, Jr.</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90"/>
              </w:rPr>
              <w:t>Baker Botts L.L.P.</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7"/>
              </w:rPr>
              <w:t>One Shell Plaza</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88"/>
              </w:rPr>
              <w:t>910 Louisiana</w:t>
            </w:r>
          </w:p>
        </w:tc>
      </w:tr>
      <w:tr>
        <w:trPr>
          <w:trHeight w:val="144"/>
        </w:trPr>
        <w:tc>
          <w:tcPr>
            <w:tcW w:w="3720" w:type="dxa"/>
            <w:vAlign w:val="bottom"/>
          </w:tcPr>
          <w:p>
            <w:pPr>
              <w:spacing w:after="0"/>
              <w:rPr>
                <w:sz w:val="12"/>
                <w:szCs w:val="12"/>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86"/>
              </w:rPr>
              <w:t>Houston, Texas 77002-4995</w:t>
            </w:r>
          </w:p>
        </w:tc>
      </w:tr>
      <w:tr>
        <w:trPr>
          <w:trHeight w:val="150"/>
        </w:trPr>
        <w:tc>
          <w:tcPr>
            <w:tcW w:w="3720" w:type="dxa"/>
            <w:vAlign w:val="bottom"/>
          </w:tcPr>
          <w:p>
            <w:pPr>
              <w:spacing w:after="0"/>
              <w:rPr>
                <w:sz w:val="13"/>
                <w:szCs w:val="13"/>
                <w:color w:val="auto"/>
              </w:rPr>
            </w:pPr>
          </w:p>
        </w:tc>
        <w:tc>
          <w:tcPr>
            <w:tcW w:w="7760" w:type="dxa"/>
            <w:vAlign w:val="bottom"/>
            <w:gridSpan w:val="2"/>
          </w:tcPr>
          <w:p>
            <w:pPr>
              <w:jc w:val="center"/>
              <w:ind w:right="3688"/>
              <w:spacing w:after="0"/>
              <w:rPr>
                <w:sz w:val="20"/>
                <w:szCs w:val="20"/>
                <w:color w:val="auto"/>
              </w:rPr>
            </w:pPr>
            <w:r>
              <w:rPr>
                <w:rFonts w:ascii="Arial" w:cs="Arial" w:eastAsia="Arial" w:hAnsi="Arial"/>
                <w:sz w:val="12"/>
                <w:szCs w:val="12"/>
                <w:b w:val="1"/>
                <w:bCs w:val="1"/>
                <w:color w:val="auto"/>
                <w:w w:val="90"/>
              </w:rPr>
              <w:t>(713) 229-1234</w:t>
            </w:r>
          </w:p>
        </w:tc>
      </w:tr>
      <w:tr>
        <w:trPr>
          <w:trHeight w:val="198"/>
        </w:trPr>
        <w:tc>
          <w:tcPr>
            <w:tcW w:w="3720" w:type="dxa"/>
            <w:vAlign w:val="bottom"/>
          </w:tcPr>
          <w:p>
            <w:pPr>
              <w:spacing w:after="0"/>
              <w:rPr>
                <w:sz w:val="17"/>
                <w:szCs w:val="17"/>
                <w:color w:val="auto"/>
              </w:rPr>
            </w:pPr>
          </w:p>
        </w:tc>
        <w:tc>
          <w:tcPr>
            <w:tcW w:w="7760" w:type="dxa"/>
            <w:vAlign w:val="bottom"/>
            <w:gridSpan w:val="2"/>
          </w:tcPr>
          <w:p>
            <w:pPr>
              <w:jc w:val="center"/>
              <w:ind w:right="3668"/>
              <w:spacing w:after="0"/>
              <w:rPr>
                <w:sz w:val="20"/>
                <w:szCs w:val="20"/>
                <w:color w:val="auto"/>
              </w:rPr>
            </w:pPr>
            <w:r>
              <w:rPr>
                <w:rFonts w:ascii="Arial" w:cs="Arial" w:eastAsia="Arial" w:hAnsi="Arial"/>
                <w:sz w:val="12"/>
                <w:szCs w:val="12"/>
                <w:b w:val="1"/>
                <w:bCs w:val="1"/>
                <w:color w:val="auto"/>
                <w:w w:val="99"/>
              </w:rPr>
              <w:t>CALCULATION OF FILING FEE</w:t>
            </w:r>
          </w:p>
        </w:tc>
      </w:tr>
      <w:tr>
        <w:trPr>
          <w:trHeight w:val="63"/>
        </w:trPr>
        <w:tc>
          <w:tcPr>
            <w:tcW w:w="37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r>
      <w:tr>
        <w:trPr>
          <w:trHeight w:val="99"/>
        </w:trPr>
        <w:tc>
          <w:tcPr>
            <w:tcW w:w="3720" w:type="dxa"/>
            <w:vAlign w:val="bottom"/>
            <w:tcBorders>
              <w:bottom w:val="single" w:sz="8" w:color="auto"/>
            </w:tcBorders>
          </w:tcPr>
          <w:p>
            <w:pPr>
              <w:jc w:val="center"/>
              <w:ind w:left="1848"/>
              <w:spacing w:after="0" w:line="99" w:lineRule="exact"/>
              <w:rPr>
                <w:sz w:val="20"/>
                <w:szCs w:val="20"/>
                <w:color w:val="auto"/>
              </w:rPr>
            </w:pPr>
            <w:r>
              <w:rPr>
                <w:rFonts w:ascii="Arial" w:cs="Arial" w:eastAsia="Arial" w:hAnsi="Arial"/>
                <w:sz w:val="9"/>
                <w:szCs w:val="9"/>
                <w:b w:val="1"/>
                <w:bCs w:val="1"/>
                <w:color w:val="auto"/>
                <w:w w:val="92"/>
              </w:rPr>
              <w:t>Transaction Valuation*</w:t>
            </w:r>
          </w:p>
        </w:tc>
        <w:tc>
          <w:tcPr>
            <w:tcW w:w="1920" w:type="dxa"/>
            <w:vAlign w:val="bottom"/>
            <w:tcBorders>
              <w:bottom w:val="single" w:sz="8" w:color="auto"/>
              <w:right w:val="single" w:sz="8" w:color="auto"/>
            </w:tcBorders>
          </w:tcPr>
          <w:p>
            <w:pPr>
              <w:spacing w:after="0"/>
              <w:rPr>
                <w:sz w:val="8"/>
                <w:szCs w:val="8"/>
                <w:color w:val="auto"/>
              </w:rPr>
            </w:pPr>
          </w:p>
        </w:tc>
        <w:tc>
          <w:tcPr>
            <w:tcW w:w="5840" w:type="dxa"/>
            <w:vAlign w:val="bottom"/>
            <w:tcBorders>
              <w:bottom w:val="single" w:sz="8" w:color="auto"/>
            </w:tcBorders>
          </w:tcPr>
          <w:p>
            <w:pPr>
              <w:jc w:val="center"/>
              <w:ind w:left="48"/>
              <w:spacing w:after="0" w:line="99" w:lineRule="exact"/>
              <w:rPr>
                <w:sz w:val="20"/>
                <w:szCs w:val="20"/>
                <w:color w:val="auto"/>
              </w:rPr>
            </w:pPr>
            <w:r>
              <w:rPr>
                <w:rFonts w:ascii="Arial" w:cs="Arial" w:eastAsia="Arial" w:hAnsi="Arial"/>
                <w:sz w:val="9"/>
                <w:szCs w:val="9"/>
                <w:b w:val="1"/>
                <w:bCs w:val="1"/>
                <w:color w:val="auto"/>
                <w:w w:val="93"/>
              </w:rPr>
              <w:t>Amount of Filing Fee**</w:t>
            </w:r>
          </w:p>
        </w:tc>
      </w:tr>
      <w:tr>
        <w:trPr>
          <w:trHeight w:val="140"/>
        </w:trPr>
        <w:tc>
          <w:tcPr>
            <w:tcW w:w="3720" w:type="dxa"/>
            <w:vAlign w:val="bottom"/>
            <w:tcBorders>
              <w:bottom w:val="single" w:sz="8" w:color="auto"/>
            </w:tcBorders>
          </w:tcPr>
          <w:p>
            <w:pPr>
              <w:jc w:val="right"/>
              <w:ind w:right="548"/>
              <w:spacing w:after="0" w:line="133" w:lineRule="exact"/>
              <w:rPr>
                <w:sz w:val="20"/>
                <w:szCs w:val="20"/>
                <w:color w:val="auto"/>
              </w:rPr>
            </w:pPr>
            <w:r>
              <w:rPr>
                <w:rFonts w:ascii="Arial" w:cs="Arial" w:eastAsia="Arial" w:hAnsi="Arial"/>
                <w:sz w:val="12"/>
                <w:szCs w:val="12"/>
                <w:color w:val="auto"/>
              </w:rPr>
              <w:t>$292,839,000</w:t>
            </w:r>
          </w:p>
        </w:tc>
        <w:tc>
          <w:tcPr>
            <w:tcW w:w="1920" w:type="dxa"/>
            <w:vAlign w:val="bottom"/>
            <w:tcBorders>
              <w:bottom w:val="single" w:sz="8" w:color="auto"/>
              <w:right w:val="single" w:sz="8" w:color="auto"/>
            </w:tcBorders>
          </w:tcPr>
          <w:p>
            <w:pPr>
              <w:spacing w:after="0"/>
              <w:rPr>
                <w:sz w:val="12"/>
                <w:szCs w:val="12"/>
                <w:color w:val="auto"/>
              </w:rPr>
            </w:pPr>
          </w:p>
        </w:tc>
        <w:tc>
          <w:tcPr>
            <w:tcW w:w="5840" w:type="dxa"/>
            <w:vAlign w:val="bottom"/>
            <w:tcBorders>
              <w:bottom w:val="single" w:sz="8" w:color="auto"/>
            </w:tcBorders>
          </w:tcPr>
          <w:p>
            <w:pPr>
              <w:jc w:val="right"/>
              <w:ind w:right="2628"/>
              <w:spacing w:after="0" w:line="133" w:lineRule="exact"/>
              <w:rPr>
                <w:sz w:val="20"/>
                <w:szCs w:val="20"/>
                <w:color w:val="auto"/>
              </w:rPr>
            </w:pPr>
            <w:r>
              <w:rPr>
                <w:rFonts w:ascii="Arial" w:cs="Arial" w:eastAsia="Arial" w:hAnsi="Arial"/>
                <w:sz w:val="12"/>
                <w:szCs w:val="12"/>
                <w:color w:val="auto"/>
              </w:rPr>
              <w:t>$20,880</w:t>
            </w:r>
          </w:p>
        </w:tc>
      </w:tr>
    </w:tbl>
    <w:p>
      <w:pPr>
        <w:spacing w:after="0" w:line="3" w:lineRule="exact"/>
        <w:rPr>
          <w:sz w:val="24"/>
          <w:szCs w:val="24"/>
          <w:color w:val="auto"/>
        </w:rPr>
      </w:pPr>
    </w:p>
    <w:p>
      <w:pPr>
        <w:ind w:left="468" w:right="40" w:hanging="468"/>
        <w:spacing w:after="0" w:line="277" w:lineRule="auto"/>
        <w:tabs>
          <w:tab w:leader="none" w:pos="468" w:val="left"/>
        </w:tabs>
        <w:numPr>
          <w:ilvl w:val="0"/>
          <w:numId w:val="1"/>
        </w:numPr>
        <w:rPr>
          <w:rFonts w:ascii="Arial" w:cs="Arial" w:eastAsia="Arial" w:hAnsi="Arial"/>
          <w:sz w:val="11"/>
          <w:szCs w:val="11"/>
          <w:color w:val="auto"/>
        </w:rPr>
      </w:pPr>
      <w:r>
        <w:rPr>
          <w:rFonts w:ascii="Arial" w:cs="Arial" w:eastAsia="Arial" w:hAnsi="Arial"/>
          <w:sz w:val="11"/>
          <w:szCs w:val="11"/>
          <w:color w:val="auto"/>
        </w:rPr>
        <w:t>For purposes of calculating amount of filing fee only. The transaction valuation upon which the filing fee was based was calculated as follows: The purchase price of the 2.125% Series B Convertible Debentures Due 2023, as described herein, is $1,000 per $1,000 principal amount outstanding. As of April 23, 2010, there was $292,839,000 aggregate principal amount outstanding, resulting in an aggregate purchase price of $292,839,000.</w:t>
      </w:r>
    </w:p>
    <w:p>
      <w:pPr>
        <w:ind w:left="468" w:hanging="468"/>
        <w:spacing w:after="0"/>
        <w:tabs>
          <w:tab w:leader="none" w:pos="468"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amount of the filing fee equals $71.30 per $1 million of the value of the transaction.</w:t>
      </w:r>
    </w:p>
    <w:p>
      <w:pPr>
        <w:spacing w:after="0" w:line="56" w:lineRule="exact"/>
        <w:rPr>
          <w:sz w:val="24"/>
          <w:szCs w:val="24"/>
          <w:color w:val="auto"/>
        </w:rPr>
      </w:pPr>
    </w:p>
    <w:p>
      <w:pPr>
        <w:ind w:left="468" w:right="180" w:hanging="468"/>
        <w:spacing w:after="0" w:line="268" w:lineRule="auto"/>
        <w:tabs>
          <w:tab w:leader="none" w:pos="4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Check the box if any part of the fee is offset as provided by Rule 0-11(a)(2) and identify the filing with which the offsetting fee was previously paid. Identify the previous filing registration statement number, or the Form or Schedule and the date of its filing.</w:t>
      </w:r>
    </w:p>
    <w:p>
      <w:pPr>
        <w:spacing w:after="0" w:line="34" w:lineRule="exact"/>
        <w:rPr>
          <w:sz w:val="24"/>
          <w:szCs w:val="24"/>
          <w:color w:val="auto"/>
        </w:rPr>
      </w:pPr>
    </w:p>
    <w:p>
      <w:pPr>
        <w:ind w:left="8"/>
        <w:spacing w:after="0"/>
        <w:rPr>
          <w:sz w:val="20"/>
          <w:szCs w:val="20"/>
          <w:color w:val="auto"/>
        </w:rPr>
      </w:pPr>
      <w:r>
        <w:rPr>
          <w:rFonts w:ascii="Arial" w:cs="Arial" w:eastAsia="Arial" w:hAnsi="Arial"/>
          <w:sz w:val="12"/>
          <w:szCs w:val="12"/>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-8890</wp:posOffset>
            </wp:positionV>
            <wp:extent cx="36245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4580" cy="5715"/>
                    </a:xfrm>
                    <a:prstGeom prst="rect">
                      <a:avLst/>
                    </a:prstGeom>
                    <a:noFill/>
                  </pic:spPr>
                </pic:pic>
              </a:graphicData>
            </a:graphic>
          </wp:anchor>
        </w:drawing>
      </w:r>
    </w:p>
    <w:p>
      <w:pPr>
        <w:spacing w:after="0" w:line="40" w:lineRule="exact"/>
        <w:rPr>
          <w:sz w:val="24"/>
          <w:szCs w:val="24"/>
          <w:color w:val="auto"/>
        </w:rPr>
      </w:pPr>
    </w:p>
    <w:p>
      <w:pPr>
        <w:ind w:left="8"/>
        <w:spacing w:after="0"/>
        <w:rPr>
          <w:sz w:val="20"/>
          <w:szCs w:val="20"/>
          <w:color w:val="auto"/>
        </w:rPr>
      </w:pPr>
      <w:r>
        <w:rPr>
          <w:rFonts w:ascii="Arial" w:cs="Arial" w:eastAsia="Arial" w:hAnsi="Arial"/>
          <w:sz w:val="12"/>
          <w:szCs w:val="12"/>
          <w:color w:val="auto"/>
        </w:rPr>
        <w:t>Form or 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791210</wp:posOffset>
            </wp:positionH>
            <wp:positionV relativeFrom="paragraph">
              <wp:posOffset>-8890</wp:posOffset>
            </wp:positionV>
            <wp:extent cx="35877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7750" cy="5715"/>
                    </a:xfrm>
                    <a:prstGeom prst="rect">
                      <a:avLst/>
                    </a:prstGeom>
                    <a:noFill/>
                  </pic:spPr>
                </pic:pic>
              </a:graphicData>
            </a:graphic>
          </wp:anchor>
        </w:drawing>
      </w:r>
    </w:p>
    <w:p>
      <w:pPr>
        <w:spacing w:after="0" w:line="40" w:lineRule="exact"/>
        <w:rPr>
          <w:sz w:val="24"/>
          <w:szCs w:val="24"/>
          <w:color w:val="auto"/>
        </w:rPr>
      </w:pPr>
    </w:p>
    <w:p>
      <w:pPr>
        <w:ind w:left="8"/>
        <w:spacing w:after="0"/>
        <w:rPr>
          <w:sz w:val="20"/>
          <w:szCs w:val="20"/>
          <w:color w:val="auto"/>
        </w:rPr>
      </w:pPr>
      <w:r>
        <w:rPr>
          <w:rFonts w:ascii="Arial" w:cs="Arial" w:eastAsia="Arial" w:hAnsi="Arial"/>
          <w:sz w:val="12"/>
          <w:szCs w:val="12"/>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-8890</wp:posOffset>
            </wp:positionV>
            <wp:extent cx="40894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9400" cy="5715"/>
                    </a:xfrm>
                    <a:prstGeom prst="rect">
                      <a:avLst/>
                    </a:prstGeom>
                    <a:noFill/>
                  </pic:spPr>
                </pic:pic>
              </a:graphicData>
            </a:graphic>
          </wp:anchor>
        </w:drawing>
      </w:r>
    </w:p>
    <w:p>
      <w:pPr>
        <w:spacing w:after="0" w:line="40" w:lineRule="exact"/>
        <w:rPr>
          <w:sz w:val="24"/>
          <w:szCs w:val="24"/>
          <w:color w:val="auto"/>
        </w:rPr>
      </w:pPr>
    </w:p>
    <w:p>
      <w:pPr>
        <w:ind w:left="8"/>
        <w:spacing w:after="0"/>
        <w:rPr>
          <w:sz w:val="20"/>
          <w:szCs w:val="20"/>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351155</wp:posOffset>
            </wp:positionH>
            <wp:positionV relativeFrom="paragraph">
              <wp:posOffset>-8890</wp:posOffset>
            </wp:positionV>
            <wp:extent cx="41268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26865" cy="5715"/>
                    </a:xfrm>
                    <a:prstGeom prst="rect">
                      <a:avLst/>
                    </a:prstGeom>
                    <a:noFill/>
                  </pic:spPr>
                </pic:pic>
              </a:graphicData>
            </a:graphic>
          </wp:anchor>
        </w:drawing>
      </w:r>
    </w:p>
    <w:p>
      <w:pPr>
        <w:spacing w:after="0" w:line="40" w:lineRule="exact"/>
        <w:rPr>
          <w:sz w:val="24"/>
          <w:szCs w:val="24"/>
          <w:color w:val="auto"/>
        </w:rPr>
      </w:pPr>
    </w:p>
    <w:p>
      <w:pPr>
        <w:ind w:left="468" w:hanging="468"/>
        <w:spacing w:after="0"/>
        <w:tabs>
          <w:tab w:leader="none" w:pos="46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Check the box if the filing relates solely to preliminary communications made before the commencement of a tender offer.</w:t>
      </w:r>
    </w:p>
    <w:p>
      <w:pPr>
        <w:spacing w:after="0" w:line="60" w:lineRule="exact"/>
        <w:rPr>
          <w:sz w:val="24"/>
          <w:szCs w:val="24"/>
          <w:color w:val="auto"/>
        </w:rPr>
      </w:pPr>
    </w:p>
    <w:p>
      <w:pPr>
        <w:ind w:left="468"/>
        <w:spacing w:after="0"/>
        <w:rPr>
          <w:sz w:val="20"/>
          <w:szCs w:val="20"/>
          <w:color w:val="auto"/>
        </w:rPr>
      </w:pPr>
      <w:r>
        <w:rPr>
          <w:rFonts w:ascii="Arial" w:cs="Arial" w:eastAsia="Arial" w:hAnsi="Arial"/>
          <w:sz w:val="12"/>
          <w:szCs w:val="12"/>
          <w:color w:val="auto"/>
        </w:rPr>
        <w:t>Check the appropriate boxes below to designate any transactions to which the statement relates:</w:t>
      </w:r>
    </w:p>
    <w:p>
      <w:pPr>
        <w:spacing w:after="0" w:line="60" w:lineRule="exact"/>
        <w:rPr>
          <w:sz w:val="24"/>
          <w:szCs w:val="24"/>
          <w:color w:val="auto"/>
        </w:rPr>
      </w:pPr>
    </w:p>
    <w:p>
      <w:pPr>
        <w:ind w:left="468" w:right="8420" w:hanging="9"/>
        <w:spacing w:after="0" w:line="181" w:lineRule="exact"/>
        <w:tabs>
          <w:tab w:leader="none" w:pos="927"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 xml:space="preserve">third-party tender offer subject to Rule 14d-1. </w:t>
      </w:r>
      <w:r>
        <w:rPr>
          <w:rFonts w:ascii="MS PGothic" w:cs="MS PGothic" w:eastAsia="MS PGothic" w:hAnsi="MS PGothic"/>
          <w:sz w:val="11"/>
          <w:szCs w:val="11"/>
          <w:color w:val="auto"/>
        </w:rPr>
        <w:t>☒</w:t>
      </w:r>
      <w:r>
        <w:rPr>
          <w:rFonts w:ascii="Arial" w:cs="Arial" w:eastAsia="Arial" w:hAnsi="Arial"/>
          <w:sz w:val="11"/>
          <w:szCs w:val="11"/>
          <w:color w:val="auto"/>
        </w:rPr>
        <w:t xml:space="preserve"> issuer tender offer subject to Rule 13e-4.</w:t>
      </w:r>
    </w:p>
    <w:p>
      <w:pPr>
        <w:spacing w:after="0" w:line="35" w:lineRule="exact"/>
        <w:rPr>
          <w:rFonts w:ascii="MS PGothic" w:cs="MS PGothic" w:eastAsia="MS PGothic" w:hAnsi="MS PGothic"/>
          <w:sz w:val="11"/>
          <w:szCs w:val="11"/>
          <w:color w:val="auto"/>
        </w:rPr>
      </w:pPr>
    </w:p>
    <w:p>
      <w:pPr>
        <w:ind w:left="928" w:hanging="469"/>
        <w:spacing w:after="0"/>
        <w:tabs>
          <w:tab w:leader="none" w:pos="92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going-private transaction subject to Rule 13e-3.</w:t>
      </w:r>
    </w:p>
    <w:p>
      <w:pPr>
        <w:spacing w:after="0" w:line="60" w:lineRule="exact"/>
        <w:rPr>
          <w:rFonts w:ascii="MS PGothic" w:cs="MS PGothic" w:eastAsia="MS PGothic" w:hAnsi="MS PGothic"/>
          <w:sz w:val="12"/>
          <w:szCs w:val="12"/>
          <w:color w:val="auto"/>
        </w:rPr>
      </w:pPr>
    </w:p>
    <w:p>
      <w:pPr>
        <w:ind w:left="928" w:hanging="469"/>
        <w:spacing w:after="0"/>
        <w:tabs>
          <w:tab w:leader="none" w:pos="92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amendment to Schedule 13D under Rule 13d-2.</w:t>
      </w:r>
    </w:p>
    <w:p>
      <w:pPr>
        <w:spacing w:after="0" w:line="40" w:lineRule="exact"/>
        <w:rPr>
          <w:sz w:val="24"/>
          <w:szCs w:val="24"/>
          <w:color w:val="auto"/>
        </w:rPr>
      </w:pPr>
    </w:p>
    <w:p>
      <w:pPr>
        <w:ind w:left="8"/>
        <w:spacing w:after="0" w:line="127" w:lineRule="exact"/>
        <w:tabs>
          <w:tab w:leader="none" w:pos="4688" w:val="left"/>
        </w:tabs>
        <w:rPr>
          <w:sz w:val="20"/>
          <w:szCs w:val="20"/>
          <w:color w:val="auto"/>
        </w:rPr>
      </w:pPr>
      <w:r>
        <w:rPr>
          <w:rFonts w:ascii="Arial" w:cs="Arial" w:eastAsia="Arial" w:hAnsi="Arial"/>
          <w:sz w:val="11"/>
          <w:szCs w:val="11"/>
          <w:color w:val="auto"/>
        </w:rPr>
        <w:t>Check the following box if the filing is a final amendment reporting the results of the tender offer: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257" w:right="199" w:bottom="1440" w:gutter="0" w:footer="0" w:header="0"/>
        </w:sectPr>
      </w:pPr>
    </w:p>
    <w:bookmarkStart w:id="1" w:name="page2"/>
    <w:bookmarkEnd w:id="1"/>
    <w:p>
      <w:pPr>
        <w:ind w:left="8"/>
        <w:spacing w:after="0"/>
        <w:tabs>
          <w:tab w:leader="none" w:pos="1008"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1.</w:t>
      </w:r>
      <w:r>
        <w:rPr>
          <w:sz w:val="20"/>
          <w:szCs w:val="20"/>
          <w:color w:val="auto"/>
        </w:rPr>
        <w:tab/>
      </w:r>
      <w:r>
        <w:rPr>
          <w:rFonts w:ascii="Arial" w:cs="Arial" w:eastAsia="Arial" w:hAnsi="Arial"/>
          <w:sz w:val="9"/>
          <w:szCs w:val="9"/>
          <w:i w:val="1"/>
          <w:iCs w:val="1"/>
          <w:color w:val="auto"/>
        </w:rPr>
        <w:t>Summary Term Sheet.</w:t>
      </w:r>
    </w:p>
    <w:p>
      <w:pPr>
        <w:spacing w:after="0" w:line="62" w:lineRule="exact"/>
        <w:rPr>
          <w:sz w:val="20"/>
          <w:szCs w:val="20"/>
          <w:color w:val="auto"/>
        </w:rPr>
      </w:pPr>
    </w:p>
    <w:p>
      <w:pPr>
        <w:jc w:val="both"/>
        <w:ind w:left="8" w:right="60" w:firstLine="459"/>
        <w:spacing w:after="0" w:line="259" w:lineRule="auto"/>
        <w:rPr>
          <w:sz w:val="20"/>
          <w:szCs w:val="20"/>
          <w:color w:val="auto"/>
        </w:rPr>
      </w:pPr>
      <w:r>
        <w:rPr>
          <w:rFonts w:ascii="Arial" w:cs="Arial" w:eastAsia="Arial" w:hAnsi="Arial"/>
          <w:sz w:val="12"/>
          <w:szCs w:val="12"/>
          <w:color w:val="auto"/>
        </w:rPr>
        <w:t>The following are answers to some of the questions that you may have about your option to require us to purchase your debentures as described in this document. We refer to this option as the “Option.” To understand the Option fully and for a more complete description of the terms of the Option, we urge you to read carefully the remainder of this document and the accompanying company notice because the information in this summary is not complete and those documents contain additional important information.</w:t>
      </w:r>
    </w:p>
    <w:p>
      <w:pPr>
        <w:spacing w:after="0" w:line="173" w:lineRule="exact"/>
        <w:rPr>
          <w:sz w:val="20"/>
          <w:szCs w:val="20"/>
          <w:color w:val="auto"/>
        </w:rPr>
      </w:pPr>
    </w:p>
    <w:p>
      <w:pPr>
        <w:ind w:left="448" w:hanging="448"/>
        <w:spacing w:after="0"/>
        <w:tabs>
          <w:tab w:leader="none" w:pos="44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Who is offering to purchase my debentures? Why are you making the offer?</w:t>
      </w:r>
    </w:p>
    <w:p>
      <w:pPr>
        <w:spacing w:after="0" w:line="62" w:lineRule="exact"/>
        <w:rPr>
          <w:sz w:val="20"/>
          <w:szCs w:val="20"/>
          <w:color w:val="auto"/>
        </w:rPr>
      </w:pPr>
    </w:p>
    <w:p>
      <w:pPr>
        <w:ind w:left="8" w:right="260" w:firstLine="459"/>
        <w:spacing w:after="0" w:line="259" w:lineRule="auto"/>
        <w:rPr>
          <w:sz w:val="20"/>
          <w:szCs w:val="20"/>
          <w:color w:val="auto"/>
        </w:rPr>
      </w:pPr>
      <w:r>
        <w:rPr>
          <w:rFonts w:ascii="Arial" w:cs="Arial" w:eastAsia="Arial" w:hAnsi="Arial"/>
          <w:sz w:val="12"/>
          <w:szCs w:val="12"/>
          <w:color w:val="auto"/>
        </w:rPr>
        <w:t>Schlumberger N.V. (Schlumberger Limited), a Netherlands Antilles corporation, is required to purchase all of the outstanding 2.125% Series B Convertible Debentures Due 2023 issued by it on June 9, 2003 with respect to which holders validly exercise the Option. We issued the debentures under an Indenture dated as of June 9, 2003, as supplemented, between us and HSBC Bank USA, National Association (“HSBC”) (successor to Citibank, N.A.), as trustee. As of April 23, 2010, there was $292,839,000 aggregate principal amount of debentures outstanding.</w:t>
      </w:r>
    </w:p>
    <w:p>
      <w:pPr>
        <w:spacing w:after="0" w:line="173" w:lineRule="exact"/>
        <w:rPr>
          <w:sz w:val="20"/>
          <w:szCs w:val="20"/>
          <w:color w:val="auto"/>
        </w:rPr>
      </w:pPr>
    </w:p>
    <w:p>
      <w:pPr>
        <w:ind w:left="448" w:hanging="448"/>
        <w:spacing w:after="0"/>
        <w:tabs>
          <w:tab w:leader="none" w:pos="44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How much are you offering to pay?</w:t>
      </w:r>
    </w:p>
    <w:p>
      <w:pPr>
        <w:spacing w:after="0" w:line="62" w:lineRule="exact"/>
        <w:rPr>
          <w:sz w:val="20"/>
          <w:szCs w:val="20"/>
          <w:color w:val="auto"/>
        </w:rPr>
      </w:pPr>
    </w:p>
    <w:p>
      <w:pPr>
        <w:ind w:left="8" w:right="40" w:firstLine="459"/>
        <w:spacing w:after="0" w:line="268" w:lineRule="auto"/>
        <w:rPr>
          <w:sz w:val="20"/>
          <w:szCs w:val="20"/>
          <w:color w:val="auto"/>
        </w:rPr>
      </w:pPr>
      <w:r>
        <w:rPr>
          <w:rFonts w:ascii="Arial" w:cs="Arial" w:eastAsia="Arial" w:hAnsi="Arial"/>
          <w:sz w:val="12"/>
          <w:szCs w:val="12"/>
          <w:color w:val="auto"/>
        </w:rPr>
        <w:t>Under the terms of the debentures, each holder of the debentures may require us to purchase its debentures on June 1, 2010 at a purchase price equal to 100% of their principal amount plus accrued and unpaid interest, if any, to, but not including, such repurchase date.</w:t>
      </w:r>
    </w:p>
    <w:p>
      <w:pPr>
        <w:spacing w:after="0" w:line="167" w:lineRule="exact"/>
        <w:rPr>
          <w:sz w:val="20"/>
          <w:szCs w:val="20"/>
          <w:color w:val="auto"/>
        </w:rPr>
      </w:pPr>
    </w:p>
    <w:p>
      <w:pPr>
        <w:ind w:left="448" w:hanging="448"/>
        <w:spacing w:after="0"/>
        <w:tabs>
          <w:tab w:leader="none" w:pos="44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What is the form of payment?</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Under the terms of the debentures, we will pay the purchase price in cash.</w:t>
      </w:r>
    </w:p>
    <w:p>
      <w:pPr>
        <w:spacing w:after="0" w:line="193" w:lineRule="exact"/>
        <w:rPr>
          <w:rFonts w:ascii="Arial" w:cs="Arial" w:eastAsia="Arial" w:hAnsi="Arial"/>
          <w:sz w:val="12"/>
          <w:szCs w:val="12"/>
          <w:b w:val="1"/>
          <w:bCs w:val="1"/>
          <w:color w:val="auto"/>
        </w:rPr>
      </w:pPr>
    </w:p>
    <w:p>
      <w:pPr>
        <w:ind w:left="448" w:hanging="448"/>
        <w:spacing w:after="0"/>
        <w:tabs>
          <w:tab w:leader="none" w:pos="44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Are the debentures convertible into common stock?</w:t>
      </w:r>
    </w:p>
    <w:p>
      <w:pPr>
        <w:spacing w:after="0" w:line="62" w:lineRule="exact"/>
        <w:rPr>
          <w:sz w:val="20"/>
          <w:szCs w:val="20"/>
          <w:color w:val="auto"/>
        </w:rPr>
      </w:pPr>
    </w:p>
    <w:p>
      <w:pPr>
        <w:jc w:val="both"/>
        <w:ind w:left="8" w:right="280" w:firstLine="459"/>
        <w:spacing w:after="0" w:line="259" w:lineRule="auto"/>
        <w:rPr>
          <w:sz w:val="20"/>
          <w:szCs w:val="20"/>
          <w:color w:val="auto"/>
        </w:rPr>
      </w:pPr>
      <w:r>
        <w:rPr>
          <w:rFonts w:ascii="Arial" w:cs="Arial" w:eastAsia="Arial" w:hAnsi="Arial"/>
          <w:sz w:val="12"/>
          <w:szCs w:val="12"/>
          <w:color w:val="auto"/>
        </w:rPr>
        <w:t>Yes. Each debenture is convertible at any time until the close of business on June 8, 2010, at the option of the holder, unless previously redeemed or repurchased, into Schlumberger’s common stock at a conversion rate of 25.0000 shares of common stock per $1,000 principal amount. This conversion rate is subject to adjustment in certain events. As a holder of debentures, you may surrender your debentures for conversion at any time prior to the close of business on June 8, 2010.</w:t>
      </w:r>
    </w:p>
    <w:p>
      <w:pPr>
        <w:spacing w:after="0" w:line="94" w:lineRule="exact"/>
        <w:rPr>
          <w:sz w:val="20"/>
          <w:szCs w:val="20"/>
          <w:color w:val="auto"/>
        </w:rPr>
      </w:pPr>
    </w:p>
    <w:p>
      <w:pPr>
        <w:ind w:left="8" w:right="460" w:firstLine="459"/>
        <w:spacing w:after="0" w:line="268" w:lineRule="auto"/>
        <w:rPr>
          <w:sz w:val="20"/>
          <w:szCs w:val="20"/>
          <w:color w:val="auto"/>
        </w:rPr>
      </w:pPr>
      <w:r>
        <w:rPr>
          <w:rFonts w:ascii="Arial" w:cs="Arial" w:eastAsia="Arial" w:hAnsi="Arial"/>
          <w:sz w:val="12"/>
          <w:szCs w:val="12"/>
          <w:color w:val="auto"/>
        </w:rPr>
        <w:t>On April 26, 2010, Schlumberger caused a notice to be mailed to holders of the debentures stating that it is calling for redemption on June 9, 2010 all of the outstanding 2.125% Series B Convertible Debentures Due 2023. The redemption price will be 100% of the principal amount thereof, plus accrued and unpaid interest up to, but not including, the redemption date.</w:t>
      </w:r>
    </w:p>
    <w:p>
      <w:pPr>
        <w:spacing w:after="0" w:line="167" w:lineRule="exact"/>
        <w:rPr>
          <w:sz w:val="20"/>
          <w:szCs w:val="20"/>
          <w:color w:val="auto"/>
        </w:rPr>
      </w:pPr>
    </w:p>
    <w:p>
      <w:pPr>
        <w:ind w:left="448" w:hanging="448"/>
        <w:spacing w:after="0"/>
        <w:tabs>
          <w:tab w:leader="none" w:pos="44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How can I determine the market value of the debentures?</w:t>
      </w:r>
    </w:p>
    <w:p>
      <w:pPr>
        <w:spacing w:after="0" w:line="62" w:lineRule="exact"/>
        <w:rPr>
          <w:sz w:val="20"/>
          <w:szCs w:val="20"/>
          <w:color w:val="auto"/>
        </w:rPr>
      </w:pPr>
    </w:p>
    <w:p>
      <w:pPr>
        <w:ind w:left="8" w:firstLine="459"/>
        <w:spacing w:after="0" w:line="438" w:lineRule="auto"/>
        <w:rPr>
          <w:sz w:val="20"/>
          <w:szCs w:val="20"/>
          <w:color w:val="auto"/>
        </w:rPr>
      </w:pPr>
      <w:r>
        <w:rPr>
          <w:rFonts w:ascii="Arial" w:cs="Arial" w:eastAsia="Arial" w:hAnsi="Arial"/>
          <w:sz w:val="9"/>
          <w:szCs w:val="9"/>
          <w:color w:val="auto"/>
        </w:rPr>
        <w:t>There is no established reporting system or market for trading in the debentures. To the extent that the debentures are traded, prices of the debentures may fluctuate widely depending on trading volume, the balance between buy and sell orders, prevailing interest rates, our operating results and the market for similar securities. Holders are urged to obtain, to the extent available, current market quotations for the debentures prior to making any decision with respect to the Option.</w:t>
      </w:r>
    </w:p>
    <w:p>
      <w:pPr>
        <w:spacing w:after="0" w:line="98" w:lineRule="exact"/>
        <w:rPr>
          <w:sz w:val="20"/>
          <w:szCs w:val="20"/>
          <w:color w:val="auto"/>
        </w:rPr>
      </w:pPr>
    </w:p>
    <w:p>
      <w:pPr>
        <w:ind w:left="448" w:hanging="448"/>
        <w:spacing w:after="0"/>
        <w:tabs>
          <w:tab w:leader="none" w:pos="44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What does your board of directors think of the Option?</w:t>
      </w:r>
    </w:p>
    <w:p>
      <w:pPr>
        <w:spacing w:after="0" w:line="62" w:lineRule="exact"/>
        <w:rPr>
          <w:sz w:val="20"/>
          <w:szCs w:val="20"/>
          <w:color w:val="auto"/>
        </w:rPr>
      </w:pPr>
    </w:p>
    <w:p>
      <w:pPr>
        <w:ind w:left="8" w:right="80" w:firstLine="459"/>
        <w:spacing w:after="0" w:line="268" w:lineRule="auto"/>
        <w:rPr>
          <w:sz w:val="20"/>
          <w:szCs w:val="20"/>
          <w:color w:val="auto"/>
        </w:rPr>
      </w:pPr>
      <w:r>
        <w:rPr>
          <w:rFonts w:ascii="Arial" w:cs="Arial" w:eastAsia="Arial" w:hAnsi="Arial"/>
          <w:sz w:val="12"/>
          <w:szCs w:val="12"/>
          <w:color w:val="auto"/>
        </w:rPr>
        <w:t>Although our board of directors has approved the terms of the Option included in the indenture, the board has not made any recommendation as to whether you should surrender your debentures for purchase. You must make your own decision whether to surrender your debentures for purchase and, if so, the number of debentures to surrender.</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8"/>
          </w:cols>
          <w:pgMar w:left="212" w:top="230" w:right="219" w:bottom="1440" w:gutter="0" w:footer="0" w:header="0"/>
        </w:sectPr>
      </w:pPr>
    </w:p>
    <w:bookmarkStart w:id="2" w:name="page3"/>
    <w:bookmarkEnd w:id="2"/>
    <w:p>
      <w:pPr>
        <w:ind w:left="448" w:hanging="448"/>
        <w:spacing w:after="0"/>
        <w:tabs>
          <w:tab w:leader="none" w:pos="44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When does the Option expire?</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The Option expires at 5:00 p.m., New York City time, on May 24, 2010. We do not plan to extend the period you have to accept the Option unless required to do so by federal securities laws.</w:t>
      </w:r>
    </w:p>
    <w:p>
      <w:pPr>
        <w:spacing w:after="0" w:line="193" w:lineRule="exact"/>
        <w:rPr>
          <w:rFonts w:ascii="Arial" w:cs="Arial" w:eastAsia="Arial" w:hAnsi="Arial"/>
          <w:sz w:val="12"/>
          <w:szCs w:val="12"/>
          <w:b w:val="1"/>
          <w:bCs w:val="1"/>
          <w:color w:val="auto"/>
        </w:rPr>
      </w:pPr>
    </w:p>
    <w:p>
      <w:pPr>
        <w:ind w:left="448" w:hanging="448"/>
        <w:spacing w:after="0"/>
        <w:tabs>
          <w:tab w:leader="none" w:pos="44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What are the conditions to your purchase of the debentures?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If our purchase of validly surrendered debentures is not unlawful, that purchase will not be subject to any other conditions.</w:t>
      </w:r>
    </w:p>
    <w:p>
      <w:pPr>
        <w:spacing w:after="0" w:line="193" w:lineRule="exact"/>
        <w:rPr>
          <w:rFonts w:ascii="Arial" w:cs="Arial" w:eastAsia="Arial" w:hAnsi="Arial"/>
          <w:sz w:val="12"/>
          <w:szCs w:val="12"/>
          <w:b w:val="1"/>
          <w:bCs w:val="1"/>
          <w:color w:val="auto"/>
        </w:rPr>
      </w:pPr>
    </w:p>
    <w:p>
      <w:pPr>
        <w:ind w:left="448" w:hanging="448"/>
        <w:spacing w:after="0"/>
        <w:tabs>
          <w:tab w:leader="none" w:pos="44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How do I surrender my debentures?</w:t>
      </w:r>
    </w:p>
    <w:p>
      <w:pPr>
        <w:spacing w:after="0" w:line="62" w:lineRule="exact"/>
        <w:rPr>
          <w:sz w:val="20"/>
          <w:szCs w:val="20"/>
          <w:color w:val="auto"/>
        </w:rPr>
      </w:pPr>
    </w:p>
    <w:p>
      <w:pPr>
        <w:ind w:left="8" w:right="220" w:firstLine="459"/>
        <w:spacing w:after="0" w:line="268" w:lineRule="auto"/>
        <w:rPr>
          <w:sz w:val="20"/>
          <w:szCs w:val="20"/>
          <w:color w:val="auto"/>
        </w:rPr>
      </w:pPr>
      <w:r>
        <w:rPr>
          <w:rFonts w:ascii="Arial" w:cs="Arial" w:eastAsia="Arial" w:hAnsi="Arial"/>
          <w:sz w:val="12"/>
          <w:szCs w:val="12"/>
          <w:color w:val="auto"/>
        </w:rPr>
        <w:t>To surrender your debentures for purchase pursuant to the Option, you must deliver the required documents (including a purchase notice attached to the company notice delivered with this document) to HSBC, as paying agent, no earlier than 9:00 a.m., New York City time, on April 26, 2010 and no later than 5:00 p.m., New York City time, on May 24, 2010, as follows:</w:t>
      </w:r>
    </w:p>
    <w:p>
      <w:pPr>
        <w:spacing w:after="0" w:line="34" w:lineRule="exact"/>
        <w:rPr>
          <w:sz w:val="20"/>
          <w:szCs w:val="20"/>
          <w:color w:val="auto"/>
        </w:rPr>
      </w:pPr>
    </w:p>
    <w:p>
      <w:pPr>
        <w:ind w:left="908" w:right="180" w:hanging="449"/>
        <w:spacing w:after="0" w:line="314" w:lineRule="auto"/>
        <w:tabs>
          <w:tab w:leader="none" w:pos="908" w:val="left"/>
        </w:tabs>
        <w:numPr>
          <w:ilvl w:val="1"/>
          <w:numId w:val="12"/>
        </w:numPr>
        <w:rPr>
          <w:rFonts w:ascii="Arial" w:cs="Arial" w:eastAsia="Arial" w:hAnsi="Arial"/>
          <w:sz w:val="11"/>
          <w:szCs w:val="11"/>
          <w:color w:val="auto"/>
        </w:rPr>
      </w:pPr>
      <w:r>
        <w:rPr>
          <w:rFonts w:ascii="Arial" w:cs="Arial" w:eastAsia="Arial" w:hAnsi="Arial"/>
          <w:sz w:val="11"/>
          <w:szCs w:val="11"/>
          <w:color w:val="auto"/>
        </w:rPr>
        <w:t xml:space="preserve">Holders who are participants in The Depository Trust Company (“DTC”) should surrender their debentures electronically through DTC’s Automated Tenders over the Participant Terminal System, subject to the terms and procedures of that system. </w:t>
      </w:r>
      <w:r>
        <w:rPr>
          <w:rFonts w:ascii="Arial" w:cs="Arial" w:eastAsia="Arial" w:hAnsi="Arial"/>
          <w:sz w:val="11"/>
          <w:szCs w:val="11"/>
          <w:b w:val="1"/>
          <w:bCs w:val="1"/>
          <w:color w:val="auto"/>
        </w:rPr>
        <w:t>Holders surrendering through DTC need not submit a physical purchase notice to the paying agent if those holders comply with DTC’s transmittal procedures.</w:t>
      </w:r>
    </w:p>
    <w:p>
      <w:pPr>
        <w:spacing w:after="0" w:line="11" w:lineRule="exact"/>
        <w:rPr>
          <w:rFonts w:ascii="Arial" w:cs="Arial" w:eastAsia="Arial" w:hAnsi="Arial"/>
          <w:sz w:val="11"/>
          <w:szCs w:val="11"/>
          <w:color w:val="auto"/>
        </w:rPr>
      </w:pPr>
    </w:p>
    <w:p>
      <w:pPr>
        <w:ind w:left="908" w:right="40" w:hanging="449"/>
        <w:spacing w:after="0" w:line="268" w:lineRule="auto"/>
        <w:tabs>
          <w:tab w:leader="none" w:pos="9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Holders whose debentures are held by a broker, dealer, commercial bank, trust company or other nominee must contact that nominee if those holders desire to surrender their debentures and instruct that nominee to surrender the debentures on the holders’ behalf.</w:t>
      </w:r>
    </w:p>
    <w:p>
      <w:pPr>
        <w:spacing w:after="0" w:line="167" w:lineRule="exact"/>
        <w:rPr>
          <w:rFonts w:ascii="Arial" w:cs="Arial" w:eastAsia="Arial" w:hAnsi="Arial"/>
          <w:sz w:val="12"/>
          <w:szCs w:val="12"/>
          <w:color w:val="auto"/>
        </w:rPr>
      </w:pPr>
    </w:p>
    <w:p>
      <w:pPr>
        <w:ind w:left="448" w:hanging="448"/>
        <w:spacing w:after="0"/>
        <w:tabs>
          <w:tab w:leader="none" w:pos="44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If I surrender, when will I receive payment for my debentures?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9"/>
          <w:szCs w:val="9"/>
          <w:color w:val="auto"/>
        </w:rPr>
        <w:t>We will accept for payment all validly surrendered debentures immediately upon expiration of the Option. We will forward to the paying agent, prior to 10:00 a.m. New York City time on June 1, 2010, the appropriate amount of cash</w:t>
      </w:r>
    </w:p>
    <w:p>
      <w:pPr>
        <w:spacing w:after="0" w:line="45" w:lineRule="exact"/>
        <w:rPr>
          <w:sz w:val="20"/>
          <w:szCs w:val="20"/>
          <w:color w:val="auto"/>
        </w:rPr>
      </w:pPr>
    </w:p>
    <w:p>
      <w:pPr>
        <w:ind w:left="8"/>
        <w:spacing w:after="0"/>
        <w:rPr>
          <w:sz w:val="20"/>
          <w:szCs w:val="20"/>
          <w:color w:val="auto"/>
        </w:rPr>
      </w:pPr>
      <w:r>
        <w:rPr>
          <w:rFonts w:ascii="Arial" w:cs="Arial" w:eastAsia="Arial" w:hAnsi="Arial"/>
          <w:sz w:val="9"/>
          <w:szCs w:val="9"/>
          <w:color w:val="auto"/>
        </w:rPr>
        <w:t>required to pay the total purchase price for debentures that have been validly surrendered for payment and not withdrawn, and the paying agent will promptly distribute the cash to the holders in accordance with the terms of the indenture.</w:t>
      </w:r>
    </w:p>
    <w:p>
      <w:pPr>
        <w:spacing w:after="0" w:line="224" w:lineRule="exact"/>
        <w:rPr>
          <w:sz w:val="20"/>
          <w:szCs w:val="20"/>
          <w:color w:val="auto"/>
        </w:rPr>
      </w:pPr>
    </w:p>
    <w:p>
      <w:pPr>
        <w:ind w:left="448" w:hanging="448"/>
        <w:spacing w:after="0"/>
        <w:tabs>
          <w:tab w:leader="none" w:pos="44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Until what time can I withdraw previously surrendered debentures?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You can withdraw debentures previously surrendered for purchase at any time until 5:00 p.m., New York City time, on May 24, 2010.</w:t>
      </w:r>
    </w:p>
    <w:p>
      <w:pPr>
        <w:spacing w:after="0" w:line="193" w:lineRule="exact"/>
        <w:rPr>
          <w:rFonts w:ascii="Arial" w:cs="Arial" w:eastAsia="Arial" w:hAnsi="Arial"/>
          <w:sz w:val="12"/>
          <w:szCs w:val="12"/>
          <w:b w:val="1"/>
          <w:bCs w:val="1"/>
          <w:color w:val="auto"/>
        </w:rPr>
      </w:pPr>
    </w:p>
    <w:p>
      <w:pPr>
        <w:ind w:left="448" w:hanging="448"/>
        <w:spacing w:after="0"/>
        <w:tabs>
          <w:tab w:leader="none" w:pos="44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How do I withdraw previously surrendered debentures?</w:t>
      </w:r>
    </w:p>
    <w:p>
      <w:pPr>
        <w:spacing w:after="0" w:line="62" w:lineRule="exact"/>
        <w:rPr>
          <w:sz w:val="20"/>
          <w:szCs w:val="20"/>
          <w:color w:val="auto"/>
        </w:rPr>
      </w:pPr>
    </w:p>
    <w:p>
      <w:pPr>
        <w:ind w:left="8" w:firstLine="459"/>
        <w:spacing w:after="0" w:line="314" w:lineRule="auto"/>
        <w:rPr>
          <w:sz w:val="20"/>
          <w:szCs w:val="20"/>
          <w:color w:val="auto"/>
        </w:rPr>
      </w:pPr>
      <w:r>
        <w:rPr>
          <w:rFonts w:ascii="Arial" w:cs="Arial" w:eastAsia="Arial" w:hAnsi="Arial"/>
          <w:sz w:val="11"/>
          <w:szCs w:val="11"/>
          <w:color w:val="auto"/>
        </w:rPr>
        <w:t xml:space="preserve">To withdraw previously surrendered debentures, you must comply with DTC’s withdrawal procedures or, for debentures in certificated form, deliver an executed written notice of withdrawal to the paying agent prior to 5:00 p.m., New York City time, on May 24, 2010. </w:t>
      </w:r>
      <w:r>
        <w:rPr>
          <w:rFonts w:ascii="Arial" w:cs="Arial" w:eastAsia="Arial" w:hAnsi="Arial"/>
          <w:sz w:val="11"/>
          <w:szCs w:val="11"/>
          <w:b w:val="1"/>
          <w:bCs w:val="1"/>
          <w:color w:val="auto"/>
        </w:rPr>
        <w:t>Holders withdrawing through DTC need not submit a physical notice of withdrawal to the paying agent if those holders comply with the withdrawal procedures of DTC.</w:t>
      </w:r>
    </w:p>
    <w:p>
      <w:pPr>
        <w:spacing w:after="0" w:line="144" w:lineRule="exact"/>
        <w:rPr>
          <w:sz w:val="20"/>
          <w:szCs w:val="20"/>
          <w:color w:val="auto"/>
        </w:rPr>
      </w:pPr>
    </w:p>
    <w:p>
      <w:pPr>
        <w:ind w:left="448" w:hanging="448"/>
        <w:spacing w:after="0"/>
        <w:tabs>
          <w:tab w:leader="none" w:pos="44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Do I need to do anything if I do not wish to surrender my debentures for purchase?</w:t>
      </w:r>
    </w:p>
    <w:p>
      <w:pPr>
        <w:spacing w:after="0" w:line="62" w:lineRule="exact"/>
        <w:rPr>
          <w:sz w:val="20"/>
          <w:szCs w:val="20"/>
          <w:color w:val="auto"/>
        </w:rPr>
      </w:pPr>
    </w:p>
    <w:p>
      <w:pPr>
        <w:ind w:left="8" w:right="120" w:firstLine="459"/>
        <w:spacing w:after="0" w:line="268" w:lineRule="auto"/>
        <w:rPr>
          <w:sz w:val="20"/>
          <w:szCs w:val="20"/>
          <w:color w:val="auto"/>
        </w:rPr>
      </w:pPr>
      <w:r>
        <w:rPr>
          <w:rFonts w:ascii="Arial" w:cs="Arial" w:eastAsia="Arial" w:hAnsi="Arial"/>
          <w:sz w:val="12"/>
          <w:szCs w:val="12"/>
          <w:color w:val="auto"/>
        </w:rPr>
        <w:t>No. If you do not deliver a properly completed and duly executed purchase notice to the paying agent before the expiration of the Option, we will not purchase your debentures and such debentures will remain outstanding subject to their existing terms.</w:t>
      </w:r>
    </w:p>
    <w:p>
      <w:pPr>
        <w:spacing w:after="0" w:line="7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08"/>
          </w:cols>
          <w:pgMar w:left="212" w:top="230" w:right="279" w:bottom="1440" w:gutter="0" w:footer="0" w:header="0"/>
        </w:sectPr>
      </w:pPr>
    </w:p>
    <w:bookmarkStart w:id="3" w:name="page4"/>
    <w:bookmarkEnd w:id="3"/>
    <w:p>
      <w:pPr>
        <w:ind w:left="448" w:hanging="448"/>
        <w:spacing w:after="0"/>
        <w:tabs>
          <w:tab w:leader="none" w:pos="44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I choose to surrender my debentures for purchase, do I have to surrender all of my debentures?</w:t>
      </w:r>
    </w:p>
    <w:p>
      <w:pPr>
        <w:spacing w:after="0" w:line="62" w:lineRule="exact"/>
        <w:rPr>
          <w:sz w:val="20"/>
          <w:szCs w:val="20"/>
          <w:color w:val="auto"/>
        </w:rPr>
      </w:pPr>
    </w:p>
    <w:p>
      <w:pPr>
        <w:ind w:left="8" w:firstLine="459"/>
        <w:spacing w:after="0" w:line="268" w:lineRule="auto"/>
        <w:rPr>
          <w:sz w:val="20"/>
          <w:szCs w:val="20"/>
          <w:color w:val="auto"/>
        </w:rPr>
      </w:pPr>
      <w:r>
        <w:rPr>
          <w:rFonts w:ascii="Arial" w:cs="Arial" w:eastAsia="Arial" w:hAnsi="Arial"/>
          <w:sz w:val="12"/>
          <w:szCs w:val="12"/>
          <w:color w:val="auto"/>
        </w:rPr>
        <w:t>No. You may surrender all of your debentures, a portion of your debentures or none of your debentures for purchase. If you wish to surrender a portion of your debentures for purchase, however, you must surrender your debentures in a principal amount of $1,000 or in integral multiples of $1,000.</w:t>
      </w:r>
    </w:p>
    <w:p>
      <w:pPr>
        <w:spacing w:after="0" w:line="167" w:lineRule="exact"/>
        <w:rPr>
          <w:sz w:val="20"/>
          <w:szCs w:val="20"/>
          <w:color w:val="auto"/>
        </w:rPr>
      </w:pPr>
    </w:p>
    <w:p>
      <w:pPr>
        <w:ind w:left="448" w:hanging="448"/>
        <w:spacing w:after="0"/>
        <w:tabs>
          <w:tab w:leader="none" w:pos="44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If I do not surrender my debentures for purchase, will I continue to be able to exercise my conversion rights?</w:t>
      </w:r>
    </w:p>
    <w:p>
      <w:pPr>
        <w:spacing w:after="0" w:line="62" w:lineRule="exact"/>
        <w:rPr>
          <w:sz w:val="20"/>
          <w:szCs w:val="20"/>
          <w:color w:val="auto"/>
        </w:rPr>
      </w:pPr>
    </w:p>
    <w:p>
      <w:pPr>
        <w:ind w:left="8" w:right="100" w:firstLine="459"/>
        <w:spacing w:after="0" w:line="314" w:lineRule="auto"/>
        <w:rPr>
          <w:sz w:val="20"/>
          <w:szCs w:val="20"/>
          <w:color w:val="auto"/>
        </w:rPr>
      </w:pPr>
      <w:r>
        <w:rPr>
          <w:rFonts w:ascii="Arial" w:cs="Arial" w:eastAsia="Arial" w:hAnsi="Arial"/>
          <w:sz w:val="11"/>
          <w:szCs w:val="11"/>
          <w:color w:val="auto"/>
        </w:rPr>
        <w:t>Yes. If you do not surrender your debentures for purchase, your conversion rights will not be affected. On April 26, 2010, Schlumberger caused a notice to be mailed to holders of the debentures stating that it is calling for redemption on June 9, 2010 all outstanding debentures. The debentures may be converted at any time before the close of business on June 8, 2010, the business day prior to the redemption date. See Item 4(a) “Call for Redemption.”</w:t>
      </w:r>
    </w:p>
    <w:p>
      <w:pPr>
        <w:spacing w:after="0" w:line="90" w:lineRule="exact"/>
        <w:rPr>
          <w:sz w:val="20"/>
          <w:szCs w:val="20"/>
          <w:color w:val="auto"/>
        </w:rPr>
      </w:pPr>
    </w:p>
    <w:p>
      <w:pPr>
        <w:ind w:left="448" w:hanging="448"/>
        <w:spacing w:after="0"/>
        <w:tabs>
          <w:tab w:leader="none" w:pos="44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If I am a U.S. resident for U.S. federal income tax purposes, will I have to pay taxes if I surrender my debentures for purchase in the Option?</w:t>
      </w:r>
    </w:p>
    <w:p>
      <w:pPr>
        <w:spacing w:after="0" w:line="116" w:lineRule="exact"/>
        <w:rPr>
          <w:sz w:val="20"/>
          <w:szCs w:val="20"/>
          <w:color w:val="auto"/>
        </w:rPr>
      </w:pPr>
    </w:p>
    <w:p>
      <w:pPr>
        <w:ind w:left="8" w:right="20" w:firstLine="459"/>
        <w:spacing w:after="0" w:line="314" w:lineRule="auto"/>
        <w:rPr>
          <w:sz w:val="20"/>
          <w:szCs w:val="20"/>
          <w:color w:val="auto"/>
        </w:rPr>
      </w:pPr>
      <w:r>
        <w:rPr>
          <w:rFonts w:ascii="Arial" w:cs="Arial" w:eastAsia="Arial" w:hAnsi="Arial"/>
          <w:sz w:val="11"/>
          <w:szCs w:val="11"/>
          <w:color w:val="auto"/>
        </w:rPr>
        <w:t>The receipt of cash in exchange for debentures pursuant to the Option will be a taxable transaction for U.S. federal income tax purposes. For a general summary of certain material U.S. federal income tax consequences of the surrender of debentures for cash pursuant to the option, see Item 4(a) “Material U.S. Federal Income Tax Consequences.” You should consult with your own tax advisor regarding the actual tax consequences to you.</w:t>
      </w:r>
    </w:p>
    <w:p>
      <w:pPr>
        <w:spacing w:after="0" w:line="144" w:lineRule="exact"/>
        <w:rPr>
          <w:sz w:val="20"/>
          <w:szCs w:val="20"/>
          <w:color w:val="auto"/>
        </w:rPr>
      </w:pPr>
    </w:p>
    <w:p>
      <w:pPr>
        <w:ind w:left="448" w:hanging="448"/>
        <w:spacing w:after="0"/>
        <w:tabs>
          <w:tab w:leader="none" w:pos="448"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Who is the paying agent?</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1"/>
          <w:szCs w:val="11"/>
          <w:color w:val="auto"/>
        </w:rPr>
        <w:t>HSBC (successor to Citibank, N.A.), the trustee for the debentures, is serving as paying agent in connection with the Option. Its address and telephone number are set forth in the company notice delivered with this document.</w:t>
      </w:r>
    </w:p>
    <w:p>
      <w:pPr>
        <w:spacing w:after="0" w:line="204" w:lineRule="exact"/>
        <w:rPr>
          <w:rFonts w:ascii="Arial" w:cs="Arial" w:eastAsia="Arial" w:hAnsi="Arial"/>
          <w:sz w:val="12"/>
          <w:szCs w:val="12"/>
          <w:b w:val="1"/>
          <w:bCs w:val="1"/>
          <w:color w:val="auto"/>
        </w:rPr>
      </w:pPr>
    </w:p>
    <w:p>
      <w:pPr>
        <w:ind w:left="448" w:hanging="448"/>
        <w:spacing w:after="0"/>
        <w:tabs>
          <w:tab w:leader="none" w:pos="448"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Who can I talk to if I have questions about the Option?</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Questions and requests for assistance in connection with the surrender of debentures for purchase pursuant to the Option may be directed to HSBC Corporate Trust Operations at (800) 662-9844.</w:t>
      </w:r>
    </w:p>
    <w:p>
      <w:pPr>
        <w:spacing w:after="0" w:line="193"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9"/>
          <w:szCs w:val="9"/>
          <w:i w:val="1"/>
          <w:iCs w:val="1"/>
          <w:color w:val="auto"/>
        </w:rPr>
        <w:t>Subject Company Information.</w:t>
      </w:r>
    </w:p>
    <w:p>
      <w:pPr>
        <w:spacing w:after="0" w:line="62" w:lineRule="exact"/>
        <w:rPr>
          <w:sz w:val="20"/>
          <w:szCs w:val="20"/>
          <w:color w:val="auto"/>
        </w:rPr>
      </w:pPr>
    </w:p>
    <w:p>
      <w:pPr>
        <w:ind w:left="8" w:right="240" w:firstLine="451"/>
        <w:spacing w:after="0" w:line="268" w:lineRule="auto"/>
        <w:tabs>
          <w:tab w:leader="none" w:pos="627"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Name and Address</w:t>
      </w:r>
      <w:r>
        <w:rPr>
          <w:rFonts w:ascii="Arial" w:cs="Arial" w:eastAsia="Arial" w:hAnsi="Arial"/>
          <w:sz w:val="12"/>
          <w:szCs w:val="12"/>
          <w:color w:val="auto"/>
        </w:rPr>
        <w:t>. Schlumberger N.V. (Schlumberger Limited) is a Netherlands Antilles corporation. Schlumberger has principal executive offices in Paris, Houston and The Hague. Its principal executive offices in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States are located at 5599 San Felipe, 17th Floor, Houston, Texas 77056. Schlumberger’s telephone number at these offices is (713) 513-2000.</w:t>
      </w:r>
    </w:p>
    <w:p>
      <w:pPr>
        <w:spacing w:after="0" w:line="88" w:lineRule="exact"/>
        <w:rPr>
          <w:rFonts w:ascii="Arial" w:cs="Arial" w:eastAsia="Arial" w:hAnsi="Arial"/>
          <w:sz w:val="12"/>
          <w:szCs w:val="12"/>
          <w:color w:val="auto"/>
        </w:rPr>
      </w:pPr>
    </w:p>
    <w:p>
      <w:pPr>
        <w:ind w:left="8" w:right="80" w:firstLine="451"/>
        <w:spacing w:after="0" w:line="268" w:lineRule="auto"/>
        <w:tabs>
          <w:tab w:leader="none" w:pos="633"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Securities</w:t>
      </w:r>
      <w:r>
        <w:rPr>
          <w:rFonts w:ascii="Arial" w:cs="Arial" w:eastAsia="Arial" w:hAnsi="Arial"/>
          <w:sz w:val="12"/>
          <w:szCs w:val="12"/>
          <w:color w:val="auto"/>
        </w:rPr>
        <w:t>. The securities subject to this Schedule TO and to the transaction described in the response to paragraph (a) of Item 4 below are all outstanding 2.125% Series B Convertible Debentures Due 2023 of Schlumberger. As of</w:t>
      </w:r>
      <w:r>
        <w:rPr>
          <w:rFonts w:ascii="Arial" w:cs="Arial" w:eastAsia="Arial" w:hAnsi="Arial"/>
          <w:sz w:val="12"/>
          <w:szCs w:val="12"/>
          <w:i w:val="1"/>
          <w:iCs w:val="1"/>
          <w:color w:val="auto"/>
        </w:rPr>
        <w:t xml:space="preserve"> </w:t>
      </w:r>
      <w:r>
        <w:rPr>
          <w:rFonts w:ascii="Arial" w:cs="Arial" w:eastAsia="Arial" w:hAnsi="Arial"/>
          <w:sz w:val="12"/>
          <w:szCs w:val="12"/>
          <w:color w:val="auto"/>
        </w:rPr>
        <w:t>April 23, 2010, there was $292,839,000 aggregate principal amount of debentures outstanding.</w:t>
      </w:r>
    </w:p>
    <w:p>
      <w:pPr>
        <w:spacing w:after="0" w:line="88" w:lineRule="exact"/>
        <w:rPr>
          <w:rFonts w:ascii="Arial" w:cs="Arial" w:eastAsia="Arial" w:hAnsi="Arial"/>
          <w:sz w:val="12"/>
          <w:szCs w:val="12"/>
          <w:color w:val="auto"/>
        </w:rPr>
      </w:pPr>
    </w:p>
    <w:p>
      <w:pPr>
        <w:ind w:left="8" w:firstLine="451"/>
        <w:spacing w:after="0" w:line="259" w:lineRule="auto"/>
        <w:tabs>
          <w:tab w:leader="none" w:pos="627"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Trading Market and Price</w:t>
      </w:r>
      <w:r>
        <w:rPr>
          <w:rFonts w:ascii="Arial" w:cs="Arial" w:eastAsia="Arial" w:hAnsi="Arial"/>
          <w:sz w:val="12"/>
          <w:szCs w:val="12"/>
          <w:color w:val="auto"/>
        </w:rPr>
        <w:t>. There is no established reporting system or trading market for trading in the debentures. To the extent that the debentures are traded, prices of the debentures may fluctuate widely depending on trading</w:t>
      </w:r>
      <w:r>
        <w:rPr>
          <w:rFonts w:ascii="Arial" w:cs="Arial" w:eastAsia="Arial" w:hAnsi="Arial"/>
          <w:sz w:val="12"/>
          <w:szCs w:val="12"/>
          <w:i w:val="1"/>
          <w:iCs w:val="1"/>
          <w:color w:val="auto"/>
        </w:rPr>
        <w:t xml:space="preserve"> </w:t>
      </w:r>
      <w:r>
        <w:rPr>
          <w:rFonts w:ascii="Arial" w:cs="Arial" w:eastAsia="Arial" w:hAnsi="Arial"/>
          <w:sz w:val="12"/>
          <w:szCs w:val="12"/>
          <w:color w:val="auto"/>
        </w:rPr>
        <w:t>volume, the balance between buy and sell orders, prevailing interest rates, our operating results and the market for similar securities. The debentures have been deposited with HSBC as custodian for DTC and registered in the name of a nominee of DTC in New York, New York for the accounts of participants in DTC.</w:t>
      </w:r>
    </w:p>
    <w:p>
      <w:pPr>
        <w:spacing w:after="0" w:line="8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8"/>
          </w:cols>
          <w:pgMar w:left="212" w:top="230" w:right="239" w:bottom="1440" w:gutter="0" w:footer="0" w:header="0"/>
        </w:sectPr>
      </w:pPr>
    </w:p>
    <w:bookmarkStart w:id="4" w:name="page5"/>
    <w:bookmarkEnd w:id="4"/>
    <w:p>
      <w:pPr>
        <w:ind w:firstLine="459"/>
        <w:spacing w:after="0" w:line="31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debenture is convertible at any time, at the option of the holder, into Schlumberger’s common stock at a conversion rate of 25.0000 shares of common stock per $1,000 principal amount at maturity, upon the terms and subject to the conditions of the debentures and the indenture. This conversion rate is subject to adjustment in certain events. The debentures are convertible at any time prior to maturity unless previously redeemed or repurchased.</w:t>
      </w:r>
    </w:p>
    <w:p>
      <w:pPr>
        <w:spacing w:after="0" w:line="65"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Schlumberger’s common stock is listed on the New York Stock Exchange under the symbol “SLB.” The following table presents the range of high and low quarterly sales prices of Schlumberger’s common stock on the NYSE since January 1, 2008.</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9"/>
                <w:szCs w:val="9"/>
                <w:b w:val="1"/>
                <w:bCs w:val="1"/>
                <w:color w:val="auto"/>
              </w:rPr>
              <w:t>Price</w:t>
            </w: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9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63"/>
              <w:spacing w:after="0" w:line="88" w:lineRule="exact"/>
              <w:rPr>
                <w:sz w:val="20"/>
                <w:szCs w:val="20"/>
                <w:color w:val="auto"/>
              </w:rPr>
            </w:pPr>
            <w:r>
              <w:rPr>
                <w:rFonts w:ascii="Arial" w:cs="Arial" w:eastAsia="Arial" w:hAnsi="Arial"/>
                <w:sz w:val="9"/>
                <w:szCs w:val="9"/>
                <w:b w:val="1"/>
                <w:bCs w:val="1"/>
                <w:color w:val="auto"/>
              </w:rPr>
              <w:t>High</w:t>
            </w: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43"/>
              <w:spacing w:after="0" w:line="88" w:lineRule="exact"/>
              <w:rPr>
                <w:sz w:val="20"/>
                <w:szCs w:val="20"/>
                <w:color w:val="auto"/>
              </w:rPr>
            </w:pPr>
            <w:r>
              <w:rPr>
                <w:rFonts w:ascii="Arial" w:cs="Arial" w:eastAsia="Arial" w:hAnsi="Arial"/>
                <w:sz w:val="9"/>
                <w:szCs w:val="9"/>
                <w:b w:val="1"/>
                <w:bCs w:val="1"/>
                <w:color w:val="auto"/>
              </w:rPr>
              <w:t>Low</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2008</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20"/>
                <w:szCs w:val="20"/>
                <w:color w:val="auto"/>
              </w:rPr>
            </w:pPr>
            <w:r>
              <w:rPr>
                <w:rFonts w:ascii="Arial" w:cs="Arial" w:eastAsia="Arial" w:hAnsi="Arial"/>
                <w:sz w:val="12"/>
                <w:szCs w:val="12"/>
                <w:color w:val="auto"/>
              </w:rPr>
              <w:t>First Quarter</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102.71</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72.30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Second Quarter</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20"/>
                <w:szCs w:val="20"/>
                <w:color w:val="auto"/>
              </w:rPr>
            </w:pPr>
            <w:r>
              <w:rPr>
                <w:rFonts w:ascii="Arial" w:cs="Arial" w:eastAsia="Arial" w:hAnsi="Arial"/>
                <w:sz w:val="12"/>
                <w:szCs w:val="12"/>
                <w:color w:val="auto"/>
              </w:rPr>
              <w:t>Third Quarter</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111.95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Fourth Quarter</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960" w:type="dxa"/>
            <w:vAlign w:val="bottom"/>
            <w:gridSpan w:val="2"/>
          </w:tcPr>
          <w:p>
            <w:pPr>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First Quarter</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20"/>
                <w:szCs w:val="20"/>
                <w:color w:val="auto"/>
              </w:rPr>
            </w:pPr>
            <w:r>
              <w:rPr>
                <w:rFonts w:ascii="Arial" w:cs="Arial" w:eastAsia="Arial" w:hAnsi="Arial"/>
                <w:sz w:val="12"/>
                <w:szCs w:val="12"/>
                <w:color w:val="auto"/>
              </w:rPr>
              <w:t>Second Quarter</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63.78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940" w:type="dxa"/>
            <w:vAlign w:val="bottom"/>
          </w:tcPr>
          <w:p>
            <w:pPr>
              <w:spacing w:after="0"/>
              <w:rPr>
                <w:sz w:val="20"/>
                <w:szCs w:val="20"/>
                <w:color w:val="auto"/>
              </w:rPr>
            </w:pPr>
            <w:r>
              <w:rPr>
                <w:rFonts w:ascii="Arial" w:cs="Arial" w:eastAsia="Arial" w:hAnsi="Arial"/>
                <w:sz w:val="12"/>
                <w:szCs w:val="12"/>
                <w:color w:val="auto"/>
              </w:rPr>
              <w:t>Fourth Quarter</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71.10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940" w:type="dxa"/>
            <w:vAlign w:val="bottom"/>
          </w:tcPr>
          <w:p>
            <w:pPr>
              <w:spacing w:after="0"/>
              <w:rPr>
                <w:sz w:val="20"/>
                <w:szCs w:val="20"/>
                <w:color w:val="auto"/>
              </w:rPr>
            </w:pPr>
            <w:r>
              <w:rPr>
                <w:rFonts w:ascii="Arial" w:cs="Arial" w:eastAsia="Arial" w:hAnsi="Arial"/>
                <w:sz w:val="12"/>
                <w:szCs w:val="12"/>
                <w:color w:val="auto"/>
              </w:rPr>
              <w:t>First Quarter</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72.00</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color w:val="auto"/>
        </w:rPr>
        <w:t>On March 31, 2010, the last reported sales price of Schlumberger’s common stock on the NYSE was $63.46 per share. As of that date, there were 1,192,808,544 shares of common stock outstanding. We urge you to obtain current market information for the debentures, to the extent available, and the common stock before making any decision to surrender your debentures pursuant to the Option.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40"/>
          </w:cols>
          <w:pgMar w:left="220" w:top="232" w:right="33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3.</w:t>
      </w:r>
      <w:r>
        <w:rPr>
          <w:sz w:val="20"/>
          <w:szCs w:val="20"/>
          <w:color w:val="auto"/>
        </w:rPr>
        <w:tab/>
      </w:r>
      <w:r>
        <w:rPr>
          <w:rFonts w:ascii="Arial" w:cs="Arial" w:eastAsia="Arial" w:hAnsi="Arial"/>
          <w:sz w:val="9"/>
          <w:szCs w:val="9"/>
          <w:i w:val="1"/>
          <w:iCs w:val="1"/>
          <w:color w:val="auto"/>
        </w:rPr>
        <w:t>Identity and Background of Filing Person.</w:t>
      </w:r>
    </w:p>
    <w:p>
      <w:pPr>
        <w:spacing w:after="0" w:line="62" w:lineRule="exact"/>
        <w:rPr>
          <w:sz w:val="20"/>
          <w:szCs w:val="20"/>
          <w:color w:val="auto"/>
        </w:rPr>
      </w:pPr>
    </w:p>
    <w:p>
      <w:pPr>
        <w:ind w:right="240" w:firstLine="459"/>
        <w:spacing w:after="0" w:line="268" w:lineRule="auto"/>
        <w:rPr>
          <w:sz w:val="20"/>
          <w:szCs w:val="20"/>
          <w:color w:val="auto"/>
        </w:rPr>
      </w:pPr>
      <w:r>
        <w:rPr>
          <w:rFonts w:ascii="Arial" w:cs="Arial" w:eastAsia="Arial" w:hAnsi="Arial"/>
          <w:sz w:val="12"/>
          <w:szCs w:val="12"/>
          <w:color w:val="auto"/>
        </w:rPr>
        <w:t>This Schedule TO is being filed by Schlumberger. For the name and address of Schlumberger, see the response to paragraph (a) of Item 2 above. The following table presents the name and title of each of Schlumberger’s executive officers and directors as of April 21, 2010. The address of each such person is c/o Schlumberger Limited, 5599 San Felipe, 17th Floor, Houston, Texas 77056.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9"/>
              </w:rPr>
              <w:t>Name</w:t>
            </w:r>
          </w:p>
        </w:tc>
        <w:tc>
          <w:tcPr>
            <w:tcW w:w="5840" w:type="dxa"/>
            <w:vAlign w:val="bottom"/>
          </w:tcPr>
          <w:p>
            <w:pPr>
              <w:spacing w:after="0"/>
              <w:rPr>
                <w:sz w:val="9"/>
                <w:szCs w:val="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6"/>
              </w:rPr>
              <w:t>Title</w:t>
            </w:r>
          </w:p>
        </w:tc>
        <w:tc>
          <w:tcPr>
            <w:tcW w:w="2320" w:type="dxa"/>
            <w:vAlign w:val="bottom"/>
          </w:tcPr>
          <w:p>
            <w:pPr>
              <w:spacing w:after="0"/>
              <w:rPr>
                <w:sz w:val="9"/>
                <w:szCs w:val="9"/>
                <w:color w:val="auto"/>
              </w:rPr>
            </w:pPr>
          </w:p>
        </w:tc>
      </w:tr>
      <w:tr>
        <w:trPr>
          <w:trHeight w:val="127"/>
        </w:trPr>
        <w:tc>
          <w:tcPr>
            <w:tcW w:w="6080" w:type="dxa"/>
            <w:vAlign w:val="bottom"/>
            <w:gridSpan w:val="2"/>
          </w:tcPr>
          <w:p>
            <w:pPr>
              <w:spacing w:after="0" w:line="127" w:lineRule="exact"/>
              <w:rPr>
                <w:sz w:val="20"/>
                <w:szCs w:val="20"/>
                <w:color w:val="auto"/>
              </w:rPr>
            </w:pPr>
            <w:r>
              <w:rPr>
                <w:rFonts w:ascii="Arial" w:cs="Arial" w:eastAsia="Arial" w:hAnsi="Arial"/>
                <w:sz w:val="12"/>
                <w:szCs w:val="12"/>
                <w:color w:val="auto"/>
              </w:rPr>
              <w:t>Andrew Gould</w:t>
            </w:r>
          </w:p>
        </w:tc>
        <w:tc>
          <w:tcPr>
            <w:tcW w:w="2500" w:type="dxa"/>
            <w:vAlign w:val="bottom"/>
            <w:gridSpan w:val="2"/>
          </w:tcPr>
          <w:p>
            <w:pPr>
              <w:spacing w:after="0" w:line="127" w:lineRule="exact"/>
              <w:rPr>
                <w:sz w:val="20"/>
                <w:szCs w:val="20"/>
                <w:color w:val="auto"/>
              </w:rPr>
            </w:pPr>
            <w:r>
              <w:rPr>
                <w:rFonts w:ascii="Arial" w:cs="Arial" w:eastAsia="Arial" w:hAnsi="Arial"/>
                <w:sz w:val="12"/>
                <w:szCs w:val="12"/>
                <w:color w:val="auto"/>
                <w:w w:val="99"/>
              </w:rPr>
              <w:t>Chairman, Chief Executive Officer and 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Simon Ayat</w:t>
            </w:r>
          </w:p>
        </w:tc>
        <w:tc>
          <w:tcPr>
            <w:tcW w:w="2500" w:type="dxa"/>
            <w:vAlign w:val="bottom"/>
            <w:gridSpan w:val="2"/>
          </w:tcPr>
          <w:p>
            <w:pPr>
              <w:spacing w:after="0"/>
              <w:rPr>
                <w:sz w:val="20"/>
                <w:szCs w:val="20"/>
                <w:color w:val="auto"/>
              </w:rPr>
            </w:pPr>
            <w:r>
              <w:rPr>
                <w:rFonts w:ascii="Arial" w:cs="Arial" w:eastAsia="Arial" w:hAnsi="Arial"/>
                <w:sz w:val="12"/>
                <w:szCs w:val="12"/>
                <w:color w:val="auto"/>
                <w:w w:val="89"/>
              </w:rPr>
              <w:t>Executive Vice President and Chief Financial Officer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Paal Kibsgaard</w:t>
            </w:r>
          </w:p>
        </w:tc>
        <w:tc>
          <w:tcPr>
            <w:tcW w:w="2500" w:type="dxa"/>
            <w:vAlign w:val="bottom"/>
            <w:gridSpan w:val="2"/>
          </w:tcPr>
          <w:p>
            <w:pPr>
              <w:spacing w:after="0"/>
              <w:rPr>
                <w:sz w:val="20"/>
                <w:szCs w:val="20"/>
                <w:color w:val="auto"/>
              </w:rPr>
            </w:pPr>
            <w:r>
              <w:rPr>
                <w:rFonts w:ascii="Arial" w:cs="Arial" w:eastAsia="Arial" w:hAnsi="Arial"/>
                <w:sz w:val="12"/>
                <w:szCs w:val="12"/>
                <w:color w:val="auto"/>
              </w:rPr>
              <w:t>Chief Operating Officer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Alexander Juden</w:t>
            </w:r>
          </w:p>
        </w:tc>
        <w:tc>
          <w:tcPr>
            <w:tcW w:w="2500" w:type="dxa"/>
            <w:vAlign w:val="bottom"/>
            <w:gridSpan w:val="2"/>
          </w:tcPr>
          <w:p>
            <w:pPr>
              <w:spacing w:after="0"/>
              <w:rPr>
                <w:sz w:val="20"/>
                <w:szCs w:val="20"/>
                <w:color w:val="auto"/>
              </w:rPr>
            </w:pPr>
            <w:r>
              <w:rPr>
                <w:rFonts w:ascii="Arial" w:cs="Arial" w:eastAsia="Arial" w:hAnsi="Arial"/>
                <w:sz w:val="12"/>
                <w:szCs w:val="12"/>
                <w:color w:val="auto"/>
              </w:rPr>
              <w:t>Secretary and General Counsel</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Ashok Belani</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Doug Pferdehirt</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Jean-Francois Poupeau</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Satish Pai</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Charles Woodburn</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Stephanie Cox</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 Personnel</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Mark Danton</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 - Director of Taxes</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Rodney Nelson</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 Communications</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H. Sola Oyinlola</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 Treasurer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Malcolm Theobald</w:t>
            </w:r>
          </w:p>
        </w:tc>
        <w:tc>
          <w:tcPr>
            <w:tcW w:w="2500" w:type="dxa"/>
            <w:vAlign w:val="bottom"/>
            <w:gridSpan w:val="2"/>
          </w:tcPr>
          <w:p>
            <w:pPr>
              <w:spacing w:after="0"/>
              <w:rPr>
                <w:sz w:val="20"/>
                <w:szCs w:val="20"/>
                <w:color w:val="auto"/>
              </w:rPr>
            </w:pPr>
            <w:r>
              <w:rPr>
                <w:rFonts w:ascii="Arial" w:cs="Arial" w:eastAsia="Arial" w:hAnsi="Arial"/>
                <w:sz w:val="12"/>
                <w:szCs w:val="12"/>
                <w:color w:val="auto"/>
              </w:rPr>
              <w:t>Vice President Investor Relations</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Howard Guild</w:t>
            </w:r>
          </w:p>
        </w:tc>
        <w:tc>
          <w:tcPr>
            <w:tcW w:w="2500" w:type="dxa"/>
            <w:vAlign w:val="bottom"/>
            <w:gridSpan w:val="2"/>
          </w:tcPr>
          <w:p>
            <w:pPr>
              <w:spacing w:after="0"/>
              <w:rPr>
                <w:sz w:val="20"/>
                <w:szCs w:val="20"/>
                <w:color w:val="auto"/>
              </w:rPr>
            </w:pPr>
            <w:r>
              <w:rPr>
                <w:rFonts w:ascii="Arial" w:cs="Arial" w:eastAsia="Arial" w:hAnsi="Arial"/>
                <w:sz w:val="12"/>
                <w:szCs w:val="12"/>
                <w:color w:val="auto"/>
              </w:rPr>
              <w:t>Chief Accounting Officer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Philippe Camus</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Peter L.S. Currie</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Jamie S. Gorelick</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Tony Isaac</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K. Vaman Kamath</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Nikolay Kudryavtsev</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Adrian Lajous</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Michael E. Marks</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Leo Rafael Reif</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Tore I. Sandvold</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8"/>
        </w:trPr>
        <w:tc>
          <w:tcPr>
            <w:tcW w:w="6080" w:type="dxa"/>
            <w:vAlign w:val="bottom"/>
            <w:gridSpan w:val="2"/>
          </w:tcPr>
          <w:p>
            <w:pPr>
              <w:spacing w:after="0"/>
              <w:rPr>
                <w:sz w:val="20"/>
                <w:szCs w:val="20"/>
                <w:color w:val="auto"/>
              </w:rPr>
            </w:pPr>
            <w:r>
              <w:rPr>
                <w:rFonts w:ascii="Arial" w:cs="Arial" w:eastAsia="Arial" w:hAnsi="Arial"/>
                <w:sz w:val="12"/>
                <w:szCs w:val="12"/>
                <w:color w:val="auto"/>
              </w:rPr>
              <w:t>Henri Seydoux</w:t>
            </w:r>
          </w:p>
        </w:tc>
        <w:tc>
          <w:tcPr>
            <w:tcW w:w="2500" w:type="dxa"/>
            <w:vAlign w:val="bottom"/>
            <w:gridSpan w:val="2"/>
          </w:tcPr>
          <w:p>
            <w:pPr>
              <w:spacing w:after="0"/>
              <w:rPr>
                <w:sz w:val="20"/>
                <w:szCs w:val="20"/>
                <w:color w:val="auto"/>
              </w:rPr>
            </w:pPr>
            <w:r>
              <w:rPr>
                <w:rFonts w:ascii="Arial" w:cs="Arial" w:eastAsia="Arial" w:hAnsi="Arial"/>
                <w:sz w:val="12"/>
                <w:szCs w:val="12"/>
                <w:color w:val="auto"/>
              </w:rPr>
              <w:t>Director</w:t>
            </w:r>
          </w:p>
        </w:tc>
      </w:tr>
    </w:tbl>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9"/>
          <w:szCs w:val="9"/>
          <w:i w:val="1"/>
          <w:iCs w:val="1"/>
          <w:color w:val="auto"/>
        </w:rPr>
        <w:t>Terms of the Transaction.</w:t>
      </w:r>
    </w:p>
    <w:p>
      <w:pPr>
        <w:spacing w:after="0" w:line="62" w:lineRule="exact"/>
        <w:rPr>
          <w:sz w:val="20"/>
          <w:szCs w:val="20"/>
          <w:color w:val="auto"/>
        </w:rPr>
      </w:pPr>
    </w:p>
    <w:p>
      <w:pPr>
        <w:ind w:left="620" w:hanging="169"/>
        <w:spacing w:after="0"/>
        <w:tabs>
          <w:tab w:leader="none" w:pos="62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Material Terms.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62"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color w:val="auto"/>
        </w:rPr>
        <w:t>The securities subject to this Schedule TO and to the transaction described in this document are Schlumberger’s 2.125% Series B Convertible Debentures Due 2023. See response to paragraph (b) of Item 2 above. Schlumberger issued the debentures under an Indenture dated as of June 9, 2003, as supplemented, between Schlumberger and HSBC (successor to Citibank, N.A.), as trustee. The description of the debentures and the indenture set forth under the caption “Description of the Debentures” in Schlumberger’s prospectus dated November 4, 2003, as filed with the SEC on November 10, 2003, is incorporated by reference in this Schedule TO.</w:t>
      </w:r>
    </w:p>
    <w:p>
      <w:pPr>
        <w:spacing w:after="0" w:line="76"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2"/>
          <w:szCs w:val="12"/>
          <w:color w:val="auto"/>
        </w:rPr>
        <w:t>Under the indenture, each holder of the debentures may require Schlumberger to purchase that holder’s debentures on June 1, 2010 at a purchase price equal to 100% of their principal amount plus accrued and unpaid interest, if any, to, but not including, such repurchase date. Schlumberger will pay the purchase price in cash with respect to any and all debentures validly surrendered for purchase and not withdrawn. Schlumberger will accept debentures surrendered for purchase only in principal amounts equal to $1,000 or integral multiples thereof. Interest on the debentures validly surrendered for purchase and not withdrawn will cease to accrue on the purchase date unless Schlumberger defaults in making payment of the purchase price on those debentures.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20" w:top="230" w:right="239" w:bottom="1440" w:gutter="0" w:footer="0" w:header="0"/>
        </w:sectPr>
      </w:pPr>
    </w:p>
    <w:bookmarkStart w:id="6" w:name="page7"/>
    <w:bookmarkEnd w:id="6"/>
    <w:p>
      <w:pPr>
        <w:ind w:right="160" w:firstLine="4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purchase price is based solely on the requirements of the indenture and the debentures and bears no relationship to the market price of the debentures or of Schlumberger’s common stock. Accordingly, the purchase price may be significantly higher or lower than the current market price of the debentures. Holders of debentures are urged to obtain the best available information as to potential current market prices of the debentures, to the extent available, and Schlumberger’s common stock before making a decision whether to surrender their debentures for purchase.</w:t>
      </w:r>
    </w:p>
    <w:p>
      <w:pPr>
        <w:spacing w:after="0" w:line="94" w:lineRule="exact"/>
        <w:rPr>
          <w:sz w:val="20"/>
          <w:szCs w:val="20"/>
          <w:color w:val="auto"/>
        </w:rPr>
      </w:pPr>
    </w:p>
    <w:p>
      <w:pPr>
        <w:ind w:right="80" w:firstLine="459"/>
        <w:spacing w:after="0" w:line="259" w:lineRule="auto"/>
        <w:rPr>
          <w:sz w:val="20"/>
          <w:szCs w:val="20"/>
          <w:color w:val="auto"/>
        </w:rPr>
      </w:pPr>
      <w:r>
        <w:rPr>
          <w:rFonts w:ascii="Arial" w:cs="Arial" w:eastAsia="Arial" w:hAnsi="Arial"/>
          <w:sz w:val="12"/>
          <w:szCs w:val="12"/>
          <w:color w:val="auto"/>
        </w:rPr>
        <w:t>If any debentures remain outstanding following expiration of the Option, Schlumberger will become obligated to purchase any then-remaining debentures, at the option of the holders, in whole or in part, on June 1, 2013 and June 1, 2018, respectively, at purchase prices equal to 100% of the principal amount plus accrued and unpaid interest, if any, to, but not including, the repurchase date. Schlumberger will have the option to pay the purchase price in cash, common stock or a combination thereof.</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Call for Redemption</w:t>
      </w:r>
    </w:p>
    <w:p>
      <w:pPr>
        <w:spacing w:after="0" w:line="62" w:lineRule="exact"/>
        <w:rPr>
          <w:sz w:val="20"/>
          <w:szCs w:val="20"/>
          <w:color w:val="auto"/>
        </w:rPr>
      </w:pPr>
    </w:p>
    <w:p>
      <w:pPr>
        <w:ind w:right="460" w:firstLine="459"/>
        <w:spacing w:after="0" w:line="268" w:lineRule="auto"/>
        <w:rPr>
          <w:sz w:val="20"/>
          <w:szCs w:val="20"/>
          <w:color w:val="auto"/>
        </w:rPr>
      </w:pPr>
      <w:r>
        <w:rPr>
          <w:rFonts w:ascii="Arial" w:cs="Arial" w:eastAsia="Arial" w:hAnsi="Arial"/>
          <w:sz w:val="12"/>
          <w:szCs w:val="12"/>
          <w:color w:val="auto"/>
        </w:rPr>
        <w:t>On April 26, 2010, Schlumberger caused a notice to be mailed to holders of the debentures stating that it is calling for redemption on June 9, 2010 all of the outstanding 2.125% Series B Convertible Debentures Due 2023. The redemption price will be 100% of the principal amount thereof, plus accrued and unpaid interest up to, but not including, the redemption date.</w:t>
      </w:r>
    </w:p>
    <w:p>
      <w:pPr>
        <w:spacing w:after="0" w:line="88" w:lineRule="exact"/>
        <w:rPr>
          <w:sz w:val="20"/>
          <w:szCs w:val="20"/>
          <w:color w:val="auto"/>
        </w:rPr>
      </w:pPr>
    </w:p>
    <w:p>
      <w:pPr>
        <w:ind w:firstLine="459"/>
        <w:spacing w:after="0" w:line="386" w:lineRule="auto"/>
        <w:rPr>
          <w:sz w:val="20"/>
          <w:szCs w:val="20"/>
          <w:color w:val="auto"/>
        </w:rPr>
      </w:pPr>
      <w:r>
        <w:rPr>
          <w:rFonts w:ascii="Arial" w:cs="Arial" w:eastAsia="Arial" w:hAnsi="Arial"/>
          <w:sz w:val="9"/>
          <w:szCs w:val="9"/>
          <w:color w:val="auto"/>
        </w:rPr>
        <w:t>The debentures may be converted at any time before the close of business on June 8, 2010, the business day prior to the redemption date. The debentures are convertible into common stock, par value $0.01 per share, of Schlumberger at a rate of 25.0000 shares of common stock per $1,000 principal amount of debentures. Shares of common stock deliverable upon conversion will be delivered as soon as practicable after the conversion date to the account of the holder. Schlumberger will not issue fractional shares of common stock but will pay cash in lieu of fractional shares based on the closing sales price of a share of common stock on the NYSE on the last trading day prior to the conversion date.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Expiration of the Option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Option expires at 5:00 p.m., New York City time, on May 24, 2010. We do not plan to extend the period holders of debentures have to accept the Option unless required to do so by federal securities laws.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Procedures for Surrendering Debentures</w:t>
      </w:r>
    </w:p>
    <w:p>
      <w:pPr>
        <w:spacing w:after="0" w:line="62" w:lineRule="exact"/>
        <w:rPr>
          <w:sz w:val="20"/>
          <w:szCs w:val="20"/>
          <w:color w:val="auto"/>
        </w:rPr>
      </w:pPr>
    </w:p>
    <w:p>
      <w:pPr>
        <w:ind w:right="40" w:firstLine="459"/>
        <w:spacing w:after="0" w:line="255" w:lineRule="auto"/>
        <w:rPr>
          <w:sz w:val="20"/>
          <w:szCs w:val="20"/>
          <w:color w:val="auto"/>
        </w:rPr>
      </w:pPr>
      <w:r>
        <w:rPr>
          <w:rFonts w:ascii="Arial" w:cs="Arial" w:eastAsia="Arial" w:hAnsi="Arial"/>
          <w:sz w:val="12"/>
          <w:szCs w:val="12"/>
          <w:color w:val="auto"/>
        </w:rPr>
        <w:t>The method of delivery of debentures, the related purchase notice and all other required documents, including delivery through DTC and acceptance through DTC’s Automatic Tenders over the Participant Terminal System (“PTS”), is at the election and risk of the person surrendering such debentures and delivering such purchase notice and, except as expressly otherwise provided in the purchase notice, delivery will be deemed made only when actually received by the paying agent. The date of any postmark or other indication of when a debenture or the purchase notice was sent will not be taken into account in determining whether such materials were timely received. If such delivery is by mail, it is suggested that holders use properly insured, registered mail with return receipt requested, and that holders mail the required documents sufficiently in advance of May 24, 2010 to permit delivery to the paying agent prior to 5:00 p.m., New York City time, on May 24,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indenture requires that the purchase notice contain:</w:t>
      </w:r>
    </w:p>
    <w:p>
      <w:pPr>
        <w:spacing w:after="0" w:line="60" w:lineRule="exact"/>
        <w:rPr>
          <w:sz w:val="20"/>
          <w:szCs w:val="20"/>
          <w:color w:val="auto"/>
        </w:rPr>
      </w:pPr>
    </w:p>
    <w:p>
      <w:pPr>
        <w:ind w:left="900" w:hanging="449"/>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certificate number of the debentures in certificated form being delivered for purchase (or, if your debentures are not certificated, your repurchase notice must comply with appropriate DTC procedures);</w:t>
      </w:r>
    </w:p>
    <w:p>
      <w:pPr>
        <w:spacing w:after="0" w:line="71" w:lineRule="exact"/>
        <w:rPr>
          <w:rFonts w:ascii="Arial" w:cs="Arial" w:eastAsia="Arial" w:hAnsi="Arial"/>
          <w:sz w:val="11"/>
          <w:szCs w:val="11"/>
          <w:color w:val="auto"/>
        </w:rPr>
      </w:pPr>
    </w:p>
    <w:p>
      <w:pPr>
        <w:ind w:left="900" w:hanging="449"/>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portion of the principal amount of debentures to be repurchased, which portion must be in principal amounts of $1,000 or integral multiples thereof; and</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statement that the debentures are to be repurchased by us pursuant to the applicable provisions of the debentures and the indenture.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232" w:right="219" w:bottom="1440" w:gutter="0" w:footer="0" w:header="0"/>
        </w:sectPr>
      </w:pPr>
    </w:p>
    <w:bookmarkStart w:id="7" w:name="page8"/>
    <w:bookmarkEnd w:id="7"/>
    <w:p>
      <w:pPr>
        <w:ind w:right="80" w:firstLine="45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holder whose debentures are held by a broker, dealer, commercial bank, trust company or other nominee must contact such nominee if such holder desires to surrender his or her debentures and instruct such nominee to surrender the debentures for purchase on the holder’s behalf.</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holder who is a DTC participant may elect to surrender to Schlumberger his or her beneficial interest in the debentures by:</w:t>
      </w:r>
    </w:p>
    <w:p>
      <w:pPr>
        <w:spacing w:after="0" w:line="60" w:lineRule="exact"/>
        <w:rPr>
          <w:sz w:val="20"/>
          <w:szCs w:val="20"/>
          <w:color w:val="auto"/>
        </w:rPr>
      </w:pPr>
    </w:p>
    <w:p>
      <w:pPr>
        <w:ind w:left="900" w:hanging="449"/>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delivering to the paying agent’s account at DTC through DTC’s book-entry system his or her beneficial interest in the debentures on or prior to 5:00 p.m., New York City time, on May 24, 2010; and</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electronically transmitting his or her acceptance through DTC’s PTS, subject to the terms and procedures of that system.</w:t>
      </w:r>
    </w:p>
    <w:p>
      <w:pPr>
        <w:spacing w:after="0" w:line="114"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In surrendering through PTS, the electronic instructions sent to DTC by the holder, and transmitted by DTC to the paying agent, will acknowledge, on behalf of DTC and the holder, receipt by the holder of and agreement to be bound by the purchase notice.</w:t>
      </w:r>
    </w:p>
    <w:p>
      <w:pPr>
        <w:spacing w:after="0" w:line="86" w:lineRule="exact"/>
        <w:rPr>
          <w:sz w:val="20"/>
          <w:szCs w:val="20"/>
          <w:color w:val="auto"/>
        </w:rPr>
      </w:pPr>
    </w:p>
    <w:p>
      <w:pPr>
        <w:ind w:right="360" w:firstLine="459"/>
        <w:spacing w:after="0" w:line="272" w:lineRule="auto"/>
        <w:rPr>
          <w:sz w:val="20"/>
          <w:szCs w:val="20"/>
          <w:color w:val="auto"/>
        </w:rPr>
      </w:pPr>
      <w:r>
        <w:rPr>
          <w:rFonts w:ascii="Arial" w:cs="Arial" w:eastAsia="Arial" w:hAnsi="Arial"/>
          <w:sz w:val="12"/>
          <w:szCs w:val="12"/>
          <w:b w:val="1"/>
          <w:bCs w:val="1"/>
          <w:color w:val="auto"/>
        </w:rPr>
        <w:t>Debentures and the purchase notice must be delivered to the paying agent to collect payment. Delivery of documents to DTC or Schlumberger does not constitute delivery to the paying agent. Holders that surrender through DTC need not submit a physical purchase notice to the paying agent if such holders comply with DTC’s transmittal procedures.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Withdrawal Procedures</w:t>
      </w:r>
    </w:p>
    <w:p>
      <w:pPr>
        <w:spacing w:after="0" w:line="62" w:lineRule="exact"/>
        <w:rPr>
          <w:sz w:val="20"/>
          <w:szCs w:val="20"/>
          <w:color w:val="auto"/>
        </w:rPr>
      </w:pPr>
    </w:p>
    <w:p>
      <w:pPr>
        <w:ind w:right="240" w:firstLine="459"/>
        <w:spacing w:after="0" w:line="268" w:lineRule="auto"/>
        <w:rPr>
          <w:sz w:val="20"/>
          <w:szCs w:val="20"/>
          <w:color w:val="auto"/>
        </w:rPr>
      </w:pPr>
      <w:r>
        <w:rPr>
          <w:rFonts w:ascii="Arial" w:cs="Arial" w:eastAsia="Arial" w:hAnsi="Arial"/>
          <w:sz w:val="12"/>
          <w:szCs w:val="12"/>
          <w:color w:val="auto"/>
        </w:rPr>
        <w:t>Debentures surrendered for purchase may be withdrawn at any time prior to 5:00 p.m., New York City time, on May 24, 2010. In order to withdraw debentures, holders must either comply with DTC’s withdrawal procedures or, for debentures in certificated form, deliver to the paying agent written notice containing:</w:t>
      </w:r>
    </w:p>
    <w:p>
      <w:pPr>
        <w:spacing w:after="0" w:line="34" w:lineRule="exact"/>
        <w:rPr>
          <w:sz w:val="20"/>
          <w:szCs w:val="20"/>
          <w:color w:val="auto"/>
        </w:rPr>
      </w:pPr>
    </w:p>
    <w:p>
      <w:pPr>
        <w:ind w:left="900" w:hanging="449"/>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principal amount of the withdrawn debentures;</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certificate number of the withdrawn debentures; and</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principal amount, if any, of such debentures which remains subject to the original repurchase notice and which have been or will be delivered for purchase by Schlumberger.</w:t>
      </w:r>
    </w:p>
    <w:p>
      <w:pPr>
        <w:spacing w:after="0" w:line="112" w:lineRule="exact"/>
        <w:rPr>
          <w:sz w:val="20"/>
          <w:szCs w:val="20"/>
          <w:color w:val="auto"/>
        </w:rPr>
      </w:pPr>
    </w:p>
    <w:p>
      <w:pPr>
        <w:ind w:right="200" w:firstLine="459"/>
        <w:spacing w:after="0" w:line="272" w:lineRule="auto"/>
        <w:rPr>
          <w:sz w:val="20"/>
          <w:szCs w:val="20"/>
          <w:color w:val="auto"/>
        </w:rPr>
      </w:pPr>
      <w:r>
        <w:rPr>
          <w:rFonts w:ascii="Arial" w:cs="Arial" w:eastAsia="Arial" w:hAnsi="Arial"/>
          <w:sz w:val="12"/>
          <w:szCs w:val="12"/>
          <w:color w:val="auto"/>
        </w:rPr>
        <w:t xml:space="preserve">Any properly withdrawn debentures will be deemed not validly surrendered for purposes of the Option. Debentures withdrawn from the Option may be resurrendered by following the surrender procedures described above. </w:t>
      </w:r>
      <w:r>
        <w:rPr>
          <w:rFonts w:ascii="Arial" w:cs="Arial" w:eastAsia="Arial" w:hAnsi="Arial"/>
          <w:sz w:val="12"/>
          <w:szCs w:val="12"/>
          <w:b w:val="1"/>
          <w:bCs w:val="1"/>
          <w:color w:val="auto"/>
        </w:rPr>
        <w:t>Holders</w:t>
      </w:r>
      <w:r>
        <w:rPr>
          <w:rFonts w:ascii="Arial" w:cs="Arial" w:eastAsia="Arial" w:hAnsi="Arial"/>
          <w:sz w:val="12"/>
          <w:szCs w:val="12"/>
          <w:color w:val="auto"/>
        </w:rPr>
        <w:t xml:space="preserve"> </w:t>
      </w:r>
      <w:r>
        <w:rPr>
          <w:rFonts w:ascii="Arial" w:cs="Arial" w:eastAsia="Arial" w:hAnsi="Arial"/>
          <w:sz w:val="12"/>
          <w:szCs w:val="12"/>
          <w:b w:val="1"/>
          <w:bCs w:val="1"/>
          <w:color w:val="auto"/>
        </w:rPr>
        <w:t>that withdraw through DTC need not submit a physical notice of withdrawal to the paying agent if such holders comply with DTC’s withdrawal procedures.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of Purchase Price</w:t>
      </w:r>
    </w:p>
    <w:p>
      <w:pPr>
        <w:spacing w:after="0" w:line="62"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For debentures in certificated form, the purchase price for such debentures validly surrendered for purchase and not withdrawn will be paid to the holder promptly following June 1, 2010, subject to receipt of the surrendered debentures. Each holder of a beneficial interest in the debentures that has properly delivered such beneficial interest for purchase by Schlumberger through DTC and not validly withdrawn such delivery prior to 5:00 p.m., New York City time, on May 24, 2010, will receive the purchase price on the later of June 1, 2010 and the time of book-entry transfer of the debentures.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U.S. Federal Income Tax Consequences</w:t>
      </w:r>
    </w:p>
    <w:p>
      <w:pPr>
        <w:spacing w:after="0" w:line="62"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The following is a discussion of the material U.S. federal income tax consequences to U.S. holders and non-U.S. holders (each as defined below) of the surrender of debentures for purchase pursuant to the Option. This discussion is based on the Internal Revenue Code of 1986, as amended (the “Code”), its legislative history, existing and proposed Treasury regulations promulgated thereunder, judicial decisions, published rulings,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232" w:right="199" w:bottom="1440" w:gutter="0" w:footer="0" w:header="0"/>
        </w:sectPr>
      </w:pPr>
    </w:p>
    <w:bookmarkStart w:id="8" w:name="page9"/>
    <w:bookmarkEnd w:id="8"/>
    <w:p>
      <w:pPr>
        <w:ind w:right="12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administrative pronouncements and income tax treaties to which the United States is a party, each as in effect on the date of this Schedule TO. These laws may change, possibly with retroactive effect. There can be no assurance that the United States Internal Revenue Service (the “IRS”) will not disagree with or will not successfully challenge any of the conclusions reached and described in this section.</w:t>
      </w:r>
    </w:p>
    <w:p>
      <w:pPr>
        <w:spacing w:after="0" w:line="88"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This discussion does not address any aspects of U.S. taxation other than U.S. federal income taxation, is not a complete analysis or listing of all of the possible tax consequences of the Option and does not address all tax considerations that may be relevant to you. Special rules that are not discussed in the general descriptions below may also apply to you. In particular, this discussion applies only to holders that hold debentures as “capital assets” within the meaning of Section 1221 of the Code and does not address the tax treatment of special classes of holders, such as:</w:t>
      </w:r>
    </w:p>
    <w:p>
      <w:pPr>
        <w:spacing w:after="0" w:line="40" w:lineRule="exact"/>
        <w:rPr>
          <w:sz w:val="20"/>
          <w:szCs w:val="20"/>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bank or other financial institution;</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tax-exempt entity;</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 insurance company;</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person holding shares as part of a “straddle,” “hedge,” “integrated transaction,” or “conversion transaction”;</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person holding shares through a partnership or other pass-through entity;</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U.S. expatriate;</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person who is liable for alternative minimum tax;</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broker-dealer or trader in securities or currencies;</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U.S. holder whose “functional currency” is not the U.S. dollar;</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regulated investment company; or</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real estate investment trust.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purposes of this discussion, a “U.S. holder” is any beneficial owner of debentures that for U.S. federal income tax purposes is:</w:t>
      </w:r>
    </w:p>
    <w:p>
      <w:pPr>
        <w:spacing w:after="0" w:line="60" w:lineRule="exact"/>
        <w:rPr>
          <w:sz w:val="20"/>
          <w:szCs w:val="20"/>
          <w:color w:val="auto"/>
        </w:rPr>
      </w:pPr>
    </w:p>
    <w:p>
      <w:pPr>
        <w:ind w:left="900" w:hanging="449"/>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 individual citizen or resident alien of the United States;</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corporation or other entity taxable as a corporation organized under the laws of the United States or any state thereof including the District of Columbia;</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 estate if its income is subject to U.S. federal income taxation regardless of its source; or</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5"/>
        </w:numPr>
        <w:rPr>
          <w:rFonts w:ascii="Arial" w:cs="Arial" w:eastAsia="Arial" w:hAnsi="Arial"/>
          <w:sz w:val="9"/>
          <w:szCs w:val="9"/>
          <w:color w:val="auto"/>
        </w:rPr>
      </w:pPr>
      <w:r>
        <w:rPr>
          <w:rFonts w:ascii="Arial" w:cs="Arial" w:eastAsia="Arial" w:hAnsi="Arial"/>
          <w:sz w:val="9"/>
          <w:szCs w:val="9"/>
          <w:color w:val="auto"/>
        </w:rPr>
        <w:t>a trust (1) that is subject to the primary supervision of a U.S. court and the control of one or more U.S. persons or (2) that has a valid election in effect under applicable Treasury regulations to be treated as a U.S. person.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“non-U.S. holder” is a beneficial owner of debentures other than a U.S. holder. For purposes of this discussion, “holder” means a U.S. holder or a non-U.S. holder or both, as the context may require.</w:t>
      </w:r>
    </w:p>
    <w:p>
      <w:pPr>
        <w:spacing w:after="0" w:line="114"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If a partnership (including any entity or arrangement treated as a partnership for U.S. federal income tax purposes) is a beneficial owner of debentures, the tax treatment of a partner in that partnership generally will depend on the status of the partner and the activities of the partnership. Holders of debentures that are partnerships or partners in these partnerships should consult their tax advisors regarding the U.S. federal income tax consequences to them of surrendering debentures pursuant to the Option.</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40"/>
          </w:cols>
          <w:pgMar w:left="220" w:top="232" w:right="239" w:bottom="1440" w:gutter="0" w:footer="0" w:header="0"/>
        </w:sectPr>
      </w:pPr>
    </w:p>
    <w:bookmarkStart w:id="9" w:name="page10"/>
    <w:bookmarkEnd w:id="9"/>
    <w:p>
      <w:pPr>
        <w:ind w:right="220" w:firstLine="4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THIS SUMMARY IS NOT A SUBSTITUTE FOR AN INDIVIDUAL ANALYSIS OF THE TAX CONSEQUENCES TO YOU OF SURRENDERING DEBENTURES FOR PURCHASE PURSUANT TO THE OPTION. SCHLUMBERGER URGES YOU TO CONSULT A TAX ADVISOR REGARDING THE PARTICULAR FEDERAL, STATE, LOCAL AND NON-U.S. TAX CONSEQUENCES OF SURRENDERING DEBENTURES FOR PURCHASE PURSUANT TO THE OPTION IN LIGHT OF YOUR OWN SITUATION.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Holders</w:t>
      </w:r>
    </w:p>
    <w:p>
      <w:pPr>
        <w:spacing w:after="0" w:line="60" w:lineRule="exact"/>
        <w:rPr>
          <w:sz w:val="20"/>
          <w:szCs w:val="20"/>
          <w:color w:val="auto"/>
        </w:rPr>
      </w:pPr>
    </w:p>
    <w:p>
      <w:pPr>
        <w:ind w:right="100" w:firstLine="459"/>
        <w:spacing w:after="0" w:line="281" w:lineRule="auto"/>
        <w:rPr>
          <w:sz w:val="20"/>
          <w:szCs w:val="20"/>
          <w:color w:val="auto"/>
        </w:rPr>
      </w:pPr>
      <w:r>
        <w:rPr>
          <w:rFonts w:ascii="Arial" w:cs="Arial" w:eastAsia="Arial" w:hAnsi="Arial"/>
          <w:sz w:val="11"/>
          <w:szCs w:val="11"/>
          <w:i w:val="1"/>
          <w:iCs w:val="1"/>
          <w:color w:val="auto"/>
        </w:rPr>
        <w:t xml:space="preserve">Sale of the Debentures. </w:t>
      </w:r>
      <w:r>
        <w:rPr>
          <w:rFonts w:ascii="Arial" w:cs="Arial" w:eastAsia="Arial" w:hAnsi="Arial"/>
          <w:sz w:val="11"/>
          <w:szCs w:val="11"/>
          <w:color w:val="auto"/>
        </w:rPr>
        <w:t>A U.S. holder who receives cash in exchange for debentures pursuant to the Option generally will recognize capital gain or loss equal to the difference between (1) the amount of cash received (less any amount</w:t>
      </w:r>
      <w:r>
        <w:rPr>
          <w:rFonts w:ascii="Arial" w:cs="Arial" w:eastAsia="Arial" w:hAnsi="Arial"/>
          <w:sz w:val="11"/>
          <w:szCs w:val="11"/>
          <w:i w:val="1"/>
          <w:iCs w:val="1"/>
          <w:color w:val="auto"/>
        </w:rPr>
        <w:t xml:space="preserve"> </w:t>
      </w:r>
      <w:r>
        <w:rPr>
          <w:rFonts w:ascii="Arial" w:cs="Arial" w:eastAsia="Arial" w:hAnsi="Arial"/>
          <w:sz w:val="11"/>
          <w:szCs w:val="11"/>
          <w:color w:val="auto"/>
        </w:rPr>
        <w:t>attributable to accrued and unpaid interest on the debentures, which amount will be taxable as ordinary income if the holder has not previously included such amount in income) and (2) the U.S. holder’s adjusted tax basis in the debentures surrendered. A U.S. holder’s adjusted tax basis in debentures will generally equal the cost of the debentures to such U.S. holder, increased by any accrued market discount previously included in income by the U.S. holder and reduced by any bond premium previously amortized by the U.S. holder with respect to the debentures. Except as described below with respect to market discount, gain or loss recognized upon the receipt of cash in exchange for debentures will generally be long-term capital gain or loss if the U.S. holder’s holding period for the debentures exceeds one year at the time of the exchange. Under current law, long-term capital gain recognized by a non-corporate U.S. holder before January 1, 2011, generally is subject to U.S. taxation at a maximum rate of 15%. There are limitations on the deductibility of capital losses.</w:t>
      </w:r>
    </w:p>
    <w:p>
      <w:pPr>
        <w:spacing w:after="0" w:line="84"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i w:val="1"/>
          <w:iCs w:val="1"/>
          <w:color w:val="auto"/>
        </w:rPr>
        <w:t xml:space="preserve">Market Discount. </w:t>
      </w:r>
      <w:r>
        <w:rPr>
          <w:rFonts w:ascii="Arial" w:cs="Arial" w:eastAsia="Arial" w:hAnsi="Arial"/>
          <w:sz w:val="11"/>
          <w:szCs w:val="11"/>
          <w:color w:val="auto"/>
        </w:rPr>
        <w:t>An exception to the capital gain treatment described above may apply to a U.S. holder who purchased a debenture at a “market discount.” Subject to a statutory de minimis exception, debentures have market discount</w:t>
      </w:r>
      <w:r>
        <w:rPr>
          <w:rFonts w:ascii="Arial" w:cs="Arial" w:eastAsia="Arial" w:hAnsi="Arial"/>
          <w:sz w:val="11"/>
          <w:szCs w:val="11"/>
          <w:i w:val="1"/>
          <w:iCs w:val="1"/>
          <w:color w:val="auto"/>
        </w:rPr>
        <w:t xml:space="preserve"> </w:t>
      </w:r>
      <w:r>
        <w:rPr>
          <w:rFonts w:ascii="Arial" w:cs="Arial" w:eastAsia="Arial" w:hAnsi="Arial"/>
          <w:sz w:val="11"/>
          <w:szCs w:val="11"/>
          <w:color w:val="auto"/>
        </w:rPr>
        <w:t>if they were purchased at an amount less than the stated redemption price at maturity of the debentures. In general, unless the U.S. holder has elected to include market discount in income currently as it accrues, any gain recognized by a U.S. holder on the surrender of debentures for purchase pursuant to the Option will be treated as ordinary income to the extent of the lesser of (1) the gain recognized or (2) the portion of the market discount that has accrued while the debentures were held by the U.S. holder. U.S. holders should consult their tax advisors regarding the portion of any gain that would be taxable as ordinary income under the market discount rules.</w:t>
      </w:r>
    </w:p>
    <w:p>
      <w:pPr>
        <w:spacing w:after="0" w:line="80" w:lineRule="exact"/>
        <w:rPr>
          <w:sz w:val="20"/>
          <w:szCs w:val="20"/>
          <w:color w:val="auto"/>
        </w:rPr>
      </w:pPr>
    </w:p>
    <w:p>
      <w:pPr>
        <w:ind w:right="80" w:firstLine="459"/>
        <w:spacing w:after="0" w:line="360" w:lineRule="auto"/>
        <w:rPr>
          <w:sz w:val="20"/>
          <w:szCs w:val="20"/>
          <w:color w:val="auto"/>
        </w:rPr>
      </w:pPr>
      <w:r>
        <w:rPr>
          <w:rFonts w:ascii="Arial" w:cs="Arial" w:eastAsia="Arial" w:hAnsi="Arial"/>
          <w:sz w:val="9"/>
          <w:szCs w:val="9"/>
          <w:i w:val="1"/>
          <w:iCs w:val="1"/>
          <w:color w:val="auto"/>
        </w:rPr>
        <w:t xml:space="preserve">Information Reporting and Backup Withholding. </w:t>
      </w:r>
      <w:r>
        <w:rPr>
          <w:rFonts w:ascii="Arial" w:cs="Arial" w:eastAsia="Arial" w:hAnsi="Arial"/>
          <w:sz w:val="9"/>
          <w:szCs w:val="9"/>
          <w:color w:val="auto"/>
        </w:rPr>
        <w:t>Under the backup withholding provisions of the Code, 28% of the gross proceeds payable to a U.S. holder that surrenders debentures for purchase pursuant to the Option must be</w:t>
      </w:r>
      <w:r>
        <w:rPr>
          <w:rFonts w:ascii="Arial" w:cs="Arial" w:eastAsia="Arial" w:hAnsi="Arial"/>
          <w:sz w:val="9"/>
          <w:szCs w:val="9"/>
          <w:i w:val="1"/>
          <w:iCs w:val="1"/>
          <w:color w:val="auto"/>
        </w:rPr>
        <w:t xml:space="preserve"> </w:t>
      </w:r>
      <w:r>
        <w:rPr>
          <w:rFonts w:ascii="Arial" w:cs="Arial" w:eastAsia="Arial" w:hAnsi="Arial"/>
          <w:sz w:val="9"/>
          <w:szCs w:val="9"/>
          <w:color w:val="auto"/>
        </w:rPr>
        <w:t>withheld and remitted to the IRS, unless such holder (1) is a corporation or other exempt recipient or (2) provides a Taxpayer Identification Number (Employer Identification Number or Social Security Number) and satisfies certain certification requirements. U.S. holders that elect to surrender debentures should complete and sign the Substitute Form W-9 that is included with this Schedule TO and attach it to the debentures that are being surrendered. If you are a U.S. holder that is exempt from backup withholding under the Code, please (1) provide your Taxpayer Identification Number on the Substitute Form W-9 and (2) indicate your exemption in Part 2 of the Substitute Form W-9. Amounts withheld under the backup withholding rules are not additional tax and may be allowed as a refund or a credit against the holder’s U.S. federal income tax liability, provided the required information is furnished to the IRS in a timely manner.</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Non-U.S. Holders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 xml:space="preserve">Sale of the Debentures. </w:t>
      </w:r>
      <w:r>
        <w:rPr>
          <w:rFonts w:ascii="Arial" w:cs="Arial" w:eastAsia="Arial" w:hAnsi="Arial"/>
          <w:sz w:val="12"/>
          <w:szCs w:val="12"/>
          <w:color w:val="auto"/>
        </w:rPr>
        <w:t>A non-U.S. holder that receives cash in exchange for debentures pursuant to the Option will not be subject to U.S. federal income or withholding tax on any gain recognized, unless:</w:t>
      </w:r>
    </w:p>
    <w:p>
      <w:pPr>
        <w:spacing w:after="0" w:line="60" w:lineRule="exact"/>
        <w:rPr>
          <w:sz w:val="20"/>
          <w:szCs w:val="20"/>
          <w:color w:val="auto"/>
        </w:rPr>
      </w:pPr>
    </w:p>
    <w:p>
      <w:pPr>
        <w:ind w:left="900" w:hanging="449"/>
        <w:spacing w:after="0" w:line="268"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such gain is effectively connected with the non-U.S. holder’s conduct of a U.S. trade or business and, if a tax treaty applies, is attributable to a permanent establishment or fixed place of business maintained by the holder in the United States;</w:t>
      </w:r>
    </w:p>
    <w:p>
      <w:pPr>
        <w:spacing w:after="0" w:line="34" w:lineRule="exact"/>
        <w:rPr>
          <w:rFonts w:ascii="Arial" w:cs="Arial" w:eastAsia="Arial" w:hAnsi="Arial"/>
          <w:sz w:val="12"/>
          <w:szCs w:val="12"/>
          <w:color w:val="auto"/>
        </w:rPr>
      </w:pPr>
    </w:p>
    <w:p>
      <w:pPr>
        <w:ind w:left="900" w:hanging="449"/>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the case of a non-U.S. holder who is an individual, the holder is present in the United States for 183 days or more during the taxable year of disposition and certain other conditions are met; or</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holder does not qualify for an exemption from backup withholding, as discussed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232" w:right="199" w:bottom="1440" w:gutter="0" w:footer="0" w:header="0"/>
        </w:sectPr>
      </w:pPr>
    </w:p>
    <w:bookmarkStart w:id="10" w:name="page11"/>
    <w:bookmarkEnd w:id="10"/>
    <w:p>
      <w:pPr>
        <w:ind w:left="460"/>
        <w:spacing w:after="0"/>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non-U.S. holder will not be subject to U.S. federal income or withholding tax on amounts received that are attributable to accrued and unpaid interest on the debentures, unless the interest is effectively connected with the non-U.S.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holder’s conduct of a U.S. trade or business and, if a tax treaty applies, is attributable to a permanent establishment or fixed place of business maintained by the holder in the United States.</w:t>
      </w:r>
    </w:p>
    <w:p>
      <w:pPr>
        <w:spacing w:after="0" w:line="110"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i w:val="1"/>
          <w:iCs w:val="1"/>
          <w:color w:val="auto"/>
        </w:rPr>
        <w:t xml:space="preserve">Information Reporting and Backup Withholding. </w:t>
      </w:r>
      <w:r>
        <w:rPr>
          <w:rFonts w:ascii="Arial" w:cs="Arial" w:eastAsia="Arial" w:hAnsi="Arial"/>
          <w:sz w:val="12"/>
          <w:szCs w:val="12"/>
          <w:color w:val="auto"/>
        </w:rPr>
        <w:t>In general, backup withholding will not apply to payments made to a non-U.S. holder in exchange for debentures pursuant to the Option as long as the non-U.S. holder complies with</w:t>
      </w:r>
      <w:r>
        <w:rPr>
          <w:rFonts w:ascii="Arial" w:cs="Arial" w:eastAsia="Arial" w:hAnsi="Arial"/>
          <w:sz w:val="12"/>
          <w:szCs w:val="12"/>
          <w:i w:val="1"/>
          <w:iCs w:val="1"/>
          <w:color w:val="auto"/>
        </w:rPr>
        <w:t xml:space="preserve"> </w:t>
      </w:r>
      <w:r>
        <w:rPr>
          <w:rFonts w:ascii="Arial" w:cs="Arial" w:eastAsia="Arial" w:hAnsi="Arial"/>
          <w:sz w:val="12"/>
          <w:szCs w:val="12"/>
          <w:color w:val="auto"/>
        </w:rPr>
        <w:t>certification procedures to establish that it is a non-U.S. person.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Debentures by Schlumberger and Its Affiliates</w:t>
      </w:r>
    </w:p>
    <w:p>
      <w:pPr>
        <w:spacing w:after="0" w:line="62"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Each of Schlumberger and its affiliates, including its executive officers and directors, are prohibited under applicable federal securities laws from purchasing debentures (or the right to purchase debentures) other than through the Option for a period of at least ten business days after the purchase date. Following that time, if any debentures remain outstanding, Schlumberger and its affiliates may purchase debentures in the open market, in private transactions, through a subsequent tender offer or otherwise, any of which may be consummated at purchase prices higher or lower than the purchase price to be paid pursuant to the Option. Any decision to purchase debentures after the Option, if any, will depend upon many factors, including the market price of the debentures, the amount of debentures surrendered for purchase pursuant to the Option, the market price of Schlumberger’s common stock, Schlumberger’s business and financial position and general economic and market conditions.</w:t>
      </w:r>
    </w:p>
    <w:p>
      <w:pPr>
        <w:spacing w:after="0" w:line="96" w:lineRule="exact"/>
        <w:rPr>
          <w:sz w:val="20"/>
          <w:szCs w:val="20"/>
          <w:color w:val="auto"/>
        </w:rPr>
      </w:pPr>
    </w:p>
    <w:p>
      <w:pPr>
        <w:ind w:right="420" w:firstLine="459"/>
        <w:spacing w:after="0" w:line="268" w:lineRule="auto"/>
        <w:rPr>
          <w:sz w:val="20"/>
          <w:szCs w:val="20"/>
          <w:color w:val="auto"/>
        </w:rPr>
      </w:pPr>
      <w:r>
        <w:rPr>
          <w:rFonts w:ascii="Arial" w:cs="Arial" w:eastAsia="Arial" w:hAnsi="Arial"/>
          <w:sz w:val="12"/>
          <w:szCs w:val="12"/>
          <w:color w:val="auto"/>
        </w:rPr>
        <w:t>Schlumberger has called for redemption any debentures that remain outstanding, for cash at a price equal to the principal amount plus accrued and unpaid interest to the redemption date of June 9, 2010. Please see the Notice of Redemption filed as exhibit (a)(5)(A) to this Schedule TO.</w:t>
      </w:r>
    </w:p>
    <w:p>
      <w:pPr>
        <w:spacing w:after="0" w:line="88" w:lineRule="exact"/>
        <w:rPr>
          <w:sz w:val="20"/>
          <w:szCs w:val="20"/>
          <w:color w:val="auto"/>
        </w:rPr>
      </w:pPr>
    </w:p>
    <w:p>
      <w:pPr>
        <w:jc w:val="both"/>
        <w:ind w:left="460" w:right="10300" w:hanging="9"/>
        <w:spacing w:after="0" w:line="563" w:lineRule="auto"/>
        <w:tabs>
          <w:tab w:leader="none" w:pos="626" w:val="left"/>
        </w:tabs>
        <w:numPr>
          <w:ilvl w:val="0"/>
          <w:numId w:val="27"/>
        </w:numPr>
        <w:rPr>
          <w:rFonts w:ascii="Arial" w:cs="Arial" w:eastAsia="Arial" w:hAnsi="Arial"/>
          <w:sz w:val="9"/>
          <w:szCs w:val="9"/>
          <w:color w:val="auto"/>
        </w:rPr>
      </w:pPr>
      <w:r>
        <w:rPr>
          <w:rFonts w:ascii="Arial" w:cs="Arial" w:eastAsia="Arial" w:hAnsi="Arial"/>
          <w:sz w:val="9"/>
          <w:szCs w:val="9"/>
          <w:i w:val="1"/>
          <w:iCs w:val="1"/>
          <w:color w:val="auto"/>
        </w:rPr>
        <w:t xml:space="preserve">Purchases. </w:t>
      </w:r>
      <w:r>
        <w:rPr>
          <w:rFonts w:ascii="Arial" w:cs="Arial" w:eastAsia="Arial" w:hAnsi="Arial"/>
          <w:sz w:val="9"/>
          <w:szCs w:val="9"/>
          <w:color w:val="auto"/>
        </w:rPr>
        <w:t>Not applicable.</w:t>
      </w:r>
    </w:p>
    <w:p>
      <w:pPr>
        <w:spacing w:after="0" w:line="44"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9"/>
          <w:szCs w:val="9"/>
          <w:i w:val="1"/>
          <w:iCs w:val="1"/>
          <w:color w:val="auto"/>
        </w:rPr>
        <w:t>Past Contacts, Transactions, Negotiations and Arrangements.</w:t>
      </w:r>
    </w:p>
    <w:p>
      <w:pPr>
        <w:spacing w:after="0" w:line="62" w:lineRule="exact"/>
        <w:rPr>
          <w:sz w:val="20"/>
          <w:szCs w:val="20"/>
          <w:color w:val="auto"/>
        </w:rPr>
      </w:pPr>
    </w:p>
    <w:p>
      <w:pPr>
        <w:jc w:val="both"/>
        <w:ind w:right="120" w:firstLine="459"/>
        <w:spacing w:after="0" w:line="259" w:lineRule="auto"/>
        <w:rPr>
          <w:sz w:val="20"/>
          <w:szCs w:val="20"/>
          <w:color w:val="auto"/>
        </w:rPr>
      </w:pPr>
      <w:r>
        <w:rPr>
          <w:rFonts w:ascii="Arial" w:cs="Arial" w:eastAsia="Arial" w:hAnsi="Arial"/>
          <w:sz w:val="12"/>
          <w:szCs w:val="12"/>
          <w:color w:val="auto"/>
        </w:rPr>
        <w:t>Except as described herein, neither Schlumberger nor, to its knowledge, any of its affiliates, directors or executive officers is a party to any contract, arrangement, understanding or agreement with any other person relating, directly or indirectly, to the Option or with respect to any of the securities of Schlumberger including, but not limited to, any contract, arrangement, understanding or agreement concerning the transfer or the voting of the securities, joint ventures, loan or option arrangement, puts or calls, guarantees of loans, guarantees against loss or the giving or withholding of proxies, consents or authorizations.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Schlumberger’s directors and executive officers are parties to Schlumberger’s ordinary course stock incentive plans and employee stock purchase plans, as disclosed in Schlumberger’s filings with the SEC.</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9"/>
          <w:szCs w:val="9"/>
          <w:i w:val="1"/>
          <w:iCs w:val="1"/>
          <w:color w:val="auto"/>
        </w:rPr>
        <w:t>Purposes of the Transaction and Plans or Proposals.</w:t>
      </w:r>
    </w:p>
    <w:p>
      <w:pPr>
        <w:spacing w:after="0" w:line="62"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The purpose of the transaction is described in the response to paragraph (a) of Item 4 above. All debentures that are purchased by Schlumberger pursuant to this document will be canceled by the trustee. On February 21, 2010, Schlumberger, Turnberry Merger Sub Inc., a direct wholly owned subsidiary of Schlumberger (“Merger Sub”), and Smith International, Inc. (“Smith”) entered into an Agreement and Plan of Merger (the “Merger Agreement”). Under the terms of the Merger Agreement, Merger Sub will merge with and into Smith, with Smith as the surviving entity, and Smith will become a wholly owned subsidiary of Schlumberger. For additional information, see Item 11(b) “Other Material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232" w:right="219" w:bottom="1440" w:gutter="0" w:footer="0" w:header="0"/>
        </w:sectPr>
      </w:pPr>
    </w:p>
    <w:bookmarkStart w:id="11" w:name="page12"/>
    <w:bookmarkEnd w:id="11"/>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as described in this document, there currently are no plans that relate to or would result in:</w:t>
      </w:r>
    </w:p>
    <w:p>
      <w:pPr>
        <w:spacing w:after="0" w:line="60" w:lineRule="exact"/>
        <w:rPr>
          <w:sz w:val="20"/>
          <w:szCs w:val="20"/>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extraordinary transaction, such as a merger, reorganization or liquidation, involving Schlumberger or any of its subsidiaries;</w:t>
      </w:r>
    </w:p>
    <w:p>
      <w:pPr>
        <w:spacing w:after="0" w:line="114"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purchase, sale or transfer of a material amount of assets of Schlumberger or any of its subsidiaries;</w:t>
      </w:r>
    </w:p>
    <w:p>
      <w:pPr>
        <w:spacing w:after="0" w:line="114"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material change in the present dividend rate or policy, or indebtedness or capitalization of Schlumberger;</w:t>
      </w:r>
    </w:p>
    <w:p>
      <w:pPr>
        <w:spacing w:after="0" w:line="114" w:lineRule="exact"/>
        <w:rPr>
          <w:rFonts w:ascii="Arial" w:cs="Arial" w:eastAsia="Arial" w:hAnsi="Arial"/>
          <w:sz w:val="12"/>
          <w:szCs w:val="12"/>
          <w:color w:val="auto"/>
        </w:rPr>
      </w:pPr>
    </w:p>
    <w:p>
      <w:pPr>
        <w:ind w:left="460" w:right="20" w:firstLine="432"/>
        <w:spacing w:after="0" w:line="268" w:lineRule="auto"/>
        <w:tabs>
          <w:tab w:leader="none" w:pos="1067"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change in the present board of directors or management of Schlumberger, including, but not limited to, any plans or proposals to change the number or the term of directors or to fill any existing vacancies on the board or to change any material term of the employment contract of any executive officer;</w:t>
      </w:r>
    </w:p>
    <w:p>
      <w:pPr>
        <w:spacing w:after="0" w:line="88"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other material change in Schlumberger’s corporate structure or business;</w:t>
      </w:r>
    </w:p>
    <w:p>
      <w:pPr>
        <w:spacing w:after="0" w:line="114"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9"/>
          <w:szCs w:val="9"/>
          <w:color w:val="auto"/>
        </w:rPr>
      </w:pPr>
      <w:r>
        <w:rPr>
          <w:rFonts w:ascii="Arial" w:cs="Arial" w:eastAsia="Arial" w:hAnsi="Arial"/>
          <w:sz w:val="9"/>
          <w:szCs w:val="9"/>
          <w:color w:val="auto"/>
        </w:rPr>
        <w:t>any class of equity security of Schlumberger to be delisted from a national securities exchange or cease to be authorized to be quoted in an automated quotation system operated by a national securities association;</w:t>
      </w:r>
    </w:p>
    <w:p>
      <w:pPr>
        <w:spacing w:after="0" w:line="148" w:lineRule="exact"/>
        <w:rPr>
          <w:rFonts w:ascii="Arial" w:cs="Arial" w:eastAsia="Arial" w:hAnsi="Arial"/>
          <w:sz w:val="9"/>
          <w:szCs w:val="9"/>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class of equity security of Schlumberger becoming eligible for termination of registration under Section 12(g)(4) of the Securities Exchange Act of 1934;</w:t>
      </w:r>
    </w:p>
    <w:p>
      <w:pPr>
        <w:spacing w:after="0" w:line="114"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suspension of Schlumberger’s obligation to file reports under Section 15(d) of the Exchange Act;</w:t>
      </w:r>
    </w:p>
    <w:p>
      <w:pPr>
        <w:spacing w:after="0" w:line="114" w:lineRule="exact"/>
        <w:rPr>
          <w:rFonts w:ascii="Arial" w:cs="Arial" w:eastAsia="Arial" w:hAnsi="Arial"/>
          <w:sz w:val="12"/>
          <w:szCs w:val="12"/>
          <w:color w:val="auto"/>
        </w:rPr>
      </w:pPr>
    </w:p>
    <w:p>
      <w:pPr>
        <w:ind w:left="1060" w:hanging="168"/>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acquisition by any person of additional securities of Schlumberger, or the disposition of securities of Schlumberger; or</w:t>
      </w:r>
    </w:p>
    <w:p>
      <w:pPr>
        <w:spacing w:after="0" w:line="114" w:lineRule="exact"/>
        <w:rPr>
          <w:rFonts w:ascii="Arial" w:cs="Arial" w:eastAsia="Arial" w:hAnsi="Arial"/>
          <w:sz w:val="12"/>
          <w:szCs w:val="12"/>
          <w:color w:val="auto"/>
        </w:rPr>
      </w:pPr>
    </w:p>
    <w:p>
      <w:pPr>
        <w:ind w:left="1120" w:hanging="228"/>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changes in Schlumberger’s charter, bylaws or other governing instruments or other actions that could impede the acquisition of control of Schlumberger.</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9"/>
          <w:szCs w:val="9"/>
          <w:i w:val="1"/>
          <w:iCs w:val="1"/>
          <w:color w:val="auto"/>
        </w:rPr>
        <w:t>Source and Amount of Funds or Other Consideration.</w:t>
      </w:r>
    </w:p>
    <w:p>
      <w:pPr>
        <w:spacing w:after="0" w:line="62" w:lineRule="exact"/>
        <w:rPr>
          <w:sz w:val="20"/>
          <w:szCs w:val="20"/>
          <w:color w:val="auto"/>
        </w:rPr>
      </w:pPr>
    </w:p>
    <w:p>
      <w:pPr>
        <w:ind w:right="320" w:firstLine="451"/>
        <w:spacing w:after="0" w:line="268" w:lineRule="auto"/>
        <w:tabs>
          <w:tab w:leader="none" w:pos="619"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Source of Funds</w:t>
      </w:r>
      <w:r>
        <w:rPr>
          <w:rFonts w:ascii="Arial" w:cs="Arial" w:eastAsia="Arial" w:hAnsi="Arial"/>
          <w:sz w:val="12"/>
          <w:szCs w:val="12"/>
          <w:color w:val="auto"/>
        </w:rPr>
        <w:t>. Assuming all holders of the debentures require Schlumberger to purchase their debentures, the total amount of funds to be used in the transaction described in the response to paragraph (a) of Item 4 above is</w:t>
      </w:r>
      <w:r>
        <w:rPr>
          <w:rFonts w:ascii="Arial" w:cs="Arial" w:eastAsia="Arial" w:hAnsi="Arial"/>
          <w:sz w:val="12"/>
          <w:szCs w:val="12"/>
          <w:i w:val="1"/>
          <w:iCs w:val="1"/>
          <w:color w:val="auto"/>
        </w:rPr>
        <w:t xml:space="preserve"> </w:t>
      </w:r>
      <w:r>
        <w:rPr>
          <w:rFonts w:ascii="Arial" w:cs="Arial" w:eastAsia="Arial" w:hAnsi="Arial"/>
          <w:sz w:val="12"/>
          <w:szCs w:val="12"/>
          <w:color w:val="auto"/>
        </w:rPr>
        <w:t>$292,839,000. Schlumberger intends to pay the purchase price by using available cash.</w:t>
      </w:r>
    </w:p>
    <w:p>
      <w:pPr>
        <w:spacing w:after="0" w:line="88" w:lineRule="exact"/>
        <w:rPr>
          <w:rFonts w:ascii="Arial" w:cs="Arial" w:eastAsia="Arial" w:hAnsi="Arial"/>
          <w:sz w:val="12"/>
          <w:szCs w:val="12"/>
          <w:color w:val="auto"/>
        </w:rPr>
      </w:pPr>
    </w:p>
    <w:p>
      <w:pPr>
        <w:ind w:left="620" w:hanging="169"/>
        <w:spacing w:after="0"/>
        <w:tabs>
          <w:tab w:leader="none" w:pos="6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Conditions</w:t>
      </w:r>
      <w:r>
        <w:rPr>
          <w:rFonts w:ascii="Arial" w:cs="Arial" w:eastAsia="Arial" w:hAnsi="Arial"/>
          <w:sz w:val="12"/>
          <w:szCs w:val="12"/>
          <w:color w:val="auto"/>
        </w:rPr>
        <w:t>. Not applicable.</w:t>
      </w:r>
    </w:p>
    <w:p>
      <w:pPr>
        <w:spacing w:after="0" w:line="114" w:lineRule="exact"/>
        <w:rPr>
          <w:rFonts w:ascii="Arial" w:cs="Arial" w:eastAsia="Arial" w:hAnsi="Arial"/>
          <w:sz w:val="12"/>
          <w:szCs w:val="12"/>
          <w:color w:val="auto"/>
        </w:rPr>
      </w:pPr>
    </w:p>
    <w:p>
      <w:pPr>
        <w:ind w:left="620" w:hanging="169"/>
        <w:spacing w:after="0"/>
        <w:tabs>
          <w:tab w:leader="none" w:pos="6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Expenses</w:t>
      </w:r>
      <w:r>
        <w:rPr>
          <w:rFonts w:ascii="Arial" w:cs="Arial" w:eastAsia="Arial" w:hAnsi="Arial"/>
          <w:sz w:val="12"/>
          <w:szCs w:val="12"/>
          <w:color w:val="auto"/>
        </w:rPr>
        <w:t>. Not applicable.</w:t>
      </w:r>
    </w:p>
    <w:p>
      <w:pPr>
        <w:spacing w:after="0" w:line="114" w:lineRule="exact"/>
        <w:rPr>
          <w:rFonts w:ascii="Arial" w:cs="Arial" w:eastAsia="Arial" w:hAnsi="Arial"/>
          <w:sz w:val="12"/>
          <w:szCs w:val="12"/>
          <w:color w:val="auto"/>
        </w:rPr>
      </w:pPr>
    </w:p>
    <w:p>
      <w:pPr>
        <w:ind w:left="620" w:hanging="169"/>
        <w:spacing w:after="0"/>
        <w:tabs>
          <w:tab w:leader="none" w:pos="6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Borrowed Funds</w:t>
      </w:r>
      <w:r>
        <w:rPr>
          <w:rFonts w:ascii="Arial" w:cs="Arial" w:eastAsia="Arial" w:hAnsi="Arial"/>
          <w:sz w:val="12"/>
          <w:szCs w:val="12"/>
          <w:color w:val="auto"/>
        </w:rPr>
        <w:t>. 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Interest in Securities of the Subject Company.</w:t>
      </w:r>
    </w:p>
    <w:p>
      <w:pPr>
        <w:spacing w:after="0" w:line="62" w:lineRule="exact"/>
        <w:rPr>
          <w:sz w:val="20"/>
          <w:szCs w:val="20"/>
          <w:color w:val="auto"/>
        </w:rPr>
      </w:pPr>
    </w:p>
    <w:p>
      <w:pPr>
        <w:ind w:left="620" w:hanging="169"/>
        <w:spacing w:after="0"/>
        <w:tabs>
          <w:tab w:leader="none" w:pos="62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Securities Ownership</w:t>
      </w:r>
      <w:r>
        <w:rPr>
          <w:rFonts w:ascii="Arial" w:cs="Arial" w:eastAsia="Arial" w:hAnsi="Arial"/>
          <w:sz w:val="12"/>
          <w:szCs w:val="12"/>
          <w:color w:val="auto"/>
        </w:rPr>
        <w:t>. Not applicable.</w:t>
      </w:r>
    </w:p>
    <w:p>
      <w:pPr>
        <w:spacing w:after="0" w:line="114" w:lineRule="exact"/>
        <w:rPr>
          <w:rFonts w:ascii="Arial" w:cs="Arial" w:eastAsia="Arial" w:hAnsi="Arial"/>
          <w:sz w:val="12"/>
          <w:szCs w:val="12"/>
          <w:color w:val="auto"/>
        </w:rPr>
      </w:pPr>
    </w:p>
    <w:p>
      <w:pPr>
        <w:ind w:left="5680" w:hanging="5229"/>
        <w:spacing w:after="0" w:line="440" w:lineRule="auto"/>
        <w:tabs>
          <w:tab w:leader="none" w:pos="62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Securities Transactions</w:t>
      </w:r>
      <w:r>
        <w:rPr>
          <w:rFonts w:ascii="Arial" w:cs="Arial" w:eastAsia="Arial" w:hAnsi="Arial"/>
          <w:sz w:val="12"/>
          <w:szCs w:val="12"/>
          <w:color w:val="auto"/>
        </w:rPr>
        <w:t>. During the 60 days preceding the date of this Schedule TO, neither Schlumberger nor, to its knowledge, any of its executive officers, directors or affiliates have engaged in any transactions in the debentures.</w:t>
      </w:r>
      <w:r>
        <w:rPr>
          <w:rFonts w:ascii="Arial" w:cs="Arial" w:eastAsia="Arial" w:hAnsi="Arial"/>
          <w:sz w:val="12"/>
          <w:szCs w:val="12"/>
          <w:i w:val="1"/>
          <w:iCs w:val="1"/>
          <w:color w:val="auto"/>
        </w:rPr>
        <w:t xml:space="preserve"> </w:t>
      </w:r>
      <w:r>
        <w:rPr>
          <w:rFonts w:ascii="Arial" w:cs="Arial" w:eastAsia="Arial" w:hAnsi="Arial"/>
          <w:sz w:val="12"/>
          <w:szCs w:val="12"/>
          <w:color w:val="auto"/>
        </w:rPr>
        <w:t>11</w:t>
      </w:r>
    </w:p>
    <w:p>
      <w:pPr>
        <w:sectPr>
          <w:pgSz w:w="11900" w:h="16838" w:orient="portrait"/>
          <w:cols w:equalWidth="0" w:num="1">
            <w:col w:w="11420"/>
          </w:cols>
          <w:pgMar w:left="220" w:top="232" w:right="259" w:bottom="1440" w:gutter="0" w:footer="0" w:header="0"/>
        </w:sectPr>
      </w:pPr>
    </w:p>
    <w:bookmarkStart w:id="12" w:name="page13"/>
    <w:bookmarkEnd w:id="12"/>
    <w:p>
      <w:pPr>
        <w:spacing w:after="0"/>
        <w:tabs>
          <w:tab w:leader="none" w:pos="10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9.</w:t>
      </w:r>
      <w:r>
        <w:rPr>
          <w:sz w:val="20"/>
          <w:szCs w:val="20"/>
          <w:color w:val="auto"/>
        </w:rPr>
        <w:tab/>
      </w:r>
      <w:r>
        <w:rPr>
          <w:rFonts w:ascii="Arial" w:cs="Arial" w:eastAsia="Arial" w:hAnsi="Arial"/>
          <w:sz w:val="9"/>
          <w:szCs w:val="9"/>
          <w:b w:val="1"/>
          <w:bCs w:val="1"/>
          <w:i w:val="1"/>
          <w:iCs w:val="1"/>
          <w:color w:val="auto"/>
        </w:rPr>
        <w:t>Persons/Assets, Retained, Employed, Compensated or Used.</w:t>
      </w:r>
    </w:p>
    <w:p>
      <w:pPr>
        <w:spacing w:after="0" w:line="62"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There are no persons directly or indirectly employed, retained or to be compensated to make solicitations or recommendations in connection with the transaction described in the response to Item 4 above. HSBC, however, is the trustee under the indenture and will be communicating with and providing notices to holders of the debentures as required by the indenture.</w:t>
      </w:r>
    </w:p>
    <w:p>
      <w:pPr>
        <w:spacing w:after="0" w:line="16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9"/>
          <w:szCs w:val="9"/>
          <w:i w:val="1"/>
          <w:iCs w:val="1"/>
          <w:color w:val="auto"/>
        </w:rPr>
        <w:t>Financial Statements of Certain Bidders.</w:t>
      </w:r>
    </w:p>
    <w:p>
      <w:pPr>
        <w:spacing w:after="0" w:line="62"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Schlumberger believes that its financial condition is not material to a holder’s decision with respect to the Option because the consideration being paid to holders surrendering debentures consists solely of cash, the Option is not subject to any financing conditions, the Option applies to all outstanding debentures and Schlumberger is a public reporting company that files reports with the SEC electronically on EDGAR. The financial condition and results of operations of Schlumberger and its subsidiaries are reported electronically on EDGAR on a consolidated basis.</w:t>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1"/>
          <w:szCs w:val="11"/>
          <w:i w:val="1"/>
          <w:iCs w:val="1"/>
          <w:color w:val="auto"/>
        </w:rPr>
        <w:t>Additional Information</w:t>
      </w:r>
      <w:r>
        <w:rPr>
          <w:rFonts w:ascii="Arial" w:cs="Arial" w:eastAsia="Arial" w:hAnsi="Arial"/>
          <w:sz w:val="11"/>
          <w:szCs w:val="11"/>
          <w:b w:val="1"/>
          <w:bCs w:val="1"/>
          <w:color w:val="auto"/>
        </w:rPr>
        <w:t>.</w:t>
      </w:r>
    </w:p>
    <w:p>
      <w:pPr>
        <w:spacing w:after="0" w:line="62" w:lineRule="exact"/>
        <w:rPr>
          <w:sz w:val="20"/>
          <w:szCs w:val="20"/>
          <w:color w:val="auto"/>
        </w:rPr>
      </w:pPr>
    </w:p>
    <w:p>
      <w:pPr>
        <w:ind w:left="620" w:hanging="169"/>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Agreements, Regulatory Requirements and Legal Proceedings</w:t>
      </w:r>
      <w:r>
        <w:rPr>
          <w:rFonts w:ascii="Arial" w:cs="Arial" w:eastAsia="Arial" w:hAnsi="Arial"/>
          <w:sz w:val="12"/>
          <w:szCs w:val="12"/>
          <w:color w:val="auto"/>
        </w:rPr>
        <w:t>. None.</w:t>
      </w:r>
    </w:p>
    <w:p>
      <w:pPr>
        <w:spacing w:after="0" w:line="60" w:lineRule="exact"/>
        <w:rPr>
          <w:rFonts w:ascii="Arial" w:cs="Arial" w:eastAsia="Arial" w:hAnsi="Arial"/>
          <w:sz w:val="12"/>
          <w:szCs w:val="12"/>
          <w:color w:val="auto"/>
        </w:rPr>
      </w:pPr>
    </w:p>
    <w:p>
      <w:pPr>
        <w:ind w:right="20" w:firstLine="451"/>
        <w:spacing w:after="0" w:line="256" w:lineRule="auto"/>
        <w:tabs>
          <w:tab w:leader="none" w:pos="625"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Other Material Information</w:t>
      </w:r>
      <w:r>
        <w:rPr>
          <w:rFonts w:ascii="Arial" w:cs="Arial" w:eastAsia="Arial" w:hAnsi="Arial"/>
          <w:sz w:val="12"/>
          <w:szCs w:val="12"/>
          <w:color w:val="auto"/>
        </w:rPr>
        <w:t>. Schlumberger files annual, quarterly and special reports, proxy statements and other information with the SEC. You can read and copy any materials Schlumberger files with the SEC at the SEC’s public</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reference room at 100 F Street, N.E., Washington, D.C. 20549. You can obtain information about the operation of the SEC’s public reference room by calling the SEC at 1-800-SEC-0330. The SEC also maintains a Web site that contains information Schlumberger files electronically with the SEC, which you can access over the Internet at </w:t>
      </w:r>
      <w:r>
        <w:rPr>
          <w:rFonts w:ascii="Arial" w:cs="Arial" w:eastAsia="Arial" w:hAnsi="Arial"/>
          <w:sz w:val="12"/>
          <w:szCs w:val="12"/>
          <w:i w:val="1"/>
          <w:iCs w:val="1"/>
          <w:color w:val="auto"/>
        </w:rPr>
        <w:t>http://www.sec.gov</w:t>
      </w:r>
      <w:r>
        <w:rPr>
          <w:rFonts w:ascii="Arial" w:cs="Arial" w:eastAsia="Arial" w:hAnsi="Arial"/>
          <w:sz w:val="12"/>
          <w:szCs w:val="12"/>
          <w:color w:val="auto"/>
        </w:rPr>
        <w:t>. You can obtain information about Schlumberger at the offices of the New York Stock Exchange, 20 Broad Street, New York, New York 10005.</w:t>
      </w:r>
    </w:p>
    <w:p>
      <w:pPr>
        <w:spacing w:after="0" w:line="96" w:lineRule="exact"/>
        <w:rPr>
          <w:sz w:val="20"/>
          <w:szCs w:val="20"/>
          <w:color w:val="auto"/>
        </w:rPr>
      </w:pPr>
    </w:p>
    <w:p>
      <w:pPr>
        <w:ind w:firstLine="459"/>
        <w:spacing w:after="0" w:line="438" w:lineRule="auto"/>
        <w:rPr>
          <w:sz w:val="20"/>
          <w:szCs w:val="20"/>
          <w:color w:val="auto"/>
        </w:rPr>
      </w:pPr>
      <w:r>
        <w:rPr>
          <w:rFonts w:ascii="Arial" w:cs="Arial" w:eastAsia="Arial" w:hAnsi="Arial"/>
          <w:sz w:val="9"/>
          <w:szCs w:val="9"/>
          <w:color w:val="auto"/>
        </w:rPr>
        <w:t>Schlumberger has filed with the SEC a Tender Offer Statement on Schedule TO to satisfy the filing and disclosure requirements of Section 13(e)(4) and Rule 13e-4 of the Exchange Act, furnishing certain information with respect to the Option. The Tender Offer Statement on Schedule TO, together with any exhibits and any amendments thereto, may be examined and copies may be obtained at the same places and in the same manner as described above.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documents listed below contain important information about Schlumberger and its financial condition:</w:t>
      </w:r>
    </w:p>
    <w:p>
      <w:pPr>
        <w:spacing w:after="0" w:line="60" w:lineRule="exact"/>
        <w:rPr>
          <w:sz w:val="20"/>
          <w:szCs w:val="20"/>
          <w:color w:val="auto"/>
        </w:rPr>
      </w:pPr>
    </w:p>
    <w:p>
      <w:pPr>
        <w:ind w:left="900" w:hanging="449"/>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Schlumberger’s Annual Report on Form 10-K for the year ended December 31, 2009;</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All other reports filed by Schlumberger with the SEC under Section 13(a) or 15(d) of the Exchange Act since the end of the year covered by the Form 10-K mentioned above;</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All documents filed by Schlumberger with the SEC under Sections 13(a), 13(c), 14 and 15(d) of the Exchange Act subsequent to the date of this Schedule TO and prior to the expiration of the Option; and</w:t>
      </w:r>
    </w:p>
    <w:p>
      <w:pPr>
        <w:spacing w:after="0" w:line="71" w:lineRule="exact"/>
        <w:rPr>
          <w:rFonts w:ascii="Arial" w:cs="Arial" w:eastAsia="Arial" w:hAnsi="Arial"/>
          <w:sz w:val="11"/>
          <w:szCs w:val="11"/>
          <w:color w:val="auto"/>
        </w:rPr>
      </w:pPr>
    </w:p>
    <w:p>
      <w:pPr>
        <w:ind w:left="900" w:hanging="449"/>
        <w:spacing w:after="0"/>
        <w:tabs>
          <w:tab w:leader="none" w:pos="9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description of Schlumberger’s common stock contained in Schlumberger’s Current Report on Form 8-K filed with the SEC on April 29, 2005, as Schlumberger may update that description from time to time.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the event of conflicting information in these documents, the information in the latest filed documents should be considered correct.</w:t>
      </w:r>
    </w:p>
    <w:p>
      <w:pPr>
        <w:spacing w:after="0" w:line="10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230" w:right="219" w:bottom="1440" w:gutter="0" w:footer="0" w:header="0"/>
        </w:sectPr>
      </w:pPr>
    </w:p>
    <w:bookmarkStart w:id="13" w:name="page14"/>
    <w:bookmarkEnd w:id="13"/>
    <w:p>
      <w:pPr>
        <w:ind w:left="8"/>
        <w:spacing w:after="0"/>
        <w:tabs>
          <w:tab w:leader="none" w:pos="1008"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12.</w:t>
      </w:r>
      <w:r>
        <w:rPr>
          <w:sz w:val="20"/>
          <w:szCs w:val="20"/>
          <w:color w:val="auto"/>
        </w:rPr>
        <w:tab/>
      </w:r>
      <w:r>
        <w:rPr>
          <w:rFonts w:ascii="Arial" w:cs="Arial" w:eastAsia="Arial" w:hAnsi="Arial"/>
          <w:sz w:val="9"/>
          <w:szCs w:val="9"/>
          <w:b w:val="1"/>
          <w:bCs w:val="1"/>
          <w:i w:val="1"/>
          <w:iCs w:val="1"/>
          <w:color w:val="auto"/>
        </w:rPr>
        <w:t>Materials To Be Filed As Exhibits.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(a)(1)(A) — Company Notice to Holders of Schlumberger Limited 2.125% Series B Convertible Debenture s Due 2023, dated April 26, 2010.</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(a)(1)(B) — Form of Purchase Notice (included in Exhibit (a)(1)(A)).</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(a)(1)(C) — Guidelines for Certification of Taxpayer Identification Number on Substitute Form W-9.</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(a)(5)(A) — Notice of Redemption dated April 26, 2008.</w:t>
      </w:r>
    </w:p>
    <w:p>
      <w:pPr>
        <w:spacing w:after="0" w:line="7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(d)(1)</w:t>
      </w:r>
      <w:r>
        <w:rPr>
          <w:sz w:val="20"/>
          <w:szCs w:val="20"/>
          <w:color w:val="auto"/>
        </w:rPr>
        <w:tab/>
      </w:r>
      <w:r>
        <w:rPr>
          <w:rFonts w:ascii="Arial" w:cs="Arial" w:eastAsia="Arial" w:hAnsi="Arial"/>
          <w:sz w:val="9"/>
          <w:szCs w:val="9"/>
          <w:color w:val="auto"/>
        </w:rPr>
        <w:t>— Indenture dated as of June 9, 2003, between Schlumberger and HSBC Bank USA, National Association (successor to Citibank, N.A.), as trustee (the “Trustee”) (incorporated by reference to Exhibit 4.3 to Schlumberger’s Registration</w:t>
      </w:r>
    </w:p>
    <w:p>
      <w:pPr>
        <w:spacing w:after="0" w:line="113"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(d)(2)</w:t>
      </w:r>
      <w:r>
        <w:rPr>
          <w:sz w:val="20"/>
          <w:szCs w:val="20"/>
          <w:color w:val="auto"/>
        </w:rPr>
        <w:tab/>
      </w:r>
      <w:r>
        <w:rPr>
          <w:rFonts w:ascii="Arial" w:cs="Arial" w:eastAsia="Arial" w:hAnsi="Arial"/>
          <w:sz w:val="9"/>
          <w:szCs w:val="9"/>
          <w:color w:val="auto"/>
        </w:rPr>
        <w:t>— First Supplemental Indenture dated as of June 9, 2003, between Schlumberger and the Trustee, relating to the 2.125% Series B Convertible Debentures Due 2023 (incorporated by reference to Exhibit 4.4 to Schlumberger’s Registratio</w:t>
      </w:r>
    </w:p>
    <w:p>
      <w:pPr>
        <w:spacing w:after="0" w:line="113"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(d)(3)</w:t>
      </w:r>
      <w:r>
        <w:rPr>
          <w:sz w:val="20"/>
          <w:szCs w:val="20"/>
          <w:color w:val="auto"/>
        </w:rPr>
        <w:tab/>
      </w:r>
      <w:r>
        <w:rPr>
          <w:rFonts w:ascii="Arial" w:cs="Arial" w:eastAsia="Arial" w:hAnsi="Arial"/>
          <w:sz w:val="9"/>
          <w:szCs w:val="9"/>
          <w:color w:val="auto"/>
        </w:rPr>
        <w:t>— The description of the debentures set forth under the caption “Description of the Debentures” in Schlumberger’s prospectus dated November 4, 2003, filed with the SEC on November 10, 2003 under Rule 424(b) of the Securities Act</w:t>
      </w:r>
    </w:p>
    <w:p>
      <w:pPr>
        <w:spacing w:after="0" w:line="113" w:lineRule="exact"/>
        <w:rPr>
          <w:sz w:val="20"/>
          <w:szCs w:val="20"/>
          <w:color w:val="auto"/>
        </w:rPr>
      </w:pPr>
    </w:p>
    <w:p>
      <w:pPr>
        <w:ind w:left="468" w:hanging="468"/>
        <w:spacing w:after="0"/>
        <w:tabs>
          <w:tab w:leader="none" w:pos="4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 Not applicable.</w:t>
      </w:r>
    </w:p>
    <w:p>
      <w:pPr>
        <w:spacing w:after="0" w:line="78" w:lineRule="exact"/>
        <w:rPr>
          <w:rFonts w:ascii="Arial" w:cs="Arial" w:eastAsia="Arial" w:hAnsi="Arial"/>
          <w:sz w:val="12"/>
          <w:szCs w:val="12"/>
          <w:color w:val="auto"/>
        </w:rPr>
      </w:pPr>
    </w:p>
    <w:p>
      <w:pPr>
        <w:ind w:left="468" w:hanging="468"/>
        <w:spacing w:after="0"/>
        <w:tabs>
          <w:tab w:leader="none" w:pos="4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 Not applicable.</w:t>
      </w:r>
    </w:p>
    <w:p>
      <w:pPr>
        <w:spacing w:after="0" w:line="193"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9"/>
          <w:szCs w:val="9"/>
          <w:b w:val="1"/>
          <w:bCs w:val="1"/>
          <w:i w:val="1"/>
          <w:iCs w:val="1"/>
          <w:color w:val="auto"/>
        </w:rPr>
        <w:t>Information Required by Schedule 13E-3</w:t>
      </w:r>
      <w:r>
        <w:rPr>
          <w:rFonts w:ascii="Arial" w:cs="Arial" w:eastAsia="Arial" w:hAnsi="Arial"/>
          <w:sz w:val="9"/>
          <w:szCs w:val="9"/>
          <w:i w:val="1"/>
          <w:iCs w:val="1"/>
          <w:color w:val="auto"/>
        </w:rPr>
        <w:t>.</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Not applicable.</w:t>
      </w:r>
    </w:p>
    <w:p>
      <w:pPr>
        <w:spacing w:after="0" w:line="10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548"/>
          </w:cols>
          <w:pgMar w:left="212" w:top="230" w:right="139" w:bottom="1440" w:gutter="0" w:footer="0" w:header="0"/>
        </w:sectPr>
      </w:pPr>
    </w:p>
    <w:bookmarkStart w:id="14" w:name="page15"/>
    <w:bookmarkEnd w:id="14"/>
    <w:p>
      <w:pPr>
        <w:ind w:left="54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After due inquiry and to the best of my knowledge and belief, I certify that the information set forth in this statement is true, complete and correct.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Dated: April 26, 2010</w:t>
      </w:r>
    </w:p>
    <w:p>
      <w:pPr>
        <w:spacing w:after="0" w:line="14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SCHLUMBERGER LIMITED</w:t>
      </w:r>
    </w:p>
    <w:p>
      <w:pPr>
        <w:spacing w:after="0" w:line="150" w:lineRule="exact"/>
        <w:rPr>
          <w:sz w:val="20"/>
          <w:szCs w:val="20"/>
          <w:color w:val="auto"/>
        </w:rPr>
      </w:pPr>
    </w:p>
    <w:p>
      <w:pPr>
        <w:ind w:left="6880"/>
        <w:spacing w:after="0"/>
        <w:tabs>
          <w:tab w:leader="none" w:pos="8740" w:val="left"/>
          <w:tab w:leader="none" w:pos="89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tab/>
        <w:t>H</w:t>
      </w:r>
      <w:r>
        <w:rPr>
          <w:rFonts w:ascii="Arial" w:cs="Arial" w:eastAsia="Arial" w:hAnsi="Arial"/>
          <w:sz w:val="9"/>
          <w:szCs w:val="9"/>
          <w:color w:val="auto"/>
        </w:rPr>
        <w:t>OWARD</w:t>
      </w:r>
      <w:r>
        <w:rPr>
          <w:rFonts w:ascii="Arial" w:cs="Arial" w:eastAsia="Arial" w:hAnsi="Arial"/>
          <w:sz w:val="12"/>
          <w:szCs w:val="12"/>
          <w:color w:val="auto"/>
        </w:rPr>
        <w:t xml:space="preserve"> G</w:t>
      </w:r>
      <w:r>
        <w:rPr>
          <w:rFonts w:ascii="Arial" w:cs="Arial" w:eastAsia="Arial" w:hAnsi="Arial"/>
          <w:sz w:val="9"/>
          <w:szCs w:val="9"/>
          <w:color w:val="auto"/>
        </w:rPr>
        <w:t>UILD</w:t>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9"/>
          <w:szCs w:val="9"/>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-64770</wp:posOffset>
            </wp:positionV>
            <wp:extent cx="27393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39390" cy="5715"/>
                    </a:xfrm>
                    <a:prstGeom prst="rect">
                      <a:avLst/>
                    </a:prstGeom>
                    <a:noFill/>
                  </pic:spPr>
                </pic:pic>
              </a:graphicData>
            </a:graphic>
          </wp:anchor>
        </w:drawing>
      </w:r>
    </w:p>
    <w:p>
      <w:pPr>
        <w:jc w:val="center"/>
        <w:ind w:left="7260"/>
        <w:spacing w:after="0"/>
        <w:rPr>
          <w:sz w:val="20"/>
          <w:szCs w:val="20"/>
          <w:color w:val="auto"/>
        </w:rPr>
      </w:pPr>
      <w:r>
        <w:rPr>
          <w:rFonts w:ascii="Arial" w:cs="Arial" w:eastAsia="Arial" w:hAnsi="Arial"/>
          <w:sz w:val="8"/>
          <w:szCs w:val="8"/>
          <w:b w:val="1"/>
          <w:bCs w:val="1"/>
          <w:color w:val="auto"/>
        </w:rPr>
        <w:t>Chief Accounting Officer</w:t>
      </w:r>
    </w:p>
    <w:p>
      <w:pPr>
        <w:spacing w:after="0" w:line="10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239"/>
          </w:cols>
          <w:pgMar w:left="220" w:top="230" w:right="1440" w:bottom="1440" w:gutter="0" w:footer="0" w:header="0"/>
        </w:sectPr>
      </w:pPr>
    </w:p>
    <w:bookmarkStart w:id="15" w:name="page16"/>
    <w:bookmarkEnd w:id="15"/>
    <w:p>
      <w:pPr>
        <w:jc w:val="center"/>
        <w:ind w:right="52"/>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INDEX TO EXHIBITS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Exhibit</w:t>
      </w:r>
    </w:p>
    <w:p>
      <w:pPr>
        <w:spacing w:after="0" w:line="6"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9"/>
          <w:szCs w:val="9"/>
          <w:b w:val="1"/>
          <w:bCs w:val="1"/>
          <w:u w:val="single" w:color="auto"/>
          <w:color w:val="auto"/>
        </w:rPr>
        <w:t>Number</w:t>
      </w:r>
      <w:r>
        <w:rPr>
          <w:sz w:val="20"/>
          <w:szCs w:val="20"/>
          <w:color w:val="auto"/>
        </w:rPr>
        <w:tab/>
      </w:r>
      <w:r>
        <w:rPr>
          <w:rFonts w:ascii="Arial" w:cs="Arial" w:eastAsia="Arial" w:hAnsi="Arial"/>
          <w:sz w:val="9"/>
          <w:szCs w:val="9"/>
          <w:b w:val="1"/>
          <w:bCs w:val="1"/>
          <w:u w:val="single" w:color="auto"/>
          <w:color w:val="auto"/>
        </w:rPr>
        <w:t>Description</w:t>
      </w:r>
    </w:p>
    <w:p>
      <w:pPr>
        <w:spacing w:after="0" w:line="3" w:lineRule="exact"/>
        <w:rPr>
          <w:sz w:val="20"/>
          <w:szCs w:val="20"/>
          <w:color w:val="auto"/>
        </w:rPr>
      </w:pPr>
    </w:p>
    <w:p>
      <w:pPr>
        <w:ind w:left="8"/>
        <w:spacing w:after="0"/>
        <w:rPr>
          <w:sz w:val="20"/>
          <w:szCs w:val="20"/>
          <w:color w:val="auto"/>
        </w:rPr>
      </w:pPr>
      <w:r>
        <w:rPr>
          <w:rFonts w:ascii="Arial" w:cs="Arial" w:eastAsia="Arial" w:hAnsi="Arial"/>
          <w:sz w:val="12"/>
          <w:szCs w:val="12"/>
          <w:color w:val="auto"/>
        </w:rPr>
        <w:t>(a)(1)(A) — Company Notice to Holders of Schlumberger Limited 2.125% Series B Convertible Debentures Due 2023, dated April 26, 2010.</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2"/>
          <w:szCs w:val="12"/>
          <w:color w:val="auto"/>
        </w:rPr>
        <w:t>(a)(1)(B) — Form of Purchase Notice (included in Exhibit (a)(1)(A)).</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(a)(1)(C) — Guidelines for Certification of Taxpayer Identification Number on Substitute Form W-9.</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(a)(5)(A) — Notice of Redemption dated April 26, 2010.</w:t>
      </w:r>
    </w:p>
    <w:p>
      <w:pPr>
        <w:spacing w:after="0" w:line="7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(d)(1)</w:t>
      </w:r>
      <w:r>
        <w:rPr>
          <w:sz w:val="20"/>
          <w:szCs w:val="20"/>
          <w:color w:val="auto"/>
        </w:rPr>
        <w:tab/>
      </w:r>
      <w:r>
        <w:rPr>
          <w:rFonts w:ascii="Arial" w:cs="Arial" w:eastAsia="Arial" w:hAnsi="Arial"/>
          <w:sz w:val="9"/>
          <w:szCs w:val="9"/>
          <w:color w:val="auto"/>
        </w:rPr>
        <w:t>— Indenture, dated as of June 9, 2003, between Schlumberger and HSBC Bank USA, National Association (successor to Citibank, N.A.), as trustee (the “Trustee”) (incorporated by reference to Exhibit 4.3 to Schlumberger’s Registratio</w:t>
      </w:r>
    </w:p>
    <w:p>
      <w:pPr>
        <w:spacing w:after="0" w:line="113"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(d)(2)</w:t>
      </w:r>
      <w:r>
        <w:rPr>
          <w:sz w:val="20"/>
          <w:szCs w:val="20"/>
          <w:color w:val="auto"/>
        </w:rPr>
        <w:tab/>
      </w:r>
      <w:r>
        <w:rPr>
          <w:rFonts w:ascii="Arial" w:cs="Arial" w:eastAsia="Arial" w:hAnsi="Arial"/>
          <w:sz w:val="9"/>
          <w:szCs w:val="9"/>
          <w:color w:val="auto"/>
        </w:rPr>
        <w:t>— First Supplemental Indenture dated as of June 9, 2003, between Schlumberger and the Trustee, relating to the 2.125% Series B Convertible Debentures Due 2023 (incorporated by reference to Exhibit 4.4 to Schlumberger’s Registratio</w:t>
      </w:r>
    </w:p>
    <w:p>
      <w:pPr>
        <w:spacing w:after="0" w:line="113"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9"/>
          <w:szCs w:val="9"/>
          <w:color w:val="auto"/>
        </w:rPr>
        <w:t>(d)(3)</w:t>
      </w:r>
      <w:r>
        <w:rPr>
          <w:sz w:val="20"/>
          <w:szCs w:val="20"/>
          <w:color w:val="auto"/>
        </w:rPr>
        <w:tab/>
      </w:r>
      <w:r>
        <w:rPr>
          <w:rFonts w:ascii="Arial" w:cs="Arial" w:eastAsia="Arial" w:hAnsi="Arial"/>
          <w:sz w:val="9"/>
          <w:szCs w:val="9"/>
          <w:color w:val="auto"/>
        </w:rPr>
        <w:t>— The description of the debentures set forth under the caption “Description of the Debentures” in Schlumberger’s prospectus dated November 4, 2003, filed with the SEC on November 10, 2003 under Rule 424(b) of the Securities Act</w:t>
      </w:r>
    </w:p>
    <w:p>
      <w:pPr>
        <w:spacing w:after="0" w:line="113" w:lineRule="exact"/>
        <w:rPr>
          <w:sz w:val="20"/>
          <w:szCs w:val="20"/>
          <w:color w:val="auto"/>
        </w:rPr>
      </w:pPr>
    </w:p>
    <w:p>
      <w:pPr>
        <w:ind w:left="468" w:hanging="468"/>
        <w:spacing w:after="0"/>
        <w:tabs>
          <w:tab w:leader="none" w:pos="4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 Not applicable.</w:t>
      </w:r>
    </w:p>
    <w:p>
      <w:pPr>
        <w:spacing w:after="0" w:line="78" w:lineRule="exact"/>
        <w:rPr>
          <w:rFonts w:ascii="Arial" w:cs="Arial" w:eastAsia="Arial" w:hAnsi="Arial"/>
          <w:sz w:val="12"/>
          <w:szCs w:val="12"/>
          <w:color w:val="auto"/>
        </w:rPr>
      </w:pPr>
    </w:p>
    <w:p>
      <w:pPr>
        <w:ind w:left="468" w:hanging="468"/>
        <w:spacing w:after="0"/>
        <w:tabs>
          <w:tab w:leader="none" w:pos="4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 Not applicable.</w:t>
      </w:r>
    </w:p>
    <w:p>
      <w:pPr>
        <w:spacing w:after="0" w:line="10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548"/>
          </w:cols>
          <w:pgMar w:left="212" w:top="230" w:right="139" w:bottom="1440" w:gutter="0" w:footer="0" w:header="0"/>
        </w:sectPr>
      </w:pPr>
    </w:p>
    <w:bookmarkStart w:id="16" w:name="page17"/>
    <w:bookmarkEnd w:id="16"/>
    <w:p>
      <w:pPr>
        <w:jc w:val="right"/>
        <w:spacing w:after="0"/>
        <w:rPr>
          <w:sz w:val="20"/>
          <w:szCs w:val="20"/>
          <w:color w:val="auto"/>
        </w:rPr>
      </w:pPr>
      <w:r>
        <w:rPr>
          <w:rFonts w:ascii="Arial" w:cs="Arial" w:eastAsia="Arial" w:hAnsi="Arial"/>
          <w:sz w:val="12"/>
          <w:szCs w:val="12"/>
          <w:b w:val="1"/>
          <w:bCs w:val="1"/>
          <w:color w:val="auto"/>
        </w:rPr>
        <w:t>Exhibit (a)(1)(A)</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NOTICE</w:t>
      </w:r>
    </w:p>
    <w:p>
      <w:pPr>
        <w:spacing w:after="0" w:line="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Regarding Purchase by the Company at the Option of the Holder</w:t>
      </w:r>
    </w:p>
    <w:p>
      <w:pPr>
        <w:spacing w:after="0" w:line="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To the Holders of</w:t>
      </w:r>
    </w:p>
    <w:p>
      <w:pPr>
        <w:spacing w:after="0" w:line="5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SCHLUMBERGER N.V. (SCHLUMBERGER LIMITED)</w:t>
      </w:r>
    </w:p>
    <w:p>
      <w:pPr>
        <w:spacing w:after="0" w:line="6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2.125% Series B Convertible Debentures Due 2023</w:t>
      </w:r>
    </w:p>
    <w:p>
      <w:pPr>
        <w:spacing w:after="0" w:line="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CUSIP 806857 AA 6* and 806857 AD 0*</w:t>
      </w:r>
    </w:p>
    <w:p>
      <w:pPr>
        <w:spacing w:after="0" w:line="114" w:lineRule="exact"/>
        <w:rPr>
          <w:sz w:val="20"/>
          <w:szCs w:val="20"/>
          <w:color w:val="auto"/>
        </w:rPr>
      </w:pPr>
    </w:p>
    <w:p>
      <w:pPr>
        <w:ind w:left="8" w:right="80" w:firstLine="459"/>
        <w:spacing w:after="0" w:line="354" w:lineRule="auto"/>
        <w:rPr>
          <w:sz w:val="20"/>
          <w:szCs w:val="20"/>
          <w:color w:val="auto"/>
        </w:rPr>
      </w:pPr>
      <w:r>
        <w:rPr>
          <w:rFonts w:ascii="Arial" w:cs="Arial" w:eastAsia="Arial" w:hAnsi="Arial"/>
          <w:sz w:val="9"/>
          <w:szCs w:val="9"/>
          <w:color w:val="auto"/>
        </w:rPr>
        <w:t>NOTICE IS HEREBY GIVEN that, pursuant to the provisions of the Debentures (as defined below) and the Indenture dated as of June 9, 2003 between Schlumberger N.V. (Schlumberger Limited) (the “Company”) and HSBC Bank USA, National Association (successor to Citibank, N.A.), as trustee (the “Trustee”), as supplemented by the First Supplemental Indenture thereto dated as of June 9, 2003 (as so supplemented, the “Indenture”), pursuant to which the 2.125% Series B Convertible Debentures Due 2023 of the Company (the “Debentures”) were issued, the Company will be obligated to purchase, at the option of the holder thereof, any outstanding Debentures for which a written notice of purchase (a “Purchase Notice”), in the form attached hereto, has been delivered by such holder to the Trustee, as paying agent (the “Paying Agent”), at any time from the opening of business on April 26, 2010 until the close of business at 5:00 p.m., New York City time, on May 24, 2010 and for which such Purchase Notice has not been withdrawn, subject to certain conditions specified in the Indenture. The purchase price of the Debentures will be equal to 100% of their principal amount plus accrued and unpaid interest, if any, to, but not including, June 1, 2010 (the “Purchase Price”). The Company will pay the Purchase Price in cash. The Purchase Notice given by any holder must state (i) the certificate number of the Debentures in certificated form being delivered for purchase; (ii) the portion of the principal amount of the Debentures which the holder will deliver to be purchased, which portion must be in principal amount of $1,000 or in integral multiples thereof; and</w:t>
      </w:r>
    </w:p>
    <w:p>
      <w:pPr>
        <w:spacing w:after="0" w:line="97" w:lineRule="exact"/>
        <w:rPr>
          <w:sz w:val="20"/>
          <w:szCs w:val="20"/>
          <w:color w:val="auto"/>
        </w:rPr>
      </w:pPr>
    </w:p>
    <w:p>
      <w:pPr>
        <w:ind w:left="8" w:right="60" w:hanging="8"/>
        <w:spacing w:after="0" w:line="344" w:lineRule="auto"/>
        <w:tabs>
          <w:tab w:leader="none" w:pos="213" w:val="left"/>
        </w:tabs>
        <w:numPr>
          <w:ilvl w:val="0"/>
          <w:numId w:val="35"/>
        </w:numPr>
        <w:rPr>
          <w:rFonts w:ascii="Arial" w:cs="Arial" w:eastAsia="Arial" w:hAnsi="Arial"/>
          <w:sz w:val="9"/>
          <w:szCs w:val="9"/>
          <w:color w:val="auto"/>
        </w:rPr>
      </w:pPr>
      <w:r>
        <w:rPr>
          <w:rFonts w:ascii="Arial" w:cs="Arial" w:eastAsia="Arial" w:hAnsi="Arial"/>
          <w:sz w:val="9"/>
          <w:szCs w:val="9"/>
          <w:color w:val="auto"/>
        </w:rPr>
        <w:t>that such Debentures shall be purchased on June 1, 2010 (the “Purchase Date”) pursuant to the terms and conditions specified in the Indenture and in the Debentures, including, without limitation, paragraph 6 thereof. The Debentures are convertible into the Company’s common stock, par value $0.01 per share (“Common Stock”), at a rate of 25.0000 shares of Common Stock per $1,000 principal amount at the option of the holder. Holders who want to convert Debentures into Common Stock must satisfy the requirements of paragraph 10 of the Debentures. Debentures as to which a Purchase Notice has been given may be converted into Common Stock at any time prior to the close of business on the Purchase Date only if the applicable Purchase Notice has been withdrawn in accordance with the terms of the Indenture. A previously delivered Purchase Notice may be withdrawn by means of a written notice of withdrawal delivered to the Paying Agent at any time prior to the close of business on May 24, 2010 specifying (1) the principal amount of the withdrawn Debentures; (2) the certificate number of the withdrawn Debentures; and (3) the principal amount, if any, of such Debentures which remains subject to the original Purchase Notice and which have been or will be delivered for purchase by the Company. The Debentures and the Purchase Notice must be surrendered to the Paying Agent (together with all necessary endorsements) to collect payment. Holders surrendering their Debentures through the Depository Trust Company (“DTC”) need not submit a physical Purchase Notice to the Paying Agent if they comply with DTC’s transmittal procedures. Likewise, holders attempting to withdraw a previously delivered Purchase Notice may do so by complying with DTC’s withdrawal procedures and do not need to submit a physical withdrawal notice to the Paying Agent. The Company will forward to the Paying Agent, on June 1, 2010, the appropriate amount of cash required to pay the total purchase price for all validly surrendered Debentures, and the Paying Agent will promptly distribute the cash to the holders who have validly surrendered their Debentures. Unless the Company defaults in making payment on Debentures for which a Purchase Notice has been submitted, interest, if any, on such Debentures will cease to accrue on the Purchase Date, the Debentures will cease to be outstanding, and the only remaining right of the holders of such Debentures will be to receive payment of the Purchase Price upon surrender to the Paying Agent of the Debentures purchased.</w:t>
      </w:r>
    </w:p>
    <w:p>
      <w:pPr>
        <w:spacing w:after="0" w:line="206" w:lineRule="exact"/>
        <w:rPr>
          <w:sz w:val="20"/>
          <w:szCs w:val="20"/>
          <w:color w:val="auto"/>
        </w:rPr>
      </w:pPr>
    </w:p>
    <w:p>
      <w:pPr>
        <w:ind w:left="468"/>
        <w:spacing w:after="0"/>
        <w:rPr>
          <w:sz w:val="20"/>
          <w:szCs w:val="20"/>
          <w:color w:val="auto"/>
        </w:rPr>
      </w:pPr>
      <w:r>
        <w:rPr>
          <w:rFonts w:ascii="Arial" w:cs="Arial" w:eastAsia="Arial" w:hAnsi="Arial"/>
          <w:sz w:val="11"/>
          <w:szCs w:val="11"/>
          <w:color w:val="auto"/>
        </w:rPr>
        <w:t>Enclosed herewith is a Tender Offer Statement on Schedule TO filed by the Company with the Securities and Exchange Commission relating to the purchase of Debentures by the Company as of the Purchase Date.</w:t>
      </w:r>
    </w:p>
    <w:p>
      <w:pPr>
        <w:sectPr>
          <w:pgSz w:w="11900" w:h="16838" w:orient="portrait"/>
          <w:cols w:equalWidth="0" w:num="1">
            <w:col w:w="11488"/>
          </w:cols>
          <w:pgMar w:left="212" w:top="131" w:right="199" w:bottom="1440" w:gutter="0" w:footer="0" w:header="0"/>
        </w:sectPr>
      </w:pPr>
    </w:p>
    <w:bookmarkStart w:id="17" w:name="page18"/>
    <w:bookmarkEnd w:id="17"/>
    <w:p>
      <w:pPr>
        <w:ind w:left="46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Questions and requests for assistance in connection with the surrender of Debentures for purchase may be directed to HSBC Corporate Trust Operations at 800-662-9844.</w:t>
      </w:r>
    </w:p>
    <w:p>
      <w:pPr>
        <w:spacing w:after="0" w:line="11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name and address of the Trustee, as Paying Agent and Conversion Agent, are as follows:</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780" w:type="dxa"/>
            <w:vAlign w:val="bottom"/>
          </w:tcPr>
          <w:p>
            <w:pPr>
              <w:jc w:val="center"/>
              <w:spacing w:after="0"/>
              <w:rPr>
                <w:sz w:val="20"/>
                <w:szCs w:val="20"/>
                <w:color w:val="auto"/>
              </w:rPr>
            </w:pPr>
            <w:r>
              <w:rPr>
                <w:rFonts w:ascii="Arial" w:cs="Arial" w:eastAsia="Arial" w:hAnsi="Arial"/>
                <w:sz w:val="12"/>
                <w:szCs w:val="12"/>
                <w:i w:val="1"/>
                <w:iCs w:val="1"/>
                <w:color w:val="auto"/>
                <w:w w:val="90"/>
              </w:rPr>
              <w:t>By Regular, Registered or Certified Mail:</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91"/>
              </w:rPr>
              <w:t>By Overnight Courier or by Hand:</w:t>
            </w:r>
          </w:p>
        </w:tc>
        <w:tc>
          <w:tcPr>
            <w:tcW w:w="120" w:type="dxa"/>
            <w:vAlign w:val="bottom"/>
          </w:tcPr>
          <w:p>
            <w:pPr>
              <w:spacing w:after="0"/>
              <w:rPr>
                <w:sz w:val="13"/>
                <w:szCs w:val="13"/>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89"/>
              </w:rPr>
              <w:t>By Hand:</w:t>
            </w:r>
          </w:p>
        </w:tc>
        <w:tc>
          <w:tcPr>
            <w:tcW w:w="100" w:type="dxa"/>
            <w:vAlign w:val="bottom"/>
          </w:tcPr>
          <w:p>
            <w:pPr>
              <w:spacing w:after="0"/>
              <w:rPr>
                <w:sz w:val="13"/>
                <w:szCs w:val="13"/>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93"/>
              </w:rPr>
              <w:t>By Courier:</w:t>
            </w:r>
          </w:p>
        </w:tc>
      </w:tr>
      <w:tr>
        <w:trPr>
          <w:trHeight w:val="132"/>
        </w:trPr>
        <w:tc>
          <w:tcPr>
            <w:tcW w:w="3780" w:type="dxa"/>
            <w:vAlign w:val="bottom"/>
          </w:tcPr>
          <w:p>
            <w:pPr>
              <w:jc w:val="center"/>
              <w:spacing w:after="0" w:line="133" w:lineRule="exact"/>
              <w:rPr>
                <w:sz w:val="20"/>
                <w:szCs w:val="20"/>
                <w:color w:val="auto"/>
              </w:rPr>
            </w:pPr>
            <w:r>
              <w:rPr>
                <w:rFonts w:ascii="Arial" w:cs="Arial" w:eastAsia="Arial" w:hAnsi="Arial"/>
                <w:sz w:val="12"/>
                <w:szCs w:val="12"/>
                <w:color w:val="auto"/>
                <w:w w:val="91"/>
              </w:rPr>
              <w:t>HSBC Bank USA, National Association</w:t>
            </w:r>
          </w:p>
        </w:tc>
        <w:tc>
          <w:tcPr>
            <w:tcW w:w="120" w:type="dxa"/>
            <w:vAlign w:val="bottom"/>
          </w:tcPr>
          <w:p>
            <w:pPr>
              <w:spacing w:after="0"/>
              <w:rPr>
                <w:sz w:val="11"/>
                <w:szCs w:val="11"/>
                <w:color w:val="auto"/>
              </w:rPr>
            </w:pPr>
          </w:p>
        </w:tc>
        <w:tc>
          <w:tcPr>
            <w:tcW w:w="3800" w:type="dxa"/>
            <w:vAlign w:val="bottom"/>
          </w:tcPr>
          <w:p>
            <w:pPr>
              <w:jc w:val="center"/>
              <w:spacing w:after="0" w:line="133" w:lineRule="exact"/>
              <w:rPr>
                <w:sz w:val="20"/>
                <w:szCs w:val="20"/>
                <w:color w:val="auto"/>
              </w:rPr>
            </w:pPr>
            <w:r>
              <w:rPr>
                <w:rFonts w:ascii="Arial" w:cs="Arial" w:eastAsia="Arial" w:hAnsi="Arial"/>
                <w:sz w:val="12"/>
                <w:szCs w:val="12"/>
                <w:color w:val="auto"/>
                <w:w w:val="87"/>
              </w:rPr>
              <w:t>(718) 488-4488</w:t>
            </w:r>
          </w:p>
        </w:tc>
        <w:tc>
          <w:tcPr>
            <w:tcW w:w="100" w:type="dxa"/>
            <w:vAlign w:val="bottom"/>
          </w:tcPr>
          <w:p>
            <w:pPr>
              <w:spacing w:after="0"/>
              <w:rPr>
                <w:sz w:val="11"/>
                <w:szCs w:val="11"/>
                <w:color w:val="auto"/>
              </w:rPr>
            </w:pPr>
          </w:p>
        </w:tc>
        <w:tc>
          <w:tcPr>
            <w:tcW w:w="3680" w:type="dxa"/>
            <w:vAlign w:val="bottom"/>
          </w:tcPr>
          <w:p>
            <w:pPr>
              <w:jc w:val="right"/>
              <w:ind w:right="1421"/>
              <w:spacing w:after="0" w:line="133" w:lineRule="exact"/>
              <w:rPr>
                <w:sz w:val="20"/>
                <w:szCs w:val="20"/>
                <w:color w:val="auto"/>
              </w:rPr>
            </w:pPr>
            <w:r>
              <w:rPr>
                <w:rFonts w:ascii="Arial" w:cs="Arial" w:eastAsia="Arial" w:hAnsi="Arial"/>
                <w:sz w:val="12"/>
                <w:szCs w:val="12"/>
                <w:color w:val="auto"/>
              </w:rPr>
              <w:t>(800) 662-9844</w:t>
            </w: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91"/>
              </w:rPr>
              <w:t>Corporate Trust &amp; Loan Agency</w:t>
            </w:r>
          </w:p>
        </w:tc>
        <w:tc>
          <w:tcPr>
            <w:tcW w:w="120" w:type="dxa"/>
            <w:vAlign w:val="bottom"/>
          </w:tcPr>
          <w:p>
            <w:pPr>
              <w:spacing w:after="0"/>
              <w:rPr>
                <w:sz w:val="12"/>
                <w:szCs w:val="12"/>
                <w:color w:val="auto"/>
              </w:rPr>
            </w:pPr>
          </w:p>
        </w:tc>
        <w:tc>
          <w:tcPr>
            <w:tcW w:w="3800" w:type="dxa"/>
            <w:vAlign w:val="bottom"/>
          </w:tcPr>
          <w:p>
            <w:pPr>
              <w:jc w:val="center"/>
              <w:spacing w:after="0"/>
              <w:rPr>
                <w:sz w:val="20"/>
                <w:szCs w:val="20"/>
                <w:color w:val="auto"/>
              </w:rPr>
            </w:pPr>
            <w:r>
              <w:rPr>
                <w:rFonts w:ascii="Arial" w:cs="Arial" w:eastAsia="Arial" w:hAnsi="Arial"/>
                <w:sz w:val="12"/>
                <w:szCs w:val="12"/>
                <w:color w:val="auto"/>
                <w:w w:val="89"/>
              </w:rPr>
              <w:t>Attn: Corporate Trust Operations</w:t>
            </w: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87"/>
              </w:rPr>
              <w:t>2 Hanson Place, 14th Floor</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91"/>
              </w:rPr>
              <w:t>Brooklyn, NY 10217-1409</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8"/>
        </w:trPr>
        <w:tc>
          <w:tcPr>
            <w:tcW w:w="3780" w:type="dxa"/>
            <w:vAlign w:val="bottom"/>
          </w:tcPr>
          <w:p>
            <w:pPr>
              <w:jc w:val="center"/>
              <w:spacing w:after="0"/>
              <w:rPr>
                <w:sz w:val="20"/>
                <w:szCs w:val="20"/>
                <w:color w:val="auto"/>
              </w:rPr>
            </w:pPr>
            <w:r>
              <w:rPr>
                <w:rFonts w:ascii="Arial" w:cs="Arial" w:eastAsia="Arial" w:hAnsi="Arial"/>
                <w:sz w:val="12"/>
                <w:szCs w:val="12"/>
                <w:color w:val="auto"/>
                <w:w w:val="88"/>
              </w:rPr>
              <w:t>Attn: Corporate Trust Operations</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284"/>
        </w:trPr>
        <w:tc>
          <w:tcPr>
            <w:tcW w:w="3780" w:type="dxa"/>
            <w:vAlign w:val="bottom"/>
          </w:tcPr>
          <w:p>
            <w:pPr>
              <w:spacing w:after="0"/>
              <w:rPr>
                <w:sz w:val="20"/>
                <w:szCs w:val="20"/>
                <w:color w:val="auto"/>
              </w:rPr>
            </w:pPr>
            <w:r>
              <w:rPr>
                <w:rFonts w:ascii="Arial" w:cs="Arial" w:eastAsia="Arial" w:hAnsi="Arial"/>
                <w:sz w:val="12"/>
                <w:szCs w:val="12"/>
                <w:color w:val="auto"/>
              </w:rPr>
              <w:t>Dated: April 26, 2010</w:t>
            </w:r>
          </w:p>
        </w:tc>
        <w:tc>
          <w:tcPr>
            <w:tcW w:w="3920" w:type="dxa"/>
            <w:vAlign w:val="bottom"/>
            <w:gridSpan w:val="2"/>
          </w:tcPr>
          <w:p>
            <w:pPr>
              <w:ind w:left="120"/>
              <w:spacing w:after="0"/>
              <w:rPr>
                <w:sz w:val="20"/>
                <w:szCs w:val="20"/>
                <w:color w:val="auto"/>
              </w:rPr>
            </w:pPr>
            <w:r>
              <w:rPr>
                <w:rFonts w:ascii="Arial" w:cs="Arial" w:eastAsia="Arial" w:hAnsi="Arial"/>
                <w:sz w:val="12"/>
                <w:szCs w:val="12"/>
                <w:color w:val="auto"/>
              </w:rPr>
              <w:t>HSBC BANK USA, NATIONAL ASSOCIATION, as TRUSTEE</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48"/>
        </w:trPr>
        <w:tc>
          <w:tcPr>
            <w:tcW w:w="3780" w:type="dxa"/>
            <w:vAlign w:val="bottom"/>
          </w:tcPr>
          <w:p>
            <w:pPr>
              <w:spacing w:after="0"/>
              <w:rPr>
                <w:sz w:val="12"/>
                <w:szCs w:val="12"/>
                <w:color w:val="auto"/>
              </w:rPr>
            </w:pPr>
          </w:p>
        </w:tc>
        <w:tc>
          <w:tcPr>
            <w:tcW w:w="3920" w:type="dxa"/>
            <w:vAlign w:val="bottom"/>
            <w:gridSpan w:val="2"/>
          </w:tcPr>
          <w:p>
            <w:pPr>
              <w:ind w:left="120"/>
              <w:spacing w:after="0"/>
              <w:rPr>
                <w:sz w:val="20"/>
                <w:szCs w:val="20"/>
                <w:color w:val="auto"/>
              </w:rPr>
            </w:pPr>
            <w:r>
              <w:rPr>
                <w:rFonts w:ascii="Arial" w:cs="Arial" w:eastAsia="Arial" w:hAnsi="Arial"/>
                <w:sz w:val="12"/>
                <w:szCs w:val="12"/>
                <w:color w:val="auto"/>
              </w:rPr>
              <w:t>on behalf of Schlumberger N.V. (Schlumberger Limited)</w:t>
            </w: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127000</wp:posOffset>
            </wp:positionV>
            <wp:extent cx="152717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NOTICE:</w:t>
      </w:r>
    </w:p>
    <w:p>
      <w:pPr>
        <w:spacing w:after="0" w:line="114"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The Paying Agent will withhold under the U.S. backup withholding rules 28% of any payment that is made upon purchase of any Debentures unless the holder delivers a properly completed IRS Form W-9 or the holder otherwise establishes an exemption from such backup withholding.</w:t>
      </w:r>
    </w:p>
    <w:p>
      <w:pPr>
        <w:spacing w:after="0" w:line="34" w:lineRule="exact"/>
        <w:rPr>
          <w:sz w:val="20"/>
          <w:szCs w:val="20"/>
          <w:color w:val="auto"/>
        </w:rPr>
      </w:pPr>
    </w:p>
    <w:p>
      <w:pPr>
        <w:ind w:left="468" w:hanging="468"/>
        <w:spacing w:after="0"/>
        <w:tabs>
          <w:tab w:leader="none" w:pos="468" w:val="left"/>
        </w:tabs>
        <w:numPr>
          <w:ilvl w:val="0"/>
          <w:numId w:val="36"/>
        </w:numPr>
        <w:rPr>
          <w:rFonts w:ascii="Arial" w:cs="Arial" w:eastAsia="Arial" w:hAnsi="Arial"/>
          <w:sz w:val="9"/>
          <w:szCs w:val="9"/>
          <w:color w:val="auto"/>
        </w:rPr>
      </w:pPr>
      <w:r>
        <w:rPr>
          <w:rFonts w:ascii="Arial" w:cs="Arial" w:eastAsia="Arial" w:hAnsi="Arial"/>
          <w:sz w:val="9"/>
          <w:szCs w:val="9"/>
          <w:color w:val="auto"/>
        </w:rPr>
        <w:t>No representation is made as to the correctness of such number either as printed on the Debentures or as contained in this notice of redemption, and reliance may be placed only on the other identification printed on the Debentures.</w:t>
      </w:r>
    </w:p>
    <w:p>
      <w:pPr>
        <w:sectPr>
          <w:pgSz w:w="11900" w:h="16838" w:orient="portrait"/>
          <w:cols w:equalWidth="0" w:num="1">
            <w:col w:w="11488"/>
          </w:cols>
          <w:pgMar w:left="212" w:top="232" w:right="1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PURCHASE NOTICE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Schlumberger Limited</w:t>
      </w:r>
    </w:p>
    <w:p>
      <w:pPr>
        <w:spacing w:after="0" w:line="114"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The undersigned registered holder of the 2.125% Series B Convertible Debentures Due 2023 (the “Debentures”) of Schlumberger N.V. (Schlumberger Limited) (the “Company”) hereby acknowledges receipt of a Company Notice dated April 26, 2010, together with a Tender Offer Statement on Schedule TO filed by the Company with the Securities and Exchange Commission, relating to the purchase of Debentures by the Company as of June 1, 2010, and requests and instructs the Company (through the Paying Agent) to purchase the Debentures referred to below as of June 1, 2010, pursuant to the terms and conditions specified in (i) the Indenture referred to in the Company Notice and (ii) paragraph 6 of the Debentures.</w:t>
      </w:r>
    </w:p>
    <w:p>
      <w:pPr>
        <w:spacing w:after="0" w:line="96"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The undersigned hereby represents and warrants that (a) the undersigned has full power and authority to validly surrender the Debentures surrendered hereby; (b) when and to the extent the Company accepts such Debentures for purchase, the Company will acquire good and unencumbered title to them, free and clear of all security interests, liens, charges, encumbrances, conditional sales agreements or other obligations relating to their surrender or transfer, and not subject to any adverse claim; and (c) on request, the undersigned will execute and deliver any additional documents that the Paying Agent or the Company deems necessary or desirable to complete the surrender of the Debentures surrendered for purchase hereby and accepted for purchase.</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72923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-8890</wp:posOffset>
            </wp:positionV>
            <wp:extent cx="37147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1475" cy="571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(Exact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2923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Certificate No(s). of Debentures to be purchased: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Total Principal Amount of Debentures to be purchased ($1,000 or integral multiple thereof):</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6877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05" cy="571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 if less than all of the Debentures represented by the certificates listed above are to be purchased,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indicate the principal amount to be purchased in respect of each certificate)</w:t>
      </w:r>
    </w:p>
    <w:p>
      <w:pPr>
        <w:sectPr>
          <w:pgSz w:w="11900" w:h="16838" w:orient="portrait"/>
          <w:cols w:equalWidth="0" w:num="1">
            <w:col w:w="11480"/>
          </w:cols>
          <w:pgMar w:left="220" w:top="230" w:right="199" w:bottom="1440" w:gutter="0" w:footer="0" w:header="0"/>
        </w:sectPr>
      </w:pPr>
    </w:p>
    <w:bookmarkStart w:id="19" w:name="page20"/>
    <w:bookmarkEnd w:id="19"/>
    <w:p>
      <w:pPr>
        <w:ind w:left="10660"/>
        <w:spacing w:after="0"/>
        <w:rPr>
          <w:sz w:val="20"/>
          <w:szCs w:val="20"/>
          <w:color w:val="auto"/>
        </w:rPr>
      </w:pPr>
      <w:r>
        <w:rPr>
          <w:rFonts w:ascii="Arial" w:cs="Arial" w:eastAsia="Arial" w:hAnsi="Arial"/>
          <w:sz w:val="11"/>
          <w:szCs w:val="11"/>
          <w:b w:val="1"/>
          <w:bCs w:val="1"/>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316470" cy="2460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6470" cy="246062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S</w:t>
            </w:r>
            <w:r>
              <w:rPr>
                <w:rFonts w:ascii="Arial" w:cs="Arial" w:eastAsia="Arial" w:hAnsi="Arial"/>
                <w:sz w:val="7"/>
                <w:szCs w:val="7"/>
                <w:b w:val="1"/>
                <w:bCs w:val="1"/>
                <w:color w:val="auto"/>
              </w:rPr>
              <w:t>UBSTITUTE</w:t>
            </w:r>
          </w:p>
        </w:tc>
        <w:tc>
          <w:tcPr>
            <w:tcW w:w="900" w:type="dxa"/>
            <w:vAlign w:val="bottom"/>
            <w:tcBorders>
              <w:top w:val="single" w:sz="8" w:color="auto"/>
              <w:right w:val="single" w:sz="8" w:color="auto"/>
            </w:tcBorders>
            <w:vMerge w:val="restart"/>
          </w:tcPr>
          <w:p>
            <w:pPr>
              <w:ind w:left="80"/>
              <w:spacing w:after="0" w:line="228" w:lineRule="exact"/>
              <w:rPr>
                <w:sz w:val="20"/>
                <w:szCs w:val="20"/>
                <w:color w:val="auto"/>
              </w:rPr>
            </w:pPr>
            <w:r>
              <w:rPr>
                <w:rFonts w:ascii="Arial" w:cs="Arial" w:eastAsia="Arial" w:hAnsi="Arial"/>
                <w:sz w:val="22"/>
                <w:szCs w:val="22"/>
                <w:b w:val="1"/>
                <w:bCs w:val="1"/>
                <w:color w:val="auto"/>
              </w:rPr>
              <w:t>W-9</w:t>
            </w:r>
          </w:p>
        </w:tc>
        <w:tc>
          <w:tcPr>
            <w:tcW w:w="10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vMerge w:val="restart"/>
          </w:tcPr>
          <w:p>
            <w:pPr>
              <w:jc w:val="center"/>
              <w:ind w:right="1488"/>
              <w:spacing w:after="0"/>
              <w:rPr>
                <w:sz w:val="20"/>
                <w:szCs w:val="20"/>
                <w:color w:val="auto"/>
              </w:rPr>
            </w:pPr>
            <w:r>
              <w:rPr>
                <w:rFonts w:ascii="Arial" w:cs="Arial" w:eastAsia="Arial" w:hAnsi="Arial"/>
                <w:sz w:val="14"/>
                <w:szCs w:val="14"/>
                <w:b w:val="1"/>
                <w:bCs w:val="1"/>
                <w:color w:val="auto"/>
                <w:w w:val="99"/>
              </w:rPr>
              <w:t>R</w:t>
            </w:r>
            <w:r>
              <w:rPr>
                <w:rFonts w:ascii="Arial" w:cs="Arial" w:eastAsia="Arial" w:hAnsi="Arial"/>
                <w:sz w:val="12"/>
                <w:szCs w:val="12"/>
                <w:b w:val="1"/>
                <w:bCs w:val="1"/>
                <w:color w:val="auto"/>
                <w:w w:val="99"/>
              </w:rPr>
              <w:t>EQUEST FOR</w:t>
            </w:r>
            <w:r>
              <w:rPr>
                <w:rFonts w:ascii="Arial" w:cs="Arial" w:eastAsia="Arial" w:hAnsi="Arial"/>
                <w:sz w:val="14"/>
                <w:szCs w:val="14"/>
                <w:b w:val="1"/>
                <w:bCs w:val="1"/>
                <w:color w:val="auto"/>
                <w:w w:val="99"/>
              </w:rPr>
              <w:t xml:space="preserve"> T</w:t>
            </w:r>
            <w:r>
              <w:rPr>
                <w:rFonts w:ascii="Arial" w:cs="Arial" w:eastAsia="Arial" w:hAnsi="Arial"/>
                <w:sz w:val="12"/>
                <w:szCs w:val="12"/>
                <w:b w:val="1"/>
                <w:bCs w:val="1"/>
                <w:color w:val="auto"/>
                <w:w w:val="99"/>
              </w:rPr>
              <w:t>AXPAYER</w:t>
            </w:r>
          </w:p>
        </w:tc>
        <w:tc>
          <w:tcPr>
            <w:tcW w:w="680" w:type="dxa"/>
            <w:vAlign w:val="bottom"/>
            <w:tcBorders>
              <w:top w:val="single" w:sz="8" w:color="auto"/>
              <w:right w:val="single" w:sz="8" w:color="auto"/>
            </w:tcBorders>
          </w:tcPr>
          <w:p>
            <w:pPr>
              <w:spacing w:after="0"/>
              <w:rPr>
                <w:sz w:val="12"/>
                <w:szCs w:val="12"/>
                <w:color w:val="auto"/>
              </w:rPr>
            </w:pPr>
          </w:p>
        </w:tc>
        <w:tc>
          <w:tcPr>
            <w:tcW w:w="32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2"/>
                <w:szCs w:val="12"/>
                <w:b w:val="1"/>
                <w:bCs w:val="1"/>
                <w:color w:val="auto"/>
              </w:rPr>
              <w:t>Give form to the requester. Do not</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rPr>
              <w:t>F</w:t>
            </w:r>
            <w:r>
              <w:rPr>
                <w:rFonts w:ascii="Arial" w:cs="Arial" w:eastAsia="Arial" w:hAnsi="Arial"/>
                <w:sz w:val="7"/>
                <w:szCs w:val="7"/>
                <w:b w:val="1"/>
                <w:bCs w:val="1"/>
                <w:color w:val="auto"/>
              </w:rPr>
              <w:t>ORM</w:t>
            </w:r>
          </w:p>
        </w:tc>
        <w:tc>
          <w:tcPr>
            <w:tcW w:w="900" w:type="dxa"/>
            <w:vAlign w:val="bottom"/>
            <w:tcBorders>
              <w:right w:val="single" w:sz="8" w:color="auto"/>
            </w:tcBorders>
            <w:vMerge w:val="continue"/>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Borders>
              <w:right w:val="single" w:sz="8" w:color="auto"/>
            </w:tcBorders>
            <w:gridSpan w:val="3"/>
          </w:tcPr>
          <w:p>
            <w:pPr>
              <w:jc w:val="center"/>
              <w:ind w:right="403"/>
              <w:spacing w:after="0"/>
              <w:rPr>
                <w:sz w:val="20"/>
                <w:szCs w:val="20"/>
                <w:color w:val="auto"/>
              </w:rPr>
            </w:pPr>
            <w:r>
              <w:rPr>
                <w:rFonts w:ascii="Arial" w:cs="Arial" w:eastAsia="Arial" w:hAnsi="Arial"/>
                <w:sz w:val="9"/>
                <w:szCs w:val="9"/>
                <w:color w:val="auto"/>
                <w:w w:val="90"/>
              </w:rPr>
              <w:t>Department of the Treasury</w:t>
            </w: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160" w:type="dxa"/>
            <w:vAlign w:val="bottom"/>
            <w:gridSpan w:val="2"/>
          </w:tcPr>
          <w:p>
            <w:pPr>
              <w:jc w:val="center"/>
              <w:ind w:right="608"/>
              <w:spacing w:after="0" w:line="129"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2"/>
                <w:szCs w:val="12"/>
                <w:b w:val="1"/>
                <w:bCs w:val="1"/>
                <w:color w:val="auto"/>
              </w:rPr>
              <w:t>DENTIFICATION</w:t>
            </w:r>
            <w:r>
              <w:rPr>
                <w:rFonts w:ascii="Arial" w:cs="Arial" w:eastAsia="Arial" w:hAnsi="Arial"/>
                <w:sz w:val="14"/>
                <w:szCs w:val="14"/>
                <w:b w:val="1"/>
                <w:bCs w:val="1"/>
                <w:color w:val="auto"/>
              </w:rPr>
              <w:t xml:space="preserve"> N</w:t>
            </w:r>
            <w:r>
              <w:rPr>
                <w:rFonts w:ascii="Arial" w:cs="Arial" w:eastAsia="Arial" w:hAnsi="Arial"/>
                <w:sz w:val="12"/>
                <w:szCs w:val="12"/>
                <w:b w:val="1"/>
                <w:bCs w:val="1"/>
                <w:color w:val="auto"/>
              </w:rPr>
              <w:t>UMBER AND</w:t>
            </w:r>
            <w:r>
              <w:rPr>
                <w:rFonts w:ascii="Arial" w:cs="Arial" w:eastAsia="Arial" w:hAnsi="Arial"/>
                <w:sz w:val="14"/>
                <w:szCs w:val="14"/>
                <w:b w:val="1"/>
                <w:bCs w:val="1"/>
                <w:color w:val="auto"/>
              </w:rPr>
              <w:t xml:space="preserve"> C</w:t>
            </w:r>
            <w:r>
              <w:rPr>
                <w:rFonts w:ascii="Arial" w:cs="Arial" w:eastAsia="Arial" w:hAnsi="Arial"/>
                <w:sz w:val="12"/>
                <w:szCs w:val="12"/>
                <w:b w:val="1"/>
                <w:bCs w:val="1"/>
                <w:color w:val="auto"/>
              </w:rPr>
              <w:t>ERTIFICATION</w:t>
            </w:r>
          </w:p>
        </w:tc>
        <w:tc>
          <w:tcPr>
            <w:tcW w:w="680" w:type="dxa"/>
            <w:vAlign w:val="bottom"/>
            <w:tcBorders>
              <w:right w:val="single" w:sz="8" w:color="auto"/>
            </w:tcBorders>
          </w:tcPr>
          <w:p>
            <w:pPr>
              <w:spacing w:after="0"/>
              <w:rPr>
                <w:sz w:val="11"/>
                <w:szCs w:val="11"/>
                <w:color w:val="auto"/>
              </w:rPr>
            </w:pPr>
          </w:p>
        </w:tc>
        <w:tc>
          <w:tcPr>
            <w:tcW w:w="32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send to the IRS.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gridSpan w:val="3"/>
          </w:tcPr>
          <w:p>
            <w:pPr>
              <w:jc w:val="center"/>
              <w:ind w:right="383"/>
              <w:spacing w:after="0" w:line="99" w:lineRule="exact"/>
              <w:rPr>
                <w:sz w:val="20"/>
                <w:szCs w:val="20"/>
                <w:color w:val="auto"/>
              </w:rPr>
            </w:pPr>
            <w:r>
              <w:rPr>
                <w:rFonts w:ascii="Arial" w:cs="Arial" w:eastAsia="Arial" w:hAnsi="Arial"/>
                <w:sz w:val="9"/>
                <w:szCs w:val="9"/>
                <w:color w:val="auto"/>
                <w:w w:val="89"/>
              </w:rPr>
              <w:t>Internal Revenue Service</w:t>
            </w: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000" w:type="dxa"/>
            <w:vAlign w:val="bottom"/>
            <w:gridSpan w:val="5"/>
          </w:tcPr>
          <w:p>
            <w:pPr>
              <w:ind w:left="100"/>
              <w:spacing w:after="0"/>
              <w:rPr>
                <w:sz w:val="20"/>
                <w:szCs w:val="20"/>
                <w:color w:val="auto"/>
              </w:rPr>
            </w:pPr>
            <w:r>
              <w:rPr>
                <w:rFonts w:ascii="Arial" w:cs="Arial" w:eastAsia="Arial" w:hAnsi="Arial"/>
                <w:sz w:val="9"/>
                <w:szCs w:val="9"/>
                <w:color w:val="auto"/>
              </w:rPr>
              <w:t>Name (as shown on your income tax return)</w:t>
            </w: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spacing w:after="0"/>
              <w:rPr>
                <w:sz w:val="15"/>
                <w:szCs w:val="15"/>
                <w:color w:val="auto"/>
              </w:rPr>
            </w:pPr>
          </w:p>
        </w:tc>
        <w:tc>
          <w:tcPr>
            <w:tcW w:w="2180" w:type="dxa"/>
            <w:vAlign w:val="bottom"/>
            <w:tcBorders>
              <w:bottom w:val="single" w:sz="8" w:color="auto"/>
            </w:tcBorders>
            <w:gridSpan w:val="3"/>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000" w:type="dxa"/>
            <w:vAlign w:val="bottom"/>
            <w:gridSpan w:val="5"/>
          </w:tcPr>
          <w:p>
            <w:pPr>
              <w:ind w:left="100"/>
              <w:spacing w:after="0"/>
              <w:rPr>
                <w:sz w:val="20"/>
                <w:szCs w:val="20"/>
                <w:color w:val="auto"/>
              </w:rPr>
            </w:pPr>
            <w:r>
              <w:rPr>
                <w:rFonts w:ascii="Arial" w:cs="Arial" w:eastAsia="Arial" w:hAnsi="Arial"/>
                <w:sz w:val="9"/>
                <w:szCs w:val="9"/>
                <w:color w:val="auto"/>
              </w:rPr>
              <w:t>Business name, if different from above</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60" w:type="dxa"/>
            <w:vAlign w:val="bottom"/>
            <w:gridSpan w:val="3"/>
          </w:tcPr>
          <w:p>
            <w:pPr>
              <w:ind w:left="180"/>
              <w:spacing w:after="0"/>
              <w:rPr>
                <w:sz w:val="20"/>
                <w:szCs w:val="20"/>
                <w:color w:val="auto"/>
              </w:rPr>
            </w:pPr>
            <w:r>
              <w:rPr>
                <w:rFonts w:ascii="Arial" w:cs="Arial" w:eastAsia="Arial" w:hAnsi="Arial"/>
                <w:sz w:val="9"/>
                <w:szCs w:val="9"/>
                <w:color w:val="auto"/>
                <w:w w:val="92"/>
              </w:rPr>
              <w:t>Check appropriate box:</w:t>
            </w:r>
          </w:p>
        </w:tc>
        <w:tc>
          <w:tcPr>
            <w:tcW w:w="1940" w:type="dxa"/>
            <w:vAlign w:val="bottom"/>
            <w:gridSpan w:val="2"/>
          </w:tcPr>
          <w:p>
            <w:pPr>
              <w:ind w:left="40"/>
              <w:spacing w:after="0" w:line="151" w:lineRule="exact"/>
              <w:rPr>
                <w:sz w:val="20"/>
                <w:szCs w:val="20"/>
                <w:color w:val="auto"/>
              </w:rPr>
            </w:pPr>
            <w:r>
              <w:rPr>
                <w:rFonts w:ascii="MS PGothic" w:cs="MS PGothic" w:eastAsia="MS PGothic" w:hAnsi="MS PGothic"/>
                <w:sz w:val="14"/>
                <w:szCs w:val="14"/>
                <w:i w:val="1"/>
                <w:iCs w:val="1"/>
                <w:color w:val="auto"/>
                <w:w w:val="98"/>
              </w:rPr>
              <w:t>☐</w:t>
            </w:r>
            <w:r>
              <w:rPr>
                <w:rFonts w:ascii="Arial" w:cs="Arial" w:eastAsia="Arial" w:hAnsi="Arial"/>
                <w:sz w:val="9"/>
                <w:szCs w:val="9"/>
                <w:color w:val="auto"/>
                <w:w w:val="98"/>
              </w:rPr>
              <w:t xml:space="preserve"> Individual  </w:t>
            </w:r>
            <w:r>
              <w:rPr>
                <w:rFonts w:ascii="MS PGothic" w:cs="MS PGothic" w:eastAsia="MS PGothic" w:hAnsi="MS PGothic"/>
                <w:sz w:val="14"/>
                <w:szCs w:val="14"/>
                <w:color w:val="auto"/>
                <w:w w:val="98"/>
              </w:rPr>
              <w:t>☐</w:t>
            </w:r>
            <w:r>
              <w:rPr>
                <w:rFonts w:ascii="Arial" w:cs="Arial" w:eastAsia="Arial" w:hAnsi="Arial"/>
                <w:sz w:val="9"/>
                <w:szCs w:val="9"/>
                <w:color w:val="auto"/>
                <w:w w:val="98"/>
              </w:rPr>
              <w:t xml:space="preserve"> Corporation  </w:t>
            </w:r>
            <w:r>
              <w:rPr>
                <w:rFonts w:ascii="MS PGothic" w:cs="MS PGothic" w:eastAsia="MS PGothic" w:hAnsi="MS PGothic"/>
                <w:sz w:val="14"/>
                <w:szCs w:val="14"/>
                <w:color w:val="auto"/>
                <w:w w:val="98"/>
              </w:rPr>
              <w:t>☐</w:t>
            </w:r>
            <w:r>
              <w:rPr>
                <w:rFonts w:ascii="Arial" w:cs="Arial" w:eastAsia="Arial" w:hAnsi="Arial"/>
                <w:sz w:val="9"/>
                <w:szCs w:val="9"/>
                <w:color w:val="auto"/>
                <w:w w:val="98"/>
              </w:rPr>
              <w:t xml:space="preserve"> Partnership</w:t>
            </w:r>
          </w:p>
        </w:tc>
        <w:tc>
          <w:tcPr>
            <w:tcW w:w="420" w:type="dxa"/>
            <w:vAlign w:val="bottom"/>
          </w:tcPr>
          <w:p>
            <w:pPr>
              <w:ind w:left="40"/>
              <w:spacing w:after="0" w:line="15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9"/>
                <w:szCs w:val="9"/>
                <w:color w:val="auto"/>
                <w:w w:val="92"/>
              </w:rPr>
              <w:t xml:space="preserve"> Other</w:t>
            </w:r>
          </w:p>
        </w:tc>
        <w:tc>
          <w:tcPr>
            <w:tcW w:w="860" w:type="dxa"/>
            <w:vAlign w:val="bottom"/>
            <w:tcBorders>
              <w:bottom w:val="single" w:sz="8" w:color="auto"/>
            </w:tcBorders>
          </w:tcPr>
          <w:p>
            <w:pPr>
              <w:spacing w:after="0"/>
              <w:rPr>
                <w:sz w:val="13"/>
                <w:szCs w:val="13"/>
                <w:color w:val="auto"/>
              </w:rPr>
            </w:pPr>
          </w:p>
        </w:tc>
        <w:tc>
          <w:tcPr>
            <w:tcW w:w="3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20" w:type="dxa"/>
            <w:vAlign w:val="bottom"/>
            <w:gridSpan w:val="2"/>
          </w:tcPr>
          <w:p>
            <w:pPr>
              <w:ind w:left="340"/>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9"/>
                <w:szCs w:val="9"/>
                <w:color w:val="auto"/>
              </w:rPr>
              <w:t xml:space="preserve"> Exempt from backup withholding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0" w:type="dxa"/>
            <w:vAlign w:val="bottom"/>
          </w:tcPr>
          <w:p>
            <w:pPr>
              <w:spacing w:after="0"/>
              <w:rPr>
                <w:sz w:val="7"/>
                <w:szCs w:val="7"/>
                <w:color w:val="auto"/>
              </w:rPr>
            </w:pPr>
          </w:p>
        </w:tc>
        <w:tc>
          <w:tcPr>
            <w:tcW w:w="1060" w:type="dxa"/>
            <w:vAlign w:val="bottom"/>
            <w:gridSpan w:val="3"/>
          </w:tcPr>
          <w:p>
            <w:pPr>
              <w:ind w:left="100"/>
              <w:spacing w:after="0" w:line="91" w:lineRule="exact"/>
              <w:rPr>
                <w:sz w:val="20"/>
                <w:szCs w:val="20"/>
                <w:color w:val="auto"/>
              </w:rPr>
            </w:pPr>
            <w:r>
              <w:rPr>
                <w:rFonts w:ascii="Arial" w:cs="Arial" w:eastAsia="Arial" w:hAnsi="Arial"/>
                <w:sz w:val="9"/>
                <w:szCs w:val="9"/>
                <w:color w:val="auto"/>
                <w:w w:val="95"/>
              </w:rPr>
              <w:t>City, state, and ZIP code</w:t>
            </w: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Part I</w:t>
            </w:r>
          </w:p>
        </w:tc>
        <w:tc>
          <w:tcPr>
            <w:tcW w:w="380" w:type="dxa"/>
            <w:vAlign w:val="bottom"/>
          </w:tcPr>
          <w:p>
            <w:pPr>
              <w:spacing w:after="0"/>
              <w:rPr>
                <w:sz w:val="16"/>
                <w:szCs w:val="16"/>
                <w:color w:val="auto"/>
              </w:rPr>
            </w:pPr>
          </w:p>
        </w:tc>
        <w:tc>
          <w:tcPr>
            <w:tcW w:w="21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9"/>
              </w:rPr>
              <w:t>Taxpayer Identification Number (TIN)</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7580" w:type="dxa"/>
            <w:vAlign w:val="bottom"/>
            <w:tcBorders>
              <w:right w:val="single" w:sz="8" w:color="auto"/>
            </w:tcBorders>
            <w:gridSpan w:val="8"/>
          </w:tcPr>
          <w:p>
            <w:pPr>
              <w:ind w:left="180"/>
              <w:spacing w:after="0" w:line="82" w:lineRule="exact"/>
              <w:rPr>
                <w:sz w:val="20"/>
                <w:szCs w:val="20"/>
                <w:color w:val="auto"/>
              </w:rPr>
            </w:pPr>
            <w:r>
              <w:rPr>
                <w:rFonts w:ascii="Arial" w:cs="Arial" w:eastAsia="Arial" w:hAnsi="Arial"/>
                <w:sz w:val="9"/>
                <w:szCs w:val="9"/>
                <w:color w:val="auto"/>
                <w:w w:val="92"/>
              </w:rPr>
              <w:t>Enter your TIN on the appropriate line. The TIN provided must match the name given on the top line to avoid backup withholding. For individuals, this is your social security number (SSN). However, for</w:t>
            </w: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0" w:type="dxa"/>
            <w:vAlign w:val="bottom"/>
            <w:tcBorders>
              <w:right w:val="single" w:sz="8" w:color="auto"/>
            </w:tcBorders>
          </w:tcPr>
          <w:p>
            <w:pPr>
              <w:spacing w:after="0"/>
              <w:rPr>
                <w:sz w:val="6"/>
                <w:szCs w:val="6"/>
                <w:color w:val="auto"/>
              </w:rPr>
            </w:pPr>
          </w:p>
        </w:tc>
        <w:tc>
          <w:tcPr>
            <w:tcW w:w="7580" w:type="dxa"/>
            <w:vAlign w:val="bottom"/>
            <w:tcBorders>
              <w:right w:val="single" w:sz="8" w:color="auto"/>
            </w:tcBorders>
            <w:gridSpan w:val="8"/>
          </w:tcPr>
          <w:p>
            <w:pPr>
              <w:ind w:left="180"/>
              <w:spacing w:after="0" w:line="69" w:lineRule="exact"/>
              <w:rPr>
                <w:sz w:val="20"/>
                <w:szCs w:val="20"/>
                <w:color w:val="auto"/>
              </w:rPr>
            </w:pPr>
            <w:r>
              <w:rPr>
                <w:rFonts w:ascii="Arial" w:cs="Arial" w:eastAsia="Arial" w:hAnsi="Arial"/>
                <w:sz w:val="7"/>
                <w:szCs w:val="7"/>
                <w:color w:val="auto"/>
              </w:rPr>
              <w:t>a resident alien, sole proprietor, or disregarded entity, see “What Number to Give the Requester” in the attached Guidelines For Certification of Taxpayer Identification Number on Substitute Form W-9.</w:t>
            </w:r>
          </w:p>
        </w:tc>
        <w:tc>
          <w:tcPr>
            <w:tcW w:w="6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7580" w:type="dxa"/>
            <w:vAlign w:val="bottom"/>
            <w:tcBorders>
              <w:right w:val="single" w:sz="8" w:color="auto"/>
            </w:tcBorders>
            <w:gridSpan w:val="8"/>
          </w:tcPr>
          <w:p>
            <w:pPr>
              <w:ind w:left="180"/>
              <w:spacing w:after="0"/>
              <w:rPr>
                <w:sz w:val="20"/>
                <w:szCs w:val="20"/>
                <w:color w:val="auto"/>
              </w:rPr>
            </w:pPr>
            <w:r>
              <w:rPr>
                <w:rFonts w:ascii="Arial" w:cs="Arial" w:eastAsia="Arial" w:hAnsi="Arial"/>
                <w:sz w:val="9"/>
                <w:szCs w:val="9"/>
                <w:color w:val="auto"/>
              </w:rPr>
              <w:t>For other entities, it is your employer identification number (EIN). If you do not have a number, see “Obtaining a Number” in the attached Guidelines.</w:t>
            </w: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20" w:type="dxa"/>
            <w:vAlign w:val="bottom"/>
            <w:gridSpan w:val="2"/>
          </w:tcPr>
          <w:p>
            <w:pPr>
              <w:ind w:left="480"/>
              <w:spacing w:after="0"/>
              <w:rPr>
                <w:sz w:val="20"/>
                <w:szCs w:val="20"/>
                <w:color w:val="auto"/>
              </w:rPr>
            </w:pPr>
            <w:r>
              <w:rPr>
                <w:rFonts w:ascii="Arial" w:cs="Arial" w:eastAsia="Arial" w:hAnsi="Arial"/>
                <w:sz w:val="9"/>
                <w:szCs w:val="9"/>
                <w:color w:val="auto"/>
              </w:rPr>
              <w:t>Social Security 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Borders>
              <w:right w:val="single" w:sz="8" w:color="auto"/>
            </w:tcBorders>
          </w:tcPr>
          <w:p>
            <w:pPr>
              <w:spacing w:after="0"/>
              <w:rPr>
                <w:sz w:val="13"/>
                <w:szCs w:val="13"/>
                <w:color w:val="auto"/>
              </w:rPr>
            </w:pPr>
          </w:p>
        </w:tc>
        <w:tc>
          <w:tcPr>
            <w:tcW w:w="7580" w:type="dxa"/>
            <w:vAlign w:val="bottom"/>
            <w:tcBorders>
              <w:right w:val="single" w:sz="8" w:color="auto"/>
            </w:tcBorders>
            <w:gridSpan w:val="8"/>
          </w:tcPr>
          <w:p>
            <w:pPr>
              <w:ind w:left="180"/>
              <w:spacing w:after="0"/>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i w:val="1"/>
                <w:iCs w:val="1"/>
                <w:color w:val="auto"/>
              </w:rPr>
              <w:t>If the account is in more than one name, see “What Number to Give the Requester” in the attached Guidelines for instructions on whose number to enter.</w:t>
            </w:r>
          </w:p>
        </w:tc>
        <w:tc>
          <w:tcPr>
            <w:tcW w:w="3880" w:type="dxa"/>
            <w:vAlign w:val="bottom"/>
            <w:gridSpan w:val="4"/>
            <w:vMerge w:val="restart"/>
          </w:tcPr>
          <w:p>
            <w:pPr>
              <w:ind w:left="440"/>
              <w:spacing w:after="0"/>
              <w:rPr>
                <w:sz w:val="20"/>
                <w:szCs w:val="20"/>
                <w:color w:val="auto"/>
              </w:rPr>
            </w:pPr>
            <w:r>
              <w:rPr>
                <w:rFonts w:ascii="Arial" w:cs="Arial" w:eastAsia="Arial" w:hAnsi="Arial"/>
                <w:sz w:val="9"/>
                <w:szCs w:val="9"/>
                <w:color w:val="auto"/>
              </w:rPr>
              <w:t>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38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2"/>
          </w:tcPr>
          <w:p>
            <w:pPr>
              <w:ind w:left="320"/>
              <w:spacing w:after="0"/>
              <w:rPr>
                <w:sz w:val="20"/>
                <w:szCs w:val="20"/>
                <w:color w:val="auto"/>
              </w:rPr>
            </w:pPr>
            <w:r>
              <w:rPr>
                <w:rFonts w:ascii="Arial" w:cs="Arial" w:eastAsia="Arial" w:hAnsi="Arial"/>
                <w:sz w:val="9"/>
                <w:szCs w:val="9"/>
                <w:color w:val="auto"/>
              </w:rPr>
              <w:t>Employer Identification 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2"/>
                <w:szCs w:val="12"/>
                <w:b w:val="1"/>
                <w:bCs w:val="1"/>
                <w:color w:val="auto"/>
              </w:rPr>
              <w:t>Part II</w:t>
            </w:r>
          </w:p>
        </w:tc>
        <w:tc>
          <w:tcPr>
            <w:tcW w:w="38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Certification</w:t>
            </w: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9"/>
          <w:szCs w:val="9"/>
          <w:color w:val="auto"/>
        </w:rPr>
        <w:t>Under penalties of perjury, I certify that:</w:t>
      </w:r>
    </w:p>
    <w:p>
      <w:pPr>
        <w:spacing w:after="0" w:line="33" w:lineRule="exact"/>
        <w:rPr>
          <w:sz w:val="20"/>
          <w:szCs w:val="20"/>
          <w:color w:val="auto"/>
        </w:rPr>
      </w:pPr>
    </w:p>
    <w:p>
      <w:pPr>
        <w:ind w:left="360" w:hanging="228"/>
        <w:spacing w:after="0"/>
        <w:tabs>
          <w:tab w:leader="none" w:pos="360" w:val="left"/>
        </w:tabs>
        <w:numPr>
          <w:ilvl w:val="0"/>
          <w:numId w:val="37"/>
        </w:numPr>
        <w:rPr>
          <w:rFonts w:ascii="Arial" w:cs="Arial" w:eastAsia="Arial" w:hAnsi="Arial"/>
          <w:sz w:val="9"/>
          <w:szCs w:val="9"/>
          <w:color w:val="auto"/>
        </w:rPr>
      </w:pPr>
      <w:r>
        <w:rPr>
          <w:rFonts w:ascii="Arial" w:cs="Arial" w:eastAsia="Arial" w:hAnsi="Arial"/>
          <w:sz w:val="9"/>
          <w:szCs w:val="9"/>
          <w:color w:val="auto"/>
        </w:rPr>
        <w:t>The number shown on this form is my correct Taxpayer Identification Number (or I am waiting for a number to be issued to me), and</w:t>
      </w:r>
    </w:p>
    <w:p>
      <w:pPr>
        <w:spacing w:after="0" w:line="40" w:lineRule="exact"/>
        <w:rPr>
          <w:rFonts w:ascii="Arial" w:cs="Arial" w:eastAsia="Arial" w:hAnsi="Arial"/>
          <w:sz w:val="9"/>
          <w:szCs w:val="9"/>
          <w:color w:val="auto"/>
        </w:rPr>
      </w:pPr>
    </w:p>
    <w:p>
      <w:pPr>
        <w:ind w:left="360" w:right="80" w:hanging="228"/>
        <w:spacing w:after="0" w:line="254" w:lineRule="auto"/>
        <w:tabs>
          <w:tab w:leader="none" w:pos="360" w:val="left"/>
        </w:tabs>
        <w:numPr>
          <w:ilvl w:val="0"/>
          <w:numId w:val="37"/>
        </w:numPr>
        <w:rPr>
          <w:rFonts w:ascii="Arial" w:cs="Arial" w:eastAsia="Arial" w:hAnsi="Arial"/>
          <w:sz w:val="9"/>
          <w:szCs w:val="9"/>
          <w:color w:val="auto"/>
        </w:rPr>
      </w:pPr>
      <w:r>
        <w:rPr>
          <w:rFonts w:ascii="Arial" w:cs="Arial" w:eastAsia="Arial" w:hAnsi="Arial"/>
          <w:sz w:val="9"/>
          <w:szCs w:val="9"/>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24" w:lineRule="exact"/>
        <w:rPr>
          <w:rFonts w:ascii="Arial" w:cs="Arial" w:eastAsia="Arial" w:hAnsi="Arial"/>
          <w:sz w:val="9"/>
          <w:szCs w:val="9"/>
          <w:color w:val="auto"/>
        </w:rPr>
      </w:pPr>
    </w:p>
    <w:p>
      <w:pPr>
        <w:ind w:left="360" w:hanging="228"/>
        <w:spacing w:after="0"/>
        <w:tabs>
          <w:tab w:leader="none" w:pos="360" w:val="left"/>
        </w:tabs>
        <w:numPr>
          <w:ilvl w:val="0"/>
          <w:numId w:val="37"/>
        </w:numPr>
        <w:rPr>
          <w:rFonts w:ascii="Arial" w:cs="Arial" w:eastAsia="Arial" w:hAnsi="Arial"/>
          <w:sz w:val="9"/>
          <w:szCs w:val="9"/>
          <w:color w:val="auto"/>
        </w:rPr>
      </w:pPr>
      <w:r>
        <w:rPr>
          <w:rFonts w:ascii="Arial" w:cs="Arial" w:eastAsia="Arial" w:hAnsi="Arial"/>
          <w:sz w:val="9"/>
          <w:szCs w:val="9"/>
          <w:color w:val="auto"/>
        </w:rPr>
        <w:t>I am a U.S. person (including a U.S. resident alien).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9"/>
          <w:szCs w:val="9"/>
          <w:i w:val="1"/>
          <w:iCs w:val="1"/>
          <w:color w:val="auto"/>
        </w:rPr>
        <w:t>Certification Instructions</w:t>
      </w:r>
      <w:r>
        <w:rPr>
          <w:rFonts w:ascii="Arial" w:cs="Arial" w:eastAsia="Arial" w:hAnsi="Arial"/>
          <w:sz w:val="9"/>
          <w:szCs w:val="9"/>
          <w:color w:val="auto"/>
        </w:rPr>
        <w:t>. You must cross out item 2 above if you have been notified by the IRS that you are currently subject to backup withholding because you have failed to report all interest and dividends on your tax return.</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540" w:type="dxa"/>
            <w:vAlign w:val="bottom"/>
          </w:tcPr>
          <w:p>
            <w:pPr>
              <w:spacing w:after="0"/>
              <w:rPr>
                <w:sz w:val="20"/>
                <w:szCs w:val="20"/>
                <w:color w:val="auto"/>
              </w:rPr>
            </w:pPr>
            <w:r>
              <w:rPr>
                <w:rFonts w:ascii="Arial" w:cs="Arial" w:eastAsia="Arial" w:hAnsi="Arial"/>
                <w:sz w:val="12"/>
                <w:szCs w:val="12"/>
                <w:b w:val="1"/>
                <w:bCs w:val="1"/>
                <w:color w:val="auto"/>
              </w:rPr>
              <w:t>Sign</w:t>
            </w:r>
          </w:p>
        </w:tc>
        <w:tc>
          <w:tcPr>
            <w:tcW w:w="3840" w:type="dxa"/>
            <w:vAlign w:val="bottom"/>
            <w:vMerge w:val="restart"/>
          </w:tcPr>
          <w:p>
            <w:pPr>
              <w:ind w:left="300"/>
              <w:spacing w:after="0"/>
              <w:rPr>
                <w:sz w:val="20"/>
                <w:szCs w:val="20"/>
                <w:color w:val="auto"/>
              </w:rPr>
            </w:pPr>
            <w:r>
              <w:rPr>
                <w:rFonts w:ascii="Arial" w:cs="Arial" w:eastAsia="Arial" w:hAnsi="Arial"/>
                <w:sz w:val="9"/>
                <w:szCs w:val="9"/>
                <w:b w:val="1"/>
                <w:bCs w:val="1"/>
                <w:color w:val="auto"/>
              </w:rPr>
              <w:t>Signature of</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Here</w:t>
            </w:r>
          </w:p>
        </w:tc>
        <w:tc>
          <w:tcPr>
            <w:tcW w:w="3840" w:type="dxa"/>
            <w:vAlign w:val="bottom"/>
            <w:vMerge w:val="continue"/>
          </w:tcPr>
          <w:p>
            <w:pPr>
              <w:spacing w:after="0"/>
              <w:rPr>
                <w:sz w:val="3"/>
                <w:szCs w:val="3"/>
                <w:color w:val="auto"/>
              </w:rPr>
            </w:pPr>
          </w:p>
        </w:tc>
        <w:tc>
          <w:tcPr>
            <w:tcW w:w="3300" w:type="dxa"/>
            <w:vAlign w:val="bottom"/>
            <w:vMerge w:val="restart"/>
          </w:tcPr>
          <w:p>
            <w:pPr>
              <w:ind w:left="3000"/>
              <w:spacing w:after="0"/>
              <w:rPr>
                <w:sz w:val="20"/>
                <w:szCs w:val="20"/>
                <w:color w:val="auto"/>
              </w:rPr>
            </w:pPr>
            <w:r>
              <w:rPr>
                <w:rFonts w:ascii="Arial" w:cs="Arial" w:eastAsia="Arial" w:hAnsi="Arial"/>
                <w:sz w:val="9"/>
                <w:szCs w:val="9"/>
                <w:b w:val="1"/>
                <w:bCs w:val="1"/>
                <w:color w:val="auto"/>
                <w:w w:val="86"/>
              </w:rPr>
              <w:t xml:space="preserve">Date  </w:t>
            </w:r>
            <w:r>
              <w:rPr>
                <w:rFonts w:ascii="Arial" w:cs="Arial" w:eastAsia="Arial" w:hAnsi="Arial"/>
                <w:sz w:val="15"/>
                <w:szCs w:val="15"/>
                <w:b w:val="1"/>
                <w:bCs w:val="1"/>
                <w:color w:val="auto"/>
                <w:w w:val="86"/>
                <w:vertAlign w:val="superscript"/>
              </w:rPr>
              <w:t>Ø</w:t>
            </w:r>
          </w:p>
        </w:tc>
        <w:tc>
          <w:tcPr>
            <w:tcW w:w="0" w:type="dxa"/>
            <w:vAlign w:val="bottom"/>
          </w:tcPr>
          <w:p>
            <w:pPr>
              <w:spacing w:after="0" w:line="20" w:lineRule="exact"/>
              <w:rPr>
                <w:sz w:val="1"/>
                <w:szCs w:val="1"/>
                <w:color w:val="auto"/>
              </w:rPr>
            </w:pPr>
          </w:p>
        </w:tc>
      </w:tr>
      <w:tr>
        <w:trPr>
          <w:trHeight w:val="197"/>
        </w:trPr>
        <w:tc>
          <w:tcPr>
            <w:tcW w:w="540" w:type="dxa"/>
            <w:vAlign w:val="bottom"/>
            <w:vMerge w:val="continue"/>
          </w:tcPr>
          <w:p>
            <w:pPr>
              <w:spacing w:after="0"/>
              <w:rPr>
                <w:sz w:val="17"/>
                <w:szCs w:val="17"/>
                <w:color w:val="auto"/>
              </w:rPr>
            </w:pPr>
          </w:p>
        </w:tc>
        <w:tc>
          <w:tcPr>
            <w:tcW w:w="3840" w:type="dxa"/>
            <w:vAlign w:val="bottom"/>
          </w:tcPr>
          <w:p>
            <w:pPr>
              <w:ind w:left="300"/>
              <w:spacing w:after="0"/>
              <w:rPr>
                <w:sz w:val="20"/>
                <w:szCs w:val="20"/>
                <w:color w:val="auto"/>
              </w:rPr>
            </w:pPr>
            <w:r>
              <w:rPr>
                <w:rFonts w:ascii="Arial" w:cs="Arial" w:eastAsia="Arial" w:hAnsi="Arial"/>
                <w:sz w:val="9"/>
                <w:szCs w:val="9"/>
                <w:b w:val="1"/>
                <w:bCs w:val="1"/>
                <w:color w:val="auto"/>
              </w:rPr>
              <w:t xml:space="preserve">U.S. person </w:t>
            </w:r>
            <w:r>
              <w:rPr>
                <w:rFonts w:ascii="Arial" w:cs="Arial" w:eastAsia="Arial" w:hAnsi="Arial"/>
                <w:sz w:val="15"/>
                <w:szCs w:val="15"/>
                <w:b w:val="1"/>
                <w:bCs w:val="1"/>
                <w:color w:val="auto"/>
                <w:vertAlign w:val="superscript"/>
              </w:rPr>
              <w:t>Ø</w:t>
            </w:r>
          </w:p>
        </w:tc>
        <w:tc>
          <w:tcPr>
            <w:tcW w:w="3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FAILURE TO COMPLETE AND RETURN THIS FORM MAY RESULT IN BACKUP WITHHOLDING</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OF 28% OF ANY PAYMENTS MADE TO YOU PURSUANT TO THE TENDER OFFER.</w:t>
      </w:r>
    </w:p>
    <w:p>
      <w:pPr>
        <w:sectPr>
          <w:pgSz w:w="11900" w:h="16838" w:orient="portrait"/>
          <w:cols w:equalWidth="0" w:num="1">
            <w:col w:w="11520"/>
          </w:cols>
          <w:pgMar w:left="200" w:top="131" w:right="179" w:bottom="1440" w:gutter="0" w:footer="0" w:header="0"/>
        </w:sectPr>
      </w:pPr>
    </w:p>
    <w:bookmarkStart w:id="20" w:name="page21"/>
    <w:bookmarkEnd w:id="20"/>
    <w:p>
      <w:pPr>
        <w:jc w:val="center"/>
        <w:ind w:right="-2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GUIDELINES FOR CERTIFICATION OF TAXPAYER IDENTIFICATION</w:t>
      </w:r>
    </w:p>
    <w:p>
      <w:pPr>
        <w:spacing w:after="0" w:line="12"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NUMBER ON SUBSTITUTE FORM W-9</w:t>
      </w:r>
    </w:p>
    <w:p>
      <w:pPr>
        <w:spacing w:after="0" w:line="110" w:lineRule="exact"/>
        <w:rPr>
          <w:sz w:val="20"/>
          <w:szCs w:val="20"/>
          <w:color w:val="auto"/>
        </w:rPr>
      </w:pPr>
    </w:p>
    <w:p>
      <w:pPr>
        <w:ind w:left="8" w:right="20" w:firstLine="459"/>
        <w:spacing w:after="0" w:line="268" w:lineRule="auto"/>
        <w:rPr>
          <w:sz w:val="20"/>
          <w:szCs w:val="20"/>
          <w:color w:val="auto"/>
        </w:rPr>
      </w:pPr>
      <w:r>
        <w:rPr>
          <w:rFonts w:ascii="Arial" w:cs="Arial" w:eastAsia="Arial" w:hAnsi="Arial"/>
          <w:sz w:val="12"/>
          <w:szCs w:val="12"/>
          <w:color w:val="auto"/>
        </w:rPr>
        <w:t>WHAT NUMBER TO GIVE THE REQUESTER.— A social security number (SSN) has nine digits separated by two hyphens (i.e. 000-00-0000). An employer identification number (EIN) has nine digits separated by only one hyphen (i.e. 00-0000000). The table will help determine the proper number to give the 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2409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0905" cy="5715"/>
                    </a:xfrm>
                    <a:prstGeom prst="rect">
                      <a:avLst/>
                    </a:prstGeom>
                    <a:noFill/>
                  </pic:spPr>
                </pic:pic>
              </a:graphicData>
            </a:graphic>
          </wp:anchor>
        </w:drawing>
      </w:r>
    </w:p>
    <w:p>
      <w:pPr>
        <w:spacing w:after="0" w:line="66" w:lineRule="exact"/>
        <w:rPr>
          <w:sz w:val="20"/>
          <w:szCs w:val="20"/>
          <w:color w:val="auto"/>
        </w:rPr>
      </w:pPr>
    </w:p>
    <w:p>
      <w:pPr>
        <w:ind w:left="8"/>
        <w:spacing w:after="0"/>
        <w:tabs>
          <w:tab w:leader="none" w:pos="3168" w:val="left"/>
        </w:tabs>
        <w:rPr>
          <w:sz w:val="20"/>
          <w:szCs w:val="20"/>
          <w:color w:val="auto"/>
        </w:rPr>
      </w:pPr>
      <w:r>
        <w:rPr>
          <w:rFonts w:ascii="Arial" w:cs="Arial" w:eastAsia="Arial" w:hAnsi="Arial"/>
          <w:sz w:val="12"/>
          <w:szCs w:val="12"/>
          <w:b w:val="1"/>
          <w:bCs w:val="1"/>
          <w:color w:val="auto"/>
        </w:rPr>
        <w:t>For this type of account:</w:t>
      </w:r>
      <w:r>
        <w:rPr>
          <w:sz w:val="20"/>
          <w:szCs w:val="20"/>
          <w:color w:val="auto"/>
        </w:rPr>
        <w:tab/>
      </w:r>
      <w:r>
        <w:rPr>
          <w:rFonts w:ascii="Arial" w:cs="Arial" w:eastAsia="Arial" w:hAnsi="Arial"/>
          <w:sz w:val="9"/>
          <w:szCs w:val="9"/>
          <w:b w:val="1"/>
          <w:bCs w:val="1"/>
          <w:color w:val="auto"/>
        </w:rPr>
        <w:t>Give the SSN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5001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ectPr>
          <w:pgSz w:w="11900" w:h="16838" w:orient="portrait"/>
          <w:cols w:equalWidth="0" w:num="1">
            <w:col w:w="11448"/>
          </w:cols>
          <w:pgMar w:left="212" w:top="230" w:right="239" w:bottom="1440" w:gutter="0" w:footer="0" w:header="0"/>
        </w:sectPr>
      </w:pPr>
    </w:p>
    <w:p>
      <w:pPr>
        <w:spacing w:after="0" w:line="16" w:lineRule="exact"/>
        <w:rPr>
          <w:sz w:val="20"/>
          <w:szCs w:val="20"/>
          <w:color w:val="auto"/>
        </w:rPr>
      </w:pPr>
    </w:p>
    <w:p>
      <w:pPr>
        <w:ind w:left="288" w:hanging="243"/>
        <w:spacing w:after="0"/>
        <w:tabs>
          <w:tab w:leader="none" w:pos="288" w:val="left"/>
        </w:tabs>
        <w:numPr>
          <w:ilvl w:val="0"/>
          <w:numId w:val="38"/>
        </w:numPr>
        <w:rPr>
          <w:rFonts w:ascii="Arial" w:cs="Arial" w:eastAsia="Arial" w:hAnsi="Arial"/>
          <w:sz w:val="8"/>
          <w:szCs w:val="8"/>
          <w:color w:val="auto"/>
        </w:rPr>
      </w:pPr>
      <w:r>
        <w:rPr>
          <w:rFonts w:ascii="Arial" w:cs="Arial" w:eastAsia="Arial" w:hAnsi="Arial"/>
          <w:sz w:val="8"/>
          <w:szCs w:val="8"/>
          <w:color w:val="auto"/>
        </w:rPr>
        <w:t>An individual’s account</w:t>
      </w:r>
    </w:p>
    <w:p>
      <w:pPr>
        <w:spacing w:after="0" w:line="79" w:lineRule="exact"/>
        <w:rPr>
          <w:rFonts w:ascii="Arial" w:cs="Arial" w:eastAsia="Arial" w:hAnsi="Arial"/>
          <w:sz w:val="8"/>
          <w:szCs w:val="8"/>
          <w:color w:val="auto"/>
        </w:rPr>
      </w:pPr>
    </w:p>
    <w:p>
      <w:pPr>
        <w:ind w:left="288" w:right="1300" w:hanging="243"/>
        <w:spacing w:after="0" w:line="316" w:lineRule="auto"/>
        <w:tabs>
          <w:tab w:leader="none" w:pos="288" w:val="left"/>
        </w:tabs>
        <w:numPr>
          <w:ilvl w:val="0"/>
          <w:numId w:val="38"/>
        </w:numPr>
        <w:rPr>
          <w:rFonts w:ascii="Arial" w:cs="Arial" w:eastAsia="Arial" w:hAnsi="Arial"/>
          <w:sz w:val="8"/>
          <w:szCs w:val="8"/>
          <w:color w:val="auto"/>
        </w:rPr>
      </w:pPr>
      <w:r>
        <w:rPr>
          <w:rFonts w:ascii="Arial" w:cs="Arial" w:eastAsia="Arial" w:hAnsi="Arial"/>
          <w:sz w:val="8"/>
          <w:szCs w:val="8"/>
          <w:color w:val="auto"/>
        </w:rPr>
        <w:t>Two or more individuals (joint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The individual</w:t>
      </w:r>
    </w:p>
    <w:p>
      <w:pPr>
        <w:spacing w:after="0" w:line="68" w:lineRule="exact"/>
        <w:rPr>
          <w:sz w:val="20"/>
          <w:szCs w:val="20"/>
          <w:color w:val="auto"/>
        </w:rPr>
      </w:pPr>
    </w:p>
    <w:p>
      <w:pPr>
        <w:spacing w:after="0"/>
        <w:rPr>
          <w:sz w:val="20"/>
          <w:szCs w:val="20"/>
          <w:color w:val="auto"/>
        </w:rPr>
      </w:pPr>
      <w:r>
        <w:rPr>
          <w:rFonts w:ascii="Arial" w:cs="Arial" w:eastAsia="Arial" w:hAnsi="Arial"/>
          <w:sz w:val="8"/>
          <w:szCs w:val="8"/>
          <w:color w:val="auto"/>
        </w:rPr>
        <w:t>The actual owner of the account</w:t>
      </w:r>
    </w:p>
    <w:p>
      <w:pPr>
        <w:spacing w:after="0" w:line="15" w:lineRule="exact"/>
        <w:rPr>
          <w:sz w:val="20"/>
          <w:szCs w:val="20"/>
          <w:color w:val="auto"/>
        </w:rPr>
      </w:pPr>
    </w:p>
    <w:p>
      <w:pPr>
        <w:spacing w:after="0"/>
        <w:rPr>
          <w:sz w:val="20"/>
          <w:szCs w:val="20"/>
          <w:color w:val="auto"/>
        </w:rPr>
      </w:pPr>
      <w:r>
        <w:rPr>
          <w:rFonts w:ascii="Arial" w:cs="Arial" w:eastAsia="Arial" w:hAnsi="Arial"/>
          <w:sz w:val="8"/>
          <w:szCs w:val="8"/>
          <w:color w:val="auto"/>
        </w:rPr>
        <w:t>or, if combined funds, the first</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individual on the account(1)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For this type of account:</w:t>
            </w:r>
          </w:p>
        </w:tc>
        <w:tc>
          <w:tcPr>
            <w:tcW w:w="294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Give the EIN of:</w:t>
            </w:r>
          </w:p>
        </w:tc>
      </w:tr>
      <w:tr>
        <w:trPr>
          <w:trHeight w:val="104"/>
        </w:trPr>
        <w:tc>
          <w:tcPr>
            <w:tcW w:w="180" w:type="dxa"/>
            <w:vAlign w:val="bottom"/>
          </w:tcPr>
          <w:p>
            <w:pPr>
              <w:spacing w:after="0"/>
              <w:rPr>
                <w:sz w:val="20"/>
                <w:szCs w:val="20"/>
                <w:color w:val="auto"/>
              </w:rPr>
            </w:pPr>
            <w:r>
              <w:rPr>
                <w:rFonts w:ascii="Arial" w:cs="Arial" w:eastAsia="Arial" w:hAnsi="Arial"/>
                <w:sz w:val="9"/>
                <w:szCs w:val="9"/>
                <w:color w:val="auto"/>
              </w:rPr>
              <w:t>6.</w:t>
            </w:r>
          </w:p>
        </w:tc>
        <w:tc>
          <w:tcPr>
            <w:tcW w:w="2400" w:type="dxa"/>
            <w:vAlign w:val="bottom"/>
          </w:tcPr>
          <w:p>
            <w:pPr>
              <w:ind w:left="100"/>
              <w:spacing w:after="0"/>
              <w:rPr>
                <w:sz w:val="20"/>
                <w:szCs w:val="20"/>
                <w:color w:val="auto"/>
              </w:rPr>
            </w:pPr>
            <w:r>
              <w:rPr>
                <w:rFonts w:ascii="Arial" w:cs="Arial" w:eastAsia="Arial" w:hAnsi="Arial"/>
                <w:sz w:val="9"/>
                <w:szCs w:val="9"/>
                <w:color w:val="auto"/>
              </w:rPr>
              <w:t>Disregarded entity not owned by an individual</w:t>
            </w:r>
          </w:p>
        </w:tc>
        <w:tc>
          <w:tcPr>
            <w:tcW w:w="2940" w:type="dxa"/>
            <w:vAlign w:val="bottom"/>
          </w:tcPr>
          <w:p>
            <w:pPr>
              <w:ind w:left="620"/>
              <w:spacing w:after="0"/>
              <w:rPr>
                <w:sz w:val="20"/>
                <w:szCs w:val="20"/>
                <w:color w:val="auto"/>
              </w:rPr>
            </w:pPr>
            <w:r>
              <w:rPr>
                <w:rFonts w:ascii="Arial" w:cs="Arial" w:eastAsia="Arial" w:hAnsi="Arial"/>
                <w:sz w:val="9"/>
                <w:szCs w:val="9"/>
                <w:color w:val="auto"/>
              </w:rPr>
              <w:t>The owner</w:t>
            </w:r>
          </w:p>
        </w:tc>
      </w:tr>
      <w:tr>
        <w:trPr>
          <w:trHeight w:val="164"/>
        </w:trPr>
        <w:tc>
          <w:tcPr>
            <w:tcW w:w="180" w:type="dxa"/>
            <w:vAlign w:val="bottom"/>
          </w:tcPr>
          <w:p>
            <w:pPr>
              <w:spacing w:after="0"/>
              <w:rPr>
                <w:sz w:val="20"/>
                <w:szCs w:val="20"/>
                <w:color w:val="auto"/>
              </w:rPr>
            </w:pPr>
            <w:r>
              <w:rPr>
                <w:rFonts w:ascii="Arial" w:cs="Arial" w:eastAsia="Arial" w:hAnsi="Arial"/>
                <w:sz w:val="9"/>
                <w:szCs w:val="9"/>
                <w:color w:val="auto"/>
              </w:rPr>
              <w:t>7.</w:t>
            </w:r>
          </w:p>
        </w:tc>
        <w:tc>
          <w:tcPr>
            <w:tcW w:w="2400" w:type="dxa"/>
            <w:vAlign w:val="bottom"/>
          </w:tcPr>
          <w:p>
            <w:pPr>
              <w:ind w:left="100"/>
              <w:spacing w:after="0"/>
              <w:rPr>
                <w:sz w:val="20"/>
                <w:szCs w:val="20"/>
                <w:color w:val="auto"/>
              </w:rPr>
            </w:pPr>
            <w:r>
              <w:rPr>
                <w:rFonts w:ascii="Arial" w:cs="Arial" w:eastAsia="Arial" w:hAnsi="Arial"/>
                <w:sz w:val="9"/>
                <w:szCs w:val="9"/>
                <w:color w:val="auto"/>
              </w:rPr>
              <w:t>A valid trust, estate, or pension trust</w:t>
            </w:r>
          </w:p>
        </w:tc>
        <w:tc>
          <w:tcPr>
            <w:tcW w:w="2940" w:type="dxa"/>
            <w:vAlign w:val="bottom"/>
          </w:tcPr>
          <w:p>
            <w:pPr>
              <w:ind w:left="620"/>
              <w:spacing w:after="0"/>
              <w:rPr>
                <w:sz w:val="20"/>
                <w:szCs w:val="20"/>
                <w:color w:val="auto"/>
              </w:rPr>
            </w:pPr>
            <w:r>
              <w:rPr>
                <w:rFonts w:ascii="Arial" w:cs="Arial" w:eastAsia="Arial" w:hAnsi="Arial"/>
                <w:sz w:val="9"/>
                <w:szCs w:val="9"/>
                <w:color w:val="auto"/>
              </w:rPr>
              <w:t>The legal entity(4)</w:t>
            </w:r>
          </w:p>
        </w:tc>
      </w:tr>
    </w:tbl>
    <w:p>
      <w:pPr>
        <w:spacing w:after="0" w:line="57" w:lineRule="exact"/>
        <w:rPr>
          <w:sz w:val="20"/>
          <w:szCs w:val="20"/>
          <w:color w:val="auto"/>
        </w:rPr>
      </w:pPr>
    </w:p>
    <w:p>
      <w:pPr>
        <w:sectPr>
          <w:pgSz w:w="11900" w:h="16838" w:orient="portrait"/>
          <w:cols w:equalWidth="0" w:num="3">
            <w:col w:w="2468" w:space="720"/>
            <w:col w:w="1980" w:space="720"/>
            <w:col w:w="5560"/>
          </w:cols>
          <w:pgMar w:left="212" w:top="230" w:right="239" w:bottom="1440" w:gutter="0" w:footer="0" w:header="0"/>
          <w:type w:val="continuous"/>
        </w:sectPr>
      </w:pPr>
    </w:p>
    <w:p>
      <w:pPr>
        <w:spacing w:after="0" w:line="36" w:lineRule="exact"/>
        <w:rPr>
          <w:sz w:val="20"/>
          <w:szCs w:val="20"/>
          <w:color w:val="auto"/>
        </w:rPr>
      </w:pPr>
    </w:p>
    <w:tbl>
      <w:tblPr>
        <w:tblLayout w:type="fixed"/>
        <w:tblInd w:w="48" w:type="dxa"/>
        <w:tblCellMar>
          <w:top w:w="0" w:type="dxa"/>
          <w:left w:w="0" w:type="dxa"/>
          <w:bottom w:w="0" w:type="dxa"/>
          <w:right w:w="0" w:type="dxa"/>
        </w:tblCellMar>
      </w:tblPr>
      <w:tr>
        <w:trPr>
          <w:trHeight w:val="114"/>
        </w:trPr>
        <w:tc>
          <w:tcPr>
            <w:tcW w:w="140" w:type="dxa"/>
            <w:vAlign w:val="bottom"/>
          </w:tcPr>
          <w:p>
            <w:pPr>
              <w:jc w:val="right"/>
              <w:ind w:right="52"/>
              <w:spacing w:after="0"/>
              <w:rPr>
                <w:sz w:val="20"/>
                <w:szCs w:val="20"/>
                <w:color w:val="auto"/>
              </w:rPr>
            </w:pPr>
            <w:r>
              <w:rPr>
                <w:rFonts w:ascii="Arial" w:cs="Arial" w:eastAsia="Arial" w:hAnsi="Arial"/>
                <w:sz w:val="6"/>
                <w:szCs w:val="6"/>
                <w:color w:val="auto"/>
                <w:w w:val="78"/>
              </w:rPr>
              <w:t>3.</w:t>
            </w:r>
          </w:p>
        </w:tc>
        <w:tc>
          <w:tcPr>
            <w:tcW w:w="2720" w:type="dxa"/>
            <w:vAlign w:val="bottom"/>
          </w:tcPr>
          <w:p>
            <w:pPr>
              <w:ind w:left="100"/>
              <w:spacing w:after="0"/>
              <w:rPr>
                <w:sz w:val="20"/>
                <w:szCs w:val="20"/>
                <w:color w:val="auto"/>
              </w:rPr>
            </w:pPr>
            <w:r>
              <w:rPr>
                <w:rFonts w:ascii="Arial" w:cs="Arial" w:eastAsia="Arial" w:hAnsi="Arial"/>
                <w:sz w:val="9"/>
                <w:szCs w:val="9"/>
                <w:color w:val="auto"/>
              </w:rPr>
              <w:t>Custodian account of a minor (Uniform Gift to Minors Act)</w:t>
            </w:r>
          </w:p>
        </w:tc>
        <w:tc>
          <w:tcPr>
            <w:tcW w:w="1080" w:type="dxa"/>
            <w:vAlign w:val="bottom"/>
          </w:tcPr>
          <w:p>
            <w:pPr>
              <w:ind w:left="280"/>
              <w:spacing w:after="0"/>
              <w:rPr>
                <w:sz w:val="20"/>
                <w:szCs w:val="20"/>
                <w:color w:val="auto"/>
              </w:rPr>
            </w:pPr>
            <w:r>
              <w:rPr>
                <w:rFonts w:ascii="Arial" w:cs="Arial" w:eastAsia="Arial" w:hAnsi="Arial"/>
                <w:sz w:val="9"/>
                <w:szCs w:val="9"/>
                <w:color w:val="auto"/>
              </w:rPr>
              <w:t>The minor(2)</w:t>
            </w:r>
          </w:p>
        </w:tc>
      </w:tr>
      <w:tr>
        <w:trPr>
          <w:trHeight w:val="156"/>
        </w:trPr>
        <w:tc>
          <w:tcPr>
            <w:tcW w:w="140" w:type="dxa"/>
            <w:vAlign w:val="bottom"/>
          </w:tcPr>
          <w:p>
            <w:pPr>
              <w:jc w:val="right"/>
              <w:ind w:right="52"/>
              <w:spacing w:after="0"/>
              <w:rPr>
                <w:sz w:val="20"/>
                <w:szCs w:val="20"/>
                <w:color w:val="auto"/>
              </w:rPr>
            </w:pPr>
            <w:r>
              <w:rPr>
                <w:rFonts w:ascii="Arial" w:cs="Arial" w:eastAsia="Arial" w:hAnsi="Arial"/>
                <w:sz w:val="6"/>
                <w:szCs w:val="6"/>
                <w:color w:val="auto"/>
                <w:w w:val="78"/>
              </w:rPr>
              <w:t>4.</w:t>
            </w:r>
          </w:p>
        </w:tc>
        <w:tc>
          <w:tcPr>
            <w:tcW w:w="2720" w:type="dxa"/>
            <w:vAlign w:val="bottom"/>
          </w:tcPr>
          <w:p>
            <w:pPr>
              <w:ind w:left="100"/>
              <w:spacing w:after="0"/>
              <w:rPr>
                <w:sz w:val="20"/>
                <w:szCs w:val="20"/>
                <w:color w:val="auto"/>
              </w:rPr>
            </w:pPr>
            <w:r>
              <w:rPr>
                <w:rFonts w:ascii="Arial" w:cs="Arial" w:eastAsia="Arial" w:hAnsi="Arial"/>
                <w:sz w:val="9"/>
                <w:szCs w:val="9"/>
                <w:color w:val="auto"/>
              </w:rPr>
              <w:t>a. The usual revocable</w:t>
            </w:r>
          </w:p>
        </w:tc>
        <w:tc>
          <w:tcPr>
            <w:tcW w:w="1080" w:type="dxa"/>
            <w:vAlign w:val="bottom"/>
          </w:tcPr>
          <w:p>
            <w:pPr>
              <w:ind w:left="280"/>
              <w:spacing w:after="0"/>
              <w:rPr>
                <w:sz w:val="20"/>
                <w:szCs w:val="20"/>
                <w:color w:val="auto"/>
              </w:rPr>
            </w:pPr>
            <w:r>
              <w:rPr>
                <w:rFonts w:ascii="Arial" w:cs="Arial" w:eastAsia="Arial" w:hAnsi="Arial"/>
                <w:sz w:val="9"/>
                <w:szCs w:val="9"/>
                <w:color w:val="auto"/>
                <w:w w:val="88"/>
              </w:rPr>
              <w:t>The grantor-trustee(1)</w:t>
            </w:r>
          </w:p>
        </w:tc>
      </w:tr>
      <w:tr>
        <w:trPr>
          <w:trHeight w:val="99"/>
        </w:trPr>
        <w:tc>
          <w:tcPr>
            <w:tcW w:w="140" w:type="dxa"/>
            <w:vAlign w:val="bottom"/>
          </w:tcPr>
          <w:p>
            <w:pPr>
              <w:spacing w:after="0"/>
              <w:rPr>
                <w:sz w:val="8"/>
                <w:szCs w:val="8"/>
                <w:color w:val="auto"/>
              </w:rPr>
            </w:pPr>
          </w:p>
        </w:tc>
        <w:tc>
          <w:tcPr>
            <w:tcW w:w="2720" w:type="dxa"/>
            <w:vAlign w:val="bottom"/>
          </w:tcPr>
          <w:p>
            <w:pPr>
              <w:ind w:left="240"/>
              <w:spacing w:after="0" w:line="99" w:lineRule="exact"/>
              <w:rPr>
                <w:sz w:val="20"/>
                <w:szCs w:val="20"/>
                <w:color w:val="auto"/>
              </w:rPr>
            </w:pPr>
            <w:r>
              <w:rPr>
                <w:rFonts w:ascii="Arial" w:cs="Arial" w:eastAsia="Arial" w:hAnsi="Arial"/>
                <w:sz w:val="9"/>
                <w:szCs w:val="9"/>
                <w:color w:val="auto"/>
              </w:rPr>
              <w:t>savings trust account (grantor is</w:t>
            </w:r>
          </w:p>
        </w:tc>
        <w:tc>
          <w:tcPr>
            <w:tcW w:w="1080" w:type="dxa"/>
            <w:vAlign w:val="bottom"/>
          </w:tcPr>
          <w:p>
            <w:pPr>
              <w:spacing w:after="0"/>
              <w:rPr>
                <w:sz w:val="8"/>
                <w:szCs w:val="8"/>
                <w:color w:val="auto"/>
              </w:rPr>
            </w:pPr>
          </w:p>
        </w:tc>
      </w:tr>
      <w:tr>
        <w:trPr>
          <w:trHeight w:val="114"/>
        </w:trPr>
        <w:tc>
          <w:tcPr>
            <w:tcW w:w="140" w:type="dxa"/>
            <w:vAlign w:val="bottom"/>
          </w:tcPr>
          <w:p>
            <w:pPr>
              <w:spacing w:after="0"/>
              <w:rPr>
                <w:sz w:val="9"/>
                <w:szCs w:val="9"/>
                <w:color w:val="auto"/>
              </w:rPr>
            </w:pPr>
          </w:p>
        </w:tc>
        <w:tc>
          <w:tcPr>
            <w:tcW w:w="2720" w:type="dxa"/>
            <w:vAlign w:val="bottom"/>
          </w:tcPr>
          <w:p>
            <w:pPr>
              <w:ind w:left="240"/>
              <w:spacing w:after="0"/>
              <w:rPr>
                <w:sz w:val="20"/>
                <w:szCs w:val="20"/>
                <w:color w:val="auto"/>
              </w:rPr>
            </w:pPr>
            <w:r>
              <w:rPr>
                <w:rFonts w:ascii="Arial" w:cs="Arial" w:eastAsia="Arial" w:hAnsi="Arial"/>
                <w:sz w:val="9"/>
                <w:szCs w:val="9"/>
                <w:color w:val="auto"/>
              </w:rPr>
              <w:t>also trustee)</w:t>
            </w:r>
          </w:p>
        </w:tc>
        <w:tc>
          <w:tcPr>
            <w:tcW w:w="1080" w:type="dxa"/>
            <w:vAlign w:val="bottom"/>
          </w:tcPr>
          <w:p>
            <w:pPr>
              <w:spacing w:after="0"/>
              <w:rPr>
                <w:sz w:val="9"/>
                <w:szCs w:val="9"/>
                <w:color w:val="auto"/>
              </w:rPr>
            </w:pPr>
          </w:p>
        </w:tc>
      </w:tr>
      <w:tr>
        <w:trPr>
          <w:trHeight w:val="156"/>
        </w:trPr>
        <w:tc>
          <w:tcPr>
            <w:tcW w:w="140" w:type="dxa"/>
            <w:vAlign w:val="bottom"/>
          </w:tcPr>
          <w:p>
            <w:pPr>
              <w:spacing w:after="0"/>
              <w:rPr>
                <w:sz w:val="13"/>
                <w:szCs w:val="13"/>
                <w:color w:val="auto"/>
              </w:rPr>
            </w:pPr>
          </w:p>
        </w:tc>
        <w:tc>
          <w:tcPr>
            <w:tcW w:w="2720" w:type="dxa"/>
            <w:vAlign w:val="bottom"/>
          </w:tcPr>
          <w:p>
            <w:pPr>
              <w:ind w:left="100"/>
              <w:spacing w:after="0"/>
              <w:rPr>
                <w:sz w:val="20"/>
                <w:szCs w:val="20"/>
                <w:color w:val="auto"/>
              </w:rPr>
            </w:pPr>
            <w:r>
              <w:rPr>
                <w:rFonts w:ascii="Arial" w:cs="Arial" w:eastAsia="Arial" w:hAnsi="Arial"/>
                <w:sz w:val="9"/>
                <w:szCs w:val="9"/>
                <w:color w:val="auto"/>
              </w:rPr>
              <w:t>b. So-called trust account</w:t>
            </w:r>
          </w:p>
        </w:tc>
        <w:tc>
          <w:tcPr>
            <w:tcW w:w="1080" w:type="dxa"/>
            <w:vAlign w:val="bottom"/>
          </w:tcPr>
          <w:p>
            <w:pPr>
              <w:ind w:left="280"/>
              <w:spacing w:after="0"/>
              <w:rPr>
                <w:sz w:val="20"/>
                <w:szCs w:val="20"/>
                <w:color w:val="auto"/>
              </w:rPr>
            </w:pPr>
            <w:r>
              <w:rPr>
                <w:rFonts w:ascii="Arial" w:cs="Arial" w:eastAsia="Arial" w:hAnsi="Arial"/>
                <w:sz w:val="9"/>
                <w:szCs w:val="9"/>
                <w:color w:val="auto"/>
                <w:w w:val="97"/>
              </w:rPr>
              <w:t>The actual owner(1)</w:t>
            </w:r>
          </w:p>
        </w:tc>
      </w:tr>
      <w:tr>
        <w:trPr>
          <w:trHeight w:val="99"/>
        </w:trPr>
        <w:tc>
          <w:tcPr>
            <w:tcW w:w="140" w:type="dxa"/>
            <w:vAlign w:val="bottom"/>
          </w:tcPr>
          <w:p>
            <w:pPr>
              <w:spacing w:after="0"/>
              <w:rPr>
                <w:sz w:val="8"/>
                <w:szCs w:val="8"/>
                <w:color w:val="auto"/>
              </w:rPr>
            </w:pPr>
          </w:p>
        </w:tc>
        <w:tc>
          <w:tcPr>
            <w:tcW w:w="2720" w:type="dxa"/>
            <w:vAlign w:val="bottom"/>
          </w:tcPr>
          <w:p>
            <w:pPr>
              <w:ind w:left="240"/>
              <w:spacing w:after="0" w:line="99" w:lineRule="exact"/>
              <w:rPr>
                <w:sz w:val="20"/>
                <w:szCs w:val="20"/>
                <w:color w:val="auto"/>
              </w:rPr>
            </w:pPr>
            <w:r>
              <w:rPr>
                <w:rFonts w:ascii="Arial" w:cs="Arial" w:eastAsia="Arial" w:hAnsi="Arial"/>
                <w:sz w:val="9"/>
                <w:szCs w:val="9"/>
                <w:color w:val="auto"/>
              </w:rPr>
              <w:t>that is not a legal or valid</w:t>
            </w:r>
          </w:p>
        </w:tc>
        <w:tc>
          <w:tcPr>
            <w:tcW w:w="1080" w:type="dxa"/>
            <w:vAlign w:val="bottom"/>
          </w:tcPr>
          <w:p>
            <w:pPr>
              <w:spacing w:after="0"/>
              <w:rPr>
                <w:sz w:val="8"/>
                <w:szCs w:val="8"/>
                <w:color w:val="auto"/>
              </w:rPr>
            </w:pPr>
          </w:p>
        </w:tc>
      </w:tr>
      <w:tr>
        <w:trPr>
          <w:trHeight w:val="114"/>
        </w:trPr>
        <w:tc>
          <w:tcPr>
            <w:tcW w:w="140" w:type="dxa"/>
            <w:vAlign w:val="bottom"/>
          </w:tcPr>
          <w:p>
            <w:pPr>
              <w:spacing w:after="0"/>
              <w:rPr>
                <w:sz w:val="9"/>
                <w:szCs w:val="9"/>
                <w:color w:val="auto"/>
              </w:rPr>
            </w:pPr>
          </w:p>
        </w:tc>
        <w:tc>
          <w:tcPr>
            <w:tcW w:w="2720" w:type="dxa"/>
            <w:vAlign w:val="bottom"/>
          </w:tcPr>
          <w:p>
            <w:pPr>
              <w:ind w:left="240"/>
              <w:spacing w:after="0"/>
              <w:rPr>
                <w:sz w:val="20"/>
                <w:szCs w:val="20"/>
                <w:color w:val="auto"/>
              </w:rPr>
            </w:pPr>
            <w:r>
              <w:rPr>
                <w:rFonts w:ascii="Arial" w:cs="Arial" w:eastAsia="Arial" w:hAnsi="Arial"/>
                <w:sz w:val="9"/>
                <w:szCs w:val="9"/>
                <w:color w:val="auto"/>
              </w:rPr>
              <w:t>trust under State law</w:t>
            </w:r>
          </w:p>
        </w:tc>
        <w:tc>
          <w:tcPr>
            <w:tcW w:w="1080" w:type="dxa"/>
            <w:vAlign w:val="bottom"/>
          </w:tcPr>
          <w:p>
            <w:pPr>
              <w:spacing w:after="0"/>
              <w:rPr>
                <w:sz w:val="9"/>
                <w:szCs w:val="9"/>
                <w:color w:val="auto"/>
              </w:rPr>
            </w:pPr>
          </w:p>
        </w:tc>
      </w:tr>
      <w:tr>
        <w:trPr>
          <w:trHeight w:val="171"/>
        </w:trPr>
        <w:tc>
          <w:tcPr>
            <w:tcW w:w="140" w:type="dxa"/>
            <w:vAlign w:val="bottom"/>
          </w:tcPr>
          <w:p>
            <w:pPr>
              <w:jc w:val="right"/>
              <w:ind w:right="52"/>
              <w:spacing w:after="0"/>
              <w:rPr>
                <w:sz w:val="20"/>
                <w:szCs w:val="20"/>
                <w:color w:val="auto"/>
              </w:rPr>
            </w:pPr>
            <w:r>
              <w:rPr>
                <w:rFonts w:ascii="Arial" w:cs="Arial" w:eastAsia="Arial" w:hAnsi="Arial"/>
                <w:sz w:val="6"/>
                <w:szCs w:val="6"/>
                <w:color w:val="auto"/>
                <w:w w:val="78"/>
              </w:rPr>
              <w:t>5.</w:t>
            </w:r>
          </w:p>
        </w:tc>
        <w:tc>
          <w:tcPr>
            <w:tcW w:w="2720" w:type="dxa"/>
            <w:vAlign w:val="bottom"/>
          </w:tcPr>
          <w:p>
            <w:pPr>
              <w:ind w:left="100"/>
              <w:spacing w:after="0"/>
              <w:rPr>
                <w:sz w:val="20"/>
                <w:szCs w:val="20"/>
                <w:color w:val="auto"/>
              </w:rPr>
            </w:pPr>
            <w:r>
              <w:rPr>
                <w:rFonts w:ascii="Arial" w:cs="Arial" w:eastAsia="Arial" w:hAnsi="Arial"/>
                <w:sz w:val="9"/>
                <w:szCs w:val="9"/>
                <w:color w:val="auto"/>
              </w:rPr>
              <w:t>Sole proprietorship or disregarded entity owned by an individual</w:t>
            </w:r>
          </w:p>
        </w:tc>
        <w:tc>
          <w:tcPr>
            <w:tcW w:w="1080" w:type="dxa"/>
            <w:vAlign w:val="bottom"/>
          </w:tcPr>
          <w:p>
            <w:pPr>
              <w:ind w:left="280"/>
              <w:spacing w:after="0"/>
              <w:rPr>
                <w:sz w:val="20"/>
                <w:szCs w:val="20"/>
                <w:color w:val="auto"/>
              </w:rPr>
            </w:pPr>
            <w:r>
              <w:rPr>
                <w:rFonts w:ascii="Arial" w:cs="Arial" w:eastAsia="Arial" w:hAnsi="Arial"/>
                <w:sz w:val="9"/>
                <w:szCs w:val="9"/>
                <w:color w:val="auto"/>
              </w:rPr>
              <w:t>The owner(3)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35001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4"/>
        </w:trPr>
        <w:tc>
          <w:tcPr>
            <w:tcW w:w="200" w:type="dxa"/>
            <w:vAlign w:val="bottom"/>
          </w:tcPr>
          <w:p>
            <w:pPr>
              <w:spacing w:after="0"/>
              <w:rPr>
                <w:sz w:val="20"/>
                <w:szCs w:val="20"/>
                <w:color w:val="auto"/>
              </w:rPr>
            </w:pPr>
            <w:r>
              <w:rPr>
                <w:rFonts w:ascii="Arial" w:cs="Arial" w:eastAsia="Arial" w:hAnsi="Arial"/>
                <w:sz w:val="9"/>
                <w:szCs w:val="9"/>
                <w:color w:val="auto"/>
              </w:rPr>
              <w:t>8.</w:t>
            </w:r>
          </w:p>
        </w:tc>
        <w:tc>
          <w:tcPr>
            <w:tcW w:w="2620" w:type="dxa"/>
            <w:vAlign w:val="bottom"/>
          </w:tcPr>
          <w:p>
            <w:pPr>
              <w:ind w:left="80"/>
              <w:spacing w:after="0"/>
              <w:rPr>
                <w:sz w:val="20"/>
                <w:szCs w:val="20"/>
                <w:color w:val="auto"/>
              </w:rPr>
            </w:pPr>
            <w:r>
              <w:rPr>
                <w:rFonts w:ascii="Arial" w:cs="Arial" w:eastAsia="Arial" w:hAnsi="Arial"/>
                <w:sz w:val="9"/>
                <w:szCs w:val="9"/>
                <w:color w:val="auto"/>
              </w:rPr>
              <w:t>Corporate or LLC electing corporate status on Form 8832</w:t>
            </w:r>
          </w:p>
        </w:tc>
        <w:tc>
          <w:tcPr>
            <w:tcW w:w="1200" w:type="dxa"/>
            <w:vAlign w:val="bottom"/>
          </w:tcPr>
          <w:p>
            <w:pPr>
              <w:ind w:left="380"/>
              <w:spacing w:after="0"/>
              <w:rPr>
                <w:sz w:val="20"/>
                <w:szCs w:val="20"/>
                <w:color w:val="auto"/>
              </w:rPr>
            </w:pPr>
            <w:r>
              <w:rPr>
                <w:rFonts w:ascii="Arial" w:cs="Arial" w:eastAsia="Arial" w:hAnsi="Arial"/>
                <w:sz w:val="9"/>
                <w:szCs w:val="9"/>
                <w:color w:val="auto"/>
              </w:rPr>
              <w:t>The corporation</w:t>
            </w:r>
          </w:p>
        </w:tc>
      </w:tr>
      <w:tr>
        <w:trPr>
          <w:trHeight w:val="156"/>
        </w:trPr>
        <w:tc>
          <w:tcPr>
            <w:tcW w:w="200" w:type="dxa"/>
            <w:vAlign w:val="bottom"/>
          </w:tcPr>
          <w:p>
            <w:pPr>
              <w:spacing w:after="0"/>
              <w:rPr>
                <w:sz w:val="20"/>
                <w:szCs w:val="20"/>
                <w:color w:val="auto"/>
              </w:rPr>
            </w:pPr>
            <w:r>
              <w:rPr>
                <w:rFonts w:ascii="Arial" w:cs="Arial" w:eastAsia="Arial" w:hAnsi="Arial"/>
                <w:sz w:val="9"/>
                <w:szCs w:val="9"/>
                <w:color w:val="auto"/>
              </w:rPr>
              <w:t>9.</w:t>
            </w:r>
          </w:p>
        </w:tc>
        <w:tc>
          <w:tcPr>
            <w:tcW w:w="2620" w:type="dxa"/>
            <w:vAlign w:val="bottom"/>
          </w:tcPr>
          <w:p>
            <w:pPr>
              <w:ind w:left="80"/>
              <w:spacing w:after="0"/>
              <w:rPr>
                <w:sz w:val="20"/>
                <w:szCs w:val="20"/>
                <w:color w:val="auto"/>
              </w:rPr>
            </w:pPr>
            <w:r>
              <w:rPr>
                <w:rFonts w:ascii="Arial" w:cs="Arial" w:eastAsia="Arial" w:hAnsi="Arial"/>
                <w:sz w:val="9"/>
                <w:szCs w:val="9"/>
                <w:color w:val="auto"/>
              </w:rPr>
              <w:t>Association, club, religious,</w:t>
            </w:r>
          </w:p>
        </w:tc>
        <w:tc>
          <w:tcPr>
            <w:tcW w:w="1200" w:type="dxa"/>
            <w:vAlign w:val="bottom"/>
          </w:tcPr>
          <w:p>
            <w:pPr>
              <w:ind w:left="380"/>
              <w:spacing w:after="0"/>
              <w:rPr>
                <w:sz w:val="20"/>
                <w:szCs w:val="20"/>
                <w:color w:val="auto"/>
              </w:rPr>
            </w:pPr>
            <w:r>
              <w:rPr>
                <w:rFonts w:ascii="Arial" w:cs="Arial" w:eastAsia="Arial" w:hAnsi="Arial"/>
                <w:sz w:val="9"/>
                <w:szCs w:val="9"/>
                <w:color w:val="auto"/>
              </w:rPr>
              <w:t>The organization</w:t>
            </w:r>
          </w:p>
        </w:tc>
      </w:tr>
      <w:tr>
        <w:trPr>
          <w:trHeight w:val="99"/>
        </w:trPr>
        <w:tc>
          <w:tcPr>
            <w:tcW w:w="200" w:type="dxa"/>
            <w:vAlign w:val="bottom"/>
          </w:tcPr>
          <w:p>
            <w:pPr>
              <w:spacing w:after="0"/>
              <w:rPr>
                <w:sz w:val="8"/>
                <w:szCs w:val="8"/>
                <w:color w:val="auto"/>
              </w:rPr>
            </w:pPr>
          </w:p>
        </w:tc>
        <w:tc>
          <w:tcPr>
            <w:tcW w:w="2620" w:type="dxa"/>
            <w:vAlign w:val="bottom"/>
          </w:tcPr>
          <w:p>
            <w:pPr>
              <w:ind w:left="80"/>
              <w:spacing w:after="0" w:line="99" w:lineRule="exact"/>
              <w:rPr>
                <w:sz w:val="20"/>
                <w:szCs w:val="20"/>
                <w:color w:val="auto"/>
              </w:rPr>
            </w:pPr>
            <w:r>
              <w:rPr>
                <w:rFonts w:ascii="Arial" w:cs="Arial" w:eastAsia="Arial" w:hAnsi="Arial"/>
                <w:sz w:val="9"/>
                <w:szCs w:val="9"/>
                <w:color w:val="auto"/>
              </w:rPr>
              <w:t>charitable, educational, or</w:t>
            </w:r>
          </w:p>
        </w:tc>
        <w:tc>
          <w:tcPr>
            <w:tcW w:w="1200" w:type="dxa"/>
            <w:vAlign w:val="bottom"/>
          </w:tcPr>
          <w:p>
            <w:pPr>
              <w:spacing w:after="0"/>
              <w:rPr>
                <w:sz w:val="8"/>
                <w:szCs w:val="8"/>
                <w:color w:val="auto"/>
              </w:rPr>
            </w:pPr>
          </w:p>
        </w:tc>
      </w:tr>
      <w:tr>
        <w:trPr>
          <w:trHeight w:val="114"/>
        </w:trPr>
        <w:tc>
          <w:tcPr>
            <w:tcW w:w="200" w:type="dxa"/>
            <w:vAlign w:val="bottom"/>
          </w:tcPr>
          <w:p>
            <w:pPr>
              <w:spacing w:after="0"/>
              <w:rPr>
                <w:sz w:val="9"/>
                <w:szCs w:val="9"/>
                <w:color w:val="auto"/>
              </w:rPr>
            </w:pPr>
          </w:p>
        </w:tc>
        <w:tc>
          <w:tcPr>
            <w:tcW w:w="2620" w:type="dxa"/>
            <w:vAlign w:val="bottom"/>
          </w:tcPr>
          <w:p>
            <w:pPr>
              <w:ind w:left="80"/>
              <w:spacing w:after="0"/>
              <w:rPr>
                <w:sz w:val="20"/>
                <w:szCs w:val="20"/>
                <w:color w:val="auto"/>
              </w:rPr>
            </w:pPr>
            <w:r>
              <w:rPr>
                <w:rFonts w:ascii="Arial" w:cs="Arial" w:eastAsia="Arial" w:hAnsi="Arial"/>
                <w:sz w:val="9"/>
                <w:szCs w:val="9"/>
                <w:color w:val="auto"/>
              </w:rPr>
              <w:t>other tax-exempt organization</w:t>
            </w:r>
          </w:p>
        </w:tc>
        <w:tc>
          <w:tcPr>
            <w:tcW w:w="1200" w:type="dxa"/>
            <w:vAlign w:val="bottom"/>
          </w:tcPr>
          <w:p>
            <w:pPr>
              <w:spacing w:after="0"/>
              <w:rPr>
                <w:sz w:val="9"/>
                <w:szCs w:val="9"/>
                <w:color w:val="auto"/>
              </w:rPr>
            </w:pPr>
          </w:p>
        </w:tc>
      </w:tr>
      <w:tr>
        <w:trPr>
          <w:trHeight w:val="171"/>
        </w:trPr>
        <w:tc>
          <w:tcPr>
            <w:tcW w:w="200" w:type="dxa"/>
            <w:vAlign w:val="bottom"/>
          </w:tcPr>
          <w:p>
            <w:pPr>
              <w:spacing w:after="0"/>
              <w:rPr>
                <w:sz w:val="20"/>
                <w:szCs w:val="20"/>
                <w:color w:val="auto"/>
              </w:rPr>
            </w:pPr>
            <w:r>
              <w:rPr>
                <w:rFonts w:ascii="Arial" w:cs="Arial" w:eastAsia="Arial" w:hAnsi="Arial"/>
                <w:sz w:val="9"/>
                <w:szCs w:val="9"/>
                <w:color w:val="auto"/>
              </w:rPr>
              <w:t>10.</w:t>
            </w:r>
          </w:p>
        </w:tc>
        <w:tc>
          <w:tcPr>
            <w:tcW w:w="2620" w:type="dxa"/>
            <w:vAlign w:val="bottom"/>
          </w:tcPr>
          <w:p>
            <w:pPr>
              <w:ind w:left="80"/>
              <w:spacing w:after="0"/>
              <w:rPr>
                <w:sz w:val="20"/>
                <w:szCs w:val="20"/>
                <w:color w:val="auto"/>
              </w:rPr>
            </w:pPr>
            <w:r>
              <w:rPr>
                <w:rFonts w:ascii="Arial" w:cs="Arial" w:eastAsia="Arial" w:hAnsi="Arial"/>
                <w:sz w:val="9"/>
                <w:szCs w:val="9"/>
                <w:color w:val="auto"/>
              </w:rPr>
              <w:t>Partnership or multi-member LLC</w:t>
            </w:r>
          </w:p>
        </w:tc>
        <w:tc>
          <w:tcPr>
            <w:tcW w:w="1200" w:type="dxa"/>
            <w:vAlign w:val="bottom"/>
          </w:tcPr>
          <w:p>
            <w:pPr>
              <w:ind w:left="380"/>
              <w:spacing w:after="0"/>
              <w:rPr>
                <w:sz w:val="20"/>
                <w:szCs w:val="20"/>
                <w:color w:val="auto"/>
              </w:rPr>
            </w:pPr>
            <w:r>
              <w:rPr>
                <w:rFonts w:ascii="Arial" w:cs="Arial" w:eastAsia="Arial" w:hAnsi="Arial"/>
                <w:sz w:val="9"/>
                <w:szCs w:val="9"/>
                <w:color w:val="auto"/>
              </w:rPr>
              <w:t>The partnership</w:t>
            </w:r>
          </w:p>
        </w:tc>
      </w:tr>
      <w:tr>
        <w:trPr>
          <w:trHeight w:val="171"/>
        </w:trPr>
        <w:tc>
          <w:tcPr>
            <w:tcW w:w="200" w:type="dxa"/>
            <w:vAlign w:val="bottom"/>
          </w:tcPr>
          <w:p>
            <w:pPr>
              <w:spacing w:after="0"/>
              <w:rPr>
                <w:sz w:val="20"/>
                <w:szCs w:val="20"/>
                <w:color w:val="auto"/>
              </w:rPr>
            </w:pPr>
            <w:r>
              <w:rPr>
                <w:rFonts w:ascii="Arial" w:cs="Arial" w:eastAsia="Arial" w:hAnsi="Arial"/>
                <w:sz w:val="9"/>
                <w:szCs w:val="9"/>
                <w:color w:val="auto"/>
              </w:rPr>
              <w:t>11.</w:t>
            </w:r>
          </w:p>
        </w:tc>
        <w:tc>
          <w:tcPr>
            <w:tcW w:w="2620" w:type="dxa"/>
            <w:vAlign w:val="bottom"/>
          </w:tcPr>
          <w:p>
            <w:pPr>
              <w:ind w:left="80"/>
              <w:spacing w:after="0"/>
              <w:rPr>
                <w:sz w:val="20"/>
                <w:szCs w:val="20"/>
                <w:color w:val="auto"/>
              </w:rPr>
            </w:pPr>
            <w:r>
              <w:rPr>
                <w:rFonts w:ascii="Arial" w:cs="Arial" w:eastAsia="Arial" w:hAnsi="Arial"/>
                <w:sz w:val="9"/>
                <w:szCs w:val="9"/>
                <w:color w:val="auto"/>
              </w:rPr>
              <w:t>A broker or registered nominee</w:t>
            </w:r>
          </w:p>
        </w:tc>
        <w:tc>
          <w:tcPr>
            <w:tcW w:w="1200" w:type="dxa"/>
            <w:vAlign w:val="bottom"/>
          </w:tcPr>
          <w:p>
            <w:pPr>
              <w:ind w:left="380"/>
              <w:spacing w:after="0"/>
              <w:rPr>
                <w:sz w:val="20"/>
                <w:szCs w:val="20"/>
                <w:color w:val="auto"/>
              </w:rPr>
            </w:pPr>
            <w:r>
              <w:rPr>
                <w:rFonts w:ascii="Arial" w:cs="Arial" w:eastAsia="Arial" w:hAnsi="Arial"/>
                <w:sz w:val="9"/>
                <w:szCs w:val="9"/>
                <w:color w:val="auto"/>
                <w:w w:val="87"/>
              </w:rPr>
              <w:t>The broker or nominee</w:t>
            </w:r>
          </w:p>
        </w:tc>
      </w:tr>
      <w:tr>
        <w:trPr>
          <w:trHeight w:val="156"/>
        </w:trPr>
        <w:tc>
          <w:tcPr>
            <w:tcW w:w="200" w:type="dxa"/>
            <w:vAlign w:val="bottom"/>
          </w:tcPr>
          <w:p>
            <w:pPr>
              <w:spacing w:after="0"/>
              <w:rPr>
                <w:sz w:val="20"/>
                <w:szCs w:val="20"/>
                <w:color w:val="auto"/>
              </w:rPr>
            </w:pPr>
            <w:r>
              <w:rPr>
                <w:rFonts w:ascii="Arial" w:cs="Arial" w:eastAsia="Arial" w:hAnsi="Arial"/>
                <w:sz w:val="9"/>
                <w:szCs w:val="9"/>
                <w:color w:val="auto"/>
              </w:rPr>
              <w:t>12.</w:t>
            </w:r>
          </w:p>
        </w:tc>
        <w:tc>
          <w:tcPr>
            <w:tcW w:w="2620" w:type="dxa"/>
            <w:vAlign w:val="bottom"/>
          </w:tcPr>
          <w:p>
            <w:pPr>
              <w:ind w:left="80"/>
              <w:spacing w:after="0"/>
              <w:rPr>
                <w:sz w:val="20"/>
                <w:szCs w:val="20"/>
                <w:color w:val="auto"/>
              </w:rPr>
            </w:pPr>
            <w:r>
              <w:rPr>
                <w:rFonts w:ascii="Arial" w:cs="Arial" w:eastAsia="Arial" w:hAnsi="Arial"/>
                <w:sz w:val="9"/>
                <w:szCs w:val="9"/>
                <w:color w:val="auto"/>
              </w:rPr>
              <w:t>Account with the Department of Agriculture in the name of</w:t>
            </w:r>
          </w:p>
        </w:tc>
        <w:tc>
          <w:tcPr>
            <w:tcW w:w="1200" w:type="dxa"/>
            <w:vAlign w:val="bottom"/>
          </w:tcPr>
          <w:p>
            <w:pPr>
              <w:ind w:left="380"/>
              <w:spacing w:after="0"/>
              <w:rPr>
                <w:sz w:val="20"/>
                <w:szCs w:val="20"/>
                <w:color w:val="auto"/>
              </w:rPr>
            </w:pPr>
            <w:r>
              <w:rPr>
                <w:rFonts w:ascii="Arial" w:cs="Arial" w:eastAsia="Arial" w:hAnsi="Arial"/>
                <w:sz w:val="9"/>
                <w:szCs w:val="9"/>
                <w:color w:val="auto"/>
              </w:rPr>
              <w:t>The public entity</w:t>
            </w:r>
          </w:p>
        </w:tc>
      </w:tr>
      <w:tr>
        <w:trPr>
          <w:trHeight w:val="99"/>
        </w:trPr>
        <w:tc>
          <w:tcPr>
            <w:tcW w:w="200" w:type="dxa"/>
            <w:vAlign w:val="bottom"/>
          </w:tcPr>
          <w:p>
            <w:pPr>
              <w:spacing w:after="0"/>
              <w:rPr>
                <w:sz w:val="8"/>
                <w:szCs w:val="8"/>
                <w:color w:val="auto"/>
              </w:rPr>
            </w:pPr>
          </w:p>
        </w:tc>
        <w:tc>
          <w:tcPr>
            <w:tcW w:w="2620" w:type="dxa"/>
            <w:vAlign w:val="bottom"/>
          </w:tcPr>
          <w:p>
            <w:pPr>
              <w:ind w:left="80"/>
              <w:spacing w:after="0" w:line="99" w:lineRule="exact"/>
              <w:rPr>
                <w:sz w:val="20"/>
                <w:szCs w:val="20"/>
                <w:color w:val="auto"/>
              </w:rPr>
            </w:pPr>
            <w:r>
              <w:rPr>
                <w:rFonts w:ascii="Arial" w:cs="Arial" w:eastAsia="Arial" w:hAnsi="Arial"/>
                <w:sz w:val="9"/>
                <w:szCs w:val="9"/>
                <w:color w:val="auto"/>
              </w:rPr>
              <w:t>a public entity (such as a</w:t>
            </w:r>
          </w:p>
        </w:tc>
        <w:tc>
          <w:tcPr>
            <w:tcW w:w="1200" w:type="dxa"/>
            <w:vAlign w:val="bottom"/>
          </w:tcPr>
          <w:p>
            <w:pPr>
              <w:spacing w:after="0"/>
              <w:rPr>
                <w:sz w:val="8"/>
                <w:szCs w:val="8"/>
                <w:color w:val="auto"/>
              </w:rPr>
            </w:pPr>
          </w:p>
        </w:tc>
      </w:tr>
      <w:tr>
        <w:trPr>
          <w:trHeight w:val="99"/>
        </w:trPr>
        <w:tc>
          <w:tcPr>
            <w:tcW w:w="200" w:type="dxa"/>
            <w:vAlign w:val="bottom"/>
          </w:tcPr>
          <w:p>
            <w:pPr>
              <w:spacing w:after="0"/>
              <w:rPr>
                <w:sz w:val="8"/>
                <w:szCs w:val="8"/>
                <w:color w:val="auto"/>
              </w:rPr>
            </w:pPr>
          </w:p>
        </w:tc>
        <w:tc>
          <w:tcPr>
            <w:tcW w:w="2620" w:type="dxa"/>
            <w:vAlign w:val="bottom"/>
          </w:tcPr>
          <w:p>
            <w:pPr>
              <w:ind w:left="80"/>
              <w:spacing w:after="0" w:line="99" w:lineRule="exact"/>
              <w:rPr>
                <w:sz w:val="20"/>
                <w:szCs w:val="20"/>
                <w:color w:val="auto"/>
              </w:rPr>
            </w:pPr>
            <w:r>
              <w:rPr>
                <w:rFonts w:ascii="Arial" w:cs="Arial" w:eastAsia="Arial" w:hAnsi="Arial"/>
                <w:sz w:val="9"/>
                <w:szCs w:val="9"/>
                <w:color w:val="auto"/>
              </w:rPr>
              <w:t>state or local government,</w:t>
            </w:r>
          </w:p>
        </w:tc>
        <w:tc>
          <w:tcPr>
            <w:tcW w:w="1200" w:type="dxa"/>
            <w:vAlign w:val="bottom"/>
          </w:tcPr>
          <w:p>
            <w:pPr>
              <w:spacing w:after="0"/>
              <w:rPr>
                <w:sz w:val="8"/>
                <w:szCs w:val="8"/>
                <w:color w:val="auto"/>
              </w:rPr>
            </w:pPr>
          </w:p>
        </w:tc>
      </w:tr>
      <w:tr>
        <w:trPr>
          <w:trHeight w:val="99"/>
        </w:trPr>
        <w:tc>
          <w:tcPr>
            <w:tcW w:w="200" w:type="dxa"/>
            <w:vAlign w:val="bottom"/>
          </w:tcPr>
          <w:p>
            <w:pPr>
              <w:spacing w:after="0"/>
              <w:rPr>
                <w:sz w:val="8"/>
                <w:szCs w:val="8"/>
                <w:color w:val="auto"/>
              </w:rPr>
            </w:pPr>
          </w:p>
        </w:tc>
        <w:tc>
          <w:tcPr>
            <w:tcW w:w="2620" w:type="dxa"/>
            <w:vAlign w:val="bottom"/>
          </w:tcPr>
          <w:p>
            <w:pPr>
              <w:ind w:left="80"/>
              <w:spacing w:after="0" w:line="99" w:lineRule="exact"/>
              <w:rPr>
                <w:sz w:val="20"/>
                <w:szCs w:val="20"/>
                <w:color w:val="auto"/>
              </w:rPr>
            </w:pPr>
            <w:r>
              <w:rPr>
                <w:rFonts w:ascii="Arial" w:cs="Arial" w:eastAsia="Arial" w:hAnsi="Arial"/>
                <w:sz w:val="9"/>
                <w:szCs w:val="9"/>
                <w:color w:val="auto"/>
              </w:rPr>
              <w:t>school district, or prison) that</w:t>
            </w:r>
          </w:p>
        </w:tc>
        <w:tc>
          <w:tcPr>
            <w:tcW w:w="1200" w:type="dxa"/>
            <w:vAlign w:val="bottom"/>
          </w:tcPr>
          <w:p>
            <w:pPr>
              <w:spacing w:after="0"/>
              <w:rPr>
                <w:sz w:val="8"/>
                <w:szCs w:val="8"/>
                <w:color w:val="auto"/>
              </w:rPr>
            </w:pPr>
          </w:p>
        </w:tc>
      </w:tr>
      <w:tr>
        <w:trPr>
          <w:trHeight w:val="114"/>
        </w:trPr>
        <w:tc>
          <w:tcPr>
            <w:tcW w:w="200" w:type="dxa"/>
            <w:vAlign w:val="bottom"/>
          </w:tcPr>
          <w:p>
            <w:pPr>
              <w:spacing w:after="0"/>
              <w:rPr>
                <w:sz w:val="9"/>
                <w:szCs w:val="9"/>
                <w:color w:val="auto"/>
              </w:rPr>
            </w:pPr>
          </w:p>
        </w:tc>
        <w:tc>
          <w:tcPr>
            <w:tcW w:w="2620" w:type="dxa"/>
            <w:vAlign w:val="bottom"/>
          </w:tcPr>
          <w:p>
            <w:pPr>
              <w:ind w:left="80"/>
              <w:spacing w:after="0"/>
              <w:rPr>
                <w:sz w:val="20"/>
                <w:szCs w:val="20"/>
                <w:color w:val="auto"/>
              </w:rPr>
            </w:pPr>
            <w:r>
              <w:rPr>
                <w:rFonts w:ascii="Arial" w:cs="Arial" w:eastAsia="Arial" w:hAnsi="Arial"/>
                <w:sz w:val="9"/>
                <w:szCs w:val="9"/>
                <w:color w:val="auto"/>
              </w:rPr>
              <w:t>receives agricultural program payments</w:t>
            </w:r>
          </w:p>
        </w:tc>
        <w:tc>
          <w:tcPr>
            <w:tcW w:w="1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35001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8" w:space="720"/>
            <w:col w:w="5560"/>
          </w:cols>
          <w:pgMar w:left="212" w:top="230" w:right="239" w:bottom="1440" w:gutter="0" w:footer="0" w:header="0"/>
          <w:type w:val="continuous"/>
        </w:sectPr>
      </w:pPr>
    </w:p>
    <w:p>
      <w:pPr>
        <w:spacing w:after="0" w:line="65" w:lineRule="exact"/>
        <w:rPr>
          <w:sz w:val="20"/>
          <w:szCs w:val="20"/>
          <w:color w:val="auto"/>
        </w:rPr>
      </w:pPr>
    </w:p>
    <w:p>
      <w:pPr>
        <w:ind w:left="468" w:hanging="468"/>
        <w:spacing w:after="0"/>
        <w:tabs>
          <w:tab w:leader="none" w:pos="4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List first and circle the name of the person whose number you furnish. If only one person on a joint account has an SSN, that person’s number must be furnished.</w:t>
      </w:r>
    </w:p>
    <w:p>
      <w:pPr>
        <w:spacing w:after="0" w:line="10" w:lineRule="exact"/>
        <w:rPr>
          <w:rFonts w:ascii="Arial" w:cs="Arial" w:eastAsia="Arial" w:hAnsi="Arial"/>
          <w:sz w:val="12"/>
          <w:szCs w:val="12"/>
          <w:color w:val="auto"/>
        </w:rPr>
      </w:pPr>
    </w:p>
    <w:p>
      <w:pPr>
        <w:ind w:left="468" w:hanging="468"/>
        <w:spacing w:after="0"/>
        <w:tabs>
          <w:tab w:leader="none" w:pos="4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Circle the minor’s name and furnish the minor’s SSN.</w:t>
      </w:r>
    </w:p>
    <w:p>
      <w:pPr>
        <w:spacing w:after="0" w:line="6" w:lineRule="exact"/>
        <w:rPr>
          <w:rFonts w:ascii="Arial" w:cs="Arial" w:eastAsia="Arial" w:hAnsi="Arial"/>
          <w:sz w:val="12"/>
          <w:szCs w:val="12"/>
          <w:color w:val="auto"/>
        </w:rPr>
      </w:pPr>
    </w:p>
    <w:p>
      <w:pPr>
        <w:ind w:left="468" w:hanging="468"/>
        <w:spacing w:after="0" w:line="250" w:lineRule="auto"/>
        <w:tabs>
          <w:tab w:leader="none" w:pos="4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You must show your individual name and you may also enter your business or “DBA” name on the second name line. You may use either your SSN or EIN (if you have one), but the Internal Revenue Service (“IRS”) encourages you to use your SSN.</w:t>
      </w: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List first and circle the name of the legal trust, estate or pension trust. (Do not furnish the identifying number of the personal representative or trustee unless the legal entity itself is not designated in the account title.)</w:t>
      </w:r>
    </w:p>
    <w:p>
      <w:pPr>
        <w:spacing w:after="0" w:line="121" w:lineRule="exact"/>
        <w:rPr>
          <w:sz w:val="20"/>
          <w:szCs w:val="20"/>
          <w:color w:val="auto"/>
        </w:rPr>
      </w:pPr>
    </w:p>
    <w:p>
      <w:pPr>
        <w:ind w:left="48"/>
        <w:spacing w:after="0"/>
        <w:tabs>
          <w:tab w:leader="none" w:pos="508" w:val="left"/>
          <w:tab w:leader="none" w:pos="5688" w:val="left"/>
        </w:tabs>
        <w:rPr>
          <w:sz w:val="20"/>
          <w:szCs w:val="20"/>
          <w:color w:val="auto"/>
        </w:rPr>
      </w:pPr>
      <w:r>
        <w:rPr>
          <w:rFonts w:ascii="Arial" w:cs="Arial" w:eastAsia="Arial" w:hAnsi="Arial"/>
          <w:sz w:val="12"/>
          <w:szCs w:val="12"/>
          <w:color w:val="auto"/>
        </w:rPr>
        <w:t>NOTE:</w:t>
        <w:tab/>
        <w:t>If no name is circled when more than one name is listed, the number will be considered to be that of the first</w:t>
      </w:r>
      <w:r>
        <w:rPr>
          <w:sz w:val="20"/>
          <w:szCs w:val="20"/>
          <w:color w:val="auto"/>
        </w:rPr>
        <w:tab/>
      </w:r>
      <w:r>
        <w:rPr>
          <w:rFonts w:ascii="Arial" w:cs="Arial" w:eastAsia="Arial" w:hAnsi="Arial"/>
          <w:sz w:val="9"/>
          <w:szCs w:val="9"/>
          <w:color w:val="auto"/>
        </w:rPr>
        <w:t>name listed.</w:t>
      </w:r>
    </w:p>
    <w:p>
      <w:pPr>
        <w:spacing w:after="0" w:line="105"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8"/>
          </w:cols>
          <w:pgMar w:left="212" w:top="230" w:right="239" w:bottom="1440" w:gutter="0" w:footer="0" w:header="0"/>
          <w:type w:val="continuous"/>
        </w:sectPr>
      </w:pPr>
    </w:p>
    <w:bookmarkStart w:id="21" w:name="page22"/>
    <w:bookmarkEnd w:id="21"/>
    <w:p>
      <w:pPr>
        <w:jc w:val="center"/>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GUIDELINES FOR CERTIFICATION OF TAXPAYER IDENTIFICATION</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NUMBER ON SUBSTITUTE FORM W-9</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380"/>
          </w:cols>
          <w:pgMar w:left="220" w:top="220" w:right="29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OBTAINING A NUMBER</w:t>
      </w:r>
    </w:p>
    <w:p>
      <w:pPr>
        <w:spacing w:after="0" w:line="12" w:lineRule="exact"/>
        <w:rPr>
          <w:sz w:val="20"/>
          <w:szCs w:val="20"/>
          <w:color w:val="auto"/>
        </w:rPr>
      </w:pPr>
    </w:p>
    <w:p>
      <w:pPr>
        <w:spacing w:after="0" w:line="234" w:lineRule="auto"/>
        <w:rPr>
          <w:sz w:val="20"/>
          <w:szCs w:val="20"/>
          <w:color w:val="auto"/>
        </w:rPr>
      </w:pPr>
      <w:r>
        <w:rPr>
          <w:rFonts w:ascii="Arial" w:cs="Arial" w:eastAsia="Arial" w:hAnsi="Arial"/>
          <w:sz w:val="9"/>
          <w:szCs w:val="9"/>
          <w:color w:val="auto"/>
        </w:rPr>
        <w:t>If you don’t have a taxpayer identification number (TIN), apply for one immediately. To apply for an SSN, get Form SS-5, Application for a Social Security Card, from your local Social Security Administration office or get this form online at www.socialsecurity.gov/online/ss-5.pdf. You may also get this form by calling 1-800-772-1213. Use Form SS-4, Application for Employer Identification Number, to apply for an EIN. You can apply for an EIN online by accessing the IRS website at www.irs.gov/businesses and clicking on Employer ID Numbers under Businesses Topics. You can get Form SS-4 from the IRS by visiting www.irs.gov or by calling 1-800-TAX-FORM (1-800-829-3676).</w:t>
      </w:r>
    </w:p>
    <w:p>
      <w:pPr>
        <w:spacing w:after="0" w:line="40" w:lineRule="exact"/>
        <w:rPr>
          <w:sz w:val="20"/>
          <w:szCs w:val="20"/>
          <w:color w:val="auto"/>
        </w:rPr>
      </w:pPr>
    </w:p>
    <w:p>
      <w:pPr>
        <w:spacing w:after="0" w:line="265" w:lineRule="auto"/>
        <w:rPr>
          <w:sz w:val="20"/>
          <w:szCs w:val="20"/>
          <w:color w:val="auto"/>
        </w:rPr>
      </w:pPr>
      <w:r>
        <w:rPr>
          <w:rFonts w:ascii="Arial" w:cs="Arial" w:eastAsia="Arial" w:hAnsi="Arial"/>
          <w:sz w:val="8"/>
          <w:szCs w:val="8"/>
          <w:color w:val="auto"/>
        </w:rPr>
        <w:t>If you are a resident alien and you do not have and are not eligible to get an SSN, your TIN is your IRS individual taxpayer identification number. If you do not have an individual taxpayer identification number, use Form W-7, Application for IRS Individual Taxpayer Identification Number, to apply for one. You can get Form W-7 from the IRS by visiting www.irs.gov or by calling 1-800-TAX-FORM (1-800-829-3676).</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If you do not have a TIN, write “Applied For” in the space for the TIN, sign and date the form, and give it to the requester.</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Writing “Applied For” means that you have already applied for a TIN or that you intend to apply for one soon.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PAYEES EXEMPT FROM BACKUP WITHHOLDING</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Payees specifically exempted from backup withholding on all dividend and interest payments and on broker transactions include the following:</w:t>
      </w:r>
    </w:p>
    <w:p>
      <w:pPr>
        <w:spacing w:after="0" w:line="10" w:lineRule="exact"/>
        <w:rPr>
          <w:sz w:val="20"/>
          <w:szCs w:val="20"/>
          <w:color w:val="auto"/>
        </w:rPr>
      </w:pPr>
    </w:p>
    <w:p>
      <w:pPr>
        <w:ind w:left="260" w:right="40" w:hanging="117"/>
        <w:spacing w:after="0" w:line="229" w:lineRule="auto"/>
        <w:rPr>
          <w:sz w:val="20"/>
          <w:szCs w:val="20"/>
          <w:color w:val="auto"/>
        </w:rPr>
      </w:pPr>
      <w:r>
        <w:rPr>
          <w:rFonts w:ascii="Arial" w:cs="Arial" w:eastAsia="Arial" w:hAnsi="Arial"/>
          <w:sz w:val="9"/>
          <w:szCs w:val="9"/>
          <w:color w:val="auto"/>
        </w:rPr>
        <w:t>— An organization exempt from tax under Section 501(a) of the Internal Revenue Code, any IRA where the payor is also a trustee or custodian or a custodial account under Section 403(b)(7) of the Internal Revenue Code if the account satisfies the requirements of Section 401(f)(2) of the Internal Revenue Code.</w:t>
      </w:r>
    </w:p>
    <w:p>
      <w:pPr>
        <w:spacing w:after="0" w:line="1" w:lineRule="exact"/>
        <w:rPr>
          <w:sz w:val="20"/>
          <w:szCs w:val="20"/>
          <w:color w:val="auto"/>
        </w:rPr>
      </w:pPr>
    </w:p>
    <w:p>
      <w:pPr>
        <w:ind w:left="140"/>
        <w:spacing w:after="0" w:line="229" w:lineRule="auto"/>
        <w:rPr>
          <w:sz w:val="20"/>
          <w:szCs w:val="20"/>
          <w:color w:val="auto"/>
        </w:rPr>
      </w:pPr>
      <w:r>
        <w:rPr>
          <w:rFonts w:ascii="Arial" w:cs="Arial" w:eastAsia="Arial" w:hAnsi="Arial"/>
          <w:sz w:val="9"/>
          <w:szCs w:val="9"/>
          <w:color w:val="auto"/>
        </w:rPr>
        <w:t>— The United States or any of its agencies or instrumentalities.</w:t>
      </w:r>
    </w:p>
    <w:p>
      <w:pPr>
        <w:ind w:left="140"/>
        <w:spacing w:after="0" w:line="229" w:lineRule="auto"/>
        <w:rPr>
          <w:sz w:val="20"/>
          <w:szCs w:val="20"/>
          <w:color w:val="auto"/>
        </w:rPr>
      </w:pPr>
      <w:r>
        <w:rPr>
          <w:rFonts w:ascii="Arial" w:cs="Arial" w:eastAsia="Arial" w:hAnsi="Arial"/>
          <w:sz w:val="9"/>
          <w:szCs w:val="9"/>
          <w:color w:val="auto"/>
        </w:rPr>
        <w:t>— A State, the District of Columbia, a possession of the United States, or any of their subdivisions or instrumentalities.</w:t>
      </w:r>
    </w:p>
    <w:p>
      <w:pPr>
        <w:ind w:left="140"/>
        <w:spacing w:after="0" w:line="229" w:lineRule="auto"/>
        <w:rPr>
          <w:sz w:val="20"/>
          <w:szCs w:val="20"/>
          <w:color w:val="auto"/>
        </w:rPr>
      </w:pPr>
      <w:r>
        <w:rPr>
          <w:rFonts w:ascii="Arial" w:cs="Arial" w:eastAsia="Arial" w:hAnsi="Arial"/>
          <w:sz w:val="9"/>
          <w:szCs w:val="9"/>
          <w:color w:val="auto"/>
        </w:rPr>
        <w:t>— A foreign government or any of its political subdivisions, agencies or instrumentalities.</w:t>
      </w:r>
    </w:p>
    <w:p>
      <w:pPr>
        <w:ind w:left="140"/>
        <w:spacing w:after="0" w:line="229" w:lineRule="auto"/>
        <w:rPr>
          <w:sz w:val="20"/>
          <w:szCs w:val="20"/>
          <w:color w:val="auto"/>
        </w:rPr>
      </w:pPr>
      <w:r>
        <w:rPr>
          <w:rFonts w:ascii="Arial" w:cs="Arial" w:eastAsia="Arial" w:hAnsi="Arial"/>
          <w:sz w:val="9"/>
          <w:szCs w:val="9"/>
          <w:color w:val="auto"/>
        </w:rPr>
        <w:t>— An international organization or any of its agencies or instrumentalities.</w:t>
      </w:r>
    </w:p>
    <w:p>
      <w:pPr>
        <w:ind w:left="140"/>
        <w:spacing w:after="0" w:line="229" w:lineRule="auto"/>
        <w:rPr>
          <w:sz w:val="20"/>
          <w:szCs w:val="20"/>
          <w:color w:val="auto"/>
        </w:rPr>
      </w:pPr>
      <w:r>
        <w:rPr>
          <w:rFonts w:ascii="Arial" w:cs="Arial" w:eastAsia="Arial" w:hAnsi="Arial"/>
          <w:sz w:val="9"/>
          <w:szCs w:val="9"/>
          <w:color w:val="auto"/>
        </w:rPr>
        <w:t>— A corporation.</w:t>
      </w:r>
    </w:p>
    <w:p>
      <w:pPr>
        <w:ind w:left="140"/>
        <w:spacing w:after="0" w:line="229" w:lineRule="auto"/>
        <w:rPr>
          <w:sz w:val="20"/>
          <w:szCs w:val="20"/>
          <w:color w:val="auto"/>
        </w:rPr>
      </w:pPr>
      <w:r>
        <w:rPr>
          <w:rFonts w:ascii="Arial" w:cs="Arial" w:eastAsia="Arial" w:hAnsi="Arial"/>
          <w:sz w:val="9"/>
          <w:szCs w:val="9"/>
          <w:color w:val="auto"/>
        </w:rPr>
        <w:t>— A foreign central bank of issue.</w:t>
      </w:r>
    </w:p>
    <w:p>
      <w:pPr>
        <w:ind w:left="140"/>
        <w:spacing w:after="0"/>
        <w:rPr>
          <w:sz w:val="20"/>
          <w:szCs w:val="20"/>
          <w:color w:val="auto"/>
        </w:rPr>
      </w:pPr>
      <w:r>
        <w:rPr>
          <w:rFonts w:ascii="Arial" w:cs="Arial" w:eastAsia="Arial" w:hAnsi="Arial"/>
          <w:sz w:val="8"/>
          <w:szCs w:val="8"/>
          <w:color w:val="auto"/>
        </w:rPr>
        <w:t>— A dealer in securities or commodities required to registered in the United States, the District of Columbia, or a possession of the United States.</w:t>
      </w:r>
    </w:p>
    <w:p>
      <w:pPr>
        <w:spacing w:after="0" w:line="7" w:lineRule="exact"/>
        <w:rPr>
          <w:sz w:val="20"/>
          <w:szCs w:val="20"/>
          <w:color w:val="auto"/>
        </w:rPr>
      </w:pPr>
    </w:p>
    <w:p>
      <w:pPr>
        <w:ind w:left="140"/>
        <w:spacing w:after="0" w:line="229" w:lineRule="auto"/>
        <w:rPr>
          <w:sz w:val="20"/>
          <w:szCs w:val="20"/>
          <w:color w:val="auto"/>
        </w:rPr>
      </w:pPr>
      <w:r>
        <w:rPr>
          <w:rFonts w:ascii="Arial" w:cs="Arial" w:eastAsia="Arial" w:hAnsi="Arial"/>
          <w:sz w:val="9"/>
          <w:szCs w:val="9"/>
          <w:color w:val="auto"/>
        </w:rPr>
        <w:t>— A real estate investment trust.</w:t>
      </w:r>
    </w:p>
    <w:p>
      <w:pPr>
        <w:ind w:left="140"/>
        <w:spacing w:after="0"/>
        <w:rPr>
          <w:sz w:val="20"/>
          <w:szCs w:val="20"/>
          <w:color w:val="auto"/>
        </w:rPr>
      </w:pPr>
      <w:r>
        <w:rPr>
          <w:rFonts w:ascii="Arial" w:cs="Arial" w:eastAsia="Arial" w:hAnsi="Arial"/>
          <w:sz w:val="9"/>
          <w:szCs w:val="9"/>
          <w:color w:val="auto"/>
        </w:rPr>
        <w:t>— An entity registered at all times during the tax year under the Investment Company Act of 1940.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9"/>
          <w:szCs w:val="9"/>
          <w:color w:val="auto"/>
        </w:rPr>
        <w:t>Other payees that may be exempt from backup withholding include:</w:t>
      </w:r>
    </w:p>
    <w:p>
      <w:pPr>
        <w:ind w:left="140"/>
        <w:spacing w:after="0"/>
        <w:rPr>
          <w:sz w:val="20"/>
          <w:szCs w:val="20"/>
          <w:color w:val="auto"/>
        </w:rPr>
      </w:pPr>
      <w:r>
        <w:rPr>
          <w:rFonts w:ascii="Arial" w:cs="Arial" w:eastAsia="Arial" w:hAnsi="Arial"/>
          <w:sz w:val="9"/>
          <w:szCs w:val="9"/>
          <w:color w:val="auto"/>
        </w:rPr>
        <w:t>— A middleman known in the investment community as a nominee or custodian.</w:t>
      </w:r>
    </w:p>
    <w:p>
      <w:pPr>
        <w:ind w:left="140"/>
        <w:spacing w:after="0"/>
        <w:rPr>
          <w:sz w:val="20"/>
          <w:szCs w:val="20"/>
          <w:color w:val="auto"/>
        </w:rPr>
      </w:pPr>
      <w:r>
        <w:rPr>
          <w:rFonts w:ascii="Arial" w:cs="Arial" w:eastAsia="Arial" w:hAnsi="Arial"/>
          <w:sz w:val="8"/>
          <w:szCs w:val="8"/>
          <w:color w:val="auto"/>
        </w:rPr>
        <w:t>— A trust exempt from tax under Section 664 of the Internal Revenue Code or described in Section 4947 of the Internal Revenue Code.</w:t>
      </w:r>
    </w:p>
    <w:p>
      <w:pPr>
        <w:spacing w:after="0" w:line="53" w:lineRule="exact"/>
        <w:rPr>
          <w:sz w:val="20"/>
          <w:szCs w:val="20"/>
          <w:color w:val="auto"/>
        </w:rPr>
      </w:pPr>
    </w:p>
    <w:p>
      <w:pPr>
        <w:ind w:right="160"/>
        <w:spacing w:after="0" w:line="254" w:lineRule="auto"/>
        <w:rPr>
          <w:sz w:val="20"/>
          <w:szCs w:val="20"/>
          <w:color w:val="auto"/>
        </w:rPr>
      </w:pPr>
      <w:r>
        <w:rPr>
          <w:rFonts w:ascii="Arial" w:cs="Arial" w:eastAsia="Arial" w:hAnsi="Arial"/>
          <w:sz w:val="9"/>
          <w:szCs w:val="9"/>
          <w:color w:val="auto"/>
        </w:rPr>
        <w:t>If you are exempt, enter your name and check the appropriate box for your status, then check the “Exempt from backup withholding” box in the line following the business name, sign and date the form.</w:t>
      </w:r>
    </w:p>
    <w:p>
      <w:pPr>
        <w:spacing w:after="0" w:line="3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If you are exempt from backup withholding, you should still complete this form to avoid possible erroneous backup withholding.</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PRIVACY ACT NOTICE</w:t>
      </w:r>
    </w:p>
    <w:p>
      <w:pPr>
        <w:spacing w:after="0" w:line="12" w:lineRule="exact"/>
        <w:rPr>
          <w:sz w:val="20"/>
          <w:szCs w:val="20"/>
          <w:color w:val="auto"/>
        </w:rPr>
      </w:pPr>
    </w:p>
    <w:p>
      <w:pPr>
        <w:spacing w:after="0" w:line="267" w:lineRule="auto"/>
        <w:rPr>
          <w:sz w:val="20"/>
          <w:szCs w:val="20"/>
          <w:color w:val="auto"/>
        </w:rPr>
      </w:pPr>
      <w:r>
        <w:rPr>
          <w:rFonts w:ascii="Arial" w:cs="Arial" w:eastAsia="Arial" w:hAnsi="Arial"/>
          <w:sz w:val="8"/>
          <w:szCs w:val="8"/>
          <w:color w:val="auto"/>
        </w:rPr>
        <w:t>Section 6109 of the Internal Revenue Code requires you to provide your correct TIN to persons who must file information returns with the IRS to report interest, dividends, and certain other income paid to you, mortgage interest you paid, the acquisition or abandonment of secured property, cancellation of debt, or contributions you made to an IRA, or Archer MSA or HSA. The IRS uses the numbers for identification purposes and to help verify the accuracy of your tax return. The IRS may also provide this information to the Department of Justice for civil and criminal litigation, and to cities, states, the District of Columbia, and U.S. possessions to carry out their tax laws. The IRS may also disclose this information to other countries under a tax treaty, to federal and state agencies to enforce federal nontax criminal laws, or to federal law enforcement and intelligence agencies to combat terrorism.</w:t>
      </w:r>
    </w:p>
    <w:p>
      <w:pPr>
        <w:spacing w:after="0" w:line="29" w:lineRule="exact"/>
        <w:rPr>
          <w:sz w:val="20"/>
          <w:szCs w:val="20"/>
          <w:color w:val="auto"/>
        </w:rPr>
      </w:pPr>
    </w:p>
    <w:p>
      <w:pPr>
        <w:ind w:right="80"/>
        <w:spacing w:after="0" w:line="242" w:lineRule="auto"/>
        <w:rPr>
          <w:sz w:val="20"/>
          <w:szCs w:val="20"/>
          <w:color w:val="auto"/>
        </w:rPr>
      </w:pPr>
      <w:r>
        <w:rPr>
          <w:rFonts w:ascii="Arial" w:cs="Arial" w:eastAsia="Arial" w:hAnsi="Arial"/>
          <w:sz w:val="9"/>
          <w:szCs w:val="9"/>
          <w:color w:val="auto"/>
        </w:rPr>
        <w:t>You must provide your TIN whether or not your are required to file a tax return. Payers must generally withhold 28% (or other rate specified by the Internal Revenue Code) of taxable interest, dividend, and certain other payments to a payee who does not give a TIN to a payer. Certain penalties may also apply.</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PENALTIES</w:t>
      </w:r>
    </w:p>
    <w:p>
      <w:pPr>
        <w:spacing w:after="0" w:line="12" w:lineRule="exact"/>
        <w:rPr>
          <w:sz w:val="20"/>
          <w:szCs w:val="20"/>
          <w:color w:val="auto"/>
        </w:rPr>
      </w:pPr>
    </w:p>
    <w:p>
      <w:pPr>
        <w:ind w:left="260" w:right="20" w:hanging="117"/>
        <w:spacing w:after="0" w:line="233" w:lineRule="auto"/>
        <w:rPr>
          <w:sz w:val="20"/>
          <w:szCs w:val="20"/>
          <w:color w:val="auto"/>
        </w:rPr>
      </w:pPr>
      <w:r>
        <w:rPr>
          <w:rFonts w:ascii="Arial" w:cs="Arial" w:eastAsia="Arial" w:hAnsi="Arial"/>
          <w:sz w:val="9"/>
          <w:szCs w:val="9"/>
          <w:i w:val="1"/>
          <w:iCs w:val="1"/>
          <w:color w:val="auto"/>
        </w:rPr>
        <w:t>— Failure to Furnish TIN</w:t>
      </w:r>
      <w:r>
        <w:rPr>
          <w:rFonts w:ascii="Arial" w:cs="Arial" w:eastAsia="Arial" w:hAnsi="Arial"/>
          <w:sz w:val="9"/>
          <w:szCs w:val="9"/>
          <w:color w:val="auto"/>
        </w:rPr>
        <w:t>. If you fail to furnish your correct TIN to a requester, you are subject to a penalty of $50 for each such failure unless your</w:t>
      </w:r>
      <w:r>
        <w:rPr>
          <w:rFonts w:ascii="Arial" w:cs="Arial" w:eastAsia="Arial" w:hAnsi="Arial"/>
          <w:sz w:val="9"/>
          <w:szCs w:val="9"/>
          <w:i w:val="1"/>
          <w:iCs w:val="1"/>
          <w:color w:val="auto"/>
        </w:rPr>
        <w:t xml:space="preserve"> </w:t>
      </w:r>
      <w:r>
        <w:rPr>
          <w:rFonts w:ascii="Arial" w:cs="Arial" w:eastAsia="Arial" w:hAnsi="Arial"/>
          <w:sz w:val="9"/>
          <w:szCs w:val="9"/>
          <w:color w:val="auto"/>
        </w:rPr>
        <w:t>failure is due to reasonable cause and not to willful neglect.</w:t>
      </w:r>
    </w:p>
    <w:p>
      <w:pPr>
        <w:ind w:left="260" w:hanging="117"/>
        <w:spacing w:after="0" w:line="229" w:lineRule="auto"/>
        <w:rPr>
          <w:sz w:val="20"/>
          <w:szCs w:val="20"/>
          <w:color w:val="auto"/>
        </w:rPr>
      </w:pPr>
      <w:r>
        <w:rPr>
          <w:rFonts w:ascii="Arial" w:cs="Arial" w:eastAsia="Arial" w:hAnsi="Arial"/>
          <w:sz w:val="9"/>
          <w:szCs w:val="9"/>
          <w:color w:val="auto"/>
        </w:rPr>
        <w:t xml:space="preserve">— </w:t>
      </w:r>
      <w:r>
        <w:rPr>
          <w:rFonts w:ascii="Arial" w:cs="Arial" w:eastAsia="Arial" w:hAnsi="Arial"/>
          <w:sz w:val="9"/>
          <w:szCs w:val="9"/>
          <w:i w:val="1"/>
          <w:iCs w:val="1"/>
          <w:color w:val="auto"/>
        </w:rPr>
        <w:t>Civil Penalty for False Information With Respect to Withholding</w:t>
      </w:r>
      <w:r>
        <w:rPr>
          <w:rFonts w:ascii="Arial" w:cs="Arial" w:eastAsia="Arial" w:hAnsi="Arial"/>
          <w:sz w:val="9"/>
          <w:szCs w:val="9"/>
          <w:color w:val="auto"/>
        </w:rPr>
        <w:t>. If you make a false statement with no reasonable basis that results in no backup withholding, you are subject to a $500 penalty.</w:t>
      </w:r>
    </w:p>
    <w:p>
      <w:pPr>
        <w:ind w:left="260" w:right="120" w:hanging="117"/>
        <w:spacing w:after="0" w:line="229" w:lineRule="auto"/>
        <w:rPr>
          <w:sz w:val="20"/>
          <w:szCs w:val="20"/>
          <w:color w:val="auto"/>
        </w:rPr>
      </w:pPr>
      <w:r>
        <w:rPr>
          <w:rFonts w:ascii="Arial" w:cs="Arial" w:eastAsia="Arial" w:hAnsi="Arial"/>
          <w:sz w:val="9"/>
          <w:szCs w:val="9"/>
          <w:color w:val="auto"/>
        </w:rPr>
        <w:t xml:space="preserve">— </w:t>
      </w:r>
      <w:r>
        <w:rPr>
          <w:rFonts w:ascii="Arial" w:cs="Arial" w:eastAsia="Arial" w:hAnsi="Arial"/>
          <w:sz w:val="9"/>
          <w:szCs w:val="9"/>
          <w:i w:val="1"/>
          <w:iCs w:val="1"/>
          <w:color w:val="auto"/>
        </w:rPr>
        <w:t>Criminal Penalty for Falsifying Information</w:t>
      </w:r>
      <w:r>
        <w:rPr>
          <w:rFonts w:ascii="Arial" w:cs="Arial" w:eastAsia="Arial" w:hAnsi="Arial"/>
          <w:sz w:val="9"/>
          <w:szCs w:val="9"/>
          <w:color w:val="auto"/>
        </w:rPr>
        <w:t>. Willfully falsifying certifications or affirmations may subject you to criminal penalties including fines and/or imprisonment.</w:t>
      </w:r>
    </w:p>
    <w:p>
      <w:pPr>
        <w:ind w:left="140"/>
        <w:spacing w:after="0"/>
        <w:rPr>
          <w:sz w:val="20"/>
          <w:szCs w:val="20"/>
          <w:color w:val="auto"/>
        </w:rPr>
      </w:pPr>
      <w:r>
        <w:rPr>
          <w:rFonts w:ascii="Arial" w:cs="Arial" w:eastAsia="Arial" w:hAnsi="Arial"/>
          <w:sz w:val="8"/>
          <w:szCs w:val="8"/>
          <w:color w:val="auto"/>
        </w:rPr>
        <w:t xml:space="preserve">— </w:t>
      </w:r>
      <w:r>
        <w:rPr>
          <w:rFonts w:ascii="Arial" w:cs="Arial" w:eastAsia="Arial" w:hAnsi="Arial"/>
          <w:sz w:val="8"/>
          <w:szCs w:val="8"/>
          <w:i w:val="1"/>
          <w:iCs w:val="1"/>
          <w:color w:val="auto"/>
        </w:rPr>
        <w:t>Misuse of TINs</w:t>
      </w:r>
      <w:r>
        <w:rPr>
          <w:rFonts w:ascii="Arial" w:cs="Arial" w:eastAsia="Arial" w:hAnsi="Arial"/>
          <w:sz w:val="8"/>
          <w:szCs w:val="8"/>
          <w:color w:val="auto"/>
        </w:rPr>
        <w:t>. If the requester discloses or uses TINs in violation of Federal law, the payer may be subject to civil and criminal penalties.</w:t>
      </w:r>
    </w:p>
    <w:p>
      <w:pPr>
        <w:spacing w:after="0" w:line="52" w:lineRule="exact"/>
        <w:rPr>
          <w:sz w:val="20"/>
          <w:szCs w:val="20"/>
          <w:color w:val="auto"/>
        </w:rPr>
      </w:pPr>
    </w:p>
    <w:p>
      <w:pPr>
        <w:sectPr>
          <w:pgSz w:w="11900" w:h="16838" w:orient="portrait"/>
          <w:cols w:equalWidth="0" w:num="2">
            <w:col w:w="5500" w:space="380"/>
            <w:col w:w="5500"/>
          </w:cols>
          <w:pgMar w:left="220" w:top="220" w:right="299" w:bottom="1440" w:gutter="0" w:footer="0" w:header="0"/>
          <w:type w:val="continuous"/>
        </w:sectPr>
      </w:pPr>
    </w:p>
    <w:p>
      <w:pPr>
        <w:ind w:left="5880"/>
        <w:spacing w:after="0"/>
        <w:rPr>
          <w:sz w:val="20"/>
          <w:szCs w:val="20"/>
          <w:color w:val="auto"/>
        </w:rPr>
      </w:pPr>
      <w:r>
        <w:rPr>
          <w:rFonts w:ascii="Arial" w:cs="Arial" w:eastAsia="Arial" w:hAnsi="Arial"/>
          <w:sz w:val="11"/>
          <w:szCs w:val="11"/>
          <w:b w:val="1"/>
          <w:bCs w:val="1"/>
          <w:color w:val="auto"/>
        </w:rPr>
        <w:t>FOR ADDITIONAL INFORMATION CONTACT YOUR TAX CONSULTANT OR THE INTERNAL</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REVENUE SERVICE.</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9"/>
          <w:szCs w:val="9"/>
          <w:color w:val="auto"/>
        </w:rPr>
        <w:t>3</w:t>
      </w:r>
    </w:p>
    <w:p>
      <w:pPr>
        <w:sectPr>
          <w:pgSz w:w="11900" w:h="16838" w:orient="portrait"/>
          <w:cols w:equalWidth="0" w:num="1">
            <w:col w:w="11380"/>
          </w:cols>
          <w:pgMar w:left="220" w:top="220" w:right="29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2"/>
          <w:szCs w:val="12"/>
          <w:b w:val="1"/>
          <w:bCs w:val="1"/>
          <w:color w:val="auto"/>
        </w:rPr>
        <w:t>Exhibit (a)(5)(A)</w:t>
      </w:r>
    </w:p>
    <w:p>
      <w:pPr>
        <w:spacing w:after="0" w:line="114" w:lineRule="exact"/>
        <w:rPr>
          <w:sz w:val="20"/>
          <w:szCs w:val="20"/>
          <w:color w:val="auto"/>
        </w:rPr>
      </w:pPr>
    </w:p>
    <w:p>
      <w:pPr>
        <w:ind w:left="4980"/>
        <w:spacing w:after="0"/>
        <w:rPr>
          <w:sz w:val="20"/>
          <w:szCs w:val="20"/>
          <w:color w:val="auto"/>
        </w:rPr>
      </w:pPr>
      <w:r>
        <w:rPr>
          <w:rFonts w:ascii="Arial" w:cs="Arial" w:eastAsia="Arial" w:hAnsi="Arial"/>
          <w:sz w:val="12"/>
          <w:szCs w:val="12"/>
          <w:b w:val="1"/>
          <w:bCs w:val="1"/>
          <w:u w:val="single" w:color="auto"/>
          <w:color w:val="auto"/>
        </w:rPr>
        <w:t>NOTICE OF REDEMPTION</w:t>
      </w:r>
    </w:p>
    <w:p>
      <w:pPr>
        <w:spacing w:after="0" w:line="116"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To the Holders of</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SCHLUMBERGER N.V. (SCHLUMBERGER LIMITED)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2.125% SERIES B CONVERTIBLE DEBENTURES DUE 2023</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CUSIP 806857 AA 6* and 806857 AD 0*</w:t>
      </w:r>
    </w:p>
    <w:p>
      <w:pPr>
        <w:spacing w:after="0" w:line="114" w:lineRule="exact"/>
        <w:rPr>
          <w:sz w:val="20"/>
          <w:szCs w:val="20"/>
          <w:color w:val="auto"/>
        </w:rPr>
      </w:pPr>
    </w:p>
    <w:p>
      <w:pPr>
        <w:ind w:right="20" w:firstLine="459"/>
        <w:spacing w:after="0" w:line="281" w:lineRule="auto"/>
        <w:rPr>
          <w:sz w:val="20"/>
          <w:szCs w:val="20"/>
          <w:color w:val="auto"/>
        </w:rPr>
      </w:pPr>
      <w:r>
        <w:rPr>
          <w:rFonts w:ascii="Arial" w:cs="Arial" w:eastAsia="Arial" w:hAnsi="Arial"/>
          <w:sz w:val="11"/>
          <w:szCs w:val="11"/>
          <w:color w:val="auto"/>
        </w:rPr>
        <w:t>NOTICE IS HEREBY GIVEN that, pursuant to the provisions of the Debentures (as defined below) and the Indenture dated as of June 9, 2003 (the “Original Indenture”) between Schlumberger N.V. (Schlumberger Limited) (the “Company”) and HSBC Bank USA, National Association (successor to Citibank, N.A.) (“HSBC”), as Trustee (the “Trustee”), as amended and supplemented by the First Supplemental Indenture thereto dated as of June 9, 2003 (the “First Supplemental Indenture”) (as so amended and supplemented, the “Indenture”), under which the 2.125% Series B Convertible Debentures Due 2023 of the Company (the “Debentures”) were issued, all of the outstanding Debentures will be redeemed on June 9, 2010 (the “Redemption Date”) at a redemption price of 100% of the principal amount thereof, plus accrued and unpaid interest to, but not including, the Redemption Date. Interest on the Debentures that is payable on June 1, 2010 will be paid in the same manner as provided under the Indenture. This notice of redemption is being sent to holders of the Debentures pursuant to Section 3.04 of the Original Indenture, Section 3.3 of the First Supplemental Indenture and paragraph 9 of the Debentures and pursuant to the redemption provisions in paragraph 5 of the Debentures.</w:t>
      </w:r>
    </w:p>
    <w:p>
      <w:pPr>
        <w:spacing w:after="0" w:line="84"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The Debentures may be converted at any time before the close of business on June 8, 2010, the business day prior to the Redemption Date. Holders who wish to convert their Debentures must satisfy the requirements set forth in paragraph 10 of the Debentures. The Debentures are convertible into common stock, par value $0.01 per share, of the Company (“Common Stock”) at a rate of 25.0000 shares of Common Stock per $1,000 principal amount of Debentures. Shares of Common Stock deliverable upon conversion will be delivered as soon as practicable after the conversion date to the account of the holder, through the Conversion Agent, or applicable procedures of The Depository Trust Company. The Company will not issue fractional shares of Common Stock but will pay cash in lieu of fractional shares based on the closing sales price of a share of Common Stock on the NYSE on the last trading day prior to the conversion date.</w:t>
      </w:r>
    </w:p>
    <w:p>
      <w:pPr>
        <w:spacing w:after="0" w:line="50" w:lineRule="exact"/>
        <w:rPr>
          <w:sz w:val="20"/>
          <w:szCs w:val="20"/>
          <w:color w:val="auto"/>
        </w:rPr>
      </w:pPr>
    </w:p>
    <w:p>
      <w:pPr>
        <w:ind w:right="280" w:firstLine="459"/>
        <w:spacing w:after="0" w:line="259" w:lineRule="auto"/>
        <w:rPr>
          <w:sz w:val="20"/>
          <w:szCs w:val="20"/>
          <w:color w:val="auto"/>
        </w:rPr>
      </w:pPr>
      <w:r>
        <w:rPr>
          <w:rFonts w:ascii="Arial" w:cs="Arial" w:eastAsia="Arial" w:hAnsi="Arial"/>
          <w:sz w:val="12"/>
          <w:szCs w:val="12"/>
          <w:color w:val="auto"/>
        </w:rPr>
        <w:t>On the Redemption Date, the redemption price will become due and payable upon each Debenture to be redeemed. Unless the Company defaults in making the redemption payment in accordance with the Indenture, interest on the Debentures ceases to accrue on and after the Redemption Date, and the only remaining right of the holders of the Debentures is to receive payment of the redemption price, including accrued and unpaid interest to, but not including, the Redemption Date, upon surrender of the Debentures to the Trustee (acting as paying agent).</w:t>
      </w:r>
    </w:p>
    <w:p>
      <w:pPr>
        <w:spacing w:after="0" w:line="94" w:lineRule="exact"/>
        <w:rPr>
          <w:sz w:val="20"/>
          <w:szCs w:val="20"/>
          <w:color w:val="auto"/>
        </w:rPr>
      </w:pPr>
    </w:p>
    <w:p>
      <w:pPr>
        <w:ind w:right="280" w:firstLine="459"/>
        <w:spacing w:after="0" w:line="268" w:lineRule="auto"/>
        <w:rPr>
          <w:sz w:val="20"/>
          <w:szCs w:val="20"/>
          <w:color w:val="auto"/>
        </w:rPr>
      </w:pPr>
      <w:r>
        <w:rPr>
          <w:rFonts w:ascii="Arial" w:cs="Arial" w:eastAsia="Arial" w:hAnsi="Arial"/>
          <w:sz w:val="12"/>
          <w:szCs w:val="12"/>
          <w:color w:val="auto"/>
        </w:rPr>
        <w:t>Debentures must be surrendered to the Trustee (acting as paying agent) to collect the redemption price. The Trustee is also acting as conversion agent. At the option of the holder, the Debentures may be surrendered for payment or conversion by mail, hand or courier at the offices of the Trustee as indicated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80" w:type="dxa"/>
            <w:vAlign w:val="bottom"/>
          </w:tcPr>
          <w:p>
            <w:pPr>
              <w:jc w:val="center"/>
              <w:spacing w:after="0"/>
              <w:rPr>
                <w:sz w:val="20"/>
                <w:szCs w:val="20"/>
                <w:color w:val="auto"/>
              </w:rPr>
            </w:pPr>
            <w:r>
              <w:rPr>
                <w:rFonts w:ascii="Arial" w:cs="Arial" w:eastAsia="Arial" w:hAnsi="Arial"/>
                <w:sz w:val="12"/>
                <w:szCs w:val="12"/>
                <w:i w:val="1"/>
                <w:iCs w:val="1"/>
                <w:color w:val="auto"/>
                <w:w w:val="90"/>
              </w:rPr>
              <w:t>By Regular, Registered or Certified Mail:</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91"/>
              </w:rPr>
              <w:t>By Overnight Courier or by Hand:</w:t>
            </w:r>
          </w:p>
        </w:tc>
        <w:tc>
          <w:tcPr>
            <w:tcW w:w="120" w:type="dxa"/>
            <w:vAlign w:val="bottom"/>
          </w:tcPr>
          <w:p>
            <w:pPr>
              <w:spacing w:after="0"/>
              <w:rPr>
                <w:sz w:val="13"/>
                <w:szCs w:val="13"/>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89"/>
              </w:rPr>
              <w:t>By Hand:</w:t>
            </w:r>
          </w:p>
        </w:tc>
        <w:tc>
          <w:tcPr>
            <w:tcW w:w="100" w:type="dxa"/>
            <w:vAlign w:val="bottom"/>
          </w:tcPr>
          <w:p>
            <w:pPr>
              <w:spacing w:after="0"/>
              <w:rPr>
                <w:sz w:val="13"/>
                <w:szCs w:val="13"/>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auto"/>
                <w:w w:val="93"/>
              </w:rPr>
              <w:t>By Courier:</w:t>
            </w:r>
          </w:p>
        </w:tc>
      </w:tr>
      <w:tr>
        <w:trPr>
          <w:trHeight w:val="132"/>
        </w:trPr>
        <w:tc>
          <w:tcPr>
            <w:tcW w:w="3780" w:type="dxa"/>
            <w:vAlign w:val="bottom"/>
          </w:tcPr>
          <w:p>
            <w:pPr>
              <w:jc w:val="center"/>
              <w:spacing w:after="0" w:line="133" w:lineRule="exact"/>
              <w:rPr>
                <w:sz w:val="20"/>
                <w:szCs w:val="20"/>
                <w:color w:val="auto"/>
              </w:rPr>
            </w:pPr>
            <w:r>
              <w:rPr>
                <w:rFonts w:ascii="Arial" w:cs="Arial" w:eastAsia="Arial" w:hAnsi="Arial"/>
                <w:sz w:val="12"/>
                <w:szCs w:val="12"/>
                <w:color w:val="auto"/>
                <w:w w:val="91"/>
              </w:rPr>
              <w:t>HSBC Bank USA, National Association</w:t>
            </w:r>
          </w:p>
        </w:tc>
        <w:tc>
          <w:tcPr>
            <w:tcW w:w="120" w:type="dxa"/>
            <w:vAlign w:val="bottom"/>
          </w:tcPr>
          <w:p>
            <w:pPr>
              <w:spacing w:after="0"/>
              <w:rPr>
                <w:sz w:val="11"/>
                <w:szCs w:val="11"/>
                <w:color w:val="auto"/>
              </w:rPr>
            </w:pPr>
          </w:p>
        </w:tc>
        <w:tc>
          <w:tcPr>
            <w:tcW w:w="3800" w:type="dxa"/>
            <w:vAlign w:val="bottom"/>
          </w:tcPr>
          <w:p>
            <w:pPr>
              <w:jc w:val="center"/>
              <w:spacing w:after="0" w:line="133" w:lineRule="exact"/>
              <w:rPr>
                <w:sz w:val="20"/>
                <w:szCs w:val="20"/>
                <w:color w:val="auto"/>
              </w:rPr>
            </w:pPr>
            <w:r>
              <w:rPr>
                <w:rFonts w:ascii="Arial" w:cs="Arial" w:eastAsia="Arial" w:hAnsi="Arial"/>
                <w:sz w:val="12"/>
                <w:szCs w:val="12"/>
                <w:color w:val="auto"/>
                <w:w w:val="87"/>
              </w:rPr>
              <w:t>(718) 488-4488</w:t>
            </w:r>
          </w:p>
        </w:tc>
        <w:tc>
          <w:tcPr>
            <w:tcW w:w="100" w:type="dxa"/>
            <w:vAlign w:val="bottom"/>
          </w:tcPr>
          <w:p>
            <w:pPr>
              <w:spacing w:after="0"/>
              <w:rPr>
                <w:sz w:val="11"/>
                <w:szCs w:val="11"/>
                <w:color w:val="auto"/>
              </w:rPr>
            </w:pPr>
          </w:p>
        </w:tc>
        <w:tc>
          <w:tcPr>
            <w:tcW w:w="3680" w:type="dxa"/>
            <w:vAlign w:val="bottom"/>
          </w:tcPr>
          <w:p>
            <w:pPr>
              <w:jc w:val="right"/>
              <w:ind w:right="1421"/>
              <w:spacing w:after="0" w:line="133" w:lineRule="exact"/>
              <w:rPr>
                <w:sz w:val="20"/>
                <w:szCs w:val="20"/>
                <w:color w:val="auto"/>
              </w:rPr>
            </w:pPr>
            <w:r>
              <w:rPr>
                <w:rFonts w:ascii="Arial" w:cs="Arial" w:eastAsia="Arial" w:hAnsi="Arial"/>
                <w:sz w:val="12"/>
                <w:szCs w:val="12"/>
                <w:color w:val="auto"/>
              </w:rPr>
              <w:t>(800) 662-9844</w:t>
            </w: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91"/>
              </w:rPr>
              <w:t>Corporate Trust &amp; Loan Agency</w:t>
            </w:r>
          </w:p>
        </w:tc>
        <w:tc>
          <w:tcPr>
            <w:tcW w:w="120" w:type="dxa"/>
            <w:vAlign w:val="bottom"/>
          </w:tcPr>
          <w:p>
            <w:pPr>
              <w:spacing w:after="0"/>
              <w:rPr>
                <w:sz w:val="12"/>
                <w:szCs w:val="12"/>
                <w:color w:val="auto"/>
              </w:rPr>
            </w:pPr>
          </w:p>
        </w:tc>
        <w:tc>
          <w:tcPr>
            <w:tcW w:w="3800" w:type="dxa"/>
            <w:vAlign w:val="bottom"/>
          </w:tcPr>
          <w:p>
            <w:pPr>
              <w:jc w:val="center"/>
              <w:spacing w:after="0"/>
              <w:rPr>
                <w:sz w:val="20"/>
                <w:szCs w:val="20"/>
                <w:color w:val="auto"/>
              </w:rPr>
            </w:pPr>
            <w:r>
              <w:rPr>
                <w:rFonts w:ascii="Arial" w:cs="Arial" w:eastAsia="Arial" w:hAnsi="Arial"/>
                <w:sz w:val="12"/>
                <w:szCs w:val="12"/>
                <w:color w:val="auto"/>
                <w:w w:val="89"/>
              </w:rPr>
              <w:t>Attn: Corporate Trust Operations</w:t>
            </w: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87"/>
              </w:rPr>
              <w:t>2 Hanson Place, 14th Floor</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780" w:type="dxa"/>
            <w:vAlign w:val="bottom"/>
          </w:tcPr>
          <w:p>
            <w:pPr>
              <w:jc w:val="center"/>
              <w:spacing w:after="0"/>
              <w:rPr>
                <w:sz w:val="20"/>
                <w:szCs w:val="20"/>
                <w:color w:val="auto"/>
              </w:rPr>
            </w:pPr>
            <w:r>
              <w:rPr>
                <w:rFonts w:ascii="Arial" w:cs="Arial" w:eastAsia="Arial" w:hAnsi="Arial"/>
                <w:sz w:val="12"/>
                <w:szCs w:val="12"/>
                <w:color w:val="auto"/>
                <w:w w:val="91"/>
              </w:rPr>
              <w:t>Brooklyn, NY 10217-1409</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8"/>
        </w:trPr>
        <w:tc>
          <w:tcPr>
            <w:tcW w:w="3780" w:type="dxa"/>
            <w:vAlign w:val="bottom"/>
          </w:tcPr>
          <w:p>
            <w:pPr>
              <w:jc w:val="center"/>
              <w:spacing w:after="0"/>
              <w:rPr>
                <w:sz w:val="20"/>
                <w:szCs w:val="20"/>
                <w:color w:val="auto"/>
              </w:rPr>
            </w:pPr>
            <w:r>
              <w:rPr>
                <w:rFonts w:ascii="Arial" w:cs="Arial" w:eastAsia="Arial" w:hAnsi="Arial"/>
                <w:sz w:val="12"/>
                <w:szCs w:val="12"/>
                <w:color w:val="auto"/>
                <w:w w:val="88"/>
              </w:rPr>
              <w:t>Attn: Corporate Trust Operations</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r>
    </w:tbl>
    <w:p>
      <w:pPr>
        <w:sectPr>
          <w:pgSz w:w="11900" w:h="16838" w:orient="portrait"/>
          <w:cols w:equalWidth="0" w:num="1">
            <w:col w:w="11480"/>
          </w:cols>
          <w:pgMar w:left="220" w:top="131" w:right="199" w:bottom="1440" w:gutter="0" w:footer="0" w:header="0"/>
        </w:sectPr>
      </w:pPr>
    </w:p>
    <w:bookmarkStart w:id="23" w:name="page24"/>
    <w:bookmarkEnd w:id="23"/>
    <w:p>
      <w:pPr>
        <w:ind w:left="468"/>
        <w:spacing w:after="0"/>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Holders can inquire about redemption of the Debentures by calling HSBC Corporate Trust Operations at 800-662-9844.</w:t>
      </w:r>
    </w:p>
    <w:p>
      <w:pPr>
        <w:sectPr>
          <w:pgSz w:w="11900" w:h="16838" w:orient="portrait"/>
          <w:cols w:equalWidth="0" w:num="1">
            <w:col w:w="11268"/>
          </w:cols>
          <w:pgMar w:left="212" w:top="232" w:right="419" w:bottom="1440" w:gutter="0" w:footer="0" w:header="0"/>
        </w:sectPr>
      </w:pPr>
    </w:p>
    <w:p>
      <w:pPr>
        <w:spacing w:after="0" w:line="176" w:lineRule="exact"/>
        <w:rPr>
          <w:sz w:val="20"/>
          <w:szCs w:val="20"/>
          <w:color w:val="auto"/>
        </w:rPr>
      </w:pPr>
    </w:p>
    <w:p>
      <w:pPr>
        <w:ind w:left="8"/>
        <w:spacing w:after="0"/>
        <w:rPr>
          <w:sz w:val="20"/>
          <w:szCs w:val="20"/>
          <w:color w:val="auto"/>
        </w:rPr>
      </w:pPr>
      <w:r>
        <w:rPr>
          <w:rFonts w:ascii="Arial" w:cs="Arial" w:eastAsia="Arial" w:hAnsi="Arial"/>
          <w:sz w:val="9"/>
          <w:szCs w:val="9"/>
          <w:color w:val="auto"/>
        </w:rPr>
        <w:t>Dated: April 26, 2010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HSBC BANK USA, NATIONAL ASSOCIATION, as TRUSTEE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on behalf of Schlumberger N.V.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130810</wp:posOffset>
            </wp:positionV>
            <wp:extent cx="152717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8" w:space="720"/>
            <w:col w:w="7360"/>
          </w:cols>
          <w:pgMar w:left="212" w:top="232" w:right="419" w:bottom="1440" w:gutter="0" w:footer="0" w:header="0"/>
          <w:type w:val="continuous"/>
        </w:sectPr>
      </w:pPr>
    </w:p>
    <w:p>
      <w:pPr>
        <w:spacing w:after="0" w:line="117" w:lineRule="exact"/>
        <w:rPr>
          <w:sz w:val="20"/>
          <w:szCs w:val="20"/>
          <w:color w:val="auto"/>
        </w:rPr>
      </w:pPr>
    </w:p>
    <w:p>
      <w:pPr>
        <w:jc w:val="center"/>
        <w:ind w:right="-207"/>
        <w:spacing w:after="0"/>
        <w:rPr>
          <w:sz w:val="20"/>
          <w:szCs w:val="20"/>
          <w:color w:val="auto"/>
        </w:rPr>
      </w:pPr>
      <w:r>
        <w:rPr>
          <w:rFonts w:ascii="Arial" w:cs="Arial" w:eastAsia="Arial" w:hAnsi="Arial"/>
          <w:sz w:val="12"/>
          <w:szCs w:val="12"/>
          <w:color w:val="auto"/>
        </w:rPr>
        <w:t>NOTICE:</w:t>
      </w:r>
    </w:p>
    <w:p>
      <w:pPr>
        <w:spacing w:after="0" w:line="114" w:lineRule="exact"/>
        <w:rPr>
          <w:sz w:val="20"/>
          <w:szCs w:val="20"/>
          <w:color w:val="auto"/>
        </w:rPr>
      </w:pPr>
    </w:p>
    <w:p>
      <w:pPr>
        <w:ind w:left="8" w:right="220"/>
        <w:spacing w:after="0" w:line="268" w:lineRule="auto"/>
        <w:rPr>
          <w:sz w:val="20"/>
          <w:szCs w:val="20"/>
          <w:color w:val="auto"/>
        </w:rPr>
      </w:pPr>
      <w:r>
        <w:rPr>
          <w:rFonts w:ascii="Arial" w:cs="Arial" w:eastAsia="Arial" w:hAnsi="Arial"/>
          <w:sz w:val="12"/>
          <w:szCs w:val="12"/>
          <w:color w:val="auto"/>
        </w:rPr>
        <w:t>The paying agent will withhold under the United States backup withholding rules 28% of any payment that is made upon redemption of a Debenture unless the holder delivers a properly completed IRS Form W-9 or the holder otherwise establishes an exemption from such backup withholding.</w:t>
      </w:r>
    </w:p>
    <w:p>
      <w:pPr>
        <w:spacing w:after="0" w:line="34" w:lineRule="exact"/>
        <w:rPr>
          <w:sz w:val="20"/>
          <w:szCs w:val="20"/>
          <w:color w:val="auto"/>
        </w:rPr>
      </w:pPr>
    </w:p>
    <w:p>
      <w:pPr>
        <w:ind w:left="468" w:hanging="468"/>
        <w:spacing w:after="0"/>
        <w:tabs>
          <w:tab w:leader="none" w:pos="468" w:val="left"/>
        </w:tabs>
        <w:numPr>
          <w:ilvl w:val="0"/>
          <w:numId w:val="43"/>
        </w:numPr>
        <w:rPr>
          <w:rFonts w:ascii="Arial" w:cs="Arial" w:eastAsia="Arial" w:hAnsi="Arial"/>
          <w:sz w:val="9"/>
          <w:szCs w:val="9"/>
          <w:color w:val="auto"/>
        </w:rPr>
      </w:pPr>
      <w:r>
        <w:rPr>
          <w:rFonts w:ascii="Arial" w:cs="Arial" w:eastAsia="Arial" w:hAnsi="Arial"/>
          <w:sz w:val="9"/>
          <w:szCs w:val="9"/>
          <w:color w:val="auto"/>
        </w:rPr>
        <w:t>No representation is made as to the correctness of such numbers either as printed on the Debentures or as contained in this notice of redemption, and reliance may be placed only on the other identification printed on the Debentures.</w:t>
      </w:r>
    </w:p>
    <w:sectPr>
      <w:pgSz w:w="11900" w:h="16838" w:orient="portrait"/>
      <w:cols w:equalWidth="0" w:num="1">
        <w:col w:w="11268"/>
      </w:cols>
      <w:pgMar w:left="212" w:top="232"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lvl w:ilvl="1">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7"/>
    </w:lvl>
  </w:abstractNum>
  <w:abstractNum w:abstractNumId="33">
    <w:nsid w:val="2463B9EA"/>
    <w:multiLevelType w:val="hybridMultilevel"/>
    <w:lvl w:ilvl="0">
      <w:lvlJc w:val="left"/>
      <w:lvlText w:val="(%1)"/>
      <w:numFmt w:val="lowerLetter"/>
      <w:start w:val="7"/>
    </w:lvl>
  </w:abstractNum>
  <w:abstractNum w:abstractNumId="34">
    <w:nsid w:val="5E884ADC"/>
    <w:multiLevelType w:val="hybridMultilevel"/>
    <w:lvl w:ilvl="0">
      <w:lvlJc w:val="left"/>
      <w:lvlText w:val="(%1)"/>
      <w:numFmt w:val="lowerRoman"/>
      <w:start w:val="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emdash "/>
      <w:numFmt w:val="bullet"/>
      <w:start w:val="1"/>
    </w:lvl>
  </w:abstractNum>
  <w:abstractNum w:abstractNumId="40">
    <w:nsid w:val="70A64E2A"/>
    <w:multiLevelType w:val="hybridMultilevel"/>
    <w:lvl w:ilvl="0">
      <w:lvlJc w:val="left"/>
      <w:lvlText w:val="\emdash "/>
      <w:numFmt w:val="bullet"/>
      <w:start w:val="1"/>
    </w:lvl>
  </w:abstractNum>
  <w:abstractNum w:abstractNumId="41">
    <w:nsid w:val="6A2342EC"/>
    <w:multiLevelType w:val="hybridMultilevel"/>
    <w:lvl w:ilvl="0">
      <w:lvlJc w:val="left"/>
      <w:lvlText w:val="\emdash "/>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2019-12-10T02:54:16Z</dcterms:created>
  <dcterms:modified xsi:type="dcterms:W3CDTF">2019-12-10T02:54:16Z</dcterms:modified>
</cp:coreProperties>
</file>