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As filed with the Securities and Exchange Commission on October 26, 2020</w:t>
      </w:r>
    </w:p>
    <w:p>
      <w:pPr>
        <w:spacing w:after="0" w:line="4" w:lineRule="exact"/>
        <w:rPr>
          <w:sz w:val="24"/>
          <w:szCs w:val="24"/>
          <w:color w:val="auto"/>
        </w:rPr>
      </w:pPr>
    </w:p>
    <w:p>
      <w:pPr>
        <w:ind w:left="8984"/>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137795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Form S-3</w:t>
      </w:r>
    </w:p>
    <w:p>
      <w:pPr>
        <w:spacing w:after="0" w:line="1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REGISTRATION STATEMENT</w:t>
      </w:r>
    </w:p>
    <w:p>
      <w:pPr>
        <w:jc w:val="center"/>
        <w:ind w:right="-3"/>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135890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SCHLUMBERGER N.V.</w:t>
      </w:r>
    </w:p>
    <w:p>
      <w:pPr>
        <w:spacing w:after="0" w:line="35"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(SCHLUMBERGER LIMITED)</w:t>
      </w: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tbl>
      <w:tblPr>
        <w:tblLayout w:type="fixed"/>
        <w:tblInd w:w="804" w:type="dxa"/>
        <w:tblCellMar>
          <w:top w:w="0" w:type="dxa"/>
          <w:left w:w="0" w:type="dxa"/>
          <w:bottom w:w="0" w:type="dxa"/>
          <w:right w:w="0" w:type="dxa"/>
        </w:tblCellMar>
      </w:tblPr>
      <w:tr>
        <w:trPr>
          <w:trHeight w:val="203"/>
        </w:trPr>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3"/>
              </w:rPr>
              <w:t>Curaçao</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89"/>
              </w:rPr>
              <w:t>1389</w:t>
            </w:r>
          </w:p>
        </w:tc>
        <w:tc>
          <w:tcPr>
            <w:tcW w:w="2380" w:type="dxa"/>
            <w:vAlign w:val="bottom"/>
          </w:tcPr>
          <w:p>
            <w:pPr>
              <w:jc w:val="center"/>
              <w:ind w:left="679"/>
              <w:spacing w:after="0"/>
              <w:rPr>
                <w:sz w:val="20"/>
                <w:szCs w:val="20"/>
                <w:color w:val="auto"/>
              </w:rPr>
            </w:pPr>
            <w:r>
              <w:rPr>
                <w:rFonts w:ascii="Arial" w:cs="Arial" w:eastAsia="Arial" w:hAnsi="Arial"/>
                <w:sz w:val="16"/>
                <w:szCs w:val="16"/>
                <w:b w:val="1"/>
                <w:bCs w:val="1"/>
                <w:color w:val="auto"/>
                <w:w w:val="91"/>
              </w:rPr>
              <w:t>52-0684746</w:t>
            </w:r>
          </w:p>
        </w:tc>
      </w:tr>
      <w:tr>
        <w:trPr>
          <w:trHeight w:val="203"/>
        </w:trPr>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w w:val="91"/>
              </w:rPr>
              <w:t>(State or other jurisdiction of</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5"/>
              </w:rPr>
              <w:t>(Primary Standard Industrial</w:t>
            </w:r>
          </w:p>
        </w:tc>
        <w:tc>
          <w:tcPr>
            <w:tcW w:w="2380" w:type="dxa"/>
            <w:vAlign w:val="bottom"/>
          </w:tcPr>
          <w:p>
            <w:pPr>
              <w:jc w:val="center"/>
              <w:ind w:left="67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2"/>
              </w:rPr>
              <w:t>incorporation or organization)</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Classification Code Number)</w:t>
            </w:r>
          </w:p>
        </w:tc>
        <w:tc>
          <w:tcPr>
            <w:tcW w:w="2380" w:type="dxa"/>
            <w:vAlign w:val="bottom"/>
          </w:tcPr>
          <w:p>
            <w:pPr>
              <w:jc w:val="center"/>
              <w:ind w:left="679"/>
              <w:spacing w:after="0"/>
              <w:rPr>
                <w:sz w:val="20"/>
                <w:szCs w:val="20"/>
                <w:color w:val="auto"/>
              </w:rPr>
            </w:pPr>
            <w:r>
              <w:rPr>
                <w:rFonts w:ascii="Arial" w:cs="Arial" w:eastAsia="Arial" w:hAnsi="Arial"/>
                <w:sz w:val="16"/>
                <w:szCs w:val="16"/>
                <w:b w:val="1"/>
                <w:bCs w:val="1"/>
                <w:color w:val="auto"/>
                <w:w w:val="95"/>
              </w:rPr>
              <w:t>Identification Number)</w:t>
            </w:r>
          </w:p>
        </w:tc>
      </w:tr>
      <w:tr>
        <w:trPr>
          <w:trHeight w:val="208"/>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42 rue Saint-Dominique</w:t>
            </w:r>
          </w:p>
        </w:tc>
        <w:tc>
          <w:tcPr>
            <w:tcW w:w="2380" w:type="dxa"/>
            <w:vAlign w:val="bottom"/>
          </w:tcPr>
          <w:p>
            <w:pPr>
              <w:spacing w:after="0"/>
              <w:rPr>
                <w:sz w:val="18"/>
                <w:szCs w:val="18"/>
                <w:color w:val="auto"/>
              </w:rPr>
            </w:pPr>
          </w:p>
        </w:tc>
      </w:tr>
      <w:tr>
        <w:trPr>
          <w:trHeight w:val="203"/>
        </w:trPr>
        <w:tc>
          <w:tcPr>
            <w:tcW w:w="28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0"/>
              </w:rPr>
              <w:t>Paris, France 75007</w:t>
            </w:r>
          </w:p>
        </w:tc>
        <w:tc>
          <w:tcPr>
            <w:tcW w:w="238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+33 1-4062-1000</w:t>
            </w:r>
          </w:p>
        </w:tc>
        <w:tc>
          <w:tcPr>
            <w:tcW w:w="2380" w:type="dxa"/>
            <w:vAlign w:val="bottom"/>
          </w:tcPr>
          <w:p>
            <w:pPr>
              <w:spacing w:after="0"/>
              <w:rPr>
                <w:sz w:val="18"/>
                <w:szCs w:val="18"/>
                <w:color w:val="auto"/>
              </w:rPr>
            </w:pPr>
          </w:p>
        </w:tc>
      </w:tr>
      <w:tr>
        <w:trPr>
          <w:trHeight w:val="208"/>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5599 San Felipe, 17th Floor</w:t>
            </w:r>
          </w:p>
        </w:tc>
        <w:tc>
          <w:tcPr>
            <w:tcW w:w="2380" w:type="dxa"/>
            <w:vAlign w:val="bottom"/>
          </w:tcPr>
          <w:p>
            <w:pPr>
              <w:spacing w:after="0"/>
              <w:rPr>
                <w:sz w:val="18"/>
                <w:szCs w:val="18"/>
                <w:color w:val="auto"/>
              </w:rPr>
            </w:pPr>
          </w:p>
        </w:tc>
      </w:tr>
      <w:tr>
        <w:trPr>
          <w:trHeight w:val="203"/>
        </w:trPr>
        <w:tc>
          <w:tcPr>
            <w:tcW w:w="28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Houston, Texas, U.S.A. 77056</w:t>
            </w:r>
          </w:p>
        </w:tc>
        <w:tc>
          <w:tcPr>
            <w:tcW w:w="238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(713) 513-2000</w:t>
            </w:r>
          </w:p>
        </w:tc>
        <w:tc>
          <w:tcPr>
            <w:tcW w:w="2380" w:type="dxa"/>
            <w:vAlign w:val="bottom"/>
          </w:tcPr>
          <w:p>
            <w:pPr>
              <w:spacing w:after="0"/>
              <w:rPr>
                <w:sz w:val="18"/>
                <w:szCs w:val="18"/>
                <w:color w:val="auto"/>
              </w:rPr>
            </w:pPr>
          </w:p>
        </w:tc>
      </w:tr>
      <w:tr>
        <w:trPr>
          <w:trHeight w:val="208"/>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2"/>
              </w:rPr>
              <w:t>62 Buckingham Gate</w:t>
            </w:r>
          </w:p>
        </w:tc>
        <w:tc>
          <w:tcPr>
            <w:tcW w:w="2380" w:type="dxa"/>
            <w:vAlign w:val="bottom"/>
          </w:tcPr>
          <w:p>
            <w:pPr>
              <w:spacing w:after="0"/>
              <w:rPr>
                <w:sz w:val="18"/>
                <w:szCs w:val="18"/>
                <w:color w:val="auto"/>
              </w:rPr>
            </w:pPr>
          </w:p>
        </w:tc>
      </w:tr>
      <w:tr>
        <w:trPr>
          <w:trHeight w:val="203"/>
        </w:trPr>
        <w:tc>
          <w:tcPr>
            <w:tcW w:w="28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3"/>
              </w:rPr>
              <w:t>London, United Kingdom SW1E 6AJ</w:t>
            </w:r>
          </w:p>
        </w:tc>
        <w:tc>
          <w:tcPr>
            <w:tcW w:w="238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+44 20-3708-3000</w:t>
            </w:r>
          </w:p>
        </w:tc>
        <w:tc>
          <w:tcPr>
            <w:tcW w:w="2380" w:type="dxa"/>
            <w:vAlign w:val="bottom"/>
          </w:tcPr>
          <w:p>
            <w:pPr>
              <w:spacing w:after="0"/>
              <w:rPr>
                <w:sz w:val="18"/>
                <w:szCs w:val="18"/>
                <w:color w:val="auto"/>
              </w:rPr>
            </w:pPr>
          </w:p>
        </w:tc>
      </w:tr>
      <w:tr>
        <w:trPr>
          <w:trHeight w:val="208"/>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5"/>
              </w:rPr>
              <w:t>Parkstraat 83</w:t>
            </w:r>
          </w:p>
        </w:tc>
        <w:tc>
          <w:tcPr>
            <w:tcW w:w="2380" w:type="dxa"/>
            <w:vAlign w:val="bottom"/>
          </w:tcPr>
          <w:p>
            <w:pPr>
              <w:spacing w:after="0"/>
              <w:rPr>
                <w:sz w:val="18"/>
                <w:szCs w:val="18"/>
                <w:color w:val="auto"/>
              </w:rPr>
            </w:pPr>
          </w:p>
        </w:tc>
      </w:tr>
      <w:tr>
        <w:trPr>
          <w:trHeight w:val="203"/>
        </w:trPr>
        <w:tc>
          <w:tcPr>
            <w:tcW w:w="28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2"/>
              </w:rPr>
              <w:t>The Hague, The Netherlands 2514 JG</w:t>
            </w:r>
          </w:p>
        </w:tc>
        <w:tc>
          <w:tcPr>
            <w:tcW w:w="238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91"/>
              </w:rPr>
              <w:t>31-70-310-5400</w:t>
            </w:r>
          </w:p>
        </w:tc>
        <w:tc>
          <w:tcPr>
            <w:tcW w:w="2380" w:type="dxa"/>
            <w:vAlign w:val="bottom"/>
          </w:tcPr>
          <w:p>
            <w:pPr>
              <w:spacing w:after="0"/>
              <w:rPr>
                <w:sz w:val="18"/>
                <w:szCs w:val="18"/>
                <w:color w:val="auto"/>
              </w:rPr>
            </w:pPr>
          </w:p>
        </w:tc>
      </w:tr>
    </w:tbl>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(Address, including zip code, and telephone number,</w:t>
      </w:r>
    </w:p>
    <w:p>
      <w:pPr>
        <w:jc w:val="center"/>
        <w:ind w:right="-3"/>
        <w:spacing w:after="0"/>
        <w:rPr>
          <w:sz w:val="20"/>
          <w:szCs w:val="20"/>
          <w:color w:val="auto"/>
        </w:rPr>
      </w:pPr>
      <w:r>
        <w:rPr>
          <w:rFonts w:ascii="Arial" w:cs="Arial" w:eastAsia="Arial" w:hAnsi="Arial"/>
          <w:sz w:val="13"/>
          <w:szCs w:val="13"/>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Saul R. Laureles</w:t>
      </w:r>
    </w:p>
    <w:p>
      <w:pPr>
        <w:spacing w:after="0" w:line="2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Director, Corporate Legal Affairs</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Schlumberger Limited</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5599 San Felipe, 17th Floor</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Houston, Texas, U.S.A. 77056</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( 713) 513-2000</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123190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the effective date of this Registration Statement, as determined by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122555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ind w:left="324"/>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4" w:right="80" w:firstLine="33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4" w:right="80" w:firstLine="33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2" w:lineRule="exact"/>
        <w:rPr>
          <w:sz w:val="24"/>
          <w:szCs w:val="24"/>
          <w:color w:val="auto"/>
        </w:rPr>
      </w:pPr>
    </w:p>
    <w:p>
      <w:pPr>
        <w:ind w:left="4" w:right="520" w:firstLine="33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4" w:right="180" w:firstLine="33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4" w:right="40" w:firstLine="330"/>
        <w:spacing w:after="0" w:line="162"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113030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left="4" w:right="220" w:firstLine="33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2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700"/>
              <w:spacing w:after="0"/>
              <w:rPr>
                <w:sz w:val="20"/>
                <w:szCs w:val="20"/>
                <w:color w:val="auto"/>
              </w:rPr>
            </w:pPr>
            <w:r>
              <w:rPr>
                <w:rFonts w:ascii="Arial" w:cs="Arial" w:eastAsia="Arial" w:hAnsi="Arial"/>
                <w:sz w:val="14"/>
                <w:szCs w:val="14"/>
                <w:color w:val="auto"/>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2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700"/>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2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40" w:type="dxa"/>
            <w:vAlign w:val="bottom"/>
          </w:tcPr>
          <w:p>
            <w:pPr>
              <w:ind w:left="1700"/>
              <w:spacing w:after="0"/>
              <w:rPr>
                <w:sz w:val="20"/>
                <w:szCs w:val="20"/>
                <w:color w:val="auto"/>
              </w:rPr>
            </w:pPr>
            <w:r>
              <w:rPr>
                <w:rFonts w:ascii="Arial" w:cs="Arial" w:eastAsia="Arial" w:hAnsi="Arial"/>
                <w:sz w:val="14"/>
                <w:szCs w:val="14"/>
                <w:color w:val="auto"/>
              </w:rPr>
              <w:t>Emerging growth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6" w:lineRule="exact"/>
        <w:rPr>
          <w:sz w:val="24"/>
          <w:szCs w:val="24"/>
          <w:color w:val="auto"/>
        </w:rPr>
      </w:pPr>
    </w:p>
    <w:p>
      <w:pPr>
        <w:jc w:val="both"/>
        <w:ind w:left="4" w:right="1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113030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30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34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 Offering</w:t>
            </w:r>
          </w:p>
        </w:tc>
        <w:tc>
          <w:tcPr>
            <w:tcW w:w="13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3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4880" w:type="dxa"/>
            <w:vAlign w:val="bottom"/>
            <w:tcBorders>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Debt Securities, Common Stock, Guarantees of Debt Securities (1)</w:t>
            </w:r>
          </w:p>
        </w:tc>
        <w:tc>
          <w:tcPr>
            <w:tcW w:w="13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8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3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640" w:type="dxa"/>
            <w:vAlign w:val="bottom"/>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4" w:hanging="324"/>
        <w:spacing w:after="0" w:line="231" w:lineRule="auto"/>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Any securities registered hereunder may be sold separately or as units with other securities registered hereunder.</w:t>
      </w:r>
    </w:p>
    <w:p>
      <w:pPr>
        <w:ind w:left="324" w:hanging="324"/>
        <w:spacing w:after="0" w:line="234" w:lineRule="auto"/>
        <w:tabs>
          <w:tab w:leader="none" w:pos="324" w:val="left"/>
        </w:tabs>
        <w:numPr>
          <w:ilvl w:val="0"/>
          <w:numId w:val="1"/>
        </w:numPr>
        <w:rPr>
          <w:rFonts w:ascii="Arial" w:cs="Arial" w:eastAsia="Arial" w:hAnsi="Arial"/>
          <w:sz w:val="12"/>
          <w:szCs w:val="12"/>
          <w:color w:val="auto"/>
        </w:rPr>
      </w:pPr>
      <w:r>
        <w:rPr>
          <w:rFonts w:ascii="Arial" w:cs="Arial" w:eastAsia="Arial" w:hAnsi="Arial"/>
          <w:sz w:val="12"/>
          <w:szCs w:val="12"/>
          <w:color w:val="auto"/>
        </w:rPr>
        <w:t>Omitted pursuant to General Instructions II.E of Form S-3. An indeterminate amount of securities of each identified class is being registered as may from time to time be issued at indeterminate prices.</w:t>
      </w:r>
    </w:p>
    <w:p>
      <w:pPr>
        <w:ind w:left="324" w:hanging="324"/>
        <w:spacing w:after="0"/>
        <w:tabs>
          <w:tab w:leader="none" w:pos="324"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Rules 456(b) and 457(r) of the Securities Act, the registrant is deferring payment of all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5" w:right="439" w:bottom="1031"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171450</wp:posOffset>
            </wp:positionV>
            <wp:extent cx="150876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Schlumberger N.V.</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auto"/>
        </w:rPr>
        <w:t>(Schlumberger Limited)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ind w:right="360" w:firstLine="440"/>
        <w:spacing w:after="0" w:line="259" w:lineRule="auto"/>
        <w:rPr>
          <w:sz w:val="20"/>
          <w:szCs w:val="20"/>
          <w:color w:val="auto"/>
        </w:rPr>
      </w:pPr>
      <w:r>
        <w:rPr>
          <w:rFonts w:ascii="Arial" w:cs="Arial" w:eastAsia="Arial" w:hAnsi="Arial"/>
          <w:sz w:val="18"/>
          <w:szCs w:val="18"/>
          <w:color w:val="auto"/>
        </w:rPr>
        <w:t>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under the symbol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246380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Investing in our securities involves risks. You should carefully consider the information in the “Risk Factors” section beginning on page 5 of this prospectus, including those risks incorporated by reference in this prospectus and in any prospectus supplement, before you decide whether to buy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October 26, 2020</w:t>
      </w:r>
    </w:p>
    <w:p>
      <w:pPr>
        <w:sectPr>
          <w:pgSz w:w="11900" w:h="16838" w:orient="portrait"/>
          <w:cols w:equalWidth="0" w:num="1">
            <w:col w:w="10940"/>
          </w:cols>
          <w:pgMar w:left="440" w:top="27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280" w:type="dxa"/>
            <w:vAlign w:val="bottom"/>
          </w:tcPr>
          <w:p>
            <w:pPr>
              <w:jc w:val="right"/>
              <w:ind w:right="4690"/>
              <w:spacing w:after="0"/>
              <w:rPr>
                <w:sz w:val="20"/>
                <w:szCs w:val="20"/>
                <w:color w:val="auto"/>
              </w:rPr>
            </w:pPr>
            <w:r>
              <w:rPr>
                <w:rFonts w:ascii="Arial" w:cs="Arial" w:eastAsia="Arial" w:hAnsi="Arial"/>
                <w:sz w:val="18"/>
                <w:szCs w:val="18"/>
                <w:b w:val="1"/>
                <w:bCs w:val="1"/>
                <w:color w:val="auto"/>
                <w:w w:val="97"/>
              </w:rPr>
              <w:t>Table of Contents</w:t>
            </w:r>
          </w:p>
        </w:tc>
      </w:tr>
      <w:tr>
        <w:trPr>
          <w:trHeight w:val="445"/>
        </w:trPr>
        <w:tc>
          <w:tcPr>
            <w:tcW w:w="4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Common Stock</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Guarantees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6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Experts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and in any accompanying prospectus supplement or in any related free writing prospectus. We have not authorized any other person to provide you with different information with respect to this offering. This document may only be used where it is legal to sell these securities. You should assume that the information appearing in this prospectus or in any prospectus supplement is accurate as of the date on the front cover of those documents only. Our business, properties, assets, results of operations, financial position or prospects may have changed since that date. Neither the delivery of this prospectus nor of any prospectus supplement, nor any sale made thereunder, will imply that the information herein is correct as of any date after the date on the cover of those documents. We are not making an offer of these securities in any jurisdiction where the offer is not permitted.</w:t>
      </w:r>
    </w:p>
    <w:p>
      <w:pPr>
        <w:sectPr>
          <w:pgSz w:w="11900" w:h="16838" w:orient="portrait"/>
          <w:cols w:equalWidth="0" w:num="1">
            <w:col w:w="10960"/>
          </w:cols>
          <w:pgMar w:left="440" w:top="270" w:right="49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this Prospectus</w:t>
      </w:r>
    </w:p>
    <w:p>
      <w:pPr>
        <w:spacing w:after="0" w:line="229"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4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To understand the terms of our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as described under “Where You Can Find More Information.”</w:t>
      </w:r>
    </w:p>
    <w:p>
      <w:pPr>
        <w:spacing w:after="0" w:line="17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to the “Company,” “Schlumberger,” “we” or “our” are to Schlumberger Limited and its consolidated subsidiaries.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0" w:right="51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the Company</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are the world’s leading provider of technology and digital solutions for reservoir characterization, drilling, production, and processing to the energy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September 30, 2020, we employed approximately 82,000 people representing over 170 nationalities.</w:t>
      </w:r>
    </w:p>
    <w:p>
      <w:pPr>
        <w:spacing w:after="0" w:line="15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Schlumberger was founded in 1926 and is incorporated under the laws of Curaçao, with executive offices in Paris, Houston, London and The Hague. Our executive offices in the United States are at 5599 San Felipe, Houston, Texas 77056, and our telephone number is (713) 513-2000.</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440" w:top="270" w:right="6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5 and in the documents incorporated by reference herein, could affect the future results of the energy industry in general, and Schlumberger in particular, and could cause those results to differ materially from those expressed in or implied by such forward-looking statements:</w:t>
      </w:r>
    </w:p>
    <w:p>
      <w:pPr>
        <w:spacing w:after="0" w:line="82" w:lineRule="exact"/>
        <w:rPr>
          <w:sz w:val="20"/>
          <w:szCs w:val="20"/>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forecasts or expectations regarding business outlook;</w:t>
      </w:r>
    </w:p>
    <w:p>
      <w:pPr>
        <w:spacing w:after="0" w:line="130" w:lineRule="exact"/>
        <w:rPr>
          <w:rFonts w:ascii="Arial" w:cs="Arial" w:eastAsia="Arial" w:hAnsi="Arial"/>
          <w:sz w:val="18"/>
          <w:szCs w:val="18"/>
          <w:color w:val="auto"/>
        </w:rPr>
      </w:pPr>
    </w:p>
    <w:p>
      <w:pPr>
        <w:ind w:left="1300" w:right="240" w:hanging="319"/>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for Schlumberger as a whole and for each of our divisions (and for specified business lines or geographic areas within each division);</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response to, and preparedness for, the COVID-19 pandemic and other widespread health emergencies;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access to raw materials;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by Schlumberger and the oil and gas industry;</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strategies of Schlumberger and those of our customers;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digital strategy;</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strategy for our North America operations;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benefits of, or timing to complete, any proposed transaction;</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restructuring efforts and charges recorded as a result of such efforts;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Asset Performance Solutions projects, joint ventures and alliances;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global economic and geopolitical conditions;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results of operations, such as margin levels.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300" w:hanging="319"/>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global economic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6" w:name="page7"/>
    <w:bookmarkEnd w:id="6"/>
    <w:p>
      <w:pPr>
        <w:ind w:left="1300" w:right="380" w:hanging="319"/>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in exploration and production spending by our customers, and changes in the level of oil and natural gas exploration and development;</w:t>
      </w:r>
    </w:p>
    <w:p>
      <w:pPr>
        <w:spacing w:after="0" w:line="75" w:lineRule="exact"/>
        <w:rPr>
          <w:rFonts w:ascii="Arial" w:cs="Arial" w:eastAsia="Arial" w:hAnsi="Arial"/>
          <w:sz w:val="18"/>
          <w:szCs w:val="18"/>
          <w:color w:val="auto"/>
        </w:rPr>
      </w:pPr>
    </w:p>
    <w:p>
      <w:pPr>
        <w:ind w:left="1300" w:right="60" w:hanging="319"/>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operations and financial condition of our customers and suppliers, particularly during extended periods of low prices for crude oil and natural gas;</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achieve our financial and performance targets and other forecasts and expectations;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sufficiently monetize assets;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of future charges;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geopolitical and business conditions in key regions of the world;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effects of health pandemics;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our supply chain;</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300" w:right="220" w:hanging="319"/>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recognize intended benefits from our business strategies and initiatives, such as digital or new energy, as well as our restructuring and structural cost reduction plans;</w:t>
      </w:r>
    </w:p>
    <w:p>
      <w:pPr>
        <w:spacing w:after="0" w:line="75" w:lineRule="exact"/>
        <w:rPr>
          <w:rFonts w:ascii="Arial" w:cs="Arial" w:eastAsia="Arial" w:hAnsi="Arial"/>
          <w:sz w:val="18"/>
          <w:szCs w:val="18"/>
          <w:color w:val="auto"/>
        </w:rPr>
      </w:pPr>
    </w:p>
    <w:p>
      <w:pPr>
        <w:ind w:left="1300" w:right="800" w:hanging="319"/>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51" w:lineRule="exact"/>
        <w:rPr>
          <w:rFonts w:ascii="Arial" w:cs="Arial" w:eastAsia="Arial" w:hAnsi="Arial"/>
          <w:sz w:val="17"/>
          <w:szCs w:val="17"/>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competitiveness of alternative energy sources or product substitutes; and</w:t>
      </w:r>
    </w:p>
    <w:p>
      <w:pPr>
        <w:spacing w:after="0" w:line="130" w:lineRule="exact"/>
        <w:rPr>
          <w:rFonts w:ascii="Arial" w:cs="Arial" w:eastAsia="Arial" w:hAnsi="Arial"/>
          <w:sz w:val="18"/>
          <w:szCs w:val="18"/>
          <w:color w:val="auto"/>
        </w:rPr>
      </w:pPr>
    </w:p>
    <w:p>
      <w:pPr>
        <w:ind w:left="1300" w:right="100" w:hanging="319"/>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detailed in this prospectus and our most recent Forms 10-K, 10-Q, and 8-K filed with or furnished to the SEC.</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If one or more of these or other risks or uncertainties materialize (or the consequences of any such development changes), or should our underlying assumptions prove incorrect, actual outcomes may vary materially from those reflected in our forward-looking statements.</w:t>
      </w:r>
    </w:p>
    <w:p>
      <w:pPr>
        <w:spacing w:after="0" w:line="14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Schlumberger disclaims any intention or obligation to update publicly or revise such statements, whether as a result of new information, future events or otherwise.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Investing in our securities involves risk. You should carefully consider the risks described in the documents incorporated by reference in this prospectus, including the “Risk Factors” and “Management’s Discussion and Analysis of Financial Condition and Results of Operations” sections of our Annual Report on Form 10-K for the fiscal year ended December 31, 2019 and our Quarterly Reports on Form 10-Q for the fiscal quarters ended March 31, 2020, June 30, 2020, and September 30, 2020, respectively,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You Can Find More Information</w:t>
      </w:r>
    </w:p>
    <w:p>
      <w:pPr>
        <w:spacing w:after="0" w:line="229"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download any materials we file with the SEC over the Internet from several commercial document retrieval services, as well as at the SEC’s website at www.sec.gov.</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also make available, free of charge through our Investor Relations website at www.investorcenter.slb.com, access to our SEC filings as soon as reasonably practicable after such material is filed with or furnished to the SEC. Copies are also available, without charge, from Schlumberger Investor Relations, 5599 San Felipe, 17th Floor, Houston, Texas 77056.</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our website) is intended or deemed to be incorporated by reference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Incorporation of Documents by Reference</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we have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w:t>
      </w:r>
    </w:p>
    <w:p>
      <w:pPr>
        <w:spacing w:after="0" w:line="18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We are incorporating by reference into this prospectus our filings listed below and any additional documents that we may file with the SEC pursuant to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63" w:lineRule="exact"/>
        <w:rPr>
          <w:sz w:val="20"/>
          <w:szCs w:val="20"/>
          <w:color w:val="auto"/>
        </w:rPr>
      </w:pPr>
    </w:p>
    <w:p>
      <w:pPr>
        <w:ind w:left="1300" w:right="80" w:hanging="319"/>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our </w:t>
      </w:r>
      <w:hyperlink r:id="rId35">
        <w:r>
          <w:rPr>
            <w:rFonts w:ascii="Arial" w:cs="Arial" w:eastAsia="Arial" w:hAnsi="Arial"/>
            <w:sz w:val="17"/>
            <w:szCs w:val="17"/>
            <w:u w:val="single" w:color="auto"/>
            <w:color w:val="0000EE"/>
          </w:rPr>
          <w:t>Annual Report on Form 10-K for the fiscal year ended December 31, 2019</w:t>
        </w:r>
      </w:hyperlink>
      <w:r>
        <w:rPr>
          <w:rFonts w:ascii="Arial" w:cs="Arial" w:eastAsia="Arial" w:hAnsi="Arial"/>
          <w:sz w:val="17"/>
          <w:szCs w:val="17"/>
          <w:color w:val="auto"/>
        </w:rPr>
        <w:t xml:space="preserve">, as filed with the SEC on January 22, 2020 (including the portions of our </w:t>
      </w:r>
      <w:hyperlink r:id="rId36">
        <w:r>
          <w:rPr>
            <w:rFonts w:ascii="Arial" w:cs="Arial" w:eastAsia="Arial" w:hAnsi="Arial"/>
            <w:sz w:val="17"/>
            <w:szCs w:val="17"/>
            <w:u w:val="single" w:color="auto"/>
            <w:color w:val="0000EE"/>
          </w:rPr>
          <w:t>proxy statement for our 2020 annual meeting of stockholders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by reference therein);</w:t>
      </w:r>
    </w:p>
    <w:p>
      <w:pPr>
        <w:spacing w:after="0" w:line="51" w:lineRule="exact"/>
        <w:rPr>
          <w:rFonts w:ascii="Arial" w:cs="Arial" w:eastAsia="Arial" w:hAnsi="Arial"/>
          <w:sz w:val="17"/>
          <w:szCs w:val="17"/>
          <w:color w:val="auto"/>
        </w:rPr>
      </w:pPr>
    </w:p>
    <w:p>
      <w:pPr>
        <w:ind w:left="1300" w:right="200" w:hanging="319"/>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37">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June 30,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9">
        <w:r>
          <w:rPr>
            <w:rFonts w:ascii="Arial" w:cs="Arial" w:eastAsia="Arial" w:hAnsi="Arial"/>
            <w:sz w:val="18"/>
            <w:szCs w:val="18"/>
            <w:u w:val="single" w:color="auto"/>
            <w:color w:val="0000EE"/>
          </w:rPr>
          <w:t>September 30, 2020</w:t>
        </w:r>
      </w:hyperlink>
      <w:r>
        <w:rPr>
          <w:rFonts w:ascii="Arial" w:cs="Arial" w:eastAsia="Arial" w:hAnsi="Arial"/>
          <w:sz w:val="18"/>
          <w:szCs w:val="18"/>
          <w:color w:val="auto"/>
        </w:rPr>
        <w:t>, as filed with the SEC on April 22, 2020, July 29, 2020 and October 21, 2020, respectively;</w:t>
      </w:r>
    </w:p>
    <w:p>
      <w:pPr>
        <w:spacing w:after="0" w:line="75" w:lineRule="exact"/>
        <w:rPr>
          <w:rFonts w:ascii="Arial" w:cs="Arial" w:eastAsia="Arial" w:hAnsi="Arial"/>
          <w:sz w:val="18"/>
          <w:szCs w:val="18"/>
          <w:color w:val="auto"/>
        </w:rPr>
      </w:pPr>
    </w:p>
    <w:p>
      <w:pPr>
        <w:ind w:left="1300" w:right="140" w:hanging="319"/>
        <w:spacing w:after="0" w:line="263" w:lineRule="auto"/>
        <w:tabs>
          <w:tab w:leader="none" w:pos="1300" w:val="left"/>
        </w:tabs>
        <w:numPr>
          <w:ilvl w:val="0"/>
          <w:numId w:val="5"/>
        </w:numPr>
        <w:rPr>
          <w:rFonts w:ascii="Arial" w:cs="Arial" w:eastAsia="Arial" w:hAnsi="Arial"/>
          <w:sz w:val="18"/>
          <w:szCs w:val="18"/>
          <w:color w:val="0000EE"/>
        </w:rPr>
      </w:pPr>
      <w:hyperlink r:id="rId40">
        <w:r>
          <w:rPr>
            <w:rFonts w:ascii="Arial" w:cs="Arial" w:eastAsia="Arial" w:hAnsi="Arial"/>
            <w:sz w:val="18"/>
            <w:szCs w:val="18"/>
            <w:u w:val="single" w:color="auto"/>
            <w:color w:val="auto"/>
          </w:rPr>
          <w:t xml:space="preserve">our Current Reports on Form 8-K as filed with the SEC on </w:t>
        </w:r>
        <w:r>
          <w:rPr>
            <w:rFonts w:ascii="Arial" w:cs="Arial" w:eastAsia="Arial" w:hAnsi="Arial"/>
            <w:sz w:val="18"/>
            <w:szCs w:val="18"/>
            <w:u w:val="single" w:color="auto"/>
            <w:color w:val="0000EE"/>
          </w:rPr>
          <w:t>February 14,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April 17, 2020 (Item 8.01 only)</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EE"/>
          </w:rPr>
          <w:t>June</w:t>
        </w:r>
      </w:hyperlink>
      <w:r>
        <w:rPr>
          <w:rFonts w:ascii="Arial" w:cs="Arial" w:eastAsia="Arial" w:hAnsi="Arial"/>
          <w:sz w:val="18"/>
          <w:szCs w:val="18"/>
          <w:u w:val="single" w:color="auto"/>
          <w:color w:val="auto"/>
        </w:rPr>
        <w:t xml:space="preserve"> </w:t>
      </w:r>
      <w:hyperlink r:id="rId41">
        <w:r>
          <w:rPr>
            <w:rFonts w:ascii="Arial" w:cs="Arial" w:eastAsia="Arial" w:hAnsi="Arial"/>
            <w:sz w:val="18"/>
            <w:szCs w:val="18"/>
            <w:u w:val="single" w:color="auto"/>
            <w:color w:val="0000EE"/>
          </w:rPr>
          <w:t>16, 2020 (Item 2.05 only)</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26,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July 24, 2020 (Item 5.02 only)</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August 11,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September 18, 2020 </w:t>
        </w:r>
        <w:r>
          <w:rPr>
            <w:rFonts w:ascii="Arial" w:cs="Arial" w:eastAsia="Arial" w:hAnsi="Arial"/>
            <w:sz w:val="18"/>
            <w:szCs w:val="18"/>
            <w:u w:val="single" w:color="auto"/>
            <w:color w:val="000000"/>
          </w:rPr>
          <w:t>and</w:t>
        </w:r>
        <w:r>
          <w:rPr>
            <w:rFonts w:ascii="Arial" w:cs="Arial" w:eastAsia="Arial" w:hAnsi="Arial"/>
            <w:sz w:val="18"/>
            <w:szCs w:val="18"/>
            <w:u w:val="single" w:color="auto"/>
            <w:color w:val="0000EE"/>
          </w:rPr>
          <w:t xml:space="preserve"> October 19,</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2020</w:t>
        </w:r>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300" w:right="320" w:hanging="319"/>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description of our common stock, par value $0.01, contained in </w:t>
      </w:r>
      <w:hyperlink r:id="rId42">
        <w:r>
          <w:rPr>
            <w:rFonts w:ascii="Arial" w:cs="Arial" w:eastAsia="Arial" w:hAnsi="Arial"/>
            <w:sz w:val="17"/>
            <w:szCs w:val="17"/>
            <w:u w:val="single" w:color="auto"/>
            <w:color w:val="0000EE"/>
          </w:rPr>
          <w:t>Exhibit 4.1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Annual Report on Form 10-K for the fiscal year ended December 31, 2019, as filed with the SEC on January 22, 2020, and as subsequently amended or updated.</w:t>
      </w:r>
    </w:p>
    <w:p>
      <w:pPr>
        <w:spacing w:after="0" w:line="146" w:lineRule="exact"/>
        <w:rPr>
          <w:rFonts w:ascii="Arial" w:cs="Arial" w:eastAsia="Arial" w:hAnsi="Arial"/>
          <w:sz w:val="18"/>
          <w:szCs w:val="18"/>
          <w:u w:val="single" w:color="auto"/>
          <w:color w:val="0000EE"/>
        </w:rPr>
      </w:pPr>
    </w:p>
    <w:p>
      <w:pPr>
        <w:ind w:right="40" w:firstLine="440"/>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92" w:lineRule="exact"/>
        <w:rPr>
          <w:rFonts w:ascii="Arial" w:cs="Arial" w:eastAsia="Arial" w:hAnsi="Arial"/>
          <w:sz w:val="18"/>
          <w:szCs w:val="18"/>
          <w:u w:val="single" w:color="auto"/>
          <w:color w:val="0000EE"/>
        </w:rPr>
      </w:pPr>
    </w:p>
    <w:p>
      <w:pPr>
        <w:jc w:val="both"/>
        <w:ind w:right="840" w:firstLine="440"/>
        <w:spacing w:after="0" w:line="26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84" w:lineRule="exact"/>
        <w:rPr>
          <w:rFonts w:ascii="Arial" w:cs="Arial" w:eastAsia="Arial" w:hAnsi="Arial"/>
          <w:sz w:val="18"/>
          <w:szCs w:val="18"/>
          <w:u w:val="single" w:color="auto"/>
          <w:color w:val="0000EE"/>
        </w:rPr>
      </w:pPr>
    </w:p>
    <w:p>
      <w:pPr>
        <w:ind w:firstLine="440"/>
        <w:spacing w:after="0" w:line="26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1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Limited</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940" w:hanging="438"/>
        <w:spacing w:after="0"/>
        <w:tabs>
          <w:tab w:leader="none" w:pos="4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375-3535</w:t>
      </w:r>
    </w:p>
    <w:p>
      <w:pPr>
        <w:spacing w:after="0" w:line="9"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8</w:t>
      </w:r>
    </w:p>
    <w:p>
      <w:pPr>
        <w:sectPr>
          <w:pgSz w:w="11900" w:h="16838" w:orient="portrait"/>
          <w:cols w:equalWidth="0" w:num="1">
            <w:col w:w="9820"/>
          </w:cols>
          <w:pgMar w:left="880" w:top="274" w:right="1199" w:bottom="1440" w:gutter="0" w:footer="0" w:header="0"/>
        </w:sectPr>
      </w:pPr>
    </w:p>
    <w:bookmarkStart w:id="11" w:name="page12"/>
    <w:bookmarkEnd w:id="1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440" w:top="270" w:right="6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Description of Debt Securities</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this “Description of Debt Securities,” the words “we,” “us” or “our” refer only to Schlumberger Limited and not to any of our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section have the respective meanings set forth in the applicable indenture.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w:t>
      </w:r>
    </w:p>
    <w:p>
      <w:pPr>
        <w:spacing w:after="0" w:line="19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300" w:hanging="319"/>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left="319" w:hanging="319"/>
        <w:spacing w:after="0"/>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aggregate principal amount of the debt securities of the series to be issued;</w:t>
      </w:r>
    </w:p>
    <w:p>
      <w:pPr>
        <w:spacing w:after="0" w:line="130" w:lineRule="exact"/>
        <w:rPr>
          <w:rFonts w:ascii="Arial" w:cs="Arial" w:eastAsia="Arial" w:hAnsi="Arial"/>
          <w:sz w:val="18"/>
          <w:szCs w:val="18"/>
          <w:color w:val="auto"/>
        </w:rPr>
      </w:pPr>
    </w:p>
    <w:p>
      <w:pPr>
        <w:jc w:val="both"/>
        <w:ind w:left="319" w:right="220" w:hanging="319"/>
        <w:spacing w:after="0" w:line="263"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w:t>
      </w:r>
    </w:p>
    <w:p>
      <w:pPr>
        <w:spacing w:after="0" w:line="89" w:lineRule="exact"/>
        <w:rPr>
          <w:rFonts w:ascii="Arial" w:cs="Arial" w:eastAsia="Arial" w:hAnsi="Arial"/>
          <w:sz w:val="18"/>
          <w:szCs w:val="18"/>
          <w:color w:val="auto"/>
        </w:rPr>
      </w:pPr>
    </w:p>
    <w:p>
      <w:pPr>
        <w:ind w:left="319" w:hanging="319"/>
        <w:spacing w:after="0"/>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ind w:left="319" w:right="140" w:hanging="319"/>
        <w:spacing w:after="0" w:line="263"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9" w:lineRule="exact"/>
        <w:rPr>
          <w:rFonts w:ascii="Arial" w:cs="Arial" w:eastAsia="Arial" w:hAnsi="Arial"/>
          <w:sz w:val="18"/>
          <w:szCs w:val="18"/>
          <w:color w:val="auto"/>
        </w:rPr>
      </w:pPr>
    </w:p>
    <w:p>
      <w:pPr>
        <w:ind w:left="319" w:hanging="319"/>
        <w:spacing w:after="0" w:line="259"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w:t>
      </w:r>
    </w:p>
    <w:p>
      <w:pPr>
        <w:spacing w:after="0" w:line="92" w:lineRule="exact"/>
        <w:rPr>
          <w:rFonts w:ascii="Arial" w:cs="Arial" w:eastAsia="Arial" w:hAnsi="Arial"/>
          <w:sz w:val="18"/>
          <w:szCs w:val="18"/>
          <w:color w:val="auto"/>
        </w:rPr>
      </w:pPr>
    </w:p>
    <w:p>
      <w:pPr>
        <w:ind w:left="319" w:right="20" w:hanging="319"/>
        <w:spacing w:after="0" w:line="308"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51" w:lineRule="exact"/>
        <w:rPr>
          <w:rFonts w:ascii="Arial" w:cs="Arial" w:eastAsia="Arial" w:hAnsi="Arial"/>
          <w:sz w:val="17"/>
          <w:szCs w:val="17"/>
          <w:color w:val="auto"/>
        </w:rPr>
      </w:pPr>
    </w:p>
    <w:p>
      <w:pPr>
        <w:ind w:left="319" w:right="480" w:hanging="319"/>
        <w:spacing w:after="0" w:line="27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applicable indenture;</w:t>
      </w:r>
    </w:p>
    <w:p>
      <w:pPr>
        <w:spacing w:after="0" w:line="75" w:lineRule="exact"/>
        <w:rPr>
          <w:rFonts w:ascii="Arial" w:cs="Arial" w:eastAsia="Arial" w:hAnsi="Arial"/>
          <w:sz w:val="18"/>
          <w:szCs w:val="18"/>
          <w:color w:val="auto"/>
        </w:rPr>
      </w:pPr>
    </w:p>
    <w:p>
      <w:pPr>
        <w:ind w:left="319" w:hanging="319"/>
        <w:spacing w:after="0"/>
        <w:tabs>
          <w:tab w:leader="none" w:pos="31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right, if any, to extend the interest payment periods or defer the payment of interest and the duration of such extension or deferral;</w:t>
      </w:r>
    </w:p>
    <w:p>
      <w:pPr>
        <w:spacing w:after="0" w:line="153" w:lineRule="exact"/>
        <w:rPr>
          <w:rFonts w:ascii="Arial" w:cs="Arial" w:eastAsia="Arial" w:hAnsi="Arial"/>
          <w:sz w:val="16"/>
          <w:szCs w:val="16"/>
          <w:color w:val="auto"/>
        </w:rPr>
      </w:pPr>
    </w:p>
    <w:p>
      <w:pPr>
        <w:ind w:left="319" w:right="100" w:hanging="319"/>
        <w:spacing w:after="0" w:line="27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us, in whole or in part, at our option;</w:t>
      </w:r>
    </w:p>
    <w:p>
      <w:pPr>
        <w:spacing w:after="0" w:line="75" w:lineRule="exact"/>
        <w:rPr>
          <w:rFonts w:ascii="Arial" w:cs="Arial" w:eastAsia="Arial" w:hAnsi="Arial"/>
          <w:sz w:val="18"/>
          <w:szCs w:val="18"/>
          <w:color w:val="auto"/>
        </w:rPr>
      </w:pPr>
    </w:p>
    <w:p>
      <w:pPr>
        <w:ind w:left="319" w:right="80" w:hanging="319"/>
        <w:spacing w:after="0" w:line="279"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6" w:lineRule="exact"/>
        <w:rPr>
          <w:rFonts w:ascii="Arial" w:cs="Arial" w:eastAsia="Arial" w:hAnsi="Arial"/>
          <w:sz w:val="17"/>
          <w:szCs w:val="17"/>
          <w:color w:val="auto"/>
        </w:rPr>
      </w:pPr>
    </w:p>
    <w:p>
      <w:pPr>
        <w:ind w:left="319" w:hanging="319"/>
        <w:spacing w:after="0"/>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319" w:right="40" w:hanging="319"/>
        <w:spacing w:after="0" w:line="27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will be issuable;</w:t>
      </w:r>
    </w:p>
    <w:p>
      <w:pPr>
        <w:spacing w:after="0" w:line="75" w:lineRule="exact"/>
        <w:rPr>
          <w:rFonts w:ascii="Arial" w:cs="Arial" w:eastAsia="Arial" w:hAnsi="Arial"/>
          <w:sz w:val="18"/>
          <w:szCs w:val="18"/>
          <w:color w:val="auto"/>
        </w:rPr>
      </w:pPr>
    </w:p>
    <w:p>
      <w:pPr>
        <w:ind w:left="319" w:right="160" w:hanging="319"/>
        <w:spacing w:after="0" w:line="27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will be payable;</w:t>
      </w:r>
    </w:p>
    <w:p>
      <w:pPr>
        <w:spacing w:after="0" w:line="75" w:lineRule="exact"/>
        <w:rPr>
          <w:rFonts w:ascii="Arial" w:cs="Arial" w:eastAsia="Arial" w:hAnsi="Arial"/>
          <w:sz w:val="18"/>
          <w:szCs w:val="18"/>
          <w:color w:val="auto"/>
        </w:rPr>
      </w:pPr>
    </w:p>
    <w:p>
      <w:pPr>
        <w:ind w:left="319" w:right="200" w:hanging="319"/>
        <w:spacing w:after="0" w:line="27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75" w:lineRule="exact"/>
        <w:rPr>
          <w:rFonts w:ascii="Arial" w:cs="Arial" w:eastAsia="Arial" w:hAnsi="Arial"/>
          <w:sz w:val="18"/>
          <w:szCs w:val="18"/>
          <w:color w:val="auto"/>
        </w:rPr>
      </w:pPr>
    </w:p>
    <w:p>
      <w:pPr>
        <w:ind w:left="319" w:hanging="319"/>
        <w:spacing w:after="0"/>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5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99"/>
          </w:cols>
          <w:pgMar w:left="1421" w:top="274" w:right="479" w:bottom="1440" w:gutter="0" w:footer="0" w:header="0"/>
        </w:sectPr>
      </w:pPr>
    </w:p>
    <w:bookmarkStart w:id="14" w:name="page15"/>
    <w:bookmarkEnd w:id="14"/>
    <w:p>
      <w:pPr>
        <w:ind w:left="319" w:right="20" w:hanging="319"/>
        <w:spacing w:after="0" w:line="25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debt securities of the series will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319" w:right="40" w:hanging="319"/>
        <w:spacing w:after="0" w:line="279" w:lineRule="auto"/>
        <w:tabs>
          <w:tab w:leader="none" w:pos="31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additional restrictive covenants or events of default that will apply to the debt securities of the series, or any changes to the restrictive covenants or events of default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76" w:lineRule="exact"/>
        <w:rPr>
          <w:rFonts w:ascii="Arial" w:cs="Arial" w:eastAsia="Arial" w:hAnsi="Arial"/>
          <w:sz w:val="17"/>
          <w:szCs w:val="17"/>
          <w:color w:val="auto"/>
        </w:rPr>
      </w:pPr>
    </w:p>
    <w:p>
      <w:pPr>
        <w:ind w:left="319" w:hanging="319"/>
        <w:spacing w:after="0"/>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319" w:right="200" w:hanging="319"/>
        <w:spacing w:after="0" w:line="27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319" w:hanging="319"/>
        <w:spacing w:after="0"/>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319" w:right="240" w:hanging="319"/>
        <w:spacing w:after="0" w:line="27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applicable indenture;</w:t>
      </w:r>
    </w:p>
    <w:p>
      <w:pPr>
        <w:spacing w:after="0" w:line="75" w:lineRule="exact"/>
        <w:rPr>
          <w:rFonts w:ascii="Arial" w:cs="Arial" w:eastAsia="Arial" w:hAnsi="Arial"/>
          <w:sz w:val="18"/>
          <w:szCs w:val="18"/>
          <w:color w:val="auto"/>
        </w:rPr>
      </w:pPr>
    </w:p>
    <w:p>
      <w:pPr>
        <w:ind w:left="319" w:right="340" w:hanging="319"/>
        <w:spacing w:after="0" w:line="308" w:lineRule="auto"/>
        <w:tabs>
          <w:tab w:leader="none" w:pos="319"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1" w:lineRule="exact"/>
        <w:rPr>
          <w:rFonts w:ascii="Arial" w:cs="Arial" w:eastAsia="Arial" w:hAnsi="Arial"/>
          <w:sz w:val="17"/>
          <w:szCs w:val="17"/>
          <w:color w:val="auto"/>
        </w:rPr>
      </w:pPr>
    </w:p>
    <w:p>
      <w:pPr>
        <w:ind w:left="319" w:hanging="319"/>
        <w:spacing w:after="0"/>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30" w:lineRule="exact"/>
        <w:rPr>
          <w:rFonts w:ascii="Arial" w:cs="Arial" w:eastAsia="Arial" w:hAnsi="Arial"/>
          <w:sz w:val="18"/>
          <w:szCs w:val="18"/>
          <w:color w:val="auto"/>
        </w:rPr>
      </w:pPr>
    </w:p>
    <w:p>
      <w:pPr>
        <w:ind w:left="319" w:hanging="319"/>
        <w:spacing w:after="0"/>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319" w:right="260" w:hanging="319"/>
        <w:spacing w:after="0" w:line="27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applicable indenture;</w:t>
      </w:r>
    </w:p>
    <w:p>
      <w:pPr>
        <w:spacing w:after="0" w:line="75" w:lineRule="exact"/>
        <w:rPr>
          <w:rFonts w:ascii="Arial" w:cs="Arial" w:eastAsia="Arial" w:hAnsi="Arial"/>
          <w:sz w:val="18"/>
          <w:szCs w:val="18"/>
          <w:color w:val="auto"/>
        </w:rPr>
      </w:pPr>
    </w:p>
    <w:p>
      <w:pPr>
        <w:ind w:left="319" w:right="40" w:hanging="319"/>
        <w:spacing w:after="0" w:line="25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securities,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93" w:lineRule="exact"/>
        <w:rPr>
          <w:rFonts w:ascii="Arial" w:cs="Arial" w:eastAsia="Arial" w:hAnsi="Arial"/>
          <w:sz w:val="18"/>
          <w:szCs w:val="18"/>
          <w:color w:val="auto"/>
        </w:rPr>
      </w:pPr>
    </w:p>
    <w:p>
      <w:pPr>
        <w:ind w:left="319" w:hanging="319"/>
        <w:spacing w:after="0"/>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debt securities are subordinated debt securities, the subordination terms of the debt securities;</w:t>
      </w:r>
    </w:p>
    <w:p>
      <w:pPr>
        <w:spacing w:after="0" w:line="130" w:lineRule="exact"/>
        <w:rPr>
          <w:rFonts w:ascii="Arial" w:cs="Arial" w:eastAsia="Arial" w:hAnsi="Arial"/>
          <w:sz w:val="18"/>
          <w:szCs w:val="18"/>
          <w:color w:val="auto"/>
        </w:rPr>
      </w:pPr>
    </w:p>
    <w:p>
      <w:pPr>
        <w:ind w:left="319" w:hanging="319"/>
        <w:spacing w:after="0" w:line="263"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89" w:lineRule="exact"/>
        <w:rPr>
          <w:rFonts w:ascii="Arial" w:cs="Arial" w:eastAsia="Arial" w:hAnsi="Arial"/>
          <w:sz w:val="18"/>
          <w:szCs w:val="18"/>
          <w:color w:val="auto"/>
        </w:rPr>
      </w:pPr>
    </w:p>
    <w:p>
      <w:pPr>
        <w:ind w:left="319" w:hanging="319"/>
        <w:spacing w:after="0"/>
        <w:tabs>
          <w:tab w:leader="none" w:pos="319"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regard to the debt securities of any series that do not bear interest, the dates for certain required reports to the trustee.</w:t>
      </w:r>
    </w:p>
    <w:p>
      <w:pPr>
        <w:spacing w:after="0" w:line="16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39"/>
          </w:cols>
          <w:pgMar w:left="1421" w:top="274" w:right="539" w:bottom="1440" w:gutter="0" w:footer="0" w:header="0"/>
        </w:sectPr>
      </w:pPr>
    </w:p>
    <w:bookmarkStart w:id="15" w:name="page16"/>
    <w:bookmarkEnd w:id="1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4"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indentures that may afford the holders of debt securities protection in the event that we enter into a highly leveraged transaction.</w:t>
      </w:r>
    </w:p>
    <w:p>
      <w:pPr>
        <w:spacing w:after="0" w:line="1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76" w:lineRule="exact"/>
        <w:rPr>
          <w:sz w:val="20"/>
          <w:szCs w:val="20"/>
          <w:color w:val="auto"/>
        </w:rPr>
      </w:pPr>
    </w:p>
    <w:p>
      <w:pPr>
        <w:ind w:left="1300" w:hanging="31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indebtedness ranking senior to the debt securities being offered;</w:t>
      </w:r>
    </w:p>
    <w:p>
      <w:pPr>
        <w:spacing w:after="0" w:line="130" w:lineRule="exact"/>
        <w:rPr>
          <w:rFonts w:ascii="Arial" w:cs="Arial" w:eastAsia="Arial" w:hAnsi="Arial"/>
          <w:sz w:val="18"/>
          <w:szCs w:val="18"/>
          <w:color w:val="auto"/>
        </w:rPr>
      </w:pPr>
    </w:p>
    <w:p>
      <w:pPr>
        <w:ind w:left="1300" w:right="600" w:hanging="319"/>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restrictions, if any, on payments to the holders of the debt securities being offered while a default with respect to the senior indebtedness is continuing; and</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provisions requiring holders of the debt securities being offered to remit some payments to the holders of senior indebtedness.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(or a successor) are then incorporated, organized or resident for tax purposes or any political subdivision thereof or therein (each, a “Relevant Tax Jurisdiction”) or (2) any jurisdiction from or through which payment is made or deemed made by us or on our behalf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us or on our behalf under or with respect to any debt securities, including payments of principal, redemption price, interest or premium, we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2" w:lineRule="exact"/>
        <w:rPr>
          <w:sz w:val="20"/>
          <w:szCs w:val="20"/>
          <w:color w:val="auto"/>
        </w:rPr>
      </w:pPr>
    </w:p>
    <w:p>
      <w:pPr>
        <w:ind w:left="1420" w:right="100" w:hanging="439"/>
        <w:spacing w:after="0" w:line="25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(or any guarantees thereof)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left="142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debt securities, the enforcement of rights under such debt securities (or any guarantee thereof) or the receipt of any payments in respect of such debt securities (or any guarantee thereof);</w:t>
      </w:r>
    </w:p>
    <w:p>
      <w:pPr>
        <w:spacing w:after="0" w:line="76" w:lineRule="exact"/>
        <w:rPr>
          <w:sz w:val="20"/>
          <w:szCs w:val="20"/>
          <w:color w:val="auto"/>
        </w:rPr>
      </w:pPr>
    </w:p>
    <w:p>
      <w:pPr>
        <w:ind w:left="1420" w:right="20" w:hanging="439"/>
        <w:spacing w:after="0" w:line="259"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9" w:lineRule="exact"/>
        <w:rPr>
          <w:rFonts w:ascii="Arial" w:cs="Arial" w:eastAsia="Arial" w:hAnsi="Arial"/>
          <w:sz w:val="18"/>
          <w:szCs w:val="18"/>
          <w:color w:val="auto"/>
        </w:rPr>
      </w:pPr>
    </w:p>
    <w:p>
      <w:pPr>
        <w:ind w:left="1420" w:right="340" w:hanging="439"/>
        <w:spacing w:after="0" w:line="342"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420" w:right="480" w:hanging="43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 or any guarantee of such debt securities;</w:t>
      </w:r>
    </w:p>
    <w:p>
      <w:pPr>
        <w:spacing w:after="0" w:line="75"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100" w:lineRule="exact"/>
        <w:rPr>
          <w:rFonts w:ascii="Arial" w:cs="Arial" w:eastAsia="Arial" w:hAnsi="Arial"/>
          <w:sz w:val="18"/>
          <w:szCs w:val="18"/>
          <w:color w:val="auto"/>
        </w:rPr>
      </w:pPr>
    </w:p>
    <w:p>
      <w:pPr>
        <w:ind w:left="1420" w:hanging="43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combination of items (1) through (7) above.</w:t>
      </w:r>
    </w:p>
    <w:p>
      <w:pPr>
        <w:spacing w:after="0" w:line="22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In addition to the foregoing, we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or any other document or instrument referred to therein.</w:t>
      </w:r>
    </w:p>
    <w:p>
      <w:pPr>
        <w:spacing w:after="0" w:line="18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9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We will make all withholdings and deductions required by law in respect of the debt securities, and will remit the full amount deducted or withheld to the applicable Tax authority in accordance with applicable law. We will use our reasonable efforts to obtain Tax receipts from each Tax authority evidencing the payment of any Taxes so deducted or withheld.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Whenever in the applicable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will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each indenture, any transfer by a holder or beneficial owner of the debt securities, and will apply, mutatis mutandis, to any jurisdiction in which any successor person to us is incorporated, organized or resident for tax purposes or any jurisdiction from or through which payment is made by or on behalf of such person on the applicable debt securities and any political subdivision thereof or therein.</w:t>
      </w:r>
    </w:p>
    <w:p>
      <w:pPr>
        <w:spacing w:after="0" w:line="18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Notwithstanding any provision in the indentures or the debt securities to the contrary, none of the trustee, the Registrar, any transfer agent or any Paying Agent will be required to determine the identity of a beneficial owner or be liable for any determination thereof by us.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We may redeem the debt securities of any series, in whole but not in part, at our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us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we are or would be required to pay Additional Amounts, and we cannot avoid any such payment obligation by taking reasonable measures available, and the requirement arises as a result of:</w:t>
      </w:r>
    </w:p>
    <w:p>
      <w:pPr>
        <w:spacing w:after="0" w:line="97" w:lineRule="exact"/>
        <w:rPr>
          <w:sz w:val="20"/>
          <w:szCs w:val="20"/>
          <w:color w:val="auto"/>
        </w:rPr>
      </w:pPr>
    </w:p>
    <w:p>
      <w:pPr>
        <w:ind w:left="1420" w:right="80" w:hanging="439"/>
        <w:spacing w:after="0" w:line="259"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ind w:left="1420" w:right="40" w:hanging="439"/>
        <w:spacing w:after="0" w:line="279" w:lineRule="auto"/>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We will not give any such notice of redemption earlier than 90 days prior to the earliest date on which we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we will deliver to the trustee an opinion of independent tax counsel to the effect that there has been such amendment or change which would entitle us to redeem such debt securities hereunder. In addition, before we give any notice of redemption of such debt securities as described above, we will deliver to the trustee an officer’s certificate to the effect that we cannot avoid our obligation to pay Additional Amounts by taking reasonable measures available to us.</w:t>
      </w:r>
    </w:p>
    <w:p>
      <w:pPr>
        <w:spacing w:after="0" w:line="19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us is incorporated, organized or resident for tax purposes, or any jurisdiction from or through which payment is made by or on behalf of such person on the debt securities of such series and any political subdivision thereof or therein.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such debt securities of such series to be redeemed will be selected in accordance with the procedures of the depository therefor) unless otherwise required by law or applicable stock exchange.</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applicable indenture.</w:t>
      </w:r>
    </w:p>
    <w:p>
      <w:pPr>
        <w:spacing w:after="0" w:line="18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we default in payment of the redemption price.</w:t>
      </w:r>
    </w:p>
    <w:p>
      <w:pPr>
        <w:spacing w:after="0" w:line="176"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So long as any debt securities are outstanding, we will file with the trustee, within 15 days after we file with the SEC, copies of the annual reports and of the information, documents and other reports (or copies of such portions of any of the foregoing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The trustee will not have any obligation to determine if and when our information is available on the SEC’s website. We will either (i) provide the trustee with prompt written notification at such time as we cease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our compliance with any covenants under the applicable indenture (as to which the trustee is entitled to rely exclusively on officer’s certificates).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Other than the restrictions on liens described below, the indentures and the debt securities will not contain any covenants or other provisions designed to protect holders of the debt securities in the event of a highly leveraged transaction. The indentures and the debt securities also will not contain provisions that give holders of the debt securities the right to require us to repurchase any debt securities in the event of a decline in credit rating resulting from a takeover, recapitalization or similar restructuring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so determine, any of our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provided, however, that these provisions will not apply to:</w:t>
      </w:r>
    </w:p>
    <w:p>
      <w:pPr>
        <w:spacing w:after="0" w:line="86"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420" w:right="24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our subsidiary (including a restricted subsidiary);</w:t>
      </w:r>
    </w:p>
    <w:p>
      <w:pPr>
        <w:spacing w:after="0" w:line="75" w:lineRule="exact"/>
        <w:rPr>
          <w:rFonts w:ascii="Arial" w:cs="Arial" w:eastAsia="Arial" w:hAnsi="Arial"/>
          <w:sz w:val="18"/>
          <w:szCs w:val="18"/>
          <w:color w:val="auto"/>
        </w:rPr>
      </w:pPr>
    </w:p>
    <w:p>
      <w:pPr>
        <w:ind w:left="1420" w:right="20" w:hanging="439"/>
        <w:spacing w:after="0" w:line="255"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0" w:name="page21"/>
    <w:bookmarkEnd w:id="20"/>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mortgages in favor of us or any of our subsidiaries;</w:t>
      </w:r>
    </w:p>
    <w:p>
      <w:pPr>
        <w:spacing w:after="0" w:line="130" w:lineRule="exact"/>
        <w:rPr>
          <w:rFonts w:ascii="Arial" w:cs="Arial" w:eastAsia="Arial" w:hAnsi="Arial"/>
          <w:sz w:val="18"/>
          <w:szCs w:val="18"/>
          <w:color w:val="auto"/>
        </w:rPr>
      </w:pPr>
    </w:p>
    <w:p>
      <w:pPr>
        <w:ind w:left="1420" w:right="20" w:hanging="439"/>
        <w:spacing w:after="0" w:line="259"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53" w:lineRule="exact"/>
        <w:rPr>
          <w:rFonts w:ascii="Arial" w:cs="Arial" w:eastAsia="Arial" w:hAnsi="Arial"/>
          <w:sz w:val="16"/>
          <w:szCs w:val="16"/>
          <w:color w:val="auto"/>
        </w:rPr>
      </w:pPr>
    </w:p>
    <w:p>
      <w:pPr>
        <w:ind w:left="1420" w:right="120" w:hanging="439"/>
        <w:spacing w:after="0" w:line="259"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420" w:right="16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property or assets, or a project financed with, non-recourse debt; and</w:t>
      </w:r>
    </w:p>
    <w:p>
      <w:pPr>
        <w:spacing w:after="0" w:line="142" w:lineRule="exact"/>
        <w:rPr>
          <w:rFonts w:ascii="Arial" w:cs="Arial" w:eastAsia="Arial" w:hAnsi="Arial"/>
          <w:sz w:val="17"/>
          <w:szCs w:val="17"/>
          <w:color w:val="auto"/>
        </w:rPr>
      </w:pPr>
    </w:p>
    <w:p>
      <w:pPr>
        <w:ind w:left="1420" w:right="80" w:hanging="439"/>
        <w:spacing w:after="0" w:line="259"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covenant and certain other provisions of the indentures use the following defined terms.</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our most recent quarterly consolidated statement of financial position.</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Schlumberger or any of its subsidiaries.</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1" w:name="page22"/>
    <w:bookmarkEnd w:id="21"/>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property” means any real property, manufacturing plant, warehouse, office building or other physical facility, or any item of marine, transportation or construction equipment or other like depreciable assets of Schlumberger or any of its restricted subsidiaries, whether owned on or acquired after the Issue Date, unless, in the opinion of our board of directors, such plant or facility or other asset is not of material importance to the total business conducted by Schlumberger and its restricted subsidiaries taken as a whole.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subsidiary” means any of our subsidiaries which owns a restricted property.</w:t>
      </w:r>
    </w:p>
    <w:p>
      <w:pPr>
        <w:spacing w:after="0" w:line="22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We will covenant not to consolidate with or merge into any other person or transfer or lease all or substantially all of our assets to any person unless any successor or purchaser (if we are not the surviving entity) expressly assumes our obligations under the debt securities by an indenture supplemental to the applicable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7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It is possible that a merger, transfer, or other transaction could be treated for U.S. federal income tax purposes as a taxable exchange by the beneficial owners of debt securities, which could result in beneficial owners of debt securities recognizing taxable gain or loss for U.S. federal income tax purposes. A merger, transfer, lease or other transaction could also have adverse tax consequences to beneficial owners of debt securities under other tax laws to which the beneficial owners are subject.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The following will be “Events of Default” with respect to debt securities of a particular series, except to the extent provided in the officer’s certificate and resolution of our board of directors or the supplemental indenture pursuant to which a series of debt securities is issued:</w:t>
      </w:r>
    </w:p>
    <w:p>
      <w:pPr>
        <w:spacing w:after="0" w:line="29" w:lineRule="exact"/>
        <w:rPr>
          <w:sz w:val="20"/>
          <w:szCs w:val="20"/>
          <w:color w:val="auto"/>
        </w:rPr>
      </w:pPr>
    </w:p>
    <w:p>
      <w:pPr>
        <w:ind w:left="1300" w:hanging="319"/>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pay any interest on any of the debt securities of such series within 30 days after such interest becomes due and payable;</w:t>
      </w:r>
    </w:p>
    <w:p>
      <w:pPr>
        <w:spacing w:after="0" w:line="153" w:lineRule="exact"/>
        <w:rPr>
          <w:rFonts w:ascii="Arial" w:cs="Arial" w:eastAsia="Arial" w:hAnsi="Arial"/>
          <w:sz w:val="16"/>
          <w:szCs w:val="16"/>
          <w:color w:val="auto"/>
        </w:rPr>
      </w:pPr>
    </w:p>
    <w:p>
      <w:pPr>
        <w:ind w:left="1300" w:right="220" w:hanging="319"/>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300" w:right="100" w:hanging="319"/>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becomes due and payable by the terms of the debt securities of such series, and continuance of such default for a period of 30 days;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left="1300" w:hanging="319"/>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comply with any of the covenants or agreements in any of the debt securities of such series or the applicable indenture (other than an agreement or covenant that we have included in such indenture solely for the benefit of another series of debt securities that does not constitute part of the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ind w:left="1300" w:hanging="319"/>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 and</w:t>
      </w:r>
    </w:p>
    <w:p>
      <w:pPr>
        <w:spacing w:after="0" w:line="130" w:lineRule="exact"/>
        <w:rPr>
          <w:rFonts w:ascii="Arial" w:cs="Arial" w:eastAsia="Arial" w:hAnsi="Arial"/>
          <w:sz w:val="18"/>
          <w:szCs w:val="18"/>
          <w:color w:val="auto"/>
        </w:rPr>
      </w:pPr>
    </w:p>
    <w:p>
      <w:pPr>
        <w:ind w:left="1300" w:right="240" w:hanging="319"/>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in the officer’s certificate, supplemental indenture or resolution of our board of directors under which such series of debt securities is issued.</w:t>
      </w:r>
    </w:p>
    <w:p>
      <w:pPr>
        <w:spacing w:after="0" w:line="17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A default under one series of debt securities issued under the applicable indenture will not necessarily be a default under another series of debt securities under such indenture or another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an event of default for a series of debt securities occurs and is continuing, the trustee or the holders of at least 25% in principal amount of the outstanding debt securities of that series may require us to pay immediately the principal amount plus accrued and unpaid interest on such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1300" w:hanging="31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300" w:right="400" w:hanging="319"/>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furnishes to the trustee indemnity or security reasonably satisfactory to the trustee;</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30" w:lineRule="exact"/>
        <w:rPr>
          <w:rFonts w:ascii="Arial" w:cs="Arial" w:eastAsia="Arial" w:hAnsi="Arial"/>
          <w:sz w:val="18"/>
          <w:szCs w:val="18"/>
          <w:color w:val="auto"/>
        </w:rPr>
      </w:pPr>
    </w:p>
    <w:p>
      <w:pPr>
        <w:ind w:left="1300" w:right="40" w:hanging="319"/>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most cases, holders of a majority in principal amount of the outstanding debt securities of any series may direct the time, method and place of:</w:t>
      </w:r>
    </w:p>
    <w:p>
      <w:pPr>
        <w:spacing w:after="0" w:line="154" w:lineRule="exact"/>
        <w:rPr>
          <w:sz w:val="20"/>
          <w:szCs w:val="20"/>
          <w:color w:val="auto"/>
        </w:rPr>
      </w:pPr>
    </w:p>
    <w:p>
      <w:pPr>
        <w:ind w:left="1300" w:hanging="319"/>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300" w:right="500" w:hanging="319"/>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indentures will require us to file with the trustee each year an officer’s certificate as to our compliance with the covenants contained in the indentures.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Except as provided in the next two succeeding paragraphs, the indentures or the debt securities of any series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w:t>
      </w:r>
    </w:p>
    <w:p>
      <w:pPr>
        <w:spacing w:after="0" w:line="18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300" w:hanging="319"/>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 the amount of debt securities of such series whose holders must consent to an amendment, supplement or waiver;</w:t>
      </w:r>
    </w:p>
    <w:p>
      <w:pPr>
        <w:spacing w:after="0" w:line="142" w:lineRule="exact"/>
        <w:rPr>
          <w:rFonts w:ascii="Arial" w:cs="Arial" w:eastAsia="Arial" w:hAnsi="Arial"/>
          <w:sz w:val="17"/>
          <w:szCs w:val="17"/>
          <w:color w:val="auto"/>
        </w:rPr>
      </w:pPr>
    </w:p>
    <w:p>
      <w:pPr>
        <w:ind w:left="1300" w:hanging="31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300" w:right="260" w:hanging="319"/>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payments on any debt securities of such series payable in currency other than as originally stated in such debt securities;</w:t>
      </w:r>
    </w:p>
    <w:p>
      <w:pPr>
        <w:spacing w:after="0" w:line="142" w:lineRule="exact"/>
        <w:rPr>
          <w:rFonts w:ascii="Arial" w:cs="Arial" w:eastAsia="Arial" w:hAnsi="Arial"/>
          <w:sz w:val="17"/>
          <w:szCs w:val="17"/>
          <w:color w:val="auto"/>
        </w:rPr>
      </w:pPr>
    </w:p>
    <w:p>
      <w:pPr>
        <w:ind w:left="1300" w:hanging="31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securities of such series;</w:t>
      </w:r>
    </w:p>
    <w:p>
      <w:pPr>
        <w:spacing w:after="0" w:line="130" w:lineRule="exact"/>
        <w:rPr>
          <w:rFonts w:ascii="Arial" w:cs="Arial" w:eastAsia="Arial" w:hAnsi="Arial"/>
          <w:sz w:val="18"/>
          <w:szCs w:val="18"/>
          <w:color w:val="auto"/>
        </w:rPr>
      </w:pPr>
    </w:p>
    <w:p>
      <w:pPr>
        <w:ind w:left="1300" w:hanging="319"/>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w:t>
      </w:r>
    </w:p>
    <w:p>
      <w:pPr>
        <w:spacing w:after="0" w:line="89" w:lineRule="exact"/>
        <w:rPr>
          <w:rFonts w:ascii="Arial" w:cs="Arial" w:eastAsia="Arial" w:hAnsi="Arial"/>
          <w:sz w:val="18"/>
          <w:szCs w:val="18"/>
          <w:color w:val="auto"/>
        </w:rPr>
      </w:pPr>
    </w:p>
    <w:p>
      <w:pPr>
        <w:ind w:left="1300" w:hanging="319"/>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Notwithstanding the preceding, without the consent of any holder of debt securities of any series, we and the trustee may amend or supplement the applicable indenture or the debt securities of any series in certain circumstances, including:</w:t>
      </w:r>
    </w:p>
    <w:p>
      <w:pPr>
        <w:spacing w:after="0" w:line="76" w:lineRule="exact"/>
        <w:rPr>
          <w:sz w:val="20"/>
          <w:szCs w:val="20"/>
          <w:color w:val="auto"/>
        </w:rPr>
      </w:pPr>
    </w:p>
    <w:p>
      <w:pPr>
        <w:ind w:left="1300" w:hanging="31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300" w:right="20" w:hanging="319"/>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provide for the assumption of our obligations under the indenture and such series of debt securities by a successor upon any merger, consolidation or asset transfer in accordance with the requirements under “—Consolidation, Merger and Sale of Assets”;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ind w:left="1300" w:hanging="31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provide any security for or guarantees of the debt securities or for the addition of an additional obligor on the debt securities;</w:t>
      </w:r>
    </w:p>
    <w:p>
      <w:pPr>
        <w:spacing w:after="0" w:line="142" w:lineRule="exact"/>
        <w:rPr>
          <w:rFonts w:ascii="Arial" w:cs="Arial" w:eastAsia="Arial" w:hAnsi="Arial"/>
          <w:sz w:val="17"/>
          <w:szCs w:val="17"/>
          <w:color w:val="auto"/>
        </w:rPr>
      </w:pPr>
    </w:p>
    <w:p>
      <w:pPr>
        <w:ind w:left="1300" w:hanging="319"/>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comply with any requirement to effect or maintain the qualification of the indenture under the Trust Indenture Act, if applicable;</w:t>
      </w:r>
    </w:p>
    <w:p>
      <w:pPr>
        <w:spacing w:after="0" w:line="142" w:lineRule="exact"/>
        <w:rPr>
          <w:rFonts w:ascii="Arial" w:cs="Arial" w:eastAsia="Arial" w:hAnsi="Arial"/>
          <w:sz w:val="17"/>
          <w:szCs w:val="17"/>
          <w:color w:val="auto"/>
        </w:rPr>
      </w:pPr>
    </w:p>
    <w:p>
      <w:pPr>
        <w:ind w:left="1300" w:right="80" w:hanging="319"/>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of our rights under the indenture;</w:t>
      </w:r>
    </w:p>
    <w:p>
      <w:pPr>
        <w:spacing w:after="0" w:line="75" w:lineRule="exact"/>
        <w:rPr>
          <w:rFonts w:ascii="Arial" w:cs="Arial" w:eastAsia="Arial" w:hAnsi="Arial"/>
          <w:sz w:val="18"/>
          <w:szCs w:val="18"/>
          <w:color w:val="auto"/>
        </w:rPr>
      </w:pPr>
    </w:p>
    <w:p>
      <w:pPr>
        <w:ind w:left="1300" w:right="100" w:hanging="319"/>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89" w:lineRule="exact"/>
        <w:rPr>
          <w:rFonts w:ascii="Arial" w:cs="Arial" w:eastAsia="Arial" w:hAnsi="Arial"/>
          <w:sz w:val="18"/>
          <w:szCs w:val="18"/>
          <w:color w:val="auto"/>
        </w:rPr>
      </w:pPr>
    </w:p>
    <w:p>
      <w:pPr>
        <w:ind w:left="1300" w:hanging="31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300" w:right="180" w:hanging="319"/>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1" w:lineRule="exact"/>
        <w:rPr>
          <w:rFonts w:ascii="Arial" w:cs="Arial" w:eastAsia="Arial" w:hAnsi="Arial"/>
          <w:sz w:val="17"/>
          <w:szCs w:val="17"/>
          <w:color w:val="auto"/>
        </w:rPr>
      </w:pPr>
    </w:p>
    <w:p>
      <w:pPr>
        <w:ind w:left="1300" w:right="120" w:hanging="319"/>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89" w:lineRule="exact"/>
        <w:rPr>
          <w:rFonts w:ascii="Arial" w:cs="Arial" w:eastAsia="Arial" w:hAnsi="Arial"/>
          <w:sz w:val="18"/>
          <w:szCs w:val="18"/>
          <w:color w:val="auto"/>
        </w:rPr>
      </w:pPr>
    </w:p>
    <w:p>
      <w:pPr>
        <w:ind w:left="1300" w:hanging="31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any of its outstanding debt securities of such series in any material respect.</w:t>
      </w:r>
    </w:p>
    <w:p>
      <w:pPr>
        <w:spacing w:after="0" w:line="23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No director, officer, employee, stockholder, incorporator or similar founder of Schlumberger, as such, will have any liability for any of our obligations under the applicable debt securities or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Defeasance</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term defeasance means the discharge of some or all of our obligations under the applicable indenture. If we deposit with the trustee funds or government obligations (as defined in the applicable indenture) sufficient to make payments on any particular series of debt securities on the dates those payments are due and payable, then, at our option, either of the following will occur:</w:t>
      </w:r>
    </w:p>
    <w:p>
      <w:pPr>
        <w:spacing w:after="0" w:line="89" w:lineRule="exact"/>
        <w:rPr>
          <w:sz w:val="20"/>
          <w:szCs w:val="20"/>
          <w:color w:val="auto"/>
        </w:rPr>
      </w:pPr>
    </w:p>
    <w:p>
      <w:pPr>
        <w:ind w:left="1300" w:right="400" w:hanging="319"/>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300" w:right="120" w:hanging="319"/>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with respect to the debt securities of such series, and the related Events of Default will no longer apply to us (“covenant defeasance”).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we exercise our legal defeasance option with respect to any series of debt securities, we will be deemed to have paid and discharged the entire indebtedness represented by the outstanding debt securities of such series and to have satisfied all other obligations under such debt securities and the applicable indenture, except as to (i) our obligations to register the transfer or exchange of debt securities of such series, replace stolen, lost or mutilated debt securities, pay Additional Amounts, maintain paying agencies, and hold moneys for payment in trust, and (ii) our obligation to compensate and indemnify the trustee.</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the case of covenant defeasance, certain Events of Default (not including non-payment, bankruptcy, receivership, rehabilitation and insolvency events) will no longer apply. Except as specified in the applicable indenture, however, the remainder of the applicable indenture and such debt securities will be unaffected by the occurrence of covenant defeasance, and such debt securities will continue to be deemed “outstanding” for all other purposes under the applicable indenture other than for the purposes of any direction, waiver, consent or declaration or act of holders (and the consequences of any thereof) in connection with any of the defeased covenants.</w:t>
      </w:r>
    </w:p>
    <w:p>
      <w:pPr>
        <w:spacing w:after="0" w:line="18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or a tax ruling to the effect that the deposit and related defeasance would not cause the beneficial owners of the debt securities of such series to recognize income, gain or loss for U.S. federal income tax purposes. If we elect legal defeasance, that opinion of counsel must be based upon a ruling from the U.S. Internal Revenue Service or changes in law to that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person in the conduct of his or her own affairs. The trustee will become obligated to exercise any of its powers under the applicable indenture at the request of any of the holders of any debt securities issued under the indenture only after those holders have furnished the trustee indemnity or security reasonably satisfactory to it.</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the trustee becomes a creditor of ours, it will be subject to limitations in the indentures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Paying Agent and Registrar for the Debt Securities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will act as such. We or any of our subsidiaries, upon notice to the trustee, may act as paying agent.</w:t>
      </w:r>
    </w:p>
    <w:p>
      <w:pPr>
        <w:spacing w:after="0" w:line="18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will act as such. We or any of our subsidiaries, upon notice to the trustee, may act as registrar.</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will act as such. We or any of our subsidiaries, upon notice to the trustee, may act as transfer agent.</w:t>
      </w:r>
    </w:p>
    <w:p>
      <w:pPr>
        <w:spacing w:after="0" w:line="18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Debt securities represented by a global security can be exchanged for definitive securities in registered form only if:</w:t>
      </w:r>
    </w:p>
    <w:p>
      <w:pPr>
        <w:spacing w:after="0" w:line="131" w:lineRule="exact"/>
        <w:rPr>
          <w:sz w:val="20"/>
          <w:szCs w:val="20"/>
          <w:color w:val="auto"/>
        </w:rPr>
      </w:pPr>
    </w:p>
    <w:p>
      <w:pPr>
        <w:ind w:left="1300" w:hanging="319"/>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300" w:right="80" w:hanging="319"/>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89" w:lineRule="exact"/>
        <w:rPr>
          <w:rFonts w:ascii="Arial" w:cs="Arial" w:eastAsia="Arial" w:hAnsi="Arial"/>
          <w:sz w:val="18"/>
          <w:szCs w:val="18"/>
          <w:color w:val="auto"/>
        </w:rPr>
      </w:pPr>
    </w:p>
    <w:p>
      <w:pPr>
        <w:ind w:left="1300" w:right="240" w:hanging="319"/>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indentures. Accordingly, we, the trustee, any Paying Agent, Registrar or transfer agent will have no responsibility or liability for:</w:t>
      </w:r>
    </w:p>
    <w:p>
      <w:pPr>
        <w:spacing w:after="0" w:line="92" w:lineRule="exact"/>
        <w:rPr>
          <w:sz w:val="20"/>
          <w:szCs w:val="20"/>
          <w:color w:val="auto"/>
        </w:rPr>
      </w:pPr>
    </w:p>
    <w:p>
      <w:pPr>
        <w:ind w:left="1300" w:right="40" w:hanging="319"/>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300" w:right="80" w:hanging="319"/>
        <w:spacing w:after="0" w:line="263"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4"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applicable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applicable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9" w:name="page30"/>
    <w:bookmarkEnd w:id="2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Global Clearance and Settlement Procedures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Schlumberger,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Common Stock</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following description of our common stock is not complete and is qualified in its entirety by reference to our Articles of Incorporation and Amended and Restated By-Laws, each as amended to date of this prospectus, and each incorporated by reference as exhibits to the registration statement of which this prospectus forms a part.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We may issue an aggregate of 4,500,000,000 shares of common stock, par value $0.01 per share. As of September 30, 2020, 1,434,212,164 shares of common stock were issued, of which 1,392,030,009 shares were outstanding and 42,182,155 shares were held by us as treasury stock.</w:t>
      </w:r>
    </w:p>
    <w:p>
      <w:pPr>
        <w:spacing w:after="0" w:line="12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We may also issue an aggregate of 200,000,000 shares of preferred stock, par value $0.01 per share. No shares of preferred stock have been issued as of the date of this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All outstanding shares of common stock (</w:t>
      </w:r>
      <w:r>
        <w:rPr>
          <w:rFonts w:ascii="Arial" w:cs="Arial" w:eastAsia="Arial" w:hAnsi="Arial"/>
          <w:sz w:val="17"/>
          <w:szCs w:val="17"/>
          <w:i w:val="1"/>
          <w:iCs w:val="1"/>
          <w:color w:val="auto"/>
        </w:rPr>
        <w:t>i.e.</w:t>
      </w:r>
      <w:r>
        <w:rPr>
          <w:rFonts w:ascii="Arial" w:cs="Arial" w:eastAsia="Arial" w:hAnsi="Arial"/>
          <w:sz w:val="17"/>
          <w:szCs w:val="17"/>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Arial" w:cs="Arial" w:eastAsia="Arial" w:hAnsi="Arial"/>
          <w:sz w:val="17"/>
          <w:szCs w:val="17"/>
          <w:i w:val="1"/>
          <w:iCs w:val="1"/>
          <w:color w:val="auto"/>
        </w:rPr>
        <w:t>i.e.</w:t>
      </w:r>
      <w:r>
        <w:rPr>
          <w:rFonts w:ascii="Arial" w:cs="Arial" w:eastAsia="Arial" w:hAnsi="Arial"/>
          <w:sz w:val="17"/>
          <w:szCs w:val="17"/>
          <w:color w:val="auto"/>
        </w:rPr>
        <w:t>, our net asset value) at least equals the nominal capital (</w:t>
      </w:r>
      <w:r>
        <w:rPr>
          <w:rFonts w:ascii="Arial" w:cs="Arial" w:eastAsia="Arial" w:hAnsi="Arial"/>
          <w:sz w:val="17"/>
          <w:szCs w:val="17"/>
          <w:i w:val="1"/>
          <w:iCs w:val="1"/>
          <w:color w:val="auto"/>
        </w:rPr>
        <w:t>i.e.</w:t>
      </w:r>
      <w:r>
        <w:rPr>
          <w:rFonts w:ascii="Arial" w:cs="Arial" w:eastAsia="Arial" w:hAnsi="Arial"/>
          <w:sz w:val="17"/>
          <w:szCs w:val="17"/>
          <w:color w:val="auto"/>
        </w:rPr>
        <w:t>, the aggregate par value of our outstanding shares) and as a result of the distribution will not fall below the nominal capital.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common stock and each holder of preferred stock (if issued and outstanding) is entitled to one vote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registered in that holder’s name. Voting rights may be exercised in person or by proxy.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one-half of 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77"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i w:val="1"/>
          <w:iCs w:val="1"/>
          <w:color w:val="auto"/>
        </w:rPr>
        <w:t xml:space="preserve">Required Vote. </w:t>
      </w:r>
      <w:r>
        <w:rPr>
          <w:rFonts w:ascii="Arial" w:cs="Arial" w:eastAsia="Arial" w:hAnsi="Arial"/>
          <w:sz w:val="17"/>
          <w:szCs w:val="17"/>
          <w:color w:val="auto"/>
        </w:rPr>
        <w:t>In general, any action requiring the approval of Schlumberger stockholders may be authorized by a majority of the votes cast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abstentions) at any meeting at which a quorum is present (subject to the quorum exception described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2" w:name="page33"/>
    <w:bookmarkEnd w:id="32"/>
    <w:p>
      <w:pPr>
        <w:jc w:val="both"/>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65"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87"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Provisions and Anti-Takeover Effects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but Unissued Preferred Stock</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and Removal of Directors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(i) by one or more Schlumberger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Under Curaçao law, stockholders may not act by written consent without a meeting, unless all directors and all stockholders entitled to vote on the matter have consented to the taking of such action by the general meeting of stockholders by written consent.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Requirements for Stockholder Business and Nominations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 must be delivered to the Secretary of Schlumberger at our executive offices not later than 120 days nor earlier than 150 days before the first anniversary of the date of the preceding year’s annual general meeting of stockholders. Any such notice must otherwise satisfy the requirements of our Restated By-Laws.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Restated By-Laws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Restated By-Laws may be amended only by the vote of a majority of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Buy-Out</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principal U.S. market for our common stock is the New York Stock Exchange, where it is traded under the symbol “SLB.” Our common stock is also listed for trading on the Euronext Paris.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Computershare Trust Company, N.A., Canton, Massachusetts.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5" w:name="page36"/>
    <w:bookmarkEnd w:id="3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Guarantees of Debt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guarantees of debt securities that may be offered pursuant to this prospectus.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440" w:top="270" w:right="7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Distribution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300" w:hanging="319"/>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underwriters, brokers or dealers;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the Company to indemnification by us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0" w:right="499" w:bottom="1440" w:gutter="0" w:footer="0" w:header="0"/>
        </w:sectPr>
      </w:pPr>
    </w:p>
    <w:bookmarkStart w:id="37" w:name="page38"/>
    <w:bookmarkEnd w:id="37"/>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Validity of the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Gibson, Dunn &amp; Crutcher LLP, New York, New York, will pass upon the validity of the debt securities and guarantees, and STvB Advocaten (Europe) N.V., Amsterdam, will pass upon the validity of the common stock.</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80"/>
          </w:cols>
          <w:pgMar w:left="440" w:top="270" w:right="8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Experts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left="2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 — INFORMATION NOT REQUIRED IN PROSPECTUS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85"/>
        </w:trPr>
        <w:tc>
          <w:tcPr>
            <w:tcW w:w="794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79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0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Printing expenses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0" w:hanging="424"/>
        <w:spacing w:after="0" w:line="258"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we are deferring payment of all of the registration fee for the securities offered by this registration statement.</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78"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To the fullest extent permitted by applicable law, Schlumberger will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44"/>
          </w:cols>
          <w:pgMar w:left="436" w:top="270" w:right="519" w:bottom="1440" w:gutter="0" w:footer="0" w:header="0"/>
        </w:sectPr>
      </w:pPr>
    </w:p>
    <w:bookmarkStart w:id="40" w:name="page41"/>
    <w:bookmarkEnd w:id="40"/>
    <w:p>
      <w:pPr>
        <w:ind w:right="3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9" w:lineRule="exact"/>
        <w:rPr>
          <w:sz w:val="20"/>
          <w:szCs w:val="20"/>
          <w:color w:val="auto"/>
        </w:rPr>
      </w:pPr>
    </w:p>
    <w:p>
      <w:pPr>
        <w:ind w:left="1420" w:right="60" w:hanging="331"/>
        <w:spacing w:after="0" w:line="259"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92" w:lineRule="exact"/>
        <w:rPr>
          <w:rFonts w:ascii="Arial" w:cs="Arial" w:eastAsia="Arial" w:hAnsi="Arial"/>
          <w:sz w:val="18"/>
          <w:szCs w:val="18"/>
          <w:color w:val="auto"/>
        </w:rPr>
      </w:pPr>
    </w:p>
    <w:p>
      <w:pPr>
        <w:ind w:left="1420" w:right="20" w:hanging="331"/>
        <w:spacing w:after="0" w:line="263"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9" w:lineRule="exact"/>
        <w:rPr>
          <w:rFonts w:ascii="Arial" w:cs="Arial" w:eastAsia="Arial" w:hAnsi="Arial"/>
          <w:sz w:val="18"/>
          <w:szCs w:val="18"/>
          <w:color w:val="auto"/>
        </w:rPr>
      </w:pPr>
    </w:p>
    <w:p>
      <w:pPr>
        <w:ind w:left="1420" w:right="200" w:hanging="331"/>
        <w:spacing w:after="0" w:line="259"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To the fullest extent permitted by applicable law, Schlumberger will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86"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Schlumberger only as authorized by the Chief Executive Officer or by contract approved, or by-laws, resolution or other action adopted or taken, by Schlumberger’s board of directors or by Schlumberger’s stockholders.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Expenses (including attorneys’ fees) incurred by a current or former director or a current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60"/>
          </w:cols>
          <w:pgMar w:left="440" w:top="274" w:right="499" w:bottom="1440" w:gutter="0" w:footer="0" w:header="0"/>
        </w:sectPr>
      </w:pPr>
    </w:p>
    <w:bookmarkStart w:id="41" w:name="page42"/>
    <w:bookmarkEnd w:id="4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References in this item 15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References in this item 15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92"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are the exhibits included as part of this Registration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00"/>
          </w:cols>
          <w:pgMar w:left="440" w:top="274" w:right="459" w:bottom="1440" w:gutter="0" w:footer="0" w:header="0"/>
        </w:sectPr>
      </w:pPr>
    </w:p>
    <w:bookmarkStart w:id="42" w:name="page43"/>
    <w:bookmarkEnd w:id="42"/>
    <w:tbl>
      <w:tblPr>
        <w:tblLayout w:type="fixed"/>
        <w:tblInd w:w="4"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520" w:type="dxa"/>
            <w:vAlign w:val="bottom"/>
            <w:gridSpan w:val="6"/>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860" w:type="dxa"/>
            <w:vAlign w:val="bottom"/>
          </w:tcPr>
          <w:p>
            <w:pPr>
              <w:spacing w:after="0"/>
              <w:rPr>
                <w:sz w:val="20"/>
                <w:szCs w:val="20"/>
                <w:color w:val="auto"/>
              </w:rPr>
            </w:pPr>
          </w:p>
        </w:tc>
        <w:tc>
          <w:tcPr>
            <w:tcW w:w="9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4"/>
                <w:szCs w:val="24"/>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8360" w:type="dxa"/>
            <w:vAlign w:val="bottom"/>
            <w:tcBorders>
              <w:bottom w:val="single" w:sz="8" w:color="0000EE"/>
            </w:tcBorders>
            <w:gridSpan w:val="3"/>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Articles of Incorporation of Schlumberger Limited (Schlumberger N.V.) (incorporated by reference to Exhibit 3.1 to</w:t>
              </w:r>
            </w:hyperlink>
          </w:p>
        </w:tc>
        <w:tc>
          <w:tcPr>
            <w:tcW w:w="116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Schlumberger’s Current Report on Form 8-K filed on April 6, 2016).</w:t>
              </w:r>
            </w:hyperlink>
          </w:p>
        </w:tc>
        <w:tc>
          <w:tcPr>
            <w:tcW w:w="4560" w:type="dxa"/>
            <w:vAlign w:val="bottom"/>
            <w:gridSpan w:val="4"/>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color w:val="0000EE"/>
                <w:w w:val="98"/>
              </w:rPr>
            </w:pPr>
            <w:hyperlink r:id="rId77">
              <w:r>
                <w:rPr>
                  <w:rFonts w:ascii="Arial" w:cs="Arial" w:eastAsia="Arial" w:hAnsi="Arial"/>
                  <w:sz w:val="18"/>
                  <w:szCs w:val="18"/>
                  <w:color w:val="0000EE"/>
                  <w:w w:val="98"/>
                </w:rPr>
                <w:t>Amended and Restated By-Laws of Schlumberger Limited (Schlumberger N.V.) (incorporated by reference to Exhibit 3 to</w:t>
              </w:r>
            </w:hyperlink>
          </w:p>
        </w:tc>
      </w:tr>
      <w:tr>
        <w:trPr>
          <w:trHeight w:val="196"/>
        </w:trPr>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Schlumberger’s Current Report on Form 8-K filed on July 22, 2019).</w:t>
              </w:r>
            </w:hyperlink>
          </w:p>
        </w:tc>
        <w:tc>
          <w:tcPr>
            <w:tcW w:w="720" w:type="dxa"/>
            <w:vAlign w:val="bottom"/>
            <w:gridSpan w:val="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Description of Common Stock of Schlumberger Limited (incorporated by reference to Exhibit 4.1 to Schlumberger’s Annual</w:t>
              </w:r>
            </w:hyperlink>
          </w:p>
        </w:tc>
        <w:tc>
          <w:tcPr>
            <w:tcW w:w="5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520" w:type="dxa"/>
            <w:vAlign w:val="bottom"/>
            <w:gridSpan w:val="6"/>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Report on Form 10-K filed on January 22, 2020).</w:t>
              </w:r>
            </w:hyperlink>
          </w:p>
        </w:tc>
      </w:tr>
      <w:tr>
        <w:trPr>
          <w:trHeight w:val="345"/>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3540" w:type="dxa"/>
            <w:vAlign w:val="bottom"/>
            <w:tcBorders>
              <w:top w:val="single" w:sz="8" w:color="0000EE"/>
            </w:tcBorders>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Form of Senior Indenture.</w:t>
              </w:r>
            </w:hyperlink>
          </w:p>
        </w:tc>
        <w:tc>
          <w:tcPr>
            <w:tcW w:w="5980" w:type="dxa"/>
            <w:vAlign w:val="bottom"/>
            <w:gridSpan w:val="5"/>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u w:val="single" w:color="auto"/>
                  <w:color w:val="0000EE"/>
                </w:rPr>
                <w:t>Form of Subordinated Indenture</w:t>
              </w:r>
              <w:r>
                <w:rPr>
                  <w:rFonts w:ascii="Arial" w:cs="Arial" w:eastAsia="Arial" w:hAnsi="Arial"/>
                  <w:sz w:val="18"/>
                  <w:szCs w:val="18"/>
                  <w:color w:val="0000EE"/>
                </w:rPr>
                <w:t>.</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Form of Debt Securities.*</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Opinion of Gibson, Dunn &amp; Crutcher LLP.</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Opinion of STvB Advocaten (Europe) N.V.</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24"/>
                <w:szCs w:val="24"/>
                <w:color w:val="auto"/>
              </w:rPr>
            </w:pPr>
          </w:p>
        </w:tc>
        <w:tc>
          <w:tcPr>
            <w:tcW w:w="9520" w:type="dxa"/>
            <w:vAlign w:val="bottom"/>
            <w:gridSpan w:val="6"/>
          </w:tcPr>
          <w:p>
            <w:pPr>
              <w:spacing w:after="0"/>
              <w:rPr>
                <w:sz w:val="20"/>
                <w:szCs w:val="20"/>
                <w:color w:val="auto"/>
              </w:rPr>
            </w:pPr>
            <w:r>
              <w:rPr>
                <w:rFonts w:ascii="Arial" w:cs="Arial" w:eastAsia="Arial" w:hAnsi="Arial"/>
                <w:sz w:val="18"/>
                <w:szCs w:val="18"/>
                <w:color w:val="auto"/>
              </w:rPr>
              <w:t>Issuers of Registered Guaranteed Debt Securities.*</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Consent of PricewaterhouseCoopers LLP.</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Gibson, Dunn &amp; Crutcher LLP (set forth in </w:t>
            </w:r>
            <w:hyperlink w:anchor="page169">
              <w:r>
                <w:rPr>
                  <w:rFonts w:ascii="Arial" w:cs="Arial" w:eastAsia="Arial" w:hAnsi="Arial"/>
                  <w:sz w:val="18"/>
                  <w:szCs w:val="18"/>
                  <w:u w:val="single" w:color="auto"/>
                  <w:color w:val="0000EE"/>
                </w:rPr>
                <w:t>Exhibit 5.1</w:t>
              </w:r>
            </w:hyperlink>
            <w:r>
              <w:rPr>
                <w:rFonts w:ascii="Arial" w:cs="Arial" w:eastAsia="Arial" w:hAnsi="Arial"/>
                <w:sz w:val="18"/>
                <w:szCs w:val="18"/>
                <w:color w:val="auto"/>
              </w:rPr>
              <w: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STvB Advocaten (Europe) N.V. (set forth in </w:t>
            </w:r>
            <w:hyperlink w:anchor="page174">
              <w:r>
                <w:rPr>
                  <w:rFonts w:ascii="Arial" w:cs="Arial" w:eastAsia="Arial" w:hAnsi="Arial"/>
                  <w:sz w:val="18"/>
                  <w:szCs w:val="18"/>
                  <w:u w:val="single" w:color="auto"/>
                  <w:color w:val="0000EE"/>
                </w:rPr>
                <w:t>Exhibit 5.2</w:t>
              </w:r>
            </w:hyperlink>
            <w:r>
              <w:rPr>
                <w:rFonts w:ascii="Arial" w:cs="Arial" w:eastAsia="Arial" w:hAnsi="Arial"/>
                <w:sz w:val="18"/>
                <w:szCs w:val="18"/>
                <w:color w:val="auto"/>
              </w:rPr>
              <w: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Power of Attorney.</w:t>
              </w:r>
            </w:hyperlink>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24.2</w:t>
            </w:r>
          </w:p>
        </w:tc>
        <w:tc>
          <w:tcPr>
            <w:tcW w:w="860" w:type="dxa"/>
            <w:vAlign w:val="bottom"/>
          </w:tcPr>
          <w:p>
            <w:pPr>
              <w:spacing w:after="0"/>
              <w:rPr>
                <w:sz w:val="24"/>
                <w:szCs w:val="24"/>
                <w:color w:val="auto"/>
              </w:rPr>
            </w:pPr>
          </w:p>
        </w:tc>
        <w:tc>
          <w:tcPr>
            <w:tcW w:w="9520" w:type="dxa"/>
            <w:vAlign w:val="bottom"/>
            <w:gridSpan w:val="6"/>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be filed by amendment or as an exhibit to a Current Report on Form 8-K and incorporated by reference in the registration statement.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r>
        <w:rPr>
          <w:rFonts w:ascii="Arial" w:cs="Arial" w:eastAsia="Arial" w:hAnsi="Arial"/>
          <w:sz w:val="18"/>
          <w:szCs w:val="18"/>
          <w:b w:val="1"/>
          <w:bCs w:val="1"/>
          <w:color w:val="auto"/>
        </w:rPr>
        <w:t>.</w:t>
      </w:r>
    </w:p>
    <w:p>
      <w:pPr>
        <w:spacing w:after="0" w:line="121" w:lineRule="exact"/>
        <w:rPr>
          <w:sz w:val="20"/>
          <w:szCs w:val="20"/>
          <w:color w:val="auto"/>
        </w:rPr>
      </w:pPr>
    </w:p>
    <w:p>
      <w:pPr>
        <w:ind w:left="684" w:hanging="244"/>
        <w:spacing w:after="0"/>
        <w:tabs>
          <w:tab w:leader="none" w:pos="6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84" w:right="20" w:firstLine="408"/>
        <w:spacing w:after="0" w:line="272" w:lineRule="auto"/>
        <w:tabs>
          <w:tab w:leader="none" w:pos="1650" w:val="left"/>
        </w:tabs>
        <w:numPr>
          <w:ilvl w:val="2"/>
          <w:numId w:val="3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4"/>
          </w:cols>
          <w:pgMar w:left="436" w:top="270" w:right="439" w:bottom="1440" w:gutter="0" w:footer="0" w:header="0"/>
        </w:sectPr>
      </w:pPr>
    </w:p>
    <w:bookmarkStart w:id="43" w:name="page44"/>
    <w:bookmarkEnd w:id="43"/>
    <w:p>
      <w:pPr>
        <w:ind w:left="980" w:right="100" w:firstLine="408"/>
        <w:spacing w:after="0" w:line="277" w:lineRule="auto"/>
        <w:tabs>
          <w:tab w:leader="none" w:pos="1696"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80" w:right="60" w:firstLine="401"/>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above do not apply if the information required to be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jc w:val="both"/>
        <w:ind w:left="440" w:firstLine="419"/>
        <w:spacing w:after="0" w:line="263" w:lineRule="auto"/>
        <w:tabs>
          <w:tab w:leader="none" w:pos="11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80" w:right="40" w:firstLine="408"/>
        <w:spacing w:after="0" w:line="291" w:lineRule="auto"/>
        <w:tabs>
          <w:tab w:leader="none" w:pos="1666"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9" w:lineRule="exact"/>
        <w:rPr>
          <w:sz w:val="20"/>
          <w:szCs w:val="20"/>
          <w:color w:val="auto"/>
        </w:rPr>
      </w:pPr>
    </w:p>
    <w:p>
      <w:pPr>
        <w:ind w:left="440" w:firstLine="419"/>
        <w:spacing w:after="0" w:line="257" w:lineRule="auto"/>
        <w:tabs>
          <w:tab w:leader="none" w:pos="11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980" w:right="240" w:firstLine="408"/>
        <w:spacing w:after="0" w:line="277" w:lineRule="auto"/>
        <w:tabs>
          <w:tab w:leader="none" w:pos="16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80"/>
          </w:cols>
          <w:pgMar w:left="440" w:top="274" w:right="479" w:bottom="1440" w:gutter="0" w:footer="0" w:header="0"/>
        </w:sectPr>
      </w:pPr>
    </w:p>
    <w:bookmarkStart w:id="44" w:name="page45"/>
    <w:bookmarkEnd w:id="44"/>
    <w:p>
      <w:pPr>
        <w:ind w:left="960" w:right="140" w:firstLine="408"/>
        <w:spacing w:after="0" w:line="277" w:lineRule="auto"/>
        <w:tabs>
          <w:tab w:leader="none" w:pos="1646"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60" w:right="220" w:firstLine="408"/>
        <w:spacing w:after="0" w:line="277" w:lineRule="auto"/>
        <w:tabs>
          <w:tab w:leader="none" w:pos="16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60" w:hanging="292"/>
        <w:spacing w:after="0"/>
        <w:tabs>
          <w:tab w:leader="none" w:pos="1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 w:firstLine="436"/>
        <w:spacing w:after="0" w:line="257"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20" w:firstLine="436"/>
        <w:spacing w:after="0" w:line="271" w:lineRule="auto"/>
        <w:tabs>
          <w:tab w:leader="none" w:pos="6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20" w:right="340" w:firstLine="436"/>
        <w:spacing w:after="0" w:line="263"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460" w:top="274" w:right="4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26</w:t>
      </w:r>
      <w:r>
        <w:rPr>
          <w:rFonts w:ascii="Arial" w:cs="Arial" w:eastAsia="Arial" w:hAnsi="Arial"/>
          <w:sz w:val="15"/>
          <w:szCs w:val="15"/>
          <w:color w:val="auto"/>
        </w:rPr>
        <w:t>th day of October,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 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(Olivier Le Peuch)</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880" w:type="dxa"/>
            <w:vAlign w:val="bottom"/>
          </w:tcPr>
          <w:p>
            <w:pPr>
              <w:spacing w:after="0"/>
              <w:rPr>
                <w:sz w:val="19"/>
                <w:szCs w:val="19"/>
                <w:color w:val="auto"/>
              </w:rPr>
            </w:pPr>
          </w:p>
        </w:tc>
      </w:tr>
      <w:tr>
        <w:trPr>
          <w:trHeight w:val="323"/>
        </w:trPr>
        <w:tc>
          <w:tcPr>
            <w:tcW w:w="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8"/>
              </w:rPr>
              <w:t>/s/ S</w:t>
            </w:r>
            <w:r>
              <w:rPr>
                <w:rFonts w:ascii="Arial" w:cs="Arial" w:eastAsia="Arial" w:hAnsi="Arial"/>
                <w:sz w:val="14"/>
                <w:szCs w:val="14"/>
                <w:color w:val="auto"/>
                <w:w w:val="98"/>
              </w:rPr>
              <w:t>TEPHANE</w:t>
            </w:r>
            <w:r>
              <w:rPr>
                <w:rFonts w:ascii="Arial" w:cs="Arial" w:eastAsia="Arial" w:hAnsi="Arial"/>
                <w:sz w:val="18"/>
                <w:szCs w:val="18"/>
                <w:color w:val="auto"/>
                <w:w w:val="98"/>
              </w:rPr>
              <w:t xml:space="preserve"> B</w:t>
            </w:r>
            <w:r>
              <w:rPr>
                <w:rFonts w:ascii="Arial" w:cs="Arial" w:eastAsia="Arial" w:hAnsi="Arial"/>
                <w:sz w:val="14"/>
                <w:szCs w:val="14"/>
                <w:color w:val="auto"/>
                <w:w w:val="98"/>
              </w:rPr>
              <w:t>IGUET</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Executive Vice President and 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50"/>
        </w:trPr>
        <w:tc>
          <w:tcPr>
            <w:tcW w:w="480" w:type="dxa"/>
            <w:vAlign w:val="bottom"/>
          </w:tcPr>
          <w:p>
            <w:pPr>
              <w:spacing w:after="0"/>
              <w:rPr>
                <w:sz w:val="21"/>
                <w:szCs w:val="21"/>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(Stephane Biguet)</w:t>
            </w:r>
          </w:p>
        </w:tc>
        <w:tc>
          <w:tcPr>
            <w:tcW w:w="120" w:type="dxa"/>
            <w:vAlign w:val="bottom"/>
          </w:tcPr>
          <w:p>
            <w:pPr>
              <w:spacing w:after="0"/>
              <w:rPr>
                <w:sz w:val="21"/>
                <w:szCs w:val="21"/>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Financial Officer)</w:t>
            </w:r>
          </w:p>
        </w:tc>
        <w:tc>
          <w:tcPr>
            <w:tcW w:w="1880" w:type="dxa"/>
            <w:vAlign w:val="bottom"/>
          </w:tcPr>
          <w:p>
            <w:pPr>
              <w:spacing w:after="0"/>
              <w:rPr>
                <w:sz w:val="21"/>
                <w:szCs w:val="21"/>
                <w:color w:val="auto"/>
              </w:rPr>
            </w:pPr>
          </w:p>
        </w:tc>
      </w:tr>
      <w:tr>
        <w:trPr>
          <w:trHeight w:val="324"/>
        </w:trPr>
        <w:tc>
          <w:tcPr>
            <w:tcW w:w="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Chief Accounting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50"/>
        </w:trPr>
        <w:tc>
          <w:tcPr>
            <w:tcW w:w="480" w:type="dxa"/>
            <w:vAlign w:val="bottom"/>
          </w:tcPr>
          <w:p>
            <w:pPr>
              <w:spacing w:after="0"/>
              <w:rPr>
                <w:sz w:val="21"/>
                <w:szCs w:val="21"/>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(Howard Guild)</w:t>
            </w:r>
          </w:p>
        </w:tc>
        <w:tc>
          <w:tcPr>
            <w:tcW w:w="120" w:type="dxa"/>
            <w:vAlign w:val="bottom"/>
          </w:tcPr>
          <w:p>
            <w:pPr>
              <w:spacing w:after="0"/>
              <w:rPr>
                <w:sz w:val="21"/>
                <w:szCs w:val="21"/>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1880" w:type="dxa"/>
            <w:vAlign w:val="bottom"/>
          </w:tcPr>
          <w:p>
            <w:pPr>
              <w:spacing w:after="0"/>
              <w:rPr>
                <w:sz w:val="21"/>
                <w:szCs w:val="21"/>
                <w:color w:val="auto"/>
              </w:rPr>
            </w:pPr>
          </w:p>
        </w:tc>
      </w:tr>
      <w:tr>
        <w:trPr>
          <w:trHeight w:val="324"/>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(Patrick de La Chevardière)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6"/>
              </w:rPr>
              <w:t>(Miguel M. Galuccio)</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(Tatiana Mitrova)</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(Maria Moræus Hanssen)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37"/>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(Lubna S. Olayan)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Chairman of the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(Mark G. Papa)</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(Leo Rafael Reif)</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(Henri Seydoux)</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26, 2020</w:t>
            </w:r>
          </w:p>
        </w:tc>
      </w:tr>
      <w:tr>
        <w:trPr>
          <w:trHeight w:val="224"/>
        </w:trPr>
        <w:tc>
          <w:tcPr>
            <w:tcW w:w="480" w:type="dxa"/>
            <w:vAlign w:val="bottom"/>
          </w:tcPr>
          <w:p>
            <w:pPr>
              <w:spacing w:after="0"/>
              <w:rPr>
                <w:sz w:val="19"/>
                <w:szCs w:val="19"/>
                <w:color w:val="auto"/>
              </w:rPr>
            </w:pPr>
          </w:p>
        </w:tc>
        <w:tc>
          <w:tcPr>
            <w:tcW w:w="44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(Jeff W. Sheets)</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58"/>
        </w:trPr>
        <w:tc>
          <w:tcPr>
            <w:tcW w:w="4960" w:type="dxa"/>
            <w:vAlign w:val="bottom"/>
            <w:gridSpan w:val="3"/>
          </w:tcPr>
          <w:p>
            <w:pPr>
              <w:jc w:val="center"/>
              <w:ind w:right="2820"/>
              <w:spacing w:after="0"/>
              <w:rPr>
                <w:sz w:val="20"/>
                <w:szCs w:val="20"/>
                <w:color w:val="auto"/>
              </w:rPr>
            </w:pPr>
            <w:r>
              <w:rPr>
                <w:rFonts w:ascii="Arial" w:cs="Arial" w:eastAsia="Arial" w:hAnsi="Arial"/>
                <w:sz w:val="18"/>
                <w:szCs w:val="18"/>
                <w:color w:val="auto"/>
              </w:rPr>
              <w:t>*By:  /s/ S</w:t>
            </w:r>
            <w:r>
              <w:rPr>
                <w:rFonts w:ascii="Arial" w:cs="Arial" w:eastAsia="Arial" w:hAnsi="Arial"/>
                <w:sz w:val="14"/>
                <w:szCs w:val="14"/>
                <w:color w:val="auto"/>
              </w:rPr>
              <w:t>AUL</w:t>
            </w:r>
            <w:r>
              <w:rPr>
                <w:rFonts w:ascii="Arial" w:cs="Arial" w:eastAsia="Arial" w:hAnsi="Arial"/>
                <w:sz w:val="18"/>
                <w:szCs w:val="18"/>
                <w:color w:val="auto"/>
              </w:rPr>
              <w:t xml:space="preserve"> R. L</w:t>
            </w:r>
            <w:r>
              <w:rPr>
                <w:rFonts w:ascii="Arial" w:cs="Arial" w:eastAsia="Arial" w:hAnsi="Arial"/>
                <w:sz w:val="14"/>
                <w:szCs w:val="14"/>
                <w:color w:val="auto"/>
              </w:rPr>
              <w:t>AURELES</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920" w:type="dxa"/>
            <w:vAlign w:val="bottom"/>
            <w:tcBorders>
              <w:top w:val="single" w:sz="8" w:color="auto"/>
            </w:tcBorders>
          </w:tcPr>
          <w:p>
            <w:pPr>
              <w:jc w:val="center"/>
              <w:ind w:right="2631"/>
              <w:spacing w:after="0"/>
              <w:rPr>
                <w:sz w:val="20"/>
                <w:szCs w:val="20"/>
                <w:color w:val="auto"/>
              </w:rPr>
            </w:pPr>
            <w:r>
              <w:rPr>
                <w:rFonts w:ascii="Arial" w:cs="Arial" w:eastAsia="Arial" w:hAnsi="Arial"/>
                <w:sz w:val="18"/>
                <w:szCs w:val="18"/>
                <w:color w:val="auto"/>
                <w:w w:val="90"/>
              </w:rPr>
              <w:t>Saul R. Laureles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480" w:type="dxa"/>
            <w:vAlign w:val="bottom"/>
            <w:gridSpan w:val="2"/>
          </w:tcPr>
          <w:p>
            <w:pPr>
              <w:jc w:val="center"/>
              <w:ind w:right="3260"/>
              <w:spacing w:after="0"/>
              <w:rPr>
                <w:sz w:val="20"/>
                <w:szCs w:val="20"/>
                <w:color w:val="auto"/>
              </w:rPr>
            </w:pPr>
            <w:r>
              <w:rPr>
                <w:rFonts w:ascii="Arial" w:cs="Arial" w:eastAsia="Arial" w:hAnsi="Arial"/>
                <w:sz w:val="18"/>
                <w:szCs w:val="18"/>
                <w:color w:val="auto"/>
                <w:w w:val="95"/>
              </w:rPr>
              <w:t>Attorney-in-Fact</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342900</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60"/>
        <w:spacing w:after="0"/>
        <w:tabs>
          <w:tab w:leader="none" w:pos="52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[Name of Trustee]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Unsubordinated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280" w:type="dxa"/>
            <w:vAlign w:val="bottom"/>
            <w:gridSpan w:val="5"/>
          </w:tcPr>
          <w:p>
            <w:pPr>
              <w:jc w:val="center"/>
              <w:ind w:right="2672"/>
              <w:spacing w:after="0"/>
              <w:rPr>
                <w:sz w:val="20"/>
                <w:szCs w:val="20"/>
                <w:color w:val="auto"/>
              </w:rPr>
            </w:pPr>
            <w:r>
              <w:rPr>
                <w:rFonts w:ascii="Arial" w:cs="Arial" w:eastAsia="Arial" w:hAnsi="Arial"/>
                <w:sz w:val="18"/>
                <w:szCs w:val="18"/>
                <w:b w:val="1"/>
                <w:bCs w:val="1"/>
                <w:color w:val="auto"/>
              </w:rPr>
              <w:t>SCHLUMBERGER LIMITED</w:t>
            </w:r>
          </w:p>
        </w:tc>
        <w:tc>
          <w:tcPr>
            <w:tcW w:w="0" w:type="dxa"/>
            <w:vAlign w:val="bottom"/>
          </w:tcPr>
          <w:p>
            <w:pPr>
              <w:spacing w:after="0"/>
              <w:rPr>
                <w:sz w:val="1"/>
                <w:szCs w:val="1"/>
                <w:color w:val="auto"/>
              </w:rPr>
            </w:pPr>
          </w:p>
        </w:tc>
      </w:tr>
      <w:tr>
        <w:trPr>
          <w:trHeight w:val="414"/>
        </w:trPr>
        <w:tc>
          <w:tcPr>
            <w:tcW w:w="2740" w:type="dxa"/>
            <w:vAlign w:val="bottom"/>
          </w:tcPr>
          <w:p>
            <w:pPr>
              <w:spacing w:after="0"/>
              <w:rPr>
                <w:sz w:val="24"/>
                <w:szCs w:val="24"/>
                <w:color w:val="auto"/>
              </w:rPr>
            </w:pPr>
          </w:p>
        </w:tc>
        <w:tc>
          <w:tcPr>
            <w:tcW w:w="8280" w:type="dxa"/>
            <w:vAlign w:val="bottom"/>
            <w:gridSpan w:val="5"/>
          </w:tcPr>
          <w:p>
            <w:pPr>
              <w:jc w:val="center"/>
              <w:ind w:right="2672"/>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80" w:type="dxa"/>
            <w:vAlign w:val="bottom"/>
            <w:gridSpan w:val="4"/>
          </w:tcPr>
          <w:p>
            <w:pPr>
              <w:jc w:val="center"/>
              <w:ind w:right="4272"/>
              <w:spacing w:after="0"/>
              <w:rPr>
                <w:sz w:val="20"/>
                <w:szCs w:val="20"/>
                <w:color w:val="auto"/>
              </w:rPr>
            </w:pPr>
            <w:r>
              <w:rPr>
                <w:rFonts w:ascii="Arial" w:cs="Arial" w:eastAsia="Arial" w:hAnsi="Arial"/>
                <w:sz w:val="18"/>
                <w:szCs w:val="18"/>
                <w:b w:val="1"/>
                <w:bCs w:val="1"/>
                <w:color w:val="auto"/>
                <w:w w:val="91"/>
              </w:rPr>
              <w:t>and Indenture, dated as of [ ]</w:t>
            </w:r>
          </w:p>
        </w:tc>
        <w:tc>
          <w:tcPr>
            <w:tcW w:w="0" w:type="dxa"/>
            <w:vAlign w:val="bottom"/>
          </w:tcPr>
          <w:p>
            <w:pPr>
              <w:spacing w:after="0"/>
              <w:rPr>
                <w:sz w:val="1"/>
                <w:szCs w:val="1"/>
                <w:color w:val="auto"/>
              </w:rPr>
            </w:pPr>
          </w:p>
        </w:tc>
      </w:tr>
      <w:tr>
        <w:trPr>
          <w:trHeight w:val="351"/>
        </w:trPr>
        <w:tc>
          <w:tcPr>
            <w:tcW w:w="2740" w:type="dxa"/>
            <w:vAlign w:val="bottom"/>
            <w:vMerge w:val="restart"/>
          </w:tcPr>
          <w:p>
            <w:pPr>
              <w:spacing w:after="0"/>
              <w:rPr>
                <w:sz w:val="20"/>
                <w:szCs w:val="20"/>
                <w:color w:val="auto"/>
              </w:rPr>
            </w:pPr>
            <w:r>
              <w:rPr>
                <w:rFonts w:ascii="Arial" w:cs="Arial" w:eastAsia="Arial" w:hAnsi="Arial"/>
                <w:sz w:val="14"/>
                <w:szCs w:val="14"/>
                <w:color w:val="auto"/>
              </w:rPr>
              <w:t>Section of Trust Indenture Act of 1939</w:t>
            </w:r>
          </w:p>
        </w:tc>
        <w:tc>
          <w:tcPr>
            <w:tcW w:w="16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Section(s)</w:t>
            </w:r>
          </w:p>
        </w:tc>
        <w:tc>
          <w:tcPr>
            <w:tcW w:w="0" w:type="dxa"/>
            <w:vAlign w:val="bottom"/>
          </w:tcPr>
          <w:p>
            <w:pPr>
              <w:spacing w:after="0"/>
              <w:rPr>
                <w:sz w:val="1"/>
                <w:szCs w:val="1"/>
                <w:color w:val="auto"/>
              </w:rPr>
            </w:pPr>
          </w:p>
        </w:tc>
      </w:tr>
      <w:tr>
        <w:trPr>
          <w:trHeight w:val="407"/>
        </w:trPr>
        <w:tc>
          <w:tcPr>
            <w:tcW w:w="27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7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 Indenture</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§310 (a)(1)</w:t>
            </w:r>
          </w:p>
        </w:tc>
        <w:tc>
          <w:tcPr>
            <w:tcW w:w="6300" w:type="dxa"/>
            <w:vAlign w:val="bottom"/>
            <w:gridSpan w:val="3"/>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(a)(2)</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(a)(3)</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(a)(4)</w:t>
            </w: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(a)(5)</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7.8, 7.10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§311 (a)</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§312 (a)</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§313 (a)</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(c)</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§314 (a)</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4.2, 4.7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(c)(1)</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(c)(2)</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(c)(3)</w:t>
            </w: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(e)</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§315 (a)</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7.1(a)</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(d)</w:t>
            </w: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(d)(1)</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7.1(c)(1)</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(d)(2)</w:t>
            </w:r>
          </w:p>
        </w:tc>
        <w:tc>
          <w:tcPr>
            <w:tcW w:w="1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(d)(3)</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7.1(c)(3)</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(e)</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§316 (a)(1)(A)</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(a)(1)(B)</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(a)(2)</w:t>
            </w:r>
          </w:p>
        </w:tc>
        <w:tc>
          <w:tcPr>
            <w:tcW w:w="16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(a)(last sentence)</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§317 (a)(1)</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(a)(2)</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(b)</w:t>
            </w:r>
          </w:p>
        </w:tc>
        <w:tc>
          <w:tcPr>
            <w:tcW w:w="8280" w:type="dxa"/>
            <w:vAlign w:val="bottom"/>
            <w:gridSpan w:val="5"/>
          </w:tcPr>
          <w:p>
            <w:pPr>
              <w:ind w:left="7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§318 (a)</w:t>
            </w:r>
          </w:p>
        </w:tc>
        <w:tc>
          <w:tcPr>
            <w:tcW w:w="8280" w:type="dxa"/>
            <w:vAlign w:val="bottom"/>
            <w:gridSpan w:val="5"/>
            <w:shd w:val="clear" w:color="auto" w:fill="CCEEFF"/>
          </w:tcPr>
          <w:p>
            <w:pPr>
              <w:ind w:left="71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020"/>
          </w:cols>
          <w:pgMar w:left="440" w:top="270" w:right="4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9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08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08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08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080" w:type="dxa"/>
            <w:vAlign w:val="bottom"/>
          </w:tcPr>
          <w:p>
            <w:pPr>
              <w:ind w:left="280"/>
              <w:spacing w:after="0"/>
              <w:rPr>
                <w:sz w:val="20"/>
                <w:szCs w:val="20"/>
                <w:color w:val="auto"/>
              </w:rPr>
            </w:pPr>
            <w:r>
              <w:rPr>
                <w:rFonts w:ascii="Arial" w:cs="Arial" w:eastAsia="Arial" w:hAnsi="Arial"/>
                <w:sz w:val="18"/>
                <w:szCs w:val="18"/>
                <w:color w:val="auto"/>
              </w:rPr>
              <w:t>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080" w:type="dxa"/>
            <w:vAlign w:val="bottom"/>
          </w:tcPr>
          <w:p>
            <w:pPr>
              <w:ind w:left="280"/>
              <w:spacing w:after="0"/>
              <w:rPr>
                <w:sz w:val="20"/>
                <w:szCs w:val="20"/>
                <w:color w:val="auto"/>
              </w:rPr>
            </w:pPr>
            <w:r>
              <w:rPr>
                <w:rFonts w:ascii="Arial" w:cs="Arial" w:eastAsia="Arial" w:hAnsi="Arial"/>
                <w:sz w:val="18"/>
                <w:szCs w:val="18"/>
                <w:color w:val="auto"/>
              </w:rPr>
              <w:t>Establishment of Terms of Series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08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080" w:type="dxa"/>
            <w:vAlign w:val="bottom"/>
          </w:tcPr>
          <w:p>
            <w:pPr>
              <w:ind w:left="280"/>
              <w:spacing w:after="0"/>
              <w:rPr>
                <w:sz w:val="20"/>
                <w:szCs w:val="20"/>
                <w:color w:val="auto"/>
              </w:rPr>
            </w:pPr>
            <w:r>
              <w:rPr>
                <w:rFonts w:ascii="Arial" w:cs="Arial" w:eastAsia="Arial" w:hAnsi="Arial"/>
                <w:sz w:val="18"/>
                <w:szCs w:val="18"/>
                <w:color w:val="auto"/>
              </w:rPr>
              <w:t>Registrar, Paying Agent and Transfer Agent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08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080" w:type="dxa"/>
            <w:vAlign w:val="bottom"/>
          </w:tcPr>
          <w:p>
            <w:pPr>
              <w:ind w:left="280"/>
              <w:spacing w:after="0"/>
              <w:rPr>
                <w:sz w:val="20"/>
                <w:szCs w:val="20"/>
                <w:color w:val="auto"/>
              </w:rPr>
            </w:pPr>
            <w:r>
              <w:rPr>
                <w:rFonts w:ascii="Arial" w:cs="Arial" w:eastAsia="Arial" w:hAnsi="Arial"/>
                <w:sz w:val="18"/>
                <w:szCs w:val="18"/>
                <w:color w:val="auto"/>
              </w:rPr>
              <w:t>Securityholder Lists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08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08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08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08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08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08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08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9080" w:type="dxa"/>
            <w:vAlign w:val="bottom"/>
          </w:tcPr>
          <w:p>
            <w:pPr>
              <w:ind w:left="280"/>
              <w:spacing w:after="0"/>
              <w:rPr>
                <w:sz w:val="20"/>
                <w:szCs w:val="20"/>
                <w:color w:val="auto"/>
              </w:rPr>
            </w:pPr>
            <w:r>
              <w:rPr>
                <w:rFonts w:ascii="Arial" w:cs="Arial" w:eastAsia="Arial" w:hAnsi="Arial"/>
                <w:sz w:val="18"/>
                <w:szCs w:val="18"/>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908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080" w:type="dxa"/>
            <w:vAlign w:val="bottom"/>
          </w:tcPr>
          <w:p>
            <w:pPr>
              <w:ind w:left="280"/>
              <w:spacing w:after="0"/>
              <w:rPr>
                <w:sz w:val="20"/>
                <w:szCs w:val="20"/>
                <w:color w:val="auto"/>
              </w:rPr>
            </w:pPr>
            <w:r>
              <w:rPr>
                <w:rFonts w:ascii="Arial" w:cs="Arial" w:eastAsia="Arial" w:hAnsi="Arial"/>
                <w:sz w:val="18"/>
                <w:szCs w:val="18"/>
                <w:color w:val="auto"/>
              </w:rPr>
              <w:t>Notice to Trustee; No Liability for Calculations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080" w:type="dxa"/>
            <w:vAlign w:val="bottom"/>
          </w:tcPr>
          <w:p>
            <w:pPr>
              <w:ind w:left="280"/>
              <w:spacing w:after="0"/>
              <w:rPr>
                <w:sz w:val="20"/>
                <w:szCs w:val="20"/>
                <w:color w:val="auto"/>
              </w:rPr>
            </w:pPr>
            <w:r>
              <w:rPr>
                <w:rFonts w:ascii="Arial" w:cs="Arial" w:eastAsia="Arial" w:hAnsi="Arial"/>
                <w:sz w:val="18"/>
                <w:szCs w:val="18"/>
                <w:color w:val="auto"/>
              </w:rPr>
              <w:t>Selection of Securities to be Redeemed</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08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08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08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08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080" w:type="dxa"/>
            <w:vAlign w:val="bottom"/>
          </w:tcPr>
          <w:p>
            <w:pPr>
              <w:ind w:left="280"/>
              <w:spacing w:after="0"/>
              <w:rPr>
                <w:sz w:val="20"/>
                <w:szCs w:val="20"/>
                <w:color w:val="auto"/>
              </w:rPr>
            </w:pPr>
            <w:r>
              <w:rPr>
                <w:rFonts w:ascii="Arial" w:cs="Arial" w:eastAsia="Arial" w:hAnsi="Arial"/>
                <w:sz w:val="18"/>
                <w:szCs w:val="18"/>
                <w:color w:val="auto"/>
              </w:rPr>
              <w:t>Sinking Fund</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080" w:type="dxa"/>
            <w:vAlign w:val="bottom"/>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080" w:type="dxa"/>
            <w:vAlign w:val="bottom"/>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080" w:type="dxa"/>
            <w:vAlign w:val="bottom"/>
          </w:tcPr>
          <w:p>
            <w:pPr>
              <w:ind w:left="280"/>
              <w:spacing w:after="0"/>
              <w:rPr>
                <w:sz w:val="20"/>
                <w:szCs w:val="20"/>
                <w:color w:val="auto"/>
              </w:rPr>
            </w:pPr>
            <w:r>
              <w:rPr>
                <w:rFonts w:ascii="Arial" w:cs="Arial" w:eastAsia="Arial" w:hAnsi="Arial"/>
                <w:sz w:val="18"/>
                <w:szCs w:val="18"/>
                <w:color w:val="auto"/>
              </w:rPr>
              <w:t>Redemption Upon Changes in Tax Law</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080" w:type="dxa"/>
            <w:vAlign w:val="bottom"/>
          </w:tcPr>
          <w:p>
            <w:pPr>
              <w:ind w:left="280"/>
              <w:spacing w:after="0"/>
              <w:rPr>
                <w:sz w:val="20"/>
                <w:szCs w:val="20"/>
                <w:color w:val="auto"/>
              </w:rPr>
            </w:pPr>
            <w:r>
              <w:rPr>
                <w:rFonts w:ascii="Arial" w:cs="Arial" w:eastAsia="Arial" w:hAnsi="Arial"/>
                <w:sz w:val="18"/>
                <w:szCs w:val="18"/>
                <w:color w:val="auto"/>
              </w:rPr>
              <w:t>Payment of Principal, Premium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08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08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080" w:type="dxa"/>
            <w:vAlign w:val="bottom"/>
          </w:tcPr>
          <w:p>
            <w:pPr>
              <w:ind w:left="280"/>
              <w:spacing w:after="0"/>
              <w:rPr>
                <w:sz w:val="20"/>
                <w:szCs w:val="20"/>
                <w:color w:val="auto"/>
              </w:rPr>
            </w:pPr>
            <w:r>
              <w:rPr>
                <w:rFonts w:ascii="Arial" w:cs="Arial" w:eastAsia="Arial" w:hAnsi="Arial"/>
                <w:sz w:val="18"/>
                <w:szCs w:val="18"/>
                <w:color w:val="auto"/>
              </w:rPr>
              <w:t>Corporate Existence</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080" w:type="dxa"/>
            <w:vAlign w:val="bottom"/>
          </w:tcPr>
          <w:p>
            <w:pPr>
              <w:ind w:left="280"/>
              <w:spacing w:after="0"/>
              <w:rPr>
                <w:sz w:val="20"/>
                <w:szCs w:val="20"/>
                <w:color w:val="auto"/>
              </w:rPr>
            </w:pPr>
            <w:r>
              <w:rPr>
                <w:rFonts w:ascii="Arial" w:cs="Arial" w:eastAsia="Arial" w:hAnsi="Arial"/>
                <w:sz w:val="18"/>
                <w:szCs w:val="18"/>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080" w:type="dxa"/>
            <w:vAlign w:val="bottom"/>
          </w:tcPr>
          <w:p>
            <w:pPr>
              <w:ind w:left="280"/>
              <w:spacing w:after="0"/>
              <w:rPr>
                <w:sz w:val="20"/>
                <w:szCs w:val="20"/>
                <w:color w:val="auto"/>
              </w:rPr>
            </w:pPr>
            <w:r>
              <w:rPr>
                <w:rFonts w:ascii="Arial" w:cs="Arial" w:eastAsia="Arial" w:hAnsi="Arial"/>
                <w:sz w:val="18"/>
                <w:szCs w:val="18"/>
                <w:color w:val="auto"/>
              </w:rPr>
              <w:t>Additional Amounts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080" w:type="dxa"/>
            <w:vAlign w:val="bottom"/>
          </w:tcPr>
          <w:p>
            <w:pPr>
              <w:ind w:left="280"/>
              <w:spacing w:after="0"/>
              <w:rPr>
                <w:sz w:val="20"/>
                <w:szCs w:val="20"/>
                <w:color w:val="auto"/>
              </w:rPr>
            </w:pPr>
            <w:r>
              <w:rPr>
                <w:rFonts w:ascii="Arial" w:cs="Arial" w:eastAsia="Arial" w:hAnsi="Arial"/>
                <w:sz w:val="18"/>
                <w:szCs w:val="18"/>
                <w:color w:val="auto"/>
              </w:rPr>
              <w:t>Reports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080" w:type="dxa"/>
            <w:vAlign w:val="bottom"/>
          </w:tcPr>
          <w:p>
            <w:pPr>
              <w:ind w:left="280"/>
              <w:spacing w:after="0"/>
              <w:rPr>
                <w:sz w:val="20"/>
                <w:szCs w:val="20"/>
                <w:color w:val="auto"/>
              </w:rPr>
            </w:pPr>
            <w:r>
              <w:rPr>
                <w:rFonts w:ascii="Arial" w:cs="Arial" w:eastAsia="Arial" w:hAnsi="Arial"/>
                <w:sz w:val="18"/>
                <w:szCs w:val="18"/>
                <w:color w:val="auto"/>
              </w:rPr>
              <w:t>Consolidation, Merger and Sale of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08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08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080" w:type="dxa"/>
            <w:vAlign w:val="bottom"/>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0" w:type="dxa"/>
            <w:vAlign w:val="bottom"/>
            <w:vMerge w:val="restart"/>
          </w:tcPr>
          <w:p>
            <w:pPr>
              <w:ind w:left="360"/>
              <w:spacing w:after="0"/>
              <w:rPr>
                <w:sz w:val="20"/>
                <w:szCs w:val="20"/>
                <w:color w:val="auto"/>
              </w:rPr>
            </w:pPr>
            <w:r>
              <w:rPr>
                <w:rFonts w:ascii="Arial" w:cs="Arial" w:eastAsia="Arial" w:hAnsi="Arial"/>
                <w:sz w:val="18"/>
                <w:szCs w:val="18"/>
                <w:color w:val="auto"/>
              </w:rPr>
              <w:t>Section 6.4.</w:t>
            </w:r>
          </w:p>
        </w:tc>
        <w:tc>
          <w:tcPr>
            <w:tcW w:w="9080" w:type="dxa"/>
            <w:vAlign w:val="bottom"/>
            <w:vMerge w:val="restart"/>
          </w:tcPr>
          <w:p>
            <w:pPr>
              <w:ind w:left="280"/>
              <w:spacing w:after="0"/>
              <w:rPr>
                <w:sz w:val="20"/>
                <w:szCs w:val="20"/>
                <w:color w:val="auto"/>
              </w:rPr>
            </w:pPr>
            <w:r>
              <w:rPr>
                <w:rFonts w:ascii="Arial" w:cs="Arial" w:eastAsia="Arial" w:hAnsi="Arial"/>
                <w:sz w:val="18"/>
                <w:szCs w:val="18"/>
                <w:color w:val="auto"/>
              </w:rPr>
              <w:t>Trustee May File Proofs of Claim</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600" w:type="dxa"/>
            <w:vAlign w:val="bottom"/>
            <w:vMerge w:val="continue"/>
          </w:tcPr>
          <w:p>
            <w:pPr>
              <w:spacing w:after="0"/>
              <w:rPr>
                <w:sz w:val="16"/>
                <w:szCs w:val="16"/>
                <w:color w:val="auto"/>
              </w:rPr>
            </w:pPr>
          </w:p>
        </w:tc>
        <w:tc>
          <w:tcPr>
            <w:tcW w:w="908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080" w:type="dxa"/>
            <w:vAlign w:val="bottom"/>
          </w:tcPr>
          <w:p>
            <w:pPr>
              <w:ind w:left="280"/>
              <w:spacing w:after="0"/>
              <w:rPr>
                <w:sz w:val="20"/>
                <w:szCs w:val="20"/>
                <w:color w:val="auto"/>
              </w:rPr>
            </w:pPr>
            <w:r>
              <w:rPr>
                <w:rFonts w:ascii="Arial" w:cs="Arial" w:eastAsia="Arial" w:hAnsi="Arial"/>
                <w:sz w:val="18"/>
                <w:szCs w:val="18"/>
                <w:color w:val="auto"/>
              </w:rPr>
              <w:t>Trustee May Enforce Claims Without Possession of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08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080" w:type="dxa"/>
            <w:vAlign w:val="bottom"/>
          </w:tcPr>
          <w:p>
            <w:pPr>
              <w:ind w:left="280"/>
              <w:spacing w:after="0"/>
              <w:rPr>
                <w:sz w:val="20"/>
                <w:szCs w:val="20"/>
                <w:color w:val="auto"/>
              </w:rPr>
            </w:pPr>
            <w:r>
              <w:rPr>
                <w:rFonts w:ascii="Arial" w:cs="Arial" w:eastAsia="Arial" w:hAnsi="Arial"/>
                <w:sz w:val="18"/>
                <w:szCs w:val="18"/>
                <w:color w:val="auto"/>
              </w:rPr>
              <w:t>Limitation on Suits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08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and Interest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080" w:type="dxa"/>
            <w:vAlign w:val="bottom"/>
          </w:tcPr>
          <w:p>
            <w:pPr>
              <w:ind w:left="280"/>
              <w:spacing w:after="0"/>
              <w:rPr>
                <w:sz w:val="20"/>
                <w:szCs w:val="20"/>
                <w:color w:val="auto"/>
              </w:rPr>
            </w:pPr>
            <w:r>
              <w:rPr>
                <w:rFonts w:ascii="Arial" w:cs="Arial" w:eastAsia="Arial" w:hAnsi="Arial"/>
                <w:sz w:val="18"/>
                <w:szCs w:val="18"/>
                <w:color w:val="auto"/>
              </w:rPr>
              <w:t>Restoration of Rights and Remedies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080" w:type="dxa"/>
            <w:vAlign w:val="bottom"/>
          </w:tcPr>
          <w:p>
            <w:pPr>
              <w:ind w:left="280"/>
              <w:spacing w:after="0"/>
              <w:rPr>
                <w:sz w:val="20"/>
                <w:szCs w:val="20"/>
                <w:color w:val="auto"/>
              </w:rPr>
            </w:pPr>
            <w:r>
              <w:rPr>
                <w:rFonts w:ascii="Arial" w:cs="Arial" w:eastAsia="Arial" w:hAnsi="Arial"/>
                <w:sz w:val="18"/>
                <w:szCs w:val="18"/>
                <w:color w:val="auto"/>
              </w:rPr>
              <w:t>Rights and Remedies Cumulative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080" w:type="dxa"/>
            <w:vAlign w:val="bottom"/>
          </w:tcPr>
          <w:p>
            <w:pPr>
              <w:ind w:left="280"/>
              <w:spacing w:after="0"/>
              <w:rPr>
                <w:sz w:val="20"/>
                <w:szCs w:val="20"/>
                <w:color w:val="auto"/>
              </w:rPr>
            </w:pPr>
            <w:r>
              <w:rPr>
                <w:rFonts w:ascii="Arial" w:cs="Arial" w:eastAsia="Arial" w:hAnsi="Arial"/>
                <w:sz w:val="18"/>
                <w:szCs w:val="18"/>
                <w:color w:val="auto"/>
              </w:rPr>
              <w:t>Delay or Omission Not Waiver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080" w:type="dxa"/>
            <w:vAlign w:val="bottom"/>
          </w:tcPr>
          <w:p>
            <w:pPr>
              <w:ind w:left="280"/>
              <w:spacing w:after="0"/>
              <w:rPr>
                <w:sz w:val="20"/>
                <w:szCs w:val="20"/>
                <w:color w:val="auto"/>
              </w:rPr>
            </w:pPr>
            <w:r>
              <w:rPr>
                <w:rFonts w:ascii="Arial" w:cs="Arial" w:eastAsia="Arial" w:hAnsi="Arial"/>
                <w:sz w:val="18"/>
                <w:szCs w:val="18"/>
                <w:color w:val="auto"/>
              </w:rPr>
              <w:t>Control by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9080" w:type="dxa"/>
            <w:vAlign w:val="bottom"/>
          </w:tcPr>
          <w:p>
            <w:pPr>
              <w:ind w:left="280"/>
              <w:spacing w:after="0"/>
              <w:rPr>
                <w:sz w:val="20"/>
                <w:szCs w:val="20"/>
                <w:color w:val="auto"/>
              </w:rPr>
            </w:pPr>
            <w:r>
              <w:rPr>
                <w:rFonts w:ascii="Arial" w:cs="Arial" w:eastAsia="Arial" w:hAnsi="Arial"/>
                <w:sz w:val="18"/>
                <w:szCs w:val="18"/>
                <w:color w:val="auto"/>
              </w:rPr>
              <w:t>Waiver of Past Defaults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908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080" w:type="dxa"/>
            <w:vAlign w:val="bottom"/>
          </w:tcPr>
          <w:p>
            <w:pPr>
              <w:ind w:left="280"/>
              <w:spacing w:after="0"/>
              <w:rPr>
                <w:sz w:val="20"/>
                <w:szCs w:val="20"/>
                <w:color w:val="auto"/>
              </w:rPr>
            </w:pPr>
            <w:r>
              <w:rPr>
                <w:rFonts w:ascii="Arial" w:cs="Arial" w:eastAsia="Arial" w:hAnsi="Arial"/>
                <w:sz w:val="18"/>
                <w:szCs w:val="18"/>
                <w:color w:val="auto"/>
              </w:rPr>
              <w:t>Duties of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080" w:type="dxa"/>
            <w:vAlign w:val="bottom"/>
          </w:tcPr>
          <w:p>
            <w:pPr>
              <w:ind w:left="280"/>
              <w:spacing w:after="0"/>
              <w:rPr>
                <w:sz w:val="20"/>
                <w:szCs w:val="20"/>
                <w:color w:val="auto"/>
              </w:rPr>
            </w:pPr>
            <w:r>
              <w:rPr>
                <w:rFonts w:ascii="Arial" w:cs="Arial" w:eastAsia="Arial" w:hAnsi="Arial"/>
                <w:sz w:val="18"/>
                <w:szCs w:val="18"/>
                <w:color w:val="auto"/>
              </w:rPr>
              <w:t>Rights of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080" w:type="dxa"/>
            <w:vAlign w:val="bottom"/>
          </w:tcPr>
          <w:p>
            <w:pPr>
              <w:ind w:left="280"/>
              <w:spacing w:after="0"/>
              <w:rPr>
                <w:sz w:val="20"/>
                <w:szCs w:val="20"/>
                <w:color w:val="auto"/>
              </w:rPr>
            </w:pPr>
            <w:r>
              <w:rPr>
                <w:rFonts w:ascii="Arial" w:cs="Arial" w:eastAsia="Arial" w:hAnsi="Arial"/>
                <w:sz w:val="18"/>
                <w:szCs w:val="18"/>
                <w:color w:val="auto"/>
              </w:rPr>
              <w:t>May Hold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080" w:type="dxa"/>
            <w:vAlign w:val="bottom"/>
          </w:tcPr>
          <w:p>
            <w:pPr>
              <w:ind w:left="280"/>
              <w:spacing w:after="0"/>
              <w:rPr>
                <w:sz w:val="20"/>
                <w:szCs w:val="20"/>
                <w:color w:val="auto"/>
              </w:rPr>
            </w:pPr>
            <w:r>
              <w:rPr>
                <w:rFonts w:ascii="Arial" w:cs="Arial" w:eastAsia="Arial" w:hAnsi="Arial"/>
                <w:sz w:val="18"/>
                <w:szCs w:val="18"/>
                <w:color w:val="auto"/>
              </w:rPr>
              <w:t>Trustee’s Disclaimer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080" w:type="dxa"/>
            <w:vAlign w:val="bottom"/>
          </w:tcPr>
          <w:p>
            <w:pPr>
              <w:ind w:left="280"/>
              <w:spacing w:after="0"/>
              <w:rPr>
                <w:sz w:val="20"/>
                <w:szCs w:val="20"/>
                <w:color w:val="auto"/>
              </w:rPr>
            </w:pPr>
            <w:r>
              <w:rPr>
                <w:rFonts w:ascii="Arial" w:cs="Arial" w:eastAsia="Arial" w:hAnsi="Arial"/>
                <w:sz w:val="18"/>
                <w:szCs w:val="18"/>
                <w:color w:val="auto"/>
              </w:rPr>
              <w:t>Notice of Defaults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080" w:type="dxa"/>
            <w:vAlign w:val="bottom"/>
          </w:tcPr>
          <w:p>
            <w:pPr>
              <w:ind w:left="280"/>
              <w:spacing w:after="0"/>
              <w:rPr>
                <w:sz w:val="20"/>
                <w:szCs w:val="20"/>
                <w:color w:val="auto"/>
              </w:rPr>
            </w:pPr>
            <w:r>
              <w:rPr>
                <w:rFonts w:ascii="Arial" w:cs="Arial" w:eastAsia="Arial" w:hAnsi="Arial"/>
                <w:sz w:val="18"/>
                <w:szCs w:val="18"/>
                <w:color w:val="auto"/>
              </w:rPr>
              <w:t>Reports by Trustee to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9080" w:type="dxa"/>
            <w:vAlign w:val="bottom"/>
          </w:tcPr>
          <w:p>
            <w:pPr>
              <w:ind w:left="280"/>
              <w:spacing w:after="0"/>
              <w:rPr>
                <w:sz w:val="20"/>
                <w:szCs w:val="20"/>
                <w:color w:val="auto"/>
              </w:rPr>
            </w:pPr>
            <w:r>
              <w:rPr>
                <w:rFonts w:ascii="Arial" w:cs="Arial" w:eastAsia="Arial" w:hAnsi="Arial"/>
                <w:sz w:val="18"/>
                <w:szCs w:val="18"/>
                <w:color w:val="auto"/>
              </w:rPr>
              <w:t>Compensation and Indemnity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9080" w:type="dxa"/>
            <w:vAlign w:val="bottom"/>
          </w:tcPr>
          <w:p>
            <w:pPr>
              <w:ind w:left="280"/>
              <w:spacing w:after="0"/>
              <w:rPr>
                <w:sz w:val="20"/>
                <w:szCs w:val="20"/>
                <w:color w:val="auto"/>
              </w:rPr>
            </w:pPr>
            <w:r>
              <w:rPr>
                <w:rFonts w:ascii="Arial" w:cs="Arial" w:eastAsia="Arial" w:hAnsi="Arial"/>
                <w:sz w:val="18"/>
                <w:szCs w:val="18"/>
                <w:color w:val="auto"/>
              </w:rPr>
              <w:t>Replacement of Trustee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9080" w:type="dxa"/>
            <w:vAlign w:val="bottom"/>
          </w:tcPr>
          <w:p>
            <w:pPr>
              <w:ind w:left="280"/>
              <w:spacing w:after="0"/>
              <w:rPr>
                <w:sz w:val="20"/>
                <w:szCs w:val="20"/>
                <w:color w:val="auto"/>
              </w:rPr>
            </w:pPr>
            <w:r>
              <w:rPr>
                <w:rFonts w:ascii="Arial" w:cs="Arial" w:eastAsia="Arial" w:hAnsi="Arial"/>
                <w:sz w:val="18"/>
                <w:szCs w:val="18"/>
                <w:color w:val="auto"/>
              </w:rPr>
              <w:t>Successor Trustee by Merger, etc.</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9080" w:type="dxa"/>
            <w:vAlign w:val="bottom"/>
          </w:tcPr>
          <w:p>
            <w:pPr>
              <w:ind w:left="280"/>
              <w:spacing w:after="0"/>
              <w:rPr>
                <w:sz w:val="20"/>
                <w:szCs w:val="20"/>
                <w:color w:val="auto"/>
              </w:rPr>
            </w:pPr>
            <w:r>
              <w:rPr>
                <w:rFonts w:ascii="Arial" w:cs="Arial" w:eastAsia="Arial" w:hAnsi="Arial"/>
                <w:sz w:val="18"/>
                <w:szCs w:val="18"/>
                <w:color w:val="auto"/>
              </w:rPr>
              <w:t>Eligibility; Disqualification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9080" w:type="dxa"/>
            <w:vAlign w:val="bottom"/>
          </w:tcPr>
          <w:p>
            <w:pPr>
              <w:ind w:left="280"/>
              <w:spacing w:after="0"/>
              <w:rPr>
                <w:sz w:val="20"/>
                <w:szCs w:val="20"/>
                <w:color w:val="auto"/>
              </w:rPr>
            </w:pPr>
            <w:r>
              <w:rPr>
                <w:rFonts w:ascii="Arial" w:cs="Arial" w:eastAsia="Arial" w:hAnsi="Arial"/>
                <w:sz w:val="18"/>
                <w:szCs w:val="18"/>
                <w:color w:val="auto"/>
              </w:rPr>
              <w:t>Preferential Collection of Claims Against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DISCHARGE OF INDENTURE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080" w:type="dxa"/>
            <w:vAlign w:val="bottom"/>
          </w:tcPr>
          <w:p>
            <w:pPr>
              <w:ind w:left="280"/>
              <w:spacing w:after="0"/>
              <w:rPr>
                <w:sz w:val="20"/>
                <w:szCs w:val="20"/>
                <w:color w:val="auto"/>
              </w:rPr>
            </w:pPr>
            <w:r>
              <w:rPr>
                <w:rFonts w:ascii="Arial" w:cs="Arial" w:eastAsia="Arial" w:hAnsi="Arial"/>
                <w:sz w:val="18"/>
                <w:szCs w:val="18"/>
                <w:color w:val="auto"/>
              </w:rPr>
              <w:t>Termination of Company’s Obligations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080" w:type="dxa"/>
            <w:vAlign w:val="bottom"/>
          </w:tcPr>
          <w:p>
            <w:pPr>
              <w:ind w:left="280"/>
              <w:spacing w:after="0"/>
              <w:rPr>
                <w:sz w:val="20"/>
                <w:szCs w:val="20"/>
                <w:color w:val="auto"/>
              </w:rPr>
            </w:pPr>
            <w:r>
              <w:rPr>
                <w:rFonts w:ascii="Arial" w:cs="Arial" w:eastAsia="Arial" w:hAnsi="Arial"/>
                <w:sz w:val="18"/>
                <w:szCs w:val="18"/>
                <w:color w:val="auto"/>
              </w:rPr>
              <w:t>Application of Trust Money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080" w:type="dxa"/>
            <w:vAlign w:val="bottom"/>
          </w:tcPr>
          <w:p>
            <w:pPr>
              <w:ind w:left="280"/>
              <w:spacing w:after="0"/>
              <w:rPr>
                <w:sz w:val="20"/>
                <w:szCs w:val="20"/>
                <w:color w:val="auto"/>
              </w:rPr>
            </w:pPr>
            <w:r>
              <w:rPr>
                <w:rFonts w:ascii="Arial" w:cs="Arial" w:eastAsia="Arial" w:hAnsi="Arial"/>
                <w:sz w:val="18"/>
                <w:szCs w:val="18"/>
                <w:color w:val="auto"/>
              </w:rPr>
              <w:t>Repayment to Company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08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080" w:type="dxa"/>
            <w:vAlign w:val="bottom"/>
          </w:tcPr>
          <w:p>
            <w:pPr>
              <w:ind w:left="280"/>
              <w:spacing w:after="0"/>
              <w:rPr>
                <w:sz w:val="20"/>
                <w:szCs w:val="20"/>
                <w:color w:val="auto"/>
              </w:rPr>
            </w:pPr>
            <w:r>
              <w:rPr>
                <w:rFonts w:ascii="Arial" w:cs="Arial" w:eastAsia="Arial" w:hAnsi="Arial"/>
                <w:sz w:val="18"/>
                <w:szCs w:val="18"/>
                <w:color w:val="auto"/>
              </w:rPr>
              <w:t>Without Consent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080" w:type="dxa"/>
            <w:vAlign w:val="bottom"/>
          </w:tcPr>
          <w:p>
            <w:pPr>
              <w:ind w:left="280"/>
              <w:spacing w:after="0"/>
              <w:rPr>
                <w:sz w:val="20"/>
                <w:szCs w:val="20"/>
                <w:color w:val="auto"/>
              </w:rPr>
            </w:pPr>
            <w:r>
              <w:rPr>
                <w:rFonts w:ascii="Arial" w:cs="Arial" w:eastAsia="Arial" w:hAnsi="Arial"/>
                <w:sz w:val="18"/>
                <w:szCs w:val="18"/>
                <w:color w:val="auto"/>
              </w:rPr>
              <w:t>With Consent of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9080" w:type="dxa"/>
            <w:vAlign w:val="bottom"/>
          </w:tcPr>
          <w:p>
            <w:pPr>
              <w:ind w:left="280"/>
              <w:spacing w:after="0"/>
              <w:rPr>
                <w:sz w:val="20"/>
                <w:szCs w:val="20"/>
                <w:color w:val="auto"/>
              </w:rPr>
            </w:pPr>
            <w:r>
              <w:rPr>
                <w:rFonts w:ascii="Arial" w:cs="Arial" w:eastAsia="Arial" w:hAnsi="Arial"/>
                <w:sz w:val="18"/>
                <w:szCs w:val="18"/>
                <w:color w:val="auto"/>
              </w:rPr>
              <w:t>Limitations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080" w:type="dxa"/>
            <w:vAlign w:val="bottom"/>
          </w:tcPr>
          <w:p>
            <w:pPr>
              <w:ind w:left="280"/>
              <w:spacing w:after="0"/>
              <w:rPr>
                <w:sz w:val="20"/>
                <w:szCs w:val="20"/>
                <w:color w:val="auto"/>
              </w:rPr>
            </w:pPr>
            <w:r>
              <w:rPr>
                <w:rFonts w:ascii="Arial" w:cs="Arial" w:eastAsia="Arial" w:hAnsi="Arial"/>
                <w:sz w:val="18"/>
                <w:szCs w:val="18"/>
                <w:color w:val="auto"/>
              </w:rPr>
              <w:t>Form of Amendments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080" w:type="dxa"/>
            <w:vAlign w:val="bottom"/>
          </w:tcPr>
          <w:p>
            <w:pPr>
              <w:ind w:left="280"/>
              <w:spacing w:after="0"/>
              <w:rPr>
                <w:sz w:val="20"/>
                <w:szCs w:val="20"/>
                <w:color w:val="auto"/>
              </w:rPr>
            </w:pPr>
            <w:r>
              <w:rPr>
                <w:rFonts w:ascii="Arial" w:cs="Arial" w:eastAsia="Arial" w:hAnsi="Arial"/>
                <w:sz w:val="18"/>
                <w:szCs w:val="18"/>
                <w:color w:val="auto"/>
              </w:rPr>
              <w:t>Revocation and Effect of Consents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080" w:type="dxa"/>
            <w:vAlign w:val="bottom"/>
          </w:tcPr>
          <w:p>
            <w:pPr>
              <w:ind w:left="280"/>
              <w:spacing w:after="0"/>
              <w:rPr>
                <w:sz w:val="20"/>
                <w:szCs w:val="20"/>
                <w:color w:val="auto"/>
              </w:rPr>
            </w:pPr>
            <w:r>
              <w:rPr>
                <w:rFonts w:ascii="Arial" w:cs="Arial" w:eastAsia="Arial" w:hAnsi="Arial"/>
                <w:sz w:val="18"/>
                <w:szCs w:val="18"/>
                <w:color w:val="auto"/>
              </w:rPr>
              <w:t>Notation on or Exchange of Securities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9080" w:type="dxa"/>
            <w:vAlign w:val="bottom"/>
          </w:tcPr>
          <w:p>
            <w:pPr>
              <w:ind w:left="280"/>
              <w:spacing w:after="0"/>
              <w:rPr>
                <w:sz w:val="20"/>
                <w:szCs w:val="20"/>
                <w:color w:val="auto"/>
              </w:rPr>
            </w:pPr>
            <w:r>
              <w:rPr>
                <w:rFonts w:ascii="Arial" w:cs="Arial" w:eastAsia="Arial" w:hAnsi="Arial"/>
                <w:sz w:val="18"/>
                <w:szCs w:val="18"/>
                <w:color w:val="auto"/>
              </w:rPr>
              <w:t>Trustee Protected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080" w:type="dxa"/>
            <w:vAlign w:val="bottom"/>
          </w:tcPr>
          <w:p>
            <w:pPr>
              <w:ind w:left="280"/>
              <w:spacing w:after="0"/>
              <w:rPr>
                <w:sz w:val="20"/>
                <w:szCs w:val="20"/>
                <w:color w:val="auto"/>
              </w:rPr>
            </w:pPr>
            <w:r>
              <w:rPr>
                <w:rFonts w:ascii="Arial" w:cs="Arial" w:eastAsia="Arial" w:hAnsi="Arial"/>
                <w:sz w:val="18"/>
                <w:szCs w:val="18"/>
                <w:color w:val="auto"/>
              </w:rPr>
              <w:t>Notices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080" w:type="dxa"/>
            <w:vAlign w:val="bottom"/>
          </w:tcPr>
          <w:p>
            <w:pPr>
              <w:ind w:left="280"/>
              <w:spacing w:after="0"/>
              <w:rPr>
                <w:sz w:val="20"/>
                <w:szCs w:val="20"/>
                <w:color w:val="auto"/>
              </w:rPr>
            </w:pPr>
            <w:r>
              <w:rPr>
                <w:rFonts w:ascii="Arial" w:cs="Arial" w:eastAsia="Arial" w:hAnsi="Arial"/>
                <w:sz w:val="18"/>
                <w:szCs w:val="18"/>
                <w:color w:val="auto"/>
              </w:rPr>
              <w:t>Communication by Holders with Other Holders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080" w:type="dxa"/>
            <w:vAlign w:val="bottom"/>
          </w:tcPr>
          <w:p>
            <w:pPr>
              <w:ind w:left="280"/>
              <w:spacing w:after="0"/>
              <w:rPr>
                <w:sz w:val="20"/>
                <w:szCs w:val="20"/>
                <w:color w:val="auto"/>
              </w:rPr>
            </w:pPr>
            <w:r>
              <w:rPr>
                <w:rFonts w:ascii="Arial" w:cs="Arial" w:eastAsia="Arial" w:hAnsi="Arial"/>
                <w:sz w:val="18"/>
                <w:szCs w:val="18"/>
                <w:color w:val="auto"/>
              </w:rPr>
              <w:t>Certificate and Opinion as to Conditions Precedent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080" w:type="dxa"/>
            <w:vAlign w:val="bottom"/>
          </w:tcPr>
          <w:p>
            <w:pPr>
              <w:ind w:left="280"/>
              <w:spacing w:after="0"/>
              <w:rPr>
                <w:sz w:val="20"/>
                <w:szCs w:val="20"/>
                <w:color w:val="auto"/>
              </w:rPr>
            </w:pPr>
            <w:r>
              <w:rPr>
                <w:rFonts w:ascii="Arial" w:cs="Arial" w:eastAsia="Arial" w:hAnsi="Arial"/>
                <w:sz w:val="18"/>
                <w:szCs w:val="18"/>
                <w:color w:val="auto"/>
              </w:rPr>
              <w:t>Statements Required in Certificate or Opinion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080" w:type="dxa"/>
            <w:vAlign w:val="bottom"/>
          </w:tcPr>
          <w:p>
            <w:pPr>
              <w:ind w:left="280"/>
              <w:spacing w:after="0"/>
              <w:rPr>
                <w:sz w:val="20"/>
                <w:szCs w:val="20"/>
                <w:color w:val="auto"/>
              </w:rPr>
            </w:pPr>
            <w:r>
              <w:rPr>
                <w:rFonts w:ascii="Arial" w:cs="Arial" w:eastAsia="Arial" w:hAnsi="Arial"/>
                <w:sz w:val="18"/>
                <w:szCs w:val="18"/>
                <w:color w:val="auto"/>
              </w:rPr>
              <w:t>Rules by Trustee and Agents.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08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20"/>
          </w:cols>
          <w:pgMar w:left="440" w:top="270" w:right="439" w:bottom="1440" w:gutter="0" w:footer="0" w:header="0"/>
        </w:sectPr>
      </w:pPr>
    </w:p>
    <w:bookmarkStart w:id="50" w:name="page51"/>
    <w:bookmarkEnd w:id="50"/>
    <w:p>
      <w:pPr>
        <w:jc w:val="center"/>
        <w:ind w:righ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vMerge w:val="restart"/>
          </w:tcPr>
          <w:p>
            <w:pPr>
              <w:spacing w:after="0"/>
              <w:rPr>
                <w:sz w:val="20"/>
                <w:szCs w:val="20"/>
                <w:color w:val="auto"/>
              </w:rPr>
            </w:pPr>
            <w:r>
              <w:rPr>
                <w:rFonts w:ascii="Arial" w:cs="Arial" w:eastAsia="Arial" w:hAnsi="Arial"/>
                <w:sz w:val="18"/>
                <w:szCs w:val="18"/>
                <w:color w:val="auto"/>
              </w:rPr>
              <w:t>Section 10.7.</w:t>
            </w:r>
          </w:p>
        </w:tc>
        <w:tc>
          <w:tcPr>
            <w:tcW w:w="9040" w:type="dxa"/>
            <w:vAlign w:val="bottom"/>
            <w:vMerge w:val="restart"/>
          </w:tcPr>
          <w:p>
            <w:pPr>
              <w:ind w:left="240"/>
              <w:spacing w:after="0"/>
              <w:rPr>
                <w:sz w:val="20"/>
                <w:szCs w:val="20"/>
                <w:color w:val="auto"/>
              </w:rPr>
            </w:pPr>
            <w:r>
              <w:rPr>
                <w:rFonts w:ascii="Arial" w:cs="Arial" w:eastAsia="Arial" w:hAnsi="Arial"/>
                <w:sz w:val="18"/>
                <w:szCs w:val="18"/>
                <w:color w:val="auto"/>
              </w:rPr>
              <w:t>No Personal Liability of Directors, Officers, Employees, Stockholders and Certain Others</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904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10.8.</w:t>
            </w:r>
          </w:p>
        </w:tc>
        <w:tc>
          <w:tcPr>
            <w:tcW w:w="9040" w:type="dxa"/>
            <w:vAlign w:val="bottom"/>
          </w:tcPr>
          <w:p>
            <w:pPr>
              <w:ind w:left="240"/>
              <w:spacing w:after="0"/>
              <w:rPr>
                <w:sz w:val="20"/>
                <w:szCs w:val="20"/>
                <w:color w:val="auto"/>
              </w:rPr>
            </w:pPr>
            <w:r>
              <w:rPr>
                <w:rFonts w:ascii="Arial" w:cs="Arial" w:eastAsia="Arial" w:hAnsi="Arial"/>
                <w:sz w:val="18"/>
                <w:szCs w:val="18"/>
                <w:color w:val="auto"/>
              </w:rPr>
              <w:t>FATCA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10.9.</w:t>
            </w:r>
          </w:p>
        </w:tc>
        <w:tc>
          <w:tcPr>
            <w:tcW w:w="90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10.10.</w:t>
            </w:r>
          </w:p>
        </w:tc>
        <w:tc>
          <w:tcPr>
            <w:tcW w:w="9040" w:type="dxa"/>
            <w:vAlign w:val="bottom"/>
          </w:tcPr>
          <w:p>
            <w:pPr>
              <w:ind w:left="240"/>
              <w:spacing w:after="0"/>
              <w:rPr>
                <w:sz w:val="20"/>
                <w:szCs w:val="20"/>
                <w:color w:val="auto"/>
              </w:rPr>
            </w:pPr>
            <w:r>
              <w:rPr>
                <w:rFonts w:ascii="Arial" w:cs="Arial" w:eastAsia="Arial" w:hAnsi="Arial"/>
                <w:sz w:val="18"/>
                <w:szCs w:val="18"/>
                <w:color w:val="auto"/>
              </w:rPr>
              <w:t>Governing Laws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10.11.</w:t>
            </w:r>
          </w:p>
        </w:tc>
        <w:tc>
          <w:tcPr>
            <w:tcW w:w="904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10.12.</w:t>
            </w:r>
          </w:p>
        </w:tc>
        <w:tc>
          <w:tcPr>
            <w:tcW w:w="904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10.13.</w:t>
            </w:r>
          </w:p>
        </w:tc>
        <w:tc>
          <w:tcPr>
            <w:tcW w:w="90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10.14.</w:t>
            </w:r>
          </w:p>
        </w:tc>
        <w:tc>
          <w:tcPr>
            <w:tcW w:w="90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10.15.</w:t>
            </w:r>
          </w:p>
        </w:tc>
        <w:tc>
          <w:tcPr>
            <w:tcW w:w="904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10.16.</w:t>
            </w:r>
          </w:p>
        </w:tc>
        <w:tc>
          <w:tcPr>
            <w:tcW w:w="9040" w:type="dxa"/>
            <w:vAlign w:val="bottom"/>
          </w:tcPr>
          <w:p>
            <w:pPr>
              <w:ind w:left="240"/>
              <w:spacing w:after="0"/>
              <w:rPr>
                <w:sz w:val="20"/>
                <w:szCs w:val="20"/>
                <w:color w:val="auto"/>
              </w:rPr>
            </w:pPr>
            <w:r>
              <w:rPr>
                <w:rFonts w:ascii="Arial" w:cs="Arial" w:eastAsia="Arial" w:hAnsi="Arial"/>
                <w:sz w:val="18"/>
                <w:szCs w:val="18"/>
                <w:color w:val="auto"/>
              </w:rPr>
              <w:t>English Language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10.17.</w:t>
            </w:r>
          </w:p>
        </w:tc>
        <w:tc>
          <w:tcPr>
            <w:tcW w:w="9040" w:type="dxa"/>
            <w:vAlign w:val="bottom"/>
          </w:tcPr>
          <w:p>
            <w:pPr>
              <w:ind w:left="240"/>
              <w:spacing w:after="0"/>
              <w:rPr>
                <w:sz w:val="20"/>
                <w:szCs w:val="20"/>
                <w:color w:val="auto"/>
              </w:rPr>
            </w:pPr>
            <w:r>
              <w:rPr>
                <w:rFonts w:ascii="Arial" w:cs="Arial" w:eastAsia="Arial" w:hAnsi="Arial"/>
                <w:sz w:val="18"/>
                <w:szCs w:val="18"/>
                <w:color w:val="auto"/>
              </w:rPr>
              <w:t>Submission to Jurisdiction; Appointment of Agent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10.18.</w:t>
            </w:r>
          </w:p>
        </w:tc>
        <w:tc>
          <w:tcPr>
            <w:tcW w:w="9040" w:type="dxa"/>
            <w:vAlign w:val="bottom"/>
          </w:tcPr>
          <w:p>
            <w:pPr>
              <w:ind w:left="240"/>
              <w:spacing w:after="0"/>
              <w:rPr>
                <w:sz w:val="20"/>
                <w:szCs w:val="20"/>
                <w:color w:val="auto"/>
              </w:rPr>
            </w:pPr>
            <w:r>
              <w:rPr>
                <w:rFonts w:ascii="Arial" w:cs="Arial" w:eastAsia="Arial" w:hAnsi="Arial"/>
                <w:sz w:val="18"/>
                <w:szCs w:val="18"/>
                <w:color w:val="auto"/>
              </w:rPr>
              <w:t>Waiver of Immunity</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10.19.</w:t>
            </w:r>
          </w:p>
        </w:tc>
        <w:tc>
          <w:tcPr>
            <w:tcW w:w="904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10.20.</w:t>
            </w:r>
          </w:p>
        </w:tc>
        <w:tc>
          <w:tcPr>
            <w:tcW w:w="9040" w:type="dxa"/>
            <w:vAlign w:val="bottom"/>
          </w:tcPr>
          <w:p>
            <w:pPr>
              <w:ind w:left="240"/>
              <w:spacing w:after="0"/>
              <w:rPr>
                <w:sz w:val="20"/>
                <w:szCs w:val="20"/>
                <w:color w:val="auto"/>
              </w:rPr>
            </w:pPr>
            <w:r>
              <w:rPr>
                <w:rFonts w:ascii="Arial" w:cs="Arial" w:eastAsia="Arial" w:hAnsi="Arial"/>
                <w:sz w:val="18"/>
                <w:szCs w:val="18"/>
                <w:color w:val="auto"/>
              </w:rPr>
              <w:t>Trust Indenture Act Controls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60"/>
          </w:cols>
          <w:pgMar w:left="800" w:top="270" w:right="439" w:bottom="1440" w:gutter="0" w:footer="0" w:header="0"/>
        </w:sectPr>
      </w:pPr>
    </w:p>
    <w:bookmarkStart w:id="51" w:name="page52"/>
    <w:bookmarkEnd w:id="51"/>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Indenture dated as of [</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as trustee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between Schlumberger Limited, a company organized under the laws of Curaçao (the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-201295</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3">
            <w:col w:w="360" w:space="620"/>
            <w:col w:w="2080" w:space="440"/>
            <w:col w:w="7520"/>
          </w:cols>
          <w:pgMar w:left="440" w:top="274" w:right="439" w:bottom="1440" w:gutter="0" w:footer="0" w:header="0"/>
        </w:sectPr>
      </w:pPr>
    </w:p>
    <w:p>
      <w:pPr>
        <w:spacing w:after="0" w:line="3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and Officer’s Certificate or by supplemental indenture for a particular Series, any day except a Saturday, a Sunday or a day on which banking institutions in The City of New York, New York or a place of payment are authorized or obligated by law, regulation or executive order to remain closed.</w:t>
      </w:r>
    </w:p>
    <w:p>
      <w:pPr>
        <w:spacing w:after="0" w:line="184"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ectPr>
          <w:pgSz w:w="11900" w:h="16838" w:orient="portrait"/>
          <w:cols w:equalWidth="0" w:num="1">
            <w:col w:w="11020"/>
          </w:cols>
          <w:pgMar w:left="440" w:top="274" w:right="439" w:bottom="1440" w:gutter="0" w:footer="0" w:header="0"/>
          <w:type w:val="continuous"/>
        </w:sectPr>
      </w:pPr>
    </w:p>
    <w:bookmarkStart w:id="52" w:name="page53"/>
    <w:bookmarkEnd w:id="5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Limited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Order</w:t>
      </w:r>
      <w:r>
        <w:rPr>
          <w:rFonts w:ascii="Arial" w:cs="Arial" w:eastAsia="Arial" w:hAnsi="Arial"/>
          <w:sz w:val="16"/>
          <w:szCs w:val="16"/>
          <w:color w:val="auto"/>
        </w:rPr>
        <w:t>” or “</w:t>
      </w:r>
      <w:r>
        <w:rPr>
          <w:rFonts w:ascii="Arial" w:cs="Arial" w:eastAsia="Arial" w:hAnsi="Arial"/>
          <w:sz w:val="16"/>
          <w:szCs w:val="16"/>
          <w:i w:val="1"/>
          <w:iCs w:val="1"/>
          <w:color w:val="auto"/>
        </w:rPr>
        <w:t>Company Request</w:t>
      </w:r>
      <w:r>
        <w:rPr>
          <w:rFonts w:ascii="Arial" w:cs="Arial" w:eastAsia="Arial" w:hAnsi="Arial"/>
          <w:sz w:val="16"/>
          <w:szCs w:val="16"/>
          <w:color w:val="auto"/>
        </w:rPr>
        <w:t>” means a written order signed in the name of the Company by one of the Company’s Officers.</w:t>
      </w:r>
    </w:p>
    <w:p>
      <w:pPr>
        <w:spacing w:after="0" w:line="248"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Company’s most recent quarterly consolidated statement of financial position.</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3" w:name="page54"/>
    <w:bookmarkEnd w:id="5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Holder</w:t>
      </w:r>
      <w:r>
        <w:rPr>
          <w:rFonts w:ascii="Arial" w:cs="Arial" w:eastAsia="Arial" w:hAnsi="Arial"/>
          <w:sz w:val="17"/>
          <w:szCs w:val="17"/>
          <w:color w:val="auto"/>
        </w:rPr>
        <w:t>” or “</w:t>
      </w:r>
      <w:r>
        <w:rPr>
          <w:rFonts w:ascii="Arial" w:cs="Arial" w:eastAsia="Arial" w:hAnsi="Arial"/>
          <w:sz w:val="17"/>
          <w:szCs w:val="17"/>
          <w:i w:val="1"/>
          <w:iCs w:val="1"/>
          <w:color w:val="auto"/>
        </w:rPr>
        <w:t>Securityholder</w:t>
      </w:r>
      <w:r>
        <w:rPr>
          <w:rFonts w:ascii="Arial" w:cs="Arial" w:eastAsia="Arial" w:hAnsi="Arial"/>
          <w:sz w:val="17"/>
          <w:szCs w:val="17"/>
          <w:color w:val="auto"/>
        </w:rPr>
        <w:t>” means a Person in whose name a Security is registered in the register maintained by the Registrar.</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22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70"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obligor</w:t>
      </w:r>
      <w:r>
        <w:rPr>
          <w:rFonts w:ascii="Arial" w:cs="Arial" w:eastAsia="Arial" w:hAnsi="Arial"/>
          <w:sz w:val="16"/>
          <w:szCs w:val="16"/>
          <w:color w:val="auto"/>
        </w:rPr>
        <w:t>” on the indenture securities means the Company issuing the Securities and any successor to such obligor upon the Securities.</w:t>
      </w:r>
    </w:p>
    <w:p>
      <w:pPr>
        <w:spacing w:after="0" w:line="248"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Periodic Offering</w:t>
      </w:r>
      <w:r>
        <w:rPr>
          <w:rFonts w:ascii="Arial" w:cs="Arial" w:eastAsia="Arial" w:hAnsi="Arial"/>
          <w:sz w:val="18"/>
          <w:szCs w:val="18"/>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54" w:name="page55"/>
    <w:bookmarkEnd w:id="5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Property</w:t>
      </w:r>
      <w:r>
        <w:rPr>
          <w:rFonts w:ascii="Arial" w:cs="Arial" w:eastAsia="Arial" w:hAnsi="Arial"/>
          <w:sz w:val="16"/>
          <w:szCs w:val="16"/>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15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Company which owns a Restricted Property.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any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w:t>
      </w:r>
      <w:r>
        <w:rPr>
          <w:rFonts w:ascii="Arial" w:cs="Arial" w:eastAsia="Arial" w:hAnsi="Arial"/>
          <w:sz w:val="17"/>
          <w:szCs w:val="17"/>
          <w:color w:val="auto"/>
        </w:rPr>
        <w:t>” or “</w:t>
      </w:r>
      <w:r>
        <w:rPr>
          <w:rFonts w:ascii="Arial" w:cs="Arial" w:eastAsia="Arial" w:hAnsi="Arial"/>
          <w:sz w:val="17"/>
          <w:szCs w:val="17"/>
          <w:i w:val="1"/>
          <w:iCs w:val="1"/>
          <w:color w:val="auto"/>
        </w:rPr>
        <w:t>Series of Securities</w:t>
      </w:r>
      <w:r>
        <w:rPr>
          <w:rFonts w:ascii="Arial" w:cs="Arial" w:eastAsia="Arial" w:hAnsi="Arial"/>
          <w:sz w:val="17"/>
          <w:szCs w:val="17"/>
          <w:color w:val="auto"/>
        </w:rPr>
        <w:t>” means each series of Securities of the Company created pursuant to Sections 2.1 and 2.2 hereof.</w:t>
      </w:r>
    </w:p>
    <w:p>
      <w:pPr>
        <w:spacing w:after="0" w:line="237"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as in effect on the date hereof.</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11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TERM</w:t>
            </w:r>
          </w:p>
        </w:tc>
        <w:tc>
          <w:tcPr>
            <w:tcW w:w="35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DEFINED IN</w:t>
            </w:r>
          </w:p>
        </w:tc>
        <w:tc>
          <w:tcPr>
            <w:tcW w:w="0" w:type="dxa"/>
            <w:vAlign w:val="bottom"/>
          </w:tcPr>
          <w:p>
            <w:pPr>
              <w:spacing w:after="0"/>
              <w:rPr>
                <w:sz w:val="1"/>
                <w:szCs w:val="1"/>
                <w:color w:val="auto"/>
              </w:rPr>
            </w:pPr>
          </w:p>
        </w:tc>
      </w:tr>
      <w:tr>
        <w:trPr>
          <w:trHeight w:val="154"/>
        </w:trPr>
        <w:tc>
          <w:tcPr>
            <w:tcW w:w="2840" w:type="dxa"/>
            <w:vAlign w:val="bottom"/>
            <w:gridSpan w:val="2"/>
            <w:vMerge w:val="continue"/>
          </w:tcPr>
          <w:p>
            <w:pPr>
              <w:spacing w:after="0"/>
              <w:rPr>
                <w:sz w:val="13"/>
                <w:szCs w:val="13"/>
                <w:color w:val="auto"/>
              </w:rPr>
            </w:pPr>
          </w:p>
        </w:tc>
        <w:tc>
          <w:tcPr>
            <w:tcW w:w="3580" w:type="dxa"/>
            <w:vAlign w:val="bottom"/>
          </w:tcPr>
          <w:p>
            <w:pPr>
              <w:spacing w:after="0"/>
              <w:rPr>
                <w:sz w:val="13"/>
                <w:szCs w:val="13"/>
                <w:color w:val="auto"/>
              </w:rPr>
            </w:pPr>
          </w:p>
        </w:tc>
        <w:tc>
          <w:tcPr>
            <w:tcW w:w="106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3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3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8.1(b)</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“FATCA”</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8.1(c)</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“Relevant Tax Jurisdiction”</w:t>
            </w:r>
          </w:p>
        </w:tc>
        <w:tc>
          <w:tcPr>
            <w:tcW w:w="3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4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80" w:type="dxa"/>
            <w:vAlign w:val="bottom"/>
          </w:tcPr>
          <w:p>
            <w:pPr>
              <w:jc w:val="right"/>
              <w:ind w:right="255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200" w:hanging="235"/>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220" w:hanging="25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200" w:hanging="235"/>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220" w:hanging="255"/>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200" w:hanging="235"/>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right="40" w:firstLine="525"/>
        <w:spacing w:after="0" w:line="270" w:lineRule="auto"/>
        <w:tabs>
          <w:tab w:leader="none" w:pos="1193"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117"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and Officer’s Certificate or as may be set forth in, or pursuant to a supplemental indenture establishing the terms of such Series of Securities.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117" w:lineRule="exact"/>
        <w:rPr>
          <w:sz w:val="20"/>
          <w:szCs w:val="20"/>
          <w:color w:val="auto"/>
        </w:rPr>
      </w:pPr>
    </w:p>
    <w:p>
      <w:pPr>
        <w:jc w:val="both"/>
        <w:ind w:right="360" w:firstLine="991"/>
        <w:spacing w:after="0" w:line="286" w:lineRule="auto"/>
        <w:rPr>
          <w:sz w:val="20"/>
          <w:szCs w:val="20"/>
          <w:color w:val="auto"/>
        </w:rPr>
      </w:pPr>
      <w:r>
        <w:rPr>
          <w:rFonts w:ascii="Arial" w:cs="Arial" w:eastAsia="Arial" w:hAnsi="Arial"/>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and Officer’s Certificate or by or pursuant to a supplemental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7" w:name="page58"/>
    <w:bookmarkEnd w:id="5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 the title of the Series (which shall distinguish the Securities of that particular Series from the Securities of any other Series);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 the aggregate principal amount of the Securities of the Series to be issued;</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and premium, if any, of the Securities of the Series is payable;</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2.2.6.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2.2.8. the right, if any, to extend the interest payment periods or defer the payment of interest and the duration of such extension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deferral;</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2.2.9.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terms of any repurchase or remarketing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8" w:name="page59"/>
    <w:bookmarkEnd w:id="58"/>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2.2.12. if other than denominations of $2,000 or integral multiples of $1,000 in excess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2.2.13. the forms of the Securities of the Series including the form of the Trustee’s certificate of authentication for such Series;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2.2.14. any trustees, authenticating agents or Agents with respect to the Securities of the Series, if different from those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2.2.16. any provisions granting special rights to Holders when a specified event occurs;</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2.2.18. any special tax implications of the Securities, including provisions for original issue discount securities, if offered;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2.2.19. whether and upon what terms Securities of the Series may be defeased if different from the provisions set forth in this Indenture;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2.2.20. with regard to the Securities of any Series that do not bear interest, the dates for certain required reports to the Trustee;</w:t>
      </w:r>
    </w:p>
    <w:p>
      <w:pPr>
        <w:spacing w:after="0" w:line="23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2.2.22. any guarantees on the Securities of the Series;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2.2.23. the currency or currencies in which payment of the principal of, premium, if any, and interest on, the Securities of the Series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payable;</w:t>
      </w:r>
    </w:p>
    <w:p>
      <w:pPr>
        <w:spacing w:after="0" w:line="21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2.2.25. the provisions, if any, relating to any security provided for the Securities of the Series;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9" w:name="page60"/>
    <w:bookmarkEnd w:id="59"/>
    <w:p>
      <w:pPr>
        <w:ind w:right="2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2.2.27.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188"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Board Resolution and Officer’s Certificate or by or pursuant to the supplemental indenture referred to above.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Officer of the Company shall sign the Securities for the Company by manual, facsimile or electronic signature.</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Security shall not be valid until authenticated by the manual, facsimile or electronic signature of the Trustee or an authenticating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shall be conclusive evidence that the Security has been authenticated under this Indenture.</w:t>
      </w:r>
    </w:p>
    <w:p>
      <w:pPr>
        <w:spacing w:after="0" w:line="211"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and Officer’s Certificate or in the supplemental indenture, upon receipt by the Trustee of a Company Order. Each Security shall be dated the date of its authentication unless otherwise provided by the relevant Board Resolution and Officer’s Certificate or the relevant supplemental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60" w:name="page61"/>
    <w:bookmarkEnd w:id="60"/>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187"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The aggregate principal amount of Securities of any Series outstanding at any time may not exceed any limit upon the maximum principal amount for such Series set forth in the Board Resolution and Officer’s Certificate or in the supplemental indenture delivered pursuant to Section 2.2.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relying on: (a) the Board Resolution and Officer’s Certificate or the supplemental indenture establishing the form of the Securities of that Series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within that Series and the terms of the Securities of that Series or of Securities within that Series, (b) an Officer’s Certificate complying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10.4, and (c) an Opinion of Counsel complying with Section 10.4. With respect to Securities of a Series subject to a Periodic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Trustee conclusively may rely, as to the authorization by the Company of any of such Securities, the forms and terms thereof and the legality, validity,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binding effect and enforceability thereof, upon the written order of the Company, Opinion of Counsel, Officer’s Certificate and other documents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delivered pursuant to this Section 2.3 at or prior to the time of the first authentication of Securities of such Series unless and until such written order,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Opinion of Counsel, Officer’s Certificate or other documents have been superseded or revoked, and written notice thereof is provided to Trustee,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expire by their terms.</w:t>
      </w:r>
    </w:p>
    <w:p>
      <w:pPr>
        <w:spacing w:after="0" w:line="211"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4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will maintain one or more paying agents (each, a “</w:t>
      </w:r>
      <w:r>
        <w:rPr>
          <w:rFonts w:ascii="Arial" w:cs="Arial" w:eastAsia="Arial" w:hAnsi="Arial"/>
          <w:sz w:val="16"/>
          <w:szCs w:val="16"/>
          <w:i w:val="1"/>
          <w:iCs w:val="1"/>
          <w:color w:val="auto"/>
        </w:rPr>
        <w:t>Paying Agent</w:t>
      </w:r>
      <w:r>
        <w:rPr>
          <w:rFonts w:ascii="Arial" w:cs="Arial" w:eastAsia="Arial" w:hAnsi="Arial"/>
          <w:sz w:val="16"/>
          <w:szCs w:val="16"/>
          <w:color w:val="auto"/>
        </w:rPr>
        <w:t>”) for the Securities in the Borough of Manhattan, City of</w:t>
      </w:r>
    </w:p>
    <w:p>
      <w:pPr>
        <w:spacing w:after="0" w:line="4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New York. The initial Paying Agent will be [ ] and thereafter “</w:t>
      </w:r>
      <w:r>
        <w:rPr>
          <w:rFonts w:ascii="Arial" w:cs="Arial" w:eastAsia="Arial" w:hAnsi="Arial"/>
          <w:sz w:val="16"/>
          <w:szCs w:val="16"/>
          <w:i w:val="1"/>
          <w:iCs w:val="1"/>
          <w:color w:val="auto"/>
        </w:rPr>
        <w:t>Paying Agent</w:t>
      </w:r>
      <w:r>
        <w:rPr>
          <w:rFonts w:ascii="Arial" w:cs="Arial" w:eastAsia="Arial" w:hAnsi="Arial"/>
          <w:sz w:val="16"/>
          <w:szCs w:val="16"/>
          <w:color w:val="auto"/>
        </w:rPr>
        <w:t>” shall mean or include each Person who is then a Paying Agent hereunder, and if at any time there is more than one such Person, “</w:t>
      </w:r>
      <w:r>
        <w:rPr>
          <w:rFonts w:ascii="Arial" w:cs="Arial" w:eastAsia="Arial" w:hAnsi="Arial"/>
          <w:sz w:val="16"/>
          <w:szCs w:val="16"/>
          <w:i w:val="1"/>
          <w:iCs w:val="1"/>
          <w:color w:val="auto"/>
        </w:rPr>
        <w:t>Paying Agent</w:t>
      </w:r>
      <w:r>
        <w:rPr>
          <w:rFonts w:ascii="Arial" w:cs="Arial" w:eastAsia="Arial" w:hAnsi="Arial"/>
          <w:sz w:val="16"/>
          <w:szCs w:val="16"/>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61" w:name="page62"/>
    <w:bookmarkEnd w:id="6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for the Securities in the Borough of Manhattan, City of New</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York. The initial Registrar will be [ ] and thereafter “</w:t>
      </w:r>
      <w:r>
        <w:rPr>
          <w:rFonts w:ascii="Arial" w:cs="Arial" w:eastAsia="Arial" w:hAnsi="Arial"/>
          <w:sz w:val="17"/>
          <w:szCs w:val="17"/>
          <w:i w:val="1"/>
          <w:iCs w:val="1"/>
          <w:color w:val="auto"/>
        </w:rPr>
        <w:t>Registrar</w:t>
      </w:r>
      <w:r>
        <w:rPr>
          <w:rFonts w:ascii="Arial" w:cs="Arial" w:eastAsia="Arial" w:hAnsi="Arial"/>
          <w:sz w:val="17"/>
          <w:szCs w:val="17"/>
          <w:color w:val="auto"/>
        </w:rPr>
        <w:t>” shall mean or include each Person who is then a Registrar hereunder, and if at any time there is more than one such Person, “</w:t>
      </w:r>
      <w:r>
        <w:rPr>
          <w:rFonts w:ascii="Arial" w:cs="Arial" w:eastAsia="Arial" w:hAnsi="Arial"/>
          <w:sz w:val="17"/>
          <w:szCs w:val="17"/>
          <w:i w:val="1"/>
          <w:iCs w:val="1"/>
          <w:color w:val="auto"/>
        </w:rPr>
        <w:t>Registrar</w:t>
      </w:r>
      <w:r>
        <w:rPr>
          <w:rFonts w:ascii="Arial" w:cs="Arial" w:eastAsia="Arial" w:hAnsi="Arial"/>
          <w:sz w:val="17"/>
          <w:szCs w:val="17"/>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notice to the Trustee, may act as registrar.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for the Securities in the Borough of Manhattan, City of New</w:t>
      </w:r>
    </w:p>
    <w:p>
      <w:pPr>
        <w:spacing w:after="0" w:line="4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York. The initial Transfer Agent will be [ ] and thereafter “</w:t>
      </w:r>
      <w:r>
        <w:rPr>
          <w:rFonts w:ascii="Arial" w:cs="Arial" w:eastAsia="Arial" w:hAnsi="Arial"/>
          <w:sz w:val="16"/>
          <w:szCs w:val="16"/>
          <w:i w:val="1"/>
          <w:iCs w:val="1"/>
          <w:color w:val="auto"/>
        </w:rPr>
        <w:t>Transfer Agent</w:t>
      </w:r>
      <w:r>
        <w:rPr>
          <w:rFonts w:ascii="Arial" w:cs="Arial" w:eastAsia="Arial" w:hAnsi="Arial"/>
          <w:sz w:val="16"/>
          <w:szCs w:val="16"/>
          <w:color w:val="auto"/>
        </w:rPr>
        <w:t>” shall mean or include each Person who is then a Transfer Agent hereunder, and if at any time there is more than one such Person, “</w:t>
      </w:r>
      <w:r>
        <w:rPr>
          <w:rFonts w:ascii="Arial" w:cs="Arial" w:eastAsia="Arial" w:hAnsi="Arial"/>
          <w:sz w:val="16"/>
          <w:szCs w:val="16"/>
          <w:i w:val="1"/>
          <w:iCs w:val="1"/>
          <w:color w:val="auto"/>
        </w:rPr>
        <w:t>Transfer Agent</w:t>
      </w:r>
      <w:r>
        <w:rPr>
          <w:rFonts w:ascii="Arial" w:cs="Arial" w:eastAsia="Arial" w:hAnsi="Arial"/>
          <w:sz w:val="16"/>
          <w:szCs w:val="16"/>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162" w:lineRule="exact"/>
        <w:rPr>
          <w:sz w:val="20"/>
          <w:szCs w:val="20"/>
          <w:color w:val="auto"/>
        </w:rPr>
      </w:pPr>
    </w:p>
    <w:p>
      <w:pPr>
        <w:jc w:val="both"/>
        <w:ind w:right="280" w:firstLine="991"/>
        <w:spacing w:after="0" w:line="259" w:lineRule="auto"/>
        <w:rPr>
          <w:sz w:val="20"/>
          <w:szCs w:val="20"/>
          <w:color w:val="auto"/>
        </w:rPr>
      </w:pPr>
      <w:r>
        <w:rPr>
          <w:rFonts w:ascii="Arial" w:cs="Arial" w:eastAsia="Arial" w:hAnsi="Arial"/>
          <w:sz w:val="18"/>
          <w:szCs w:val="18"/>
          <w:color w:val="auto"/>
        </w:rPr>
        <w:t>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If any mutilated Security is surrendered to the Trustee, the Company shall execute and upon receipt of a Company Order, the Trustee shall authenticate and deliver in exchange therefor a new Security of the same Series and of like tenor and principal amount and bearing a number not contemporaneously outstanding.</w:t>
      </w:r>
    </w:p>
    <w:p>
      <w:pPr>
        <w:spacing w:after="0" w:line="184"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3" w:name="page64"/>
    <w:bookmarkEnd w:id="63"/>
    <w:p>
      <w:pPr>
        <w:ind w:right="5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Either (i) a Board Resolution and an Officer’s Certificate or (ii) a supplemental indenture shall establish whether the Securities of a Series shall be issued in whole or in part in the form of one or more Global Securities and the Depositary for such Global Security or Securities.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65" w:name="page66"/>
    <w:bookmarkEnd w:id="65"/>
    <w:p>
      <w:pPr>
        <w:ind w:left="4"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w:t>
      </w:r>
    </w:p>
    <w:p>
      <w:pPr>
        <w:spacing w:after="0" w:line="2" w:lineRule="exact"/>
        <w:rPr>
          <w:sz w:val="20"/>
          <w:szCs w:val="20"/>
          <w:color w:val="auto"/>
        </w:rPr>
      </w:pPr>
    </w:p>
    <w:p>
      <w:pPr>
        <w:ind w:left="4" w:right="20" w:hanging="4"/>
        <w:spacing w:after="0" w:line="302" w:lineRule="auto"/>
        <w:tabs>
          <w:tab w:leader="none" w:pos="2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5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4" w:right="120" w:firstLine="991"/>
        <w:spacing w:after="0" w:line="275" w:lineRule="auto"/>
        <w:rPr>
          <w:sz w:val="20"/>
          <w:szCs w:val="20"/>
          <w:color w:val="auto"/>
        </w:rPr>
      </w:pPr>
      <w:r>
        <w:rPr>
          <w:rFonts w:ascii="Arial" w:cs="Arial" w:eastAsia="Arial" w:hAnsi="Arial"/>
          <w:sz w:val="17"/>
          <w:szCs w:val="17"/>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left="4" w:right="100" w:firstLine="991"/>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66" w:name="page67"/>
    <w:bookmarkEnd w:id="66"/>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84"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right="40" w:firstLine="1983"/>
        <w:spacing w:after="0" w:line="275" w:lineRule="auto"/>
        <w:rPr>
          <w:sz w:val="20"/>
          <w:szCs w:val="20"/>
          <w:color w:val="auto"/>
        </w:rPr>
      </w:pPr>
      <w:r>
        <w:rPr>
          <w:rFonts w:ascii="Arial" w:cs="Arial" w:eastAsia="Arial" w:hAnsi="Arial"/>
          <w:sz w:val="17"/>
          <w:szCs w:val="17"/>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3.8, 3.9 and 3.10 hereof and, as applicable, in the Board Resolution and Officer’s Certificate or in the supplemental indenture relating to such Series. If a Series of Securities is redeemable and the Company wants or is obligated to redeem prior to the Stated Maturity thereof all or part of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7" w:name="page68"/>
    <w:bookmarkEnd w:id="6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Series of Securities pursuant to the terms of such Securities, it shall notify the Trustee in writing of the redemption date and the principal amount of Series of Securities to be redeemed at least five days before the date that notice of redemption is to be given to the Holders of the Securities (or such shorter notice as may be acceptable to the Trustee). The Trustee shall have no liability with respect to or obligation to calculate the redemption price of any Securities to be redeemed pursuant to this Indenture.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Unless otherwise indicated for a particular Series by a Board Resolution and Officer’s Certificate or by a supplemental indenture, if fewer than all of the Securities of a Series are to be redeemed at any time, the Trustee will select the Securities of such Series to be redeemed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Securities issued in global form, such Securities of such Series to be redeemed shall be selected in accordance with the procedures of the Depositary therefor) unless otherwise required by law or applicable stock exchange. The Trustee will not be liable for selections made as contemplated in this section.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Securities of a Series in principal amount of less than the minimum authorized denomination can be redeemed in part.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Unless otherwise indicated for a particular Series by Board Resolution and Officer’s Certificate or by supplemental indenture, at least 10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103" w:lineRule="exact"/>
        <w:rPr>
          <w:sz w:val="20"/>
          <w:szCs w:val="20"/>
          <w:color w:val="auto"/>
        </w:rPr>
      </w:pPr>
    </w:p>
    <w:p>
      <w:pPr>
        <w:ind w:left="1200" w:hanging="235"/>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220" w:hanging="25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if any, and Additional Amounts, if any, to be paid;</w:t>
      </w:r>
    </w:p>
    <w:p>
      <w:pPr>
        <w:spacing w:after="0" w:line="117" w:lineRule="exact"/>
        <w:rPr>
          <w:rFonts w:ascii="Arial" w:cs="Arial" w:eastAsia="Arial" w:hAnsi="Arial"/>
          <w:sz w:val="18"/>
          <w:szCs w:val="18"/>
          <w:color w:val="auto"/>
        </w:rPr>
      </w:pPr>
    </w:p>
    <w:p>
      <w:pPr>
        <w:jc w:val="both"/>
        <w:ind w:left="440" w:right="80" w:firstLine="525"/>
        <w:spacing w:after="0" w:line="263" w:lineRule="auto"/>
        <w:tabs>
          <w:tab w:leader="none" w:pos="12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75" w:lineRule="exact"/>
        <w:rPr>
          <w:rFonts w:ascii="Arial" w:cs="Arial" w:eastAsia="Arial" w:hAnsi="Arial"/>
          <w:sz w:val="18"/>
          <w:szCs w:val="18"/>
          <w:color w:val="auto"/>
        </w:rPr>
      </w:pPr>
    </w:p>
    <w:p>
      <w:pPr>
        <w:ind w:left="440" w:right="100" w:firstLine="525"/>
        <w:spacing w:after="0" w:line="311" w:lineRule="auto"/>
        <w:tabs>
          <w:tab w:leader="none" w:pos="12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68" w:name="page69"/>
    <w:bookmarkEnd w:id="68"/>
    <w:p>
      <w:pPr>
        <w:ind w:left="1200" w:hanging="235"/>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name and address of the Paying Agent(s) to which the Securities are to be surrendered for redemption;</w:t>
      </w:r>
    </w:p>
    <w:p>
      <w:pPr>
        <w:spacing w:after="0" w:line="117" w:lineRule="exact"/>
        <w:rPr>
          <w:rFonts w:ascii="Arial" w:cs="Arial" w:eastAsia="Arial" w:hAnsi="Arial"/>
          <w:sz w:val="18"/>
          <w:szCs w:val="18"/>
          <w:color w:val="auto"/>
        </w:rPr>
      </w:pPr>
    </w:p>
    <w:p>
      <w:pPr>
        <w:ind w:left="440" w:firstLine="525"/>
        <w:spacing w:after="0" w:line="277" w:lineRule="auto"/>
        <w:tabs>
          <w:tab w:leader="none" w:pos="11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62" w:lineRule="exact"/>
        <w:rPr>
          <w:rFonts w:ascii="Arial" w:cs="Arial" w:eastAsia="Arial" w:hAnsi="Arial"/>
          <w:sz w:val="18"/>
          <w:szCs w:val="18"/>
          <w:color w:val="auto"/>
        </w:rPr>
      </w:pPr>
    </w:p>
    <w:p>
      <w:pPr>
        <w:ind w:left="440" w:right="180" w:firstLine="525"/>
        <w:spacing w:after="0" w:line="277" w:lineRule="auto"/>
        <w:tabs>
          <w:tab w:leader="none" w:pos="12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62" w:lineRule="exact"/>
        <w:rPr>
          <w:rFonts w:ascii="Arial" w:cs="Arial" w:eastAsia="Arial" w:hAnsi="Arial"/>
          <w:sz w:val="18"/>
          <w:szCs w:val="18"/>
          <w:color w:val="auto"/>
        </w:rPr>
      </w:pPr>
    </w:p>
    <w:p>
      <w:pPr>
        <w:ind w:left="1220" w:hanging="255"/>
        <w:spacing w:after="0"/>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128" w:lineRule="exact"/>
        <w:rPr>
          <w:rFonts w:ascii="Arial" w:cs="Arial" w:eastAsia="Arial" w:hAnsi="Arial"/>
          <w:sz w:val="17"/>
          <w:szCs w:val="17"/>
          <w:color w:val="auto"/>
        </w:rPr>
      </w:pPr>
    </w:p>
    <w:p>
      <w:pPr>
        <w:ind w:left="440" w:right="580" w:firstLine="525"/>
        <w:spacing w:after="0" w:line="277" w:lineRule="auto"/>
        <w:tabs>
          <w:tab w:leader="none" w:pos="11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paragraph of the Securities and/or Section of this Indenture pursuant to which the Securities called for redemption are being redeemed; and</w:t>
      </w:r>
    </w:p>
    <w:p>
      <w:pPr>
        <w:spacing w:after="0" w:line="62" w:lineRule="exact"/>
        <w:rPr>
          <w:rFonts w:ascii="Arial" w:cs="Arial" w:eastAsia="Arial" w:hAnsi="Arial"/>
          <w:sz w:val="18"/>
          <w:szCs w:val="18"/>
          <w:color w:val="auto"/>
        </w:rPr>
      </w:pPr>
    </w:p>
    <w:p>
      <w:pPr>
        <w:ind w:left="440" w:right="260" w:firstLine="525"/>
        <w:spacing w:after="0" w:line="277" w:lineRule="auto"/>
        <w:tabs>
          <w:tab w:leader="none" w:pos="11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Common Code numbers, if any, listed in such notice or printed on the Securities.</w:t>
      </w:r>
    </w:p>
    <w:p>
      <w:pPr>
        <w:spacing w:after="0" w:line="170"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At the Company’s written request, the Trustee shall give the notice of redemption in the Company’s name and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has delivered to the Trustee, at least five days prior to the date that notice of redemption is to be given to the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such shorter notice as may be acceptable to the Trustee), an Officer’s Certificate requesting that the Trustee give such notice and setting forth the information to be stated in such notice as provided in the preceding paragraph.</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and Officer’s Certificate or by supplemental indenture,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Upon surrender of a Certificated Security that is redeemed in part, upon receipt of a Company Order, the Trustee shall authenticate for the Holder a new Certificated Security of the same Series and the same Maturity equal in principal amount to the unredeemed portion of the Security surrendered.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40" w:firstLine="991"/>
        <w:spacing w:after="0" w:line="308" w:lineRule="auto"/>
        <w:rPr>
          <w:sz w:val="20"/>
          <w:szCs w:val="20"/>
          <w:color w:val="auto"/>
        </w:rPr>
      </w:pPr>
      <w:r>
        <w:rPr>
          <w:rFonts w:ascii="Arial" w:cs="Arial" w:eastAsia="Arial" w:hAnsi="Arial"/>
          <w:sz w:val="17"/>
          <w:szCs w:val="17"/>
          <w:color w:val="auto"/>
        </w:rPr>
        <w:t>Unless otherwise indicated for a particular Series by Board Resolution and Officer’s Certificate or by supplemental indenture, the provisions of Sections 3.7, 3.8 and 3.9 shall be applicable to any sinking fund for the retirement of Securities of a Series.</w:t>
      </w:r>
    </w:p>
    <w:p>
      <w:pPr>
        <w:spacing w:after="0" w:line="14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referred to as a “mandatory sinking fund payment,” and any payment 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jc w:val="both"/>
        <w:ind w:right="360" w:firstLine="991"/>
        <w:spacing w:after="0" w:line="301" w:lineRule="auto"/>
        <w:rPr>
          <w:sz w:val="20"/>
          <w:szCs w:val="20"/>
          <w:color w:val="auto"/>
        </w:rPr>
      </w:pPr>
      <w:r>
        <w:rPr>
          <w:rFonts w:ascii="Arial" w:cs="Arial" w:eastAsia="Arial" w:hAnsi="Arial"/>
          <w:sz w:val="16"/>
          <w:szCs w:val="16"/>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70" w:name="page71"/>
    <w:bookmarkEnd w:id="7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The Company may redeem the Securities of any Series,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(but not including) the date fixed by the Company for redemption (a “</w:t>
      </w:r>
      <w:r>
        <w:rPr>
          <w:rFonts w:ascii="Arial" w:cs="Arial" w:eastAsia="Arial" w:hAnsi="Arial"/>
          <w:sz w:val="17"/>
          <w:szCs w:val="17"/>
          <w:i w:val="1"/>
          <w:iCs w:val="1"/>
          <w:color w:val="auto"/>
        </w:rPr>
        <w:t>Tax</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Date</w:t>
      </w:r>
      <w:r>
        <w:rPr>
          <w:rFonts w:ascii="Arial" w:cs="Arial" w:eastAsia="Arial" w:hAnsi="Arial"/>
          <w:sz w:val="17"/>
          <w:szCs w:val="17"/>
          <w:color w:val="auto"/>
        </w:rPr>
        <w:t>”) and all Additional Amounts (if any) then due and which will become due on the Tax Redemption Date as a result of the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is or would be required to pay Additional Amounts, and the Company cannot avoid any such payment obligation by taking reasonable measures available to it, and the requirement arises as a result of:</w:t>
      </w:r>
    </w:p>
    <w:p>
      <w:pPr>
        <w:spacing w:after="0" w:line="70" w:lineRule="exact"/>
        <w:rPr>
          <w:sz w:val="20"/>
          <w:szCs w:val="20"/>
          <w:color w:val="auto"/>
        </w:rPr>
      </w:pPr>
    </w:p>
    <w:p>
      <w:pPr>
        <w:ind w:left="440" w:right="100" w:firstLine="525"/>
        <w:spacing w:after="0" w:line="311" w:lineRule="auto"/>
        <w:tabs>
          <w:tab w:leader="none" w:pos="121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of such Securities (or, if the applicable Relevant Tax Jurisdiction became a Relevant Tax Jurisdiction on a date after the Issue Date of such Securities, such later date), or</w:t>
      </w:r>
    </w:p>
    <w:p>
      <w:pPr>
        <w:spacing w:after="0" w:line="40" w:lineRule="exact"/>
        <w:rPr>
          <w:rFonts w:ascii="Arial" w:cs="Arial" w:eastAsia="Arial" w:hAnsi="Arial"/>
          <w:sz w:val="16"/>
          <w:szCs w:val="16"/>
          <w:color w:val="auto"/>
        </w:rPr>
      </w:pPr>
    </w:p>
    <w:p>
      <w:pPr>
        <w:ind w:left="440" w:right="160" w:firstLine="525"/>
        <w:spacing w:after="0" w:line="259" w:lineRule="auto"/>
        <w:tabs>
          <w:tab w:leader="none" w:pos="12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will not give any such notice of redemption earlier than 90 days prior to the earliest date on which the Company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gives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71" w:name="page72"/>
    <w:bookmarkEnd w:id="71"/>
    <w:p>
      <w:pPr>
        <w:ind w:right="3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is incorporated, organized or resident for tax purposes, or any jurisdiction from or through which payment is made by or on behalf of such Person on such Securities and any political subdivision thereof or therein.</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and Officer’s Certificate or by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9" w:lineRule="auto"/>
        <w:tabs>
          <w:tab w:leader="none" w:pos="11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58" w:lineRule="exact"/>
        <w:rPr>
          <w:rFonts w:ascii="Arial" w:cs="Arial" w:eastAsia="Arial" w:hAnsi="Arial"/>
          <w:sz w:val="16"/>
          <w:szCs w:val="16"/>
          <w:color w:val="auto"/>
        </w:rPr>
      </w:pPr>
    </w:p>
    <w:p>
      <w:pPr>
        <w:jc w:val="both"/>
        <w:ind w:left="440" w:right="540" w:firstLine="419"/>
        <w:spacing w:after="0" w:line="263"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The Company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(a) through (j) below) would not exceed 20% of Consolidated Net Worth as shown on the Company’s most recent consolidated quarterly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these provisions shall not apply to:</w:t>
      </w:r>
    </w:p>
    <w:p>
      <w:pPr>
        <w:spacing w:after="0" w:line="73" w:lineRule="exact"/>
        <w:rPr>
          <w:sz w:val="20"/>
          <w:szCs w:val="20"/>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w:t>
      </w:r>
    </w:p>
    <w:p>
      <w:pPr>
        <w:spacing w:after="0" w:line="62" w:lineRule="exact"/>
        <w:rPr>
          <w:rFonts w:ascii="Arial" w:cs="Arial" w:eastAsia="Arial" w:hAnsi="Arial"/>
          <w:sz w:val="18"/>
          <w:szCs w:val="18"/>
          <w:color w:val="auto"/>
        </w:rPr>
      </w:pPr>
    </w:p>
    <w:p>
      <w:pPr>
        <w:ind w:left="440" w:right="160" w:firstLine="419"/>
        <w:spacing w:after="0" w:line="275" w:lineRule="auto"/>
        <w:tabs>
          <w:tab w:leader="none" w:pos="11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3" w:name="page74"/>
    <w:bookmarkEnd w:id="73"/>
    <w:p>
      <w:pPr>
        <w:ind w:left="680" w:hanging="26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Mortgages in favor of the Company or any of its Subsidiaries;</w:t>
      </w:r>
    </w:p>
    <w:p>
      <w:pPr>
        <w:spacing w:after="0" w:line="117" w:lineRule="exact"/>
        <w:rPr>
          <w:rFonts w:ascii="Arial" w:cs="Arial" w:eastAsia="Arial" w:hAnsi="Arial"/>
          <w:sz w:val="18"/>
          <w:szCs w:val="18"/>
          <w:color w:val="auto"/>
        </w:rPr>
      </w:pPr>
    </w:p>
    <w:p>
      <w:pPr>
        <w:ind w:right="120" w:firstLine="419"/>
        <w:spacing w:after="0" w:line="259" w:lineRule="auto"/>
        <w:tabs>
          <w:tab w:leader="none" w:pos="6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8" w:lineRule="exact"/>
        <w:rPr>
          <w:rFonts w:ascii="Arial" w:cs="Arial" w:eastAsia="Arial" w:hAnsi="Arial"/>
          <w:sz w:val="18"/>
          <w:szCs w:val="18"/>
          <w:color w:val="auto"/>
        </w:rPr>
      </w:pPr>
    </w:p>
    <w:p>
      <w:pPr>
        <w:ind w:left="640" w:hanging="221"/>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40" w:lineRule="exact"/>
        <w:rPr>
          <w:rFonts w:ascii="Arial" w:cs="Arial" w:eastAsia="Arial" w:hAnsi="Arial"/>
          <w:sz w:val="16"/>
          <w:szCs w:val="16"/>
          <w:color w:val="auto"/>
        </w:rPr>
      </w:pPr>
    </w:p>
    <w:p>
      <w:pPr>
        <w:ind w:right="240" w:firstLine="419"/>
        <w:spacing w:after="0" w:line="259"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8"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property or assets, or a project financed with, Non-recourse Debt; and</w:t>
      </w:r>
    </w:p>
    <w:p>
      <w:pPr>
        <w:spacing w:after="0" w:line="128" w:lineRule="exact"/>
        <w:rPr>
          <w:rFonts w:ascii="Arial" w:cs="Arial" w:eastAsia="Arial" w:hAnsi="Arial"/>
          <w:sz w:val="17"/>
          <w:szCs w:val="17"/>
          <w:color w:val="auto"/>
        </w:rPr>
      </w:pPr>
    </w:p>
    <w:p>
      <w:pPr>
        <w:ind w:right="120" w:firstLine="419"/>
        <w:spacing w:after="0" w:line="311" w:lineRule="auto"/>
        <w:tabs>
          <w:tab w:leader="none" w:pos="63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93" w:lineRule="auto"/>
        <w:tabs>
          <w:tab w:leader="none" w:pos="66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is then incorporated, organized or resident for tax purposes or any political subdivision thereof or therein (each, a “</w:t>
      </w:r>
      <w:r>
        <w:rPr>
          <w:rFonts w:ascii="Arial" w:cs="Arial" w:eastAsia="Arial" w:hAnsi="Arial"/>
          <w:sz w:val="16"/>
          <w:szCs w:val="16"/>
          <w:i w:val="1"/>
          <w:iCs w:val="1"/>
          <w:color w:val="auto"/>
        </w:rPr>
        <w:t>Relevant Tax Jurisdiction</w:t>
      </w:r>
      <w:r>
        <w:rPr>
          <w:rFonts w:ascii="Arial" w:cs="Arial" w:eastAsia="Arial" w:hAnsi="Arial"/>
          <w:sz w:val="16"/>
          <w:szCs w:val="16"/>
          <w:color w:val="auto"/>
        </w:rPr>
        <w:t>”) or (2) any jurisdiction from or through which payment is made or deemed made by or on behalf of the</w:t>
      </w:r>
    </w:p>
    <w:p>
      <w:pPr>
        <w:spacing w:after="0" w:line="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880" w:top="274" w:right="519" w:bottom="1440" w:gutter="0" w:footer="0" w:header="0"/>
        </w:sectPr>
      </w:pPr>
    </w:p>
    <w:bookmarkStart w:id="74" w:name="page75"/>
    <w:bookmarkEnd w:id="74"/>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(including the jurisdiction of any Paying Agent for the applicable Securities) or any political subdivision thereof or therein (each, together with each Relevant Tax Jurisdiction, a “</w:t>
      </w:r>
      <w:r>
        <w:rPr>
          <w:rFonts w:ascii="Arial" w:cs="Arial" w:eastAsia="Arial" w:hAnsi="Arial"/>
          <w:sz w:val="18"/>
          <w:szCs w:val="18"/>
          <w:i w:val="1"/>
          <w:iCs w:val="1"/>
          <w:color w:val="auto"/>
        </w:rPr>
        <w:t>Tax Jurisdiction</w:t>
      </w:r>
      <w:r>
        <w:rPr>
          <w:rFonts w:ascii="Arial" w:cs="Arial" w:eastAsia="Arial" w:hAnsi="Arial"/>
          <w:sz w:val="18"/>
          <w:szCs w:val="18"/>
          <w:color w:val="auto"/>
        </w:rPr>
        <w:t>”) will at any time be required to be made from any payments made or deemed made by or on behalf of the Company under or with respect to the Securities, including payments of principal, redemption price, interest or premium, the Company will pay such additional amounts (the “</w:t>
      </w:r>
      <w:r>
        <w:rPr>
          <w:rFonts w:ascii="Arial" w:cs="Arial" w:eastAsia="Arial" w:hAnsi="Arial"/>
          <w:sz w:val="18"/>
          <w:szCs w:val="18"/>
          <w:i w:val="1"/>
          <w:iCs w:val="1"/>
          <w:color w:val="auto"/>
        </w:rPr>
        <w:t>Additional Amounts</w:t>
      </w:r>
      <w:r>
        <w:rPr>
          <w:rFonts w:ascii="Arial" w:cs="Arial" w:eastAsia="Arial" w:hAnsi="Arial"/>
          <w:sz w:val="18"/>
          <w:szCs w:val="18"/>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Additional Amounts will be payable with respect to:</w:t>
      </w:r>
    </w:p>
    <w:p>
      <w:pPr>
        <w:spacing w:after="0" w:line="84" w:lineRule="exact"/>
        <w:rPr>
          <w:sz w:val="20"/>
          <w:szCs w:val="20"/>
          <w:color w:val="auto"/>
        </w:rPr>
      </w:pPr>
    </w:p>
    <w:p>
      <w:pPr>
        <w:ind w:left="540" w:right="20" w:firstLine="408"/>
        <w:spacing w:after="0" w:line="273" w:lineRule="auto"/>
        <w:tabs>
          <w:tab w:leader="none" w:pos="11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Securities (or any guarantees thereof)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any guarantee thereof) or the receipt of any payments in respect of such Security (or any guarantee thereof);</w:t>
      </w:r>
    </w:p>
    <w:p>
      <w:pPr>
        <w:spacing w:after="0" w:line="69" w:lineRule="exact"/>
        <w:rPr>
          <w:rFonts w:ascii="Arial" w:cs="Arial" w:eastAsia="Arial" w:hAnsi="Arial"/>
          <w:sz w:val="17"/>
          <w:szCs w:val="17"/>
          <w:color w:val="auto"/>
        </w:rPr>
      </w:pPr>
    </w:p>
    <w:p>
      <w:pPr>
        <w:ind w:left="540" w:firstLine="408"/>
        <w:spacing w:after="0" w:line="311" w:lineRule="auto"/>
        <w:tabs>
          <w:tab w:leader="none" w:pos="11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such Security been presented on the last day of such 30 day period);</w:t>
      </w:r>
    </w:p>
    <w:p>
      <w:pPr>
        <w:spacing w:after="0" w:line="40" w:lineRule="exact"/>
        <w:rPr>
          <w:rFonts w:ascii="Arial" w:cs="Arial" w:eastAsia="Arial" w:hAnsi="Arial"/>
          <w:sz w:val="16"/>
          <w:szCs w:val="16"/>
          <w:color w:val="auto"/>
        </w:rPr>
      </w:pPr>
    </w:p>
    <w:p>
      <w:pPr>
        <w:ind w:left="1200" w:hanging="252"/>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540" w:right="320" w:firstLine="408"/>
        <w:spacing w:after="0" w:line="286" w:lineRule="auto"/>
        <w:tabs>
          <w:tab w:leader="none" w:pos="11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57" w:lineRule="exact"/>
        <w:rPr>
          <w:rFonts w:ascii="Arial" w:cs="Arial" w:eastAsia="Arial" w:hAnsi="Arial"/>
          <w:sz w:val="17"/>
          <w:szCs w:val="17"/>
          <w:color w:val="auto"/>
        </w:rPr>
      </w:pPr>
    </w:p>
    <w:p>
      <w:pPr>
        <w:ind w:left="540" w:right="480" w:firstLine="408"/>
        <w:spacing w:after="0" w:line="308" w:lineRule="auto"/>
        <w:tabs>
          <w:tab w:leader="none" w:pos="119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38" w:lineRule="exact"/>
        <w:rPr>
          <w:rFonts w:ascii="Arial" w:cs="Arial" w:eastAsia="Arial" w:hAnsi="Arial"/>
          <w:sz w:val="17"/>
          <w:szCs w:val="17"/>
          <w:color w:val="auto"/>
        </w:rPr>
      </w:pPr>
    </w:p>
    <w:p>
      <w:pPr>
        <w:ind w:left="540" w:right="560" w:firstLine="408"/>
        <w:spacing w:after="0" w:line="277" w:lineRule="auto"/>
        <w:tabs>
          <w:tab w:leader="none" w:pos="11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Securities or any guarantee of such Securities;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0"/>
          </w:cols>
          <w:pgMar w:left="880" w:top="274" w:right="479" w:bottom="1440" w:gutter="0" w:footer="0" w:header="0"/>
        </w:sectPr>
      </w:pPr>
    </w:p>
    <w:bookmarkStart w:id="75" w:name="page76"/>
    <w:bookmarkEnd w:id="75"/>
    <w:p>
      <w:pPr>
        <w:ind w:left="540" w:firstLine="408"/>
        <w:spacing w:after="0" w:line="254" w:lineRule="auto"/>
        <w:tabs>
          <w:tab w:leader="none" w:pos="1196"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86" w:lineRule="exact"/>
        <w:rPr>
          <w:rFonts w:ascii="Arial" w:cs="Arial" w:eastAsia="Arial" w:hAnsi="Arial"/>
          <w:sz w:val="18"/>
          <w:szCs w:val="18"/>
          <w:color w:val="auto"/>
        </w:rPr>
      </w:pPr>
    </w:p>
    <w:p>
      <w:pPr>
        <w:ind w:left="1200" w:hanging="252"/>
        <w:spacing w:after="0"/>
        <w:tabs>
          <w:tab w:leader="none" w:pos="12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combination of items (1) through (7) of this Section 4.6(a).</w:t>
      </w:r>
    </w:p>
    <w:p>
      <w:pPr>
        <w:spacing w:after="0" w:line="117" w:lineRule="exact"/>
        <w:rPr>
          <w:rFonts w:ascii="Arial" w:cs="Arial" w:eastAsia="Arial" w:hAnsi="Arial"/>
          <w:sz w:val="18"/>
          <w:szCs w:val="18"/>
          <w:color w:val="auto"/>
        </w:rPr>
      </w:pPr>
    </w:p>
    <w:p>
      <w:pPr>
        <w:ind w:firstLine="419"/>
        <w:spacing w:after="0" w:line="279" w:lineRule="auto"/>
        <w:tabs>
          <w:tab w:leader="none" w:pos="67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addition to the foregoing, the Company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Securities, this Indenture or the related supplement, or any other document or instrument referred to herein or therein.</w:t>
      </w:r>
    </w:p>
    <w:p>
      <w:pPr>
        <w:spacing w:after="0" w:line="63" w:lineRule="exact"/>
        <w:rPr>
          <w:rFonts w:ascii="Arial" w:cs="Arial" w:eastAsia="Arial" w:hAnsi="Arial"/>
          <w:sz w:val="17"/>
          <w:szCs w:val="17"/>
          <w:color w:val="auto"/>
        </w:rPr>
      </w:pPr>
    </w:p>
    <w:p>
      <w:pPr>
        <w:ind w:right="60" w:firstLine="419"/>
        <w:spacing w:after="0" w:line="272" w:lineRule="auto"/>
        <w:tabs>
          <w:tab w:leader="none" w:pos="66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69" w:lineRule="exact"/>
        <w:rPr>
          <w:rFonts w:ascii="Arial" w:cs="Arial" w:eastAsia="Arial" w:hAnsi="Arial"/>
          <w:sz w:val="17"/>
          <w:szCs w:val="17"/>
          <w:color w:val="auto"/>
        </w:rPr>
      </w:pPr>
    </w:p>
    <w:p>
      <w:pPr>
        <w:ind w:right="20" w:firstLine="419"/>
        <w:spacing w:after="0" w:line="293" w:lineRule="auto"/>
        <w:tabs>
          <w:tab w:leader="none" w:pos="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will make all withholdings and deductions required by law in respect of the Securities, and will remit the full amount deducted or withheld to the applicable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56" w:lineRule="exact"/>
        <w:rPr>
          <w:rFonts w:ascii="Arial" w:cs="Arial" w:eastAsia="Arial" w:hAnsi="Arial"/>
          <w:sz w:val="16"/>
          <w:szCs w:val="16"/>
          <w:color w:val="auto"/>
        </w:rPr>
      </w:pPr>
    </w:p>
    <w:p>
      <w:pPr>
        <w:ind w:right="20" w:firstLine="419"/>
        <w:spacing w:after="0" w:line="259" w:lineRule="auto"/>
        <w:tabs>
          <w:tab w:leader="none" w:pos="6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76" w:name="page77"/>
    <w:bookmarkEnd w:id="76"/>
    <w:p>
      <w:pPr>
        <w:ind w:right="1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obligations in this Section 4.6 will survive any termination, defeasance or discharge of this Indenture, any transfer by a Holder or beneficial owner of the Securities, and will apply, mutatis mutandis, to any jurisdiction in which any successor Person to the Company is incorporated, organized or resident for tax purposes, or any jurisdiction from or through which payment is made by or on behalf of such Person on the applicable Securities and any political subdivision thereof or therein.</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Notwithstanding any provision herein or in the Securities to the contrary, none of the Trustee or any Agent shall be required to determine the identity of a beneficial owner or be liable for any determination thereof by the Company.</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55"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84"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shall not have any obligation to determine if and when the Company’s information is available on the SEC’s (EDGAR) website. The Company shall either (i) provide the Trustee with prompt written notification of such time as the Company becomes or ceases to be a reporting company or (ii) continue to provide the Trustee with the foregoing information.</w:t>
      </w:r>
    </w:p>
    <w:p>
      <w:pPr>
        <w:spacing w:after="0" w:line="75" w:lineRule="exact"/>
        <w:rPr>
          <w:rFonts w:ascii="Arial" w:cs="Arial" w:eastAsia="Arial" w:hAnsi="Arial"/>
          <w:sz w:val="18"/>
          <w:szCs w:val="18"/>
          <w:color w:val="auto"/>
        </w:rPr>
      </w:pPr>
    </w:p>
    <w:p>
      <w:pPr>
        <w:ind w:left="440" w:right="160" w:firstLine="419"/>
        <w:spacing w:after="0" w:line="259"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77" w:name="page78"/>
    <w:bookmarkEnd w:id="77"/>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DEFAULTS AND REMEDIES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are “</w:t>
      </w:r>
      <w:r>
        <w:rPr>
          <w:rFonts w:ascii="Arial" w:cs="Arial" w:eastAsia="Arial" w:hAnsi="Arial"/>
          <w:sz w:val="17"/>
          <w:szCs w:val="17"/>
          <w:i w:val="1"/>
          <w:iCs w:val="1"/>
          <w:color w:val="auto"/>
        </w:rPr>
        <w:t>Events of Default</w:t>
      </w:r>
      <w:r>
        <w:rPr>
          <w:rFonts w:ascii="Arial" w:cs="Arial" w:eastAsia="Arial" w:hAnsi="Arial"/>
          <w:sz w:val="17"/>
          <w:szCs w:val="17"/>
          <w:color w:val="auto"/>
        </w:rPr>
        <w:t>” with respect to the Securities of any Series, unless in the establishing Board Resolution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Officer’s Certificate or the establishing supplemental indenture, it is provided that such Series shall not have the benefit of said Event of Default:</w:t>
      </w:r>
    </w:p>
    <w:p>
      <w:pPr>
        <w:spacing w:after="0" w:line="126" w:lineRule="exact"/>
        <w:rPr>
          <w:sz w:val="20"/>
          <w:szCs w:val="20"/>
          <w:color w:val="auto"/>
        </w:rPr>
      </w:pPr>
    </w:p>
    <w:p>
      <w:pPr>
        <w:ind w:left="1100" w:hanging="241"/>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any interest on the Securities within 30 days after such interest becomes due and payable;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failure to pay principal of the Securities at Maturity, or if applicable, the redemption price, when the same become due and payable;</w:t>
      </w:r>
    </w:p>
    <w:p>
      <w:pPr>
        <w:spacing w:after="0" w:line="140" w:lineRule="exact"/>
        <w:rPr>
          <w:rFonts w:ascii="Arial" w:cs="Arial" w:eastAsia="Arial" w:hAnsi="Arial"/>
          <w:sz w:val="16"/>
          <w:szCs w:val="16"/>
          <w:color w:val="auto"/>
        </w:rPr>
      </w:pPr>
    </w:p>
    <w:p>
      <w:pPr>
        <w:ind w:left="440" w:right="620" w:firstLine="419"/>
        <w:spacing w:after="0" w:line="277"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becomes due and payable by the terms of the Securities, and continuance of such default for a period of 30 days;</w:t>
      </w:r>
    </w:p>
    <w:p>
      <w:pPr>
        <w:spacing w:after="0" w:line="62"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comply with any of the covenants or agreements in the Securities or this Indenture (other than an agreement or covenant that the Company has included in this Indenture solely for the benefit of another Series of Securities that does not constitute part of the Securities of such Series) for 90 days after written notice by the Trustee or by the Holders of at least 25% in principal amount of all outstanding Securities of such Series affected by that failure;</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0"/>
          </w:cols>
          <w:pgMar w:left="440" w:top="274" w:right="679" w:bottom="1440" w:gutter="0" w:footer="0" w:header="0"/>
        </w:sectPr>
      </w:pPr>
    </w:p>
    <w:bookmarkStart w:id="78" w:name="page79"/>
    <w:bookmarkEnd w:id="78"/>
    <w:p>
      <w:pPr>
        <w:ind w:left="1640" w:hanging="252"/>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for relief against the Company in an involuntary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60 days; and</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in the Officer’s Certificate, supplemental indenture or Board Resolution under which such Series of Securities is issued.</w:t>
      </w:r>
    </w:p>
    <w:p>
      <w:pPr>
        <w:spacing w:after="0" w:line="170" w:lineRule="exact"/>
        <w:rPr>
          <w:sz w:val="20"/>
          <w:szCs w:val="20"/>
          <w:color w:val="auto"/>
        </w:rPr>
      </w:pPr>
    </w:p>
    <w:p>
      <w:pPr>
        <w:jc w:val="both"/>
        <w:ind w:right="420" w:firstLine="991"/>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the Curaçao Bankruptcy Decree 1931 (</w:t>
      </w:r>
      <w:r>
        <w:rPr>
          <w:rFonts w:ascii="Arial" w:cs="Arial" w:eastAsia="Arial" w:hAnsi="Arial"/>
          <w:sz w:val="18"/>
          <w:szCs w:val="18"/>
          <w:i w:val="1"/>
          <w:iCs w:val="1"/>
          <w:color w:val="auto"/>
        </w:rPr>
        <w:t>Faillissementsbesluit</w:t>
      </w:r>
      <w:r>
        <w:rPr>
          <w:rFonts w:ascii="Arial" w:cs="Arial" w:eastAsia="Arial" w:hAnsi="Arial"/>
          <w:sz w:val="18"/>
          <w:szCs w:val="18"/>
          <w:color w:val="auto"/>
        </w:rPr>
        <w:t>), in each case, as amended, or any similar Federal or State law for the relief of debtors or similar law in Curaçao.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8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A Default under one Series of Securities issued under this Indenture will not necessarily be a default under another Series of Securities under this Indenture.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If an Event of Default for a Series of Securities occurs and is continuing (other than an Event of Default referred to in Section 6.1(e) or (f)),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6.1(e) or (f) occurs with respect to the Company, the principal amount plus accrued and unpaid interest on the Securities of that Series will become immediately due and payable without any action on the part of the Trustee or any Holder.</w:t>
      </w:r>
    </w:p>
    <w:p>
      <w:pPr>
        <w:spacing w:after="0" w:line="161"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jc w:val="both"/>
        <w:ind w:left="440" w:right="360" w:firstLine="419"/>
        <w:spacing w:after="0" w:line="259"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80" w:name="page81"/>
    <w:bookmarkEnd w:id="80"/>
    <w:p>
      <w:pPr>
        <w:ind w:left="440" w:right="40" w:firstLine="419"/>
        <w:spacing w:after="0" w:line="275" w:lineRule="auto"/>
        <w:tabs>
          <w:tab w:leader="none" w:pos="1118" w:val="left"/>
        </w:tabs>
        <w:numPr>
          <w:ilvl w:val="0"/>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76"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the Trustee under Section 7.7;</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Third: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00" w:hanging="241"/>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Series of Securities make a written request to the Trustee to pursue the remedy;</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furnish to the Trustee indemnity or security reasonably satisfactory to the Trustee against the costs, expenses and liabilities which might be incurred by it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or security; and</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Securities of such Series do not give the Trustee a direction inconsistent with the request.</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This provision does not, however, affect the right of a Holder of Securities to sue for enforcement of any overdue payment with respect to such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(i) a Default in the payment of the principal of or interest on any Security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Securities of any Series may rescind an acceleration and its consequences, including any related payment default that resulted from such acceleration), or (ii) a Default in respect of a provision contained in this Indenture that cannot be modified or amended without the consent of the Holder of each outstanding Security affected thereby.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300" w:firstLine="419"/>
        <w:spacing w:after="0" w:line="263"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117"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980" w:right="20" w:firstLine="408"/>
        <w:spacing w:after="0" w:line="259" w:lineRule="auto"/>
        <w:tabs>
          <w:tab w:leader="none" w:pos="163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8" w:lineRule="exact"/>
        <w:rPr>
          <w:rFonts w:ascii="Arial" w:cs="Arial" w:eastAsia="Arial" w:hAnsi="Arial"/>
          <w:sz w:val="18"/>
          <w:szCs w:val="18"/>
          <w:color w:val="auto"/>
        </w:rPr>
      </w:pPr>
    </w:p>
    <w:p>
      <w:pPr>
        <w:ind w:left="440" w:right="840" w:firstLine="419"/>
        <w:spacing w:after="0" w:line="277"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84" w:name="page85"/>
    <w:bookmarkEnd w:id="84"/>
    <w:p>
      <w:pPr>
        <w:ind w:left="540" w:right="140" w:firstLine="408"/>
        <w:spacing w:after="0" w:line="277" w:lineRule="auto"/>
        <w:tabs>
          <w:tab w:leader="none" w:pos="1196"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540" w:right="420" w:firstLine="408"/>
        <w:spacing w:after="0" w:line="277" w:lineRule="auto"/>
        <w:tabs>
          <w:tab w:leader="none" w:pos="11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6.12.</w:t>
      </w:r>
    </w:p>
    <w:p>
      <w:pPr>
        <w:spacing w:after="0" w:line="62" w:lineRule="exact"/>
        <w:rPr>
          <w:rFonts w:ascii="Arial" w:cs="Arial" w:eastAsia="Arial" w:hAnsi="Arial"/>
          <w:sz w:val="18"/>
          <w:szCs w:val="18"/>
          <w:color w:val="auto"/>
        </w:rPr>
      </w:pPr>
    </w:p>
    <w:p>
      <w:pPr>
        <w:ind w:right="300" w:firstLine="419"/>
        <w:spacing w:after="0" w:line="277" w:lineRule="auto"/>
        <w:tabs>
          <w:tab w:leader="none" w:pos="6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62" w:lineRule="exact"/>
        <w:rPr>
          <w:rFonts w:ascii="Arial" w:cs="Arial" w:eastAsia="Arial" w:hAnsi="Arial"/>
          <w:sz w:val="18"/>
          <w:szCs w:val="18"/>
          <w:color w:val="auto"/>
        </w:rPr>
      </w:pPr>
    </w:p>
    <w:p>
      <w:pPr>
        <w:ind w:right="160" w:firstLine="419"/>
        <w:spacing w:after="0" w:line="342" w:lineRule="auto"/>
        <w:tabs>
          <w:tab w:leader="none" w:pos="6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5" w:lineRule="exact"/>
        <w:rPr>
          <w:rFonts w:ascii="Arial" w:cs="Arial" w:eastAsia="Arial" w:hAnsi="Arial"/>
          <w:sz w:val="16"/>
          <w:szCs w:val="16"/>
          <w:color w:val="auto"/>
        </w:rPr>
      </w:pPr>
    </w:p>
    <w:p>
      <w:pPr>
        <w:ind w:firstLine="419"/>
        <w:spacing w:after="0" w:line="259"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220" w:firstLine="419"/>
        <w:spacing w:after="0" w:line="301" w:lineRule="auto"/>
        <w:tabs>
          <w:tab w:leader="none" w:pos="6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49" w:lineRule="exact"/>
        <w:rPr>
          <w:rFonts w:ascii="Arial" w:cs="Arial" w:eastAsia="Arial" w:hAnsi="Arial"/>
          <w:sz w:val="16"/>
          <w:szCs w:val="16"/>
          <w:color w:val="auto"/>
        </w:rPr>
      </w:pPr>
    </w:p>
    <w:p>
      <w:pPr>
        <w:ind w:right="40" w:firstLine="419"/>
        <w:spacing w:after="0" w:line="301" w:lineRule="auto"/>
        <w:tabs>
          <w:tab w:leader="none" w:pos="67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49" w:lineRule="exact"/>
        <w:rPr>
          <w:rFonts w:ascii="Arial" w:cs="Arial" w:eastAsia="Arial" w:hAnsi="Arial"/>
          <w:sz w:val="16"/>
          <w:szCs w:val="16"/>
          <w:color w:val="auto"/>
        </w:rPr>
      </w:pPr>
    </w:p>
    <w:p>
      <w:pPr>
        <w:ind w:right="120" w:firstLine="419"/>
        <w:spacing w:after="0" w:line="277" w:lineRule="auto"/>
        <w:tabs>
          <w:tab w:leader="none" w:pos="6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62" w:lineRule="exact"/>
        <w:rPr>
          <w:rFonts w:ascii="Arial" w:cs="Arial" w:eastAsia="Arial" w:hAnsi="Arial"/>
          <w:sz w:val="18"/>
          <w:szCs w:val="18"/>
          <w:color w:val="auto"/>
        </w:rPr>
      </w:pPr>
    </w:p>
    <w:p>
      <w:pPr>
        <w:ind w:right="120" w:firstLine="419"/>
        <w:spacing w:after="0" w:line="286" w:lineRule="auto"/>
        <w:tabs>
          <w:tab w:leader="none" w:pos="67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274" w:right="479" w:bottom="1440" w:gutter="0" w:footer="0" w:header="0"/>
        </w:sectPr>
      </w:pPr>
    </w:p>
    <w:bookmarkStart w:id="85" w:name="page86"/>
    <w:bookmarkEnd w:id="85"/>
    <w:p>
      <w:pPr>
        <w:ind w:right="20" w:firstLine="419"/>
        <w:spacing w:after="0" w:line="277"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specifically provided in this Indenture, any demand, request, direction or notice from the Company shall be sufficient if signed by an Officer of the Company.</w:t>
      </w:r>
    </w:p>
    <w:p>
      <w:pPr>
        <w:spacing w:after="0" w:line="62" w:lineRule="exact"/>
        <w:rPr>
          <w:rFonts w:ascii="Arial" w:cs="Arial" w:eastAsia="Arial" w:hAnsi="Arial"/>
          <w:sz w:val="18"/>
          <w:szCs w:val="18"/>
          <w:color w:val="auto"/>
        </w:rPr>
      </w:pPr>
    </w:p>
    <w:p>
      <w:pPr>
        <w:ind w:right="300" w:firstLine="419"/>
        <w:spacing w:after="0" w:line="259"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78" w:lineRule="exact"/>
        <w:rPr>
          <w:rFonts w:ascii="Arial" w:cs="Arial" w:eastAsia="Arial" w:hAnsi="Arial"/>
          <w:sz w:val="18"/>
          <w:szCs w:val="18"/>
          <w:color w:val="auto"/>
        </w:rPr>
      </w:pPr>
    </w:p>
    <w:p>
      <w:pPr>
        <w:ind w:firstLine="419"/>
        <w:spacing w:after="0" w:line="259"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78" w:lineRule="exact"/>
        <w:rPr>
          <w:rFonts w:ascii="Arial" w:cs="Arial" w:eastAsia="Arial" w:hAnsi="Arial"/>
          <w:sz w:val="18"/>
          <w:szCs w:val="18"/>
          <w:color w:val="auto"/>
        </w:rPr>
      </w:pPr>
    </w:p>
    <w:p>
      <w:pPr>
        <w:ind w:right="60" w:firstLine="419"/>
        <w:spacing w:after="0" w:line="263"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5" w:lineRule="exact"/>
        <w:rPr>
          <w:rFonts w:ascii="Arial" w:cs="Arial" w:eastAsia="Arial" w:hAnsi="Arial"/>
          <w:sz w:val="18"/>
          <w:szCs w:val="18"/>
          <w:color w:val="auto"/>
        </w:rPr>
      </w:pPr>
    </w:p>
    <w:p>
      <w:pPr>
        <w:ind w:right="60" w:firstLine="419"/>
        <w:spacing w:after="0" w:line="259" w:lineRule="auto"/>
        <w:tabs>
          <w:tab w:leader="none" w:pos="6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8" w:lineRule="exact"/>
        <w:rPr>
          <w:rFonts w:ascii="Arial" w:cs="Arial" w:eastAsia="Arial" w:hAnsi="Arial"/>
          <w:sz w:val="18"/>
          <w:szCs w:val="18"/>
          <w:color w:val="auto"/>
        </w:rPr>
      </w:pPr>
    </w:p>
    <w:p>
      <w:pPr>
        <w:ind w:right="40" w:firstLine="419"/>
        <w:spacing w:after="0" w:line="293" w:lineRule="auto"/>
        <w:tabs>
          <w:tab w:leader="none" w:pos="6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 provision herein to the contrary, in no event shall the Trustee be liable for any failure or delay in the performance of its obligations under this Indenture because of circumstances beyond its control, including, but not limited to, pandemic,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4" w:right="459" w:bottom="1440" w:gutter="0" w:footer="0" w:header="0"/>
        </w:sectPr>
      </w:pPr>
    </w:p>
    <w:bookmarkStart w:id="86" w:name="page87"/>
    <w:bookmarkEnd w:id="86"/>
    <w:p>
      <w:pPr>
        <w:jc w:val="both"/>
        <w:ind w:left="440" w:right="20" w:firstLine="419"/>
        <w:spacing w:after="0" w:line="263"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jc w:val="both"/>
        <w:ind w:right="500" w:firstLine="991"/>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Within 60 days after May 15 of each year after the execution of this Indenture, the Trustee shall give to Holders of each Series of Securities and the Company a brief report dated as of such reporting date that complies with TIA § 313(a); provided, however,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88"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5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The Company hereby indemnifies the Trustee from, and agrees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18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own negligence or bad faith.</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To secure the payment obligations of the Company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7.7 shall survive the satisfaction and discharge of this Indenture, the payment of the Securities and/or the resignation or removal of the Trustee.</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bankruptcy, insolvency or other similar law.</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170"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88" w:name="page89"/>
    <w:bookmarkEnd w:id="88"/>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61"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49"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8"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89" w:name="page90"/>
    <w:bookmarkEnd w:id="8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66"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7.8, the obligations of the Company under Section 7.7 shall continue for the benefit of the retiring Trustee or Trustees.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117"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Subject to Section 7.10,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24"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57" w:lineRule="exact"/>
        <w:rPr>
          <w:sz w:val="20"/>
          <w:szCs w:val="20"/>
          <w:color w:val="auto"/>
        </w:rPr>
      </w:pPr>
    </w:p>
    <w:p>
      <w:pPr>
        <w:jc w:val="both"/>
        <w:ind w:right="360" w:firstLine="991"/>
        <w:spacing w:after="0" w:line="286" w:lineRule="auto"/>
        <w:rPr>
          <w:sz w:val="20"/>
          <w:szCs w:val="20"/>
          <w:color w:val="auto"/>
        </w:rPr>
      </w:pPr>
      <w:r>
        <w:rPr>
          <w:rFonts w:ascii="Arial" w:cs="Arial" w:eastAsia="Arial" w:hAnsi="Arial"/>
          <w:sz w:val="17"/>
          <w:szCs w:val="17"/>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DISCHARGE OF INDENTURE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79" w:lineRule="auto"/>
        <w:tabs>
          <w:tab w:leader="none" w:pos="11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Indenture shall cease to be of further effect with respect to the Securities of a Series (except that all obligations of the Company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63" w:lineRule="exact"/>
        <w:rPr>
          <w:rFonts w:ascii="Arial" w:cs="Arial" w:eastAsia="Arial" w:hAnsi="Arial"/>
          <w:sz w:val="17"/>
          <w:szCs w:val="17"/>
          <w:color w:val="auto"/>
        </w:rPr>
      </w:pPr>
    </w:p>
    <w:p>
      <w:pPr>
        <w:ind w:left="1640" w:hanging="252"/>
        <w:spacing w:after="0"/>
        <w:tabs>
          <w:tab w:leader="none" w:pos="1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0" w:firstLine="391"/>
        <w:spacing w:after="0" w:line="277" w:lineRule="auto"/>
        <w:tabs>
          <w:tab w:leader="none" w:pos="2098" w:val="left"/>
        </w:tabs>
        <w:numPr>
          <w:ilvl w:val="2"/>
          <w:numId w:val="65"/>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62" w:lineRule="exact"/>
        <w:rPr>
          <w:rFonts w:ascii="Arial" w:cs="Arial" w:eastAsia="Arial" w:hAnsi="Arial"/>
          <w:sz w:val="18"/>
          <w:szCs w:val="18"/>
          <w:color w:val="auto"/>
        </w:rPr>
      </w:pPr>
    </w:p>
    <w:p>
      <w:pPr>
        <w:ind w:left="2100" w:hanging="289"/>
        <w:spacing w:after="0"/>
        <w:tabs>
          <w:tab w:leader="none" w:pos="21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117" w:lineRule="exact"/>
        <w:rPr>
          <w:rFonts w:ascii="Arial" w:cs="Arial" w:eastAsia="Arial" w:hAnsi="Arial"/>
          <w:sz w:val="18"/>
          <w:szCs w:val="18"/>
          <w:color w:val="auto"/>
        </w:rPr>
      </w:pPr>
    </w:p>
    <w:p>
      <w:pPr>
        <w:ind w:left="2560" w:hanging="220"/>
        <w:spacing w:after="0"/>
        <w:tabs>
          <w:tab w:leader="none" w:pos="2560" w:val="left"/>
        </w:tabs>
        <w:numPr>
          <w:ilvl w:val="3"/>
          <w:numId w:val="6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600" w:hanging="260"/>
        <w:spacing w:after="0"/>
        <w:tabs>
          <w:tab w:leader="none" w:pos="2600" w:val="left"/>
        </w:tabs>
        <w:numPr>
          <w:ilvl w:val="3"/>
          <w:numId w:val="6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980" w:right="340" w:firstLine="360"/>
        <w:spacing w:after="0" w:line="277" w:lineRule="auto"/>
        <w:tabs>
          <w:tab w:leader="none" w:pos="2656" w:val="left"/>
        </w:tabs>
        <w:numPr>
          <w:ilvl w:val="3"/>
          <w:numId w:val="65"/>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ind w:left="1420" w:right="180" w:firstLine="383"/>
        <w:spacing w:after="0" w:line="342" w:lineRule="auto"/>
        <w:rPr>
          <w:sz w:val="20"/>
          <w:szCs w:val="20"/>
          <w:color w:val="auto"/>
        </w:rPr>
      </w:pPr>
      <w:r>
        <w:rPr>
          <w:rFonts w:ascii="Arial" w:cs="Arial" w:eastAsia="Arial" w:hAnsi="Arial"/>
          <w:sz w:val="16"/>
          <w:szCs w:val="16"/>
          <w:color w:val="auto"/>
        </w:rPr>
        <w:t>and, in the case of clause (i), (ii) or (iii) above, the Company has irrevocably deposited or caused to be deposited with the Trustee as funds (immediately available to the Holders in the case of clause (i)) in trust for such purpose (x) cash in an amount,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91" w:name="page92"/>
    <w:bookmarkEnd w:id="91"/>
    <w:p>
      <w:pPr>
        <w:ind w:left="980" w:firstLine="8"/>
        <w:spacing w:after="0" w:line="255" w:lineRule="auto"/>
        <w:tabs>
          <w:tab w:leader="none" w:pos="1235"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 Obligations, maturing as to principal and interest at such times and in such amounts as will ensure the availability of cash in an amount or (z) a combination thereof which will be sufficient, in the opinion (in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84" w:lineRule="exact"/>
        <w:rPr>
          <w:rFonts w:ascii="Arial" w:cs="Arial" w:eastAsia="Arial" w:hAnsi="Arial"/>
          <w:sz w:val="18"/>
          <w:szCs w:val="18"/>
          <w:color w:val="auto"/>
        </w:rPr>
      </w:pPr>
    </w:p>
    <w:p>
      <w:pPr>
        <w:ind w:left="1540" w:right="80" w:hanging="1"/>
        <w:spacing w:after="0" w:line="277" w:lineRule="auto"/>
        <w:tabs>
          <w:tab w:leader="none" w:pos="182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Company has properly fulfilled such other means of satisfaction and discharge, as contemplated by Section 2.2 to be applicable to the Securities of such Series;</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540" w:right="160" w:firstLine="408"/>
        <w:spacing w:after="0" w:line="263" w:lineRule="auto"/>
        <w:tabs>
          <w:tab w:leader="none" w:pos="11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75" w:lineRule="exact"/>
        <w:rPr>
          <w:rFonts w:ascii="Arial" w:cs="Arial" w:eastAsia="Arial" w:hAnsi="Arial"/>
          <w:sz w:val="18"/>
          <w:szCs w:val="18"/>
          <w:color w:val="auto"/>
        </w:rPr>
      </w:pPr>
    </w:p>
    <w:p>
      <w:pPr>
        <w:ind w:firstLine="419"/>
        <w:spacing w:after="0" w:line="289" w:lineRule="auto"/>
        <w:tabs>
          <w:tab w:leader="none" w:pos="678"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Unless this Section 8.1(b) is specified as not being applicable to Securities of a Series as contemplated by Section 2.2, the Company may be discharged from its obligations under Sections 4.2(a), 4.4, 4.5 and 4.7 of this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with respect to the Securities of such Series and such Securities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if:</w:t>
      </w:r>
    </w:p>
    <w:p>
      <w:pPr>
        <w:spacing w:after="0" w:line="58" w:lineRule="exact"/>
        <w:rPr>
          <w:rFonts w:ascii="Arial" w:cs="Arial" w:eastAsia="Arial" w:hAnsi="Arial"/>
          <w:sz w:val="16"/>
          <w:szCs w:val="16"/>
          <w:color w:val="auto"/>
        </w:rPr>
      </w:pPr>
    </w:p>
    <w:p>
      <w:pPr>
        <w:ind w:left="540" w:right="120" w:firstLine="408"/>
        <w:spacing w:after="0" w:line="301" w:lineRule="auto"/>
        <w:tabs>
          <w:tab w:leader="none" w:pos="1196"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880" w:top="274" w:right="459" w:bottom="1440" w:gutter="0" w:footer="0" w:header="0"/>
        </w:sectPr>
      </w:pPr>
    </w:p>
    <w:bookmarkStart w:id="92" w:name="page93"/>
    <w:bookmarkEnd w:id="92"/>
    <w:p>
      <w:pPr>
        <w:ind w:left="9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7" w:lineRule="exact"/>
        <w:rPr>
          <w:sz w:val="20"/>
          <w:szCs w:val="20"/>
          <w:color w:val="auto"/>
        </w:rPr>
      </w:pPr>
    </w:p>
    <w:p>
      <w:pPr>
        <w:ind w:left="980" w:right="300" w:firstLine="408"/>
        <w:spacing w:after="0" w:line="342" w:lineRule="auto"/>
        <w:tabs>
          <w:tab w:leader="none" w:pos="16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15" w:lineRule="exact"/>
        <w:rPr>
          <w:rFonts w:ascii="Arial" w:cs="Arial" w:eastAsia="Arial" w:hAnsi="Arial"/>
          <w:sz w:val="16"/>
          <w:szCs w:val="16"/>
          <w:color w:val="auto"/>
        </w:rPr>
      </w:pPr>
    </w:p>
    <w:p>
      <w:pPr>
        <w:ind w:left="980" w:right="120" w:firstLine="408"/>
        <w:spacing w:after="0" w:line="277" w:lineRule="auto"/>
        <w:tabs>
          <w:tab w:leader="none" w:pos="1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w:t>
      </w:r>
    </w:p>
    <w:p>
      <w:pPr>
        <w:spacing w:after="0" w:line="62" w:lineRule="exact"/>
        <w:rPr>
          <w:rFonts w:ascii="Arial" w:cs="Arial" w:eastAsia="Arial" w:hAnsi="Arial"/>
          <w:sz w:val="18"/>
          <w:szCs w:val="18"/>
          <w:color w:val="auto"/>
        </w:rPr>
      </w:pPr>
    </w:p>
    <w:p>
      <w:pPr>
        <w:jc w:val="both"/>
        <w:ind w:left="980" w:right="200" w:firstLine="408"/>
        <w:spacing w:after="0" w:line="257" w:lineRule="auto"/>
        <w:tabs>
          <w:tab w:leader="none" w:pos="1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Section 8.1(b) and will be subject to Federal income tax on the same amount and in the same manner and at the same times as would have been the case if such option had not been exercised; and</w:t>
      </w:r>
    </w:p>
    <w:p>
      <w:pPr>
        <w:spacing w:after="0" w:line="79" w:lineRule="exact"/>
        <w:rPr>
          <w:rFonts w:ascii="Arial" w:cs="Arial" w:eastAsia="Arial" w:hAnsi="Arial"/>
          <w:sz w:val="18"/>
          <w:szCs w:val="18"/>
          <w:color w:val="auto"/>
        </w:rPr>
      </w:pPr>
    </w:p>
    <w:p>
      <w:pPr>
        <w:ind w:left="980" w:right="660" w:firstLine="408"/>
        <w:spacing w:after="0" w:line="277" w:lineRule="auto"/>
        <w:tabs>
          <w:tab w:leader="none" w:pos="16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such deposit and covenant defeasance shall not cause the Trustee to have a conflicting interest as defined in TIA § 310(b).</w:t>
      </w:r>
    </w:p>
    <w:p>
      <w:pPr>
        <w:spacing w:after="0" w:line="23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76" w:lineRule="exact"/>
        <w:rPr>
          <w:sz w:val="20"/>
          <w:szCs w:val="20"/>
          <w:color w:val="auto"/>
        </w:rPr>
      </w:pPr>
    </w:p>
    <w:p>
      <w:pPr>
        <w:ind w:left="440" w:right="60" w:firstLine="525"/>
        <w:spacing w:after="0" w:line="272" w:lineRule="auto"/>
        <w:tabs>
          <w:tab w:leader="none" w:pos="1213"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Unless this Section 8.1(c) is specified as not being applicable to Securities of a Series as contemplated by Section 2.2, upon the Company’s exercise under this clause (c) of the option applicable to this Section 8.1(c) with respect to any Series of Securities, the Company will be deemed to have been released from their obligations with respect to all outstanding Securities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8.2 hereof and the other Sections of this Indenture referred to below, and to have satisfied all their other obligations under such Securities and this Indenture with respect to such Securities, if: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93" w:name="page94"/>
    <w:bookmarkEnd w:id="93"/>
    <w:p>
      <w:pPr>
        <w:ind w:left="980" w:right="20" w:firstLine="408"/>
        <w:spacing w:after="0" w:line="253" w:lineRule="auto"/>
        <w:tabs>
          <w:tab w:leader="none" w:pos="1636"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Arial" w:cs="Arial" w:eastAsia="Arial" w:hAnsi="Arial"/>
          <w:sz w:val="18"/>
          <w:szCs w:val="18"/>
          <w:color w:val="auto"/>
        </w:rPr>
      </w:pPr>
    </w:p>
    <w:p>
      <w:pPr>
        <w:ind w:left="980" w:right="200" w:firstLine="408"/>
        <w:spacing w:after="0" w:line="263" w:lineRule="auto"/>
        <w:tabs>
          <w:tab w:leader="none" w:pos="16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 Default or Event of Default under clauses (f) and (g) of Section 6.1 hereof shall have occurred at any time during the period ending on the 91st day after the date of deposit contemplated by Section 8.1(c)(1) (it being understood that this condition shall not be deemed satisfied until the expiration of such period);</w:t>
      </w:r>
    </w:p>
    <w:p>
      <w:pPr>
        <w:spacing w:after="0" w:line="75" w:lineRule="exact"/>
        <w:rPr>
          <w:rFonts w:ascii="Arial" w:cs="Arial" w:eastAsia="Arial" w:hAnsi="Arial"/>
          <w:sz w:val="18"/>
          <w:szCs w:val="18"/>
          <w:color w:val="auto"/>
        </w:rPr>
      </w:pPr>
    </w:p>
    <w:p>
      <w:pPr>
        <w:ind w:left="980" w:firstLine="408"/>
        <w:spacing w:after="0" w:line="291" w:lineRule="auto"/>
        <w:tabs>
          <w:tab w:leader="none" w:pos="1636" w:val="left"/>
        </w:tabs>
        <w:numPr>
          <w:ilvl w:val="1"/>
          <w:numId w:val="72"/>
        </w:numPr>
        <w:rPr>
          <w:rFonts w:ascii="Arial" w:cs="Arial" w:eastAsia="Arial" w:hAnsi="Arial"/>
          <w:sz w:val="16"/>
          <w:szCs w:val="16"/>
          <w:color w:val="auto"/>
        </w:rPr>
      </w:pPr>
      <w:r>
        <w:rPr>
          <w:rFonts w:ascii="Arial" w:cs="Arial" w:eastAsia="Arial" w:hAnsi="Arial"/>
          <w:sz w:val="16"/>
          <w:szCs w:val="16"/>
          <w:color w:val="auto"/>
        </w:rPr>
        <w:t>unless otherwise specified with respect to Securities of such Series as contemplated by Section 2.2, the Company has delivered to the Trustee an Opinion of Counsel from nationally recognized counsel acceptable to the Trustee to the effect referred to in Section 8.1(b)</w:t>
      </w:r>
    </w:p>
    <w:p>
      <w:pPr>
        <w:jc w:val="both"/>
        <w:ind w:left="980" w:right="160" w:firstLine="7"/>
        <w:spacing w:after="0" w:line="295" w:lineRule="auto"/>
        <w:tabs>
          <w:tab w:leader="none" w:pos="12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with respect to such legal defeasance, which opinion is based on (i) a private ruling of the Internal Revenue Service addressed to the Company or the Trustee,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53" w:lineRule="exact"/>
        <w:rPr>
          <w:rFonts w:ascii="Arial" w:cs="Arial" w:eastAsia="Arial" w:hAnsi="Arial"/>
          <w:sz w:val="16"/>
          <w:szCs w:val="16"/>
          <w:color w:val="auto"/>
        </w:rPr>
      </w:pPr>
    </w:p>
    <w:p>
      <w:pPr>
        <w:ind w:left="980" w:right="60" w:firstLine="408"/>
        <w:spacing w:after="0" w:line="263" w:lineRule="auto"/>
        <w:tabs>
          <w:tab w:leader="none" w:pos="163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8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In such event, this Indenture shall cease to be of further effect except that the Company’s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7.7 and the Trustee’s and Paying Agent’s obligations in Section 8.3 shall survive with respect to Securities of such Series.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94" w:name="page95"/>
    <w:bookmarkEnd w:id="94"/>
    <w:p>
      <w:pPr>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63" w:lineRule="exact"/>
        <w:rPr>
          <w:sz w:val="20"/>
          <w:szCs w:val="20"/>
          <w:color w:val="auto"/>
        </w:rPr>
      </w:pPr>
    </w:p>
    <w:p>
      <w:pPr>
        <w:ind w:left="440" w:right="20" w:firstLine="525"/>
        <w:spacing w:after="0" w:line="279" w:lineRule="auto"/>
        <w:tabs>
          <w:tab w:leader="none" w:pos="1223"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Securities of any Series subject to subsections (a), (b) or (c)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91"/>
        <w:spacing w:after="0" w:line="311" w:lineRule="auto"/>
        <w:rPr>
          <w:sz w:val="20"/>
          <w:szCs w:val="20"/>
          <w:color w:val="auto"/>
        </w:rPr>
      </w:pPr>
      <w:r>
        <w:rPr>
          <w:rFonts w:ascii="Arial" w:cs="Arial" w:eastAsia="Arial" w:hAnsi="Arial"/>
          <w:sz w:val="16"/>
          <w:szCs w:val="16"/>
          <w:color w:val="auto"/>
        </w:rPr>
        <w:t>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95" w:name="page96"/>
    <w:bookmarkEnd w:id="9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premium (if any) or interest on or any Additional Amounts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AMENDMENTS AND WAIVERS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Without the consent of any Holder of Securities of a Series, the Company and the Trustee may amend or supplement this Indenture or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of Securities in the following circumstances:</w:t>
      </w:r>
    </w:p>
    <w:p>
      <w:pPr>
        <w:spacing w:after="0" w:line="103" w:lineRule="exact"/>
        <w:rPr>
          <w:sz w:val="20"/>
          <w:szCs w:val="20"/>
          <w:color w:val="auto"/>
        </w:rPr>
      </w:pPr>
    </w:p>
    <w:p>
      <w:pPr>
        <w:ind w:left="1640" w:hanging="25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980" w:right="540" w:firstLine="408"/>
        <w:spacing w:after="0" w:line="277" w:lineRule="auto"/>
        <w:tabs>
          <w:tab w:leader="none" w:pos="16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under this Indenture or the Securities by a successor upon any merger, consolidation or asset transfer in accordance with Section 5.1;</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any security for or guarantees of its Securities or for the addition of an additional obligor on its Securities;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this Indenture under the TIA, if applicable;</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the outstanding Securities or to surrender any rights the Company has under this Indenture;</w:t>
      </w:r>
    </w:p>
    <w:p>
      <w:pPr>
        <w:spacing w:after="0" w:line="62" w:lineRule="exact"/>
        <w:rPr>
          <w:rFonts w:ascii="Arial" w:cs="Arial" w:eastAsia="Arial" w:hAnsi="Arial"/>
          <w:sz w:val="18"/>
          <w:szCs w:val="18"/>
          <w:color w:val="auto"/>
        </w:rPr>
      </w:pPr>
    </w:p>
    <w:p>
      <w:pPr>
        <w:ind w:left="980" w:right="240" w:firstLine="408"/>
        <w:spacing w:after="0" w:line="263" w:lineRule="auto"/>
        <w:tabs>
          <w:tab w:leader="none" w:pos="16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Securities;</w:t>
      </w:r>
    </w:p>
    <w:p>
      <w:pPr>
        <w:spacing w:after="0" w:line="117" w:lineRule="exact"/>
        <w:rPr>
          <w:rFonts w:ascii="Arial" w:cs="Arial" w:eastAsia="Arial" w:hAnsi="Arial"/>
          <w:sz w:val="18"/>
          <w:szCs w:val="18"/>
          <w:color w:val="auto"/>
        </w:rPr>
      </w:pPr>
    </w:p>
    <w:p>
      <w:pPr>
        <w:jc w:val="both"/>
        <w:ind w:left="980" w:right="340" w:firstLine="408"/>
        <w:spacing w:after="0" w:line="263" w:lineRule="auto"/>
        <w:tabs>
          <w:tab w:leader="none" w:pos="16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to issue additional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Securities have the same terms (other than the issue date, date from which interest accrues, first interest payment date and restrictions on transfer) as, and will be deemed part of the same Series as, the applicable Series of Securities to the extent required under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96" w:name="page97"/>
    <w:bookmarkEnd w:id="96"/>
    <w:p>
      <w:pPr>
        <w:ind w:left="980" w:right="40" w:firstLine="408"/>
        <w:spacing w:after="0" w:line="263" w:lineRule="auto"/>
        <w:tabs>
          <w:tab w:leader="none" w:pos="1726"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evidence and provide for the acceptance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75" w:lineRule="exact"/>
        <w:rPr>
          <w:rFonts w:ascii="Arial" w:cs="Arial" w:eastAsia="Arial" w:hAnsi="Arial"/>
          <w:sz w:val="18"/>
          <w:szCs w:val="18"/>
          <w:color w:val="auto"/>
        </w:rPr>
      </w:pPr>
    </w:p>
    <w:p>
      <w:pPr>
        <w:ind w:left="1720" w:hanging="332"/>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Securities; and</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 (other than in respect of a provision contained in this Indenture that cannot be modified or amended without the consent of the Holder of each outstanding Security affected thereby).</w:t>
      </w:r>
    </w:p>
    <w:p>
      <w:pPr>
        <w:spacing w:after="0" w:line="166"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w:t>
      </w:r>
    </w:p>
    <w:p>
      <w:pPr>
        <w:spacing w:after="0" w:line="184"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Without the consent of each Holder of outstanding Securities of a Series, an amendment, supplement or waiver may not (with respect to any Securities of such Series held by a non-consenting Holder):</w:t>
      </w:r>
    </w:p>
    <w:p>
      <w:pPr>
        <w:spacing w:after="0" w:line="62" w:lineRule="exact"/>
        <w:rPr>
          <w:sz w:val="20"/>
          <w:szCs w:val="20"/>
          <w:color w:val="auto"/>
        </w:rPr>
      </w:pPr>
    </w:p>
    <w:p>
      <w:pPr>
        <w:ind w:left="1640" w:hanging="252"/>
        <w:spacing w:after="0"/>
        <w:tabs>
          <w:tab w:leader="none" w:pos="1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reduce the amount of the Securities of such Series whose Holders must consent to an amendment, supplement or waiver;</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Securities of such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97" w:name="page98"/>
    <w:bookmarkEnd w:id="97"/>
    <w:p>
      <w:pPr>
        <w:ind w:left="1640" w:hanging="252"/>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reduce the principal of the Securities of such Series or change the Stated Maturity of the Securities of such Series;</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make payments on the Securities of such Series payable in currency other than as originally stated in such Securities;</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Securities of such Series;</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6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change in the percentage of aggregate principal amount of the Securities of such Series necessary to waive compliance with Sections 6.8 and 6.13 of this Indenture or to make any change in this Section 9.3(8); or</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Securities of such Series.</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8"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98" w:name="page99"/>
    <w:bookmarkEnd w:id="98"/>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will not be necessary for the consent of the Holders to approve the particular form of any proposed supplement, amendment or waiver, but it will be sufficient if such consent approves the substance of it.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Any request, direction, instruction, demand, document, notice or communication by the Company or the Trustee to the other, or by a Holder to the Company or the Trustee, shall be in English and in writing and delivered in person, mailed by first-class mail or delivered by overnight courier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Vice President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Andrew L. Fabens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Trustee:</w:t>
      </w:r>
    </w:p>
    <w:p>
      <w:pPr>
        <w:spacing w:after="0" w:line="23" w:lineRule="exact"/>
        <w:rPr>
          <w:sz w:val="20"/>
          <w:szCs w:val="20"/>
          <w:color w:val="auto"/>
        </w:rPr>
      </w:pPr>
    </w:p>
    <w:p>
      <w:pPr>
        <w:ind w:left="2080" w:hanging="1004"/>
        <w:spacing w:after="0"/>
        <w:tabs>
          <w:tab w:leader="none" w:pos="2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080" w:hanging="1004"/>
        <w:spacing w:after="0"/>
        <w:tabs>
          <w:tab w:leader="none" w:pos="2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80" w:hanging="1004"/>
        <w:spacing w:after="0"/>
        <w:tabs>
          <w:tab w:leader="none" w:pos="2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080"/>
        <w:spacing w:after="0"/>
        <w:tabs>
          <w:tab w:leader="none" w:pos="280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2080" w:hanging="1004"/>
        <w:spacing w:after="0"/>
        <w:tabs>
          <w:tab w:leader="none" w:pos="2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080" w:hanging="1004"/>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80" w:hanging="1004"/>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080"/>
        <w:spacing w:after="0"/>
        <w:tabs>
          <w:tab w:leader="none" w:pos="280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If a notice or communication to any Securityholder is given in the manner provided above, within the time prescribed, it is duly given, whether or not the Securityholder receives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mails a notice or communication to Securityholders, it shall mail a copy to the Trustee and each Agent at the same time.</w:t>
      </w:r>
    </w:p>
    <w:p>
      <w:pPr>
        <w:spacing w:after="0" w:line="248"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80"/>
          </w:cols>
          <w:pgMar w:left="440" w:top="274" w:right="579" w:bottom="1440" w:gutter="0" w:footer="0" w:header="0"/>
        </w:sectPr>
      </w:pPr>
    </w:p>
    <w:bookmarkStart w:id="100" w:name="page101"/>
    <w:bookmarkEnd w:id="1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16" w:lineRule="exact"/>
        <w:rPr>
          <w:sz w:val="20"/>
          <w:szCs w:val="20"/>
          <w:color w:val="auto"/>
        </w:rPr>
      </w:pPr>
    </w:p>
    <w:p>
      <w:pPr>
        <w:ind w:left="1960" w:hanging="533"/>
        <w:spacing w:after="0" w:line="342" w:lineRule="auto"/>
        <w:tabs>
          <w:tab w:leader="none" w:pos="1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29" w:lineRule="exact"/>
        <w:rPr>
          <w:rFonts w:ascii="Arial" w:cs="Arial" w:eastAsia="Arial" w:hAnsi="Arial"/>
          <w:sz w:val="16"/>
          <w:szCs w:val="16"/>
          <w:color w:val="auto"/>
        </w:rPr>
      </w:pPr>
    </w:p>
    <w:p>
      <w:pPr>
        <w:ind w:left="1960" w:right="440" w:hanging="533"/>
        <w:spacing w:after="0" w:line="277" w:lineRule="auto"/>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10.4) stating that, in the opinion of such counsel, all such conditions precedent have been complied with.</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29" w:lineRule="exact"/>
        <w:rPr>
          <w:sz w:val="20"/>
          <w:szCs w:val="20"/>
          <w:color w:val="auto"/>
        </w:rPr>
      </w:pPr>
    </w:p>
    <w:p>
      <w:pPr>
        <w:ind w:left="1960" w:hanging="533"/>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30" w:lineRule="exact"/>
        <w:rPr>
          <w:rFonts w:ascii="Arial" w:cs="Arial" w:eastAsia="Arial" w:hAnsi="Arial"/>
          <w:sz w:val="18"/>
          <w:szCs w:val="18"/>
          <w:color w:val="auto"/>
        </w:rPr>
      </w:pPr>
    </w:p>
    <w:p>
      <w:pPr>
        <w:ind w:left="1960" w:right="500" w:hanging="533"/>
        <w:spacing w:after="0" w:line="277" w:lineRule="auto"/>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1960" w:right="60" w:hanging="533"/>
        <w:spacing w:after="0" w:line="342" w:lineRule="auto"/>
        <w:tabs>
          <w:tab w:leader="none" w:pos="1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29" w:lineRule="exact"/>
        <w:rPr>
          <w:rFonts w:ascii="Arial" w:cs="Arial" w:eastAsia="Arial" w:hAnsi="Arial"/>
          <w:sz w:val="16"/>
          <w:szCs w:val="16"/>
          <w:color w:val="auto"/>
        </w:rPr>
      </w:pPr>
    </w:p>
    <w:p>
      <w:pPr>
        <w:ind w:left="1960" w:hanging="533"/>
        <w:spacing w:after="0"/>
        <w:tabs>
          <w:tab w:leader="none" w:pos="19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condition or covenant has been complied with.</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If a payment date is not a Business Day, payment may be made at that place on the next succeeding day that is a Business Day, and no interest shall accrue for the intervening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Stockholders and Certain Others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79" w:lineRule="auto"/>
        <w:rPr>
          <w:sz w:val="20"/>
          <w:szCs w:val="20"/>
          <w:color w:val="auto"/>
        </w:rPr>
      </w:pPr>
      <w:r>
        <w:rPr>
          <w:rFonts w:ascii="Arial" w:cs="Arial" w:eastAsia="Arial" w:hAnsi="Arial"/>
          <w:sz w:val="17"/>
          <w:szCs w:val="17"/>
          <w:color w:val="auto"/>
        </w:rPr>
        <w:t>No director, officer, employee, stockholder, incorporator or similar founder of the Company will have any liability for or any obligations of the Company under this Indenture or the Securities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FATCA</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Company agrees that if reasonably requested in writing by the Trustee or any Agent (for purposes of this Section 10.8, the “</w:t>
      </w:r>
      <w:r>
        <w:rPr>
          <w:rFonts w:ascii="Arial" w:cs="Arial" w:eastAsia="Arial" w:hAnsi="Arial"/>
          <w:sz w:val="17"/>
          <w:szCs w:val="17"/>
          <w:i w:val="1"/>
          <w:iCs w:val="1"/>
          <w:color w:val="auto"/>
        </w:rPr>
        <w:t>Trustee</w:t>
      </w:r>
      <w:r>
        <w:rPr>
          <w:rFonts w:ascii="Arial" w:cs="Arial" w:eastAsia="Arial" w:hAnsi="Arial"/>
          <w:sz w:val="17"/>
          <w:szCs w:val="17"/>
          <w:color w:val="auto"/>
        </w:rPr>
        <w:t>”), the Company shall provide such information as is reasonably necessary for the Trustee to comply with the requirements of Sections 1471 to 1474 of the Internal Revenue Code of 1986, as amended, and any current or future regulations or official interpretations thereof (collectively, “</w:t>
      </w:r>
      <w:r>
        <w:rPr>
          <w:rFonts w:ascii="Arial" w:cs="Arial" w:eastAsia="Arial" w:hAnsi="Arial"/>
          <w:sz w:val="17"/>
          <w:szCs w:val="17"/>
          <w:i w:val="1"/>
          <w:iCs w:val="1"/>
          <w:color w:val="auto"/>
        </w:rPr>
        <w:t>FATCA</w:t>
      </w:r>
      <w:r>
        <w:rPr>
          <w:rFonts w:ascii="Arial" w:cs="Arial" w:eastAsia="Arial" w:hAnsi="Arial"/>
          <w:sz w:val="17"/>
          <w:szCs w:val="17"/>
          <w:color w:val="auto"/>
        </w:rPr>
        <w:t>”), in relation to a payment made under the Indenture or the Securities; provided, however, that the Company shall not be required to provide any information that it is prohibited from disclosing. The Trustee shall be entitled to make any withholding or deduction from payments under the Indenture or the Securities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 or as a result of the Company’s failure to provide information reasonably requested in writing by the Trustee pursuant to the first sentence of this Section 10.8.</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one and the same instrument. Delivery of an executed counterpart of a signature page of this Indenture by facsimile or in electronic format shall be effective as delivery of a manually executed counterpart of this Indenture.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113"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102" w:name="page103"/>
    <w:bookmarkEnd w:id="10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any Subsidiary of the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31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respective successors. All agreements of the Trustee in this Indenture shall bind its successor.</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117" w:lineRule="exact"/>
        <w:rPr>
          <w:sz w:val="20"/>
          <w:szCs w:val="20"/>
          <w:color w:val="auto"/>
        </w:rPr>
      </w:pPr>
    </w:p>
    <w:p>
      <w:pPr>
        <w:ind w:left="4" w:right="560" w:firstLine="991"/>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2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ind w:left="4" w:right="120" w:firstLine="991"/>
        <w:spacing w:after="0" w:line="284"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this Indenture or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w:t>
      </w:r>
    </w:p>
    <w:p>
      <w:pPr>
        <w:spacing w:after="0" w:line="2" w:lineRule="exact"/>
        <w:rPr>
          <w:sz w:val="20"/>
          <w:szCs w:val="20"/>
          <w:color w:val="auto"/>
        </w:rPr>
      </w:pPr>
    </w:p>
    <w:p>
      <w:pPr>
        <w:ind w:left="4" w:hanging="4"/>
        <w:spacing w:after="0" w:line="252" w:lineRule="auto"/>
        <w:tabs>
          <w:tab w:leader="none" w:pos="2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8"/>
          <w:szCs w:val="18"/>
          <w:i w:val="1"/>
          <w:iCs w:val="1"/>
          <w:color w:val="auto"/>
        </w:rPr>
        <w:t>New York Banking Day</w:t>
      </w:r>
      <w:r>
        <w:rPr>
          <w:rFonts w:ascii="Arial" w:cs="Arial" w:eastAsia="Arial" w:hAnsi="Arial"/>
          <w:sz w:val="18"/>
          <w:szCs w:val="18"/>
          <w:color w:val="auto"/>
        </w:rPr>
        <w:t>” means any Business Day.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4" w:right="43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10.16.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Any suit, action or proceeding against the Company or its respective properties, assets or revenues with respect to this Indenture or the Securities (a “</w:t>
      </w:r>
      <w:r>
        <w:rPr>
          <w:rFonts w:ascii="Arial" w:cs="Arial" w:eastAsia="Arial" w:hAnsi="Arial"/>
          <w:sz w:val="17"/>
          <w:szCs w:val="17"/>
          <w:i w:val="1"/>
          <w:iCs w:val="1"/>
          <w:color w:val="auto"/>
        </w:rPr>
        <w:t>Related Proceeding</w:t>
      </w:r>
      <w:r>
        <w:rPr>
          <w:rFonts w:ascii="Arial" w:cs="Arial" w:eastAsia="Arial" w:hAnsi="Arial"/>
          <w:sz w:val="17"/>
          <w:szCs w:val="17"/>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17th Floor, Houston, Texas 77056 Attention: Vice President Treasurer (the “</w:t>
      </w:r>
      <w:r>
        <w:rPr>
          <w:rFonts w:ascii="Arial" w:cs="Arial" w:eastAsia="Arial" w:hAnsi="Arial"/>
          <w:sz w:val="17"/>
          <w:szCs w:val="17"/>
          <w:i w:val="1"/>
          <w:iCs w:val="1"/>
          <w:color w:val="auto"/>
        </w:rPr>
        <w:t>Process Agent</w:t>
      </w:r>
      <w:r>
        <w:rPr>
          <w:rFonts w:ascii="Arial" w:cs="Arial" w:eastAsia="Arial" w:hAnsi="Arial"/>
          <w:sz w:val="17"/>
          <w:szCs w:val="17"/>
          <w:color w:val="auto"/>
        </w:rPr>
        <w:t>”). The Company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3"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any provision of this Indenture limits, qualifies or conflicts with the duties imposed by operation of TIA § 318(c), the imposed duties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shall control.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40" w:top="274" w:right="49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of the day and year first above written.</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Base Indenture</w:t>
      </w:r>
    </w:p>
    <w:p>
      <w:pPr>
        <w:sectPr>
          <w:pgSz w:w="11900" w:h="16838" w:orient="portrait"/>
          <w:cols w:equalWidth="0" w:num="1">
            <w:col w:w="9680"/>
          </w:cols>
          <w:pgMar w:left="1420" w:top="274" w:right="799" w:bottom="1440" w:gutter="0" w:footer="0" w:header="0"/>
        </w:sectPr>
      </w:pPr>
    </w:p>
    <w:bookmarkStart w:id="106" w:name="page107"/>
    <w:bookmarkEnd w:id="10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Base Indenture</w:t>
      </w:r>
    </w:p>
    <w:p>
      <w:pPr>
        <w:sectPr>
          <w:pgSz w:w="11900" w:h="16838" w:orient="portrait"/>
          <w:cols w:equalWidth="0" w:num="1">
            <w:col w:w="9019"/>
          </w:cols>
          <w:pgMar w:left="1440" w:top="27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342900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60"/>
        <w:spacing w:after="0"/>
        <w:tabs>
          <w:tab w:leader="none" w:pos="52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[Name of 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8560" w:type="dxa"/>
            <w:vAlign w:val="bottom"/>
            <w:gridSpan w:val="5"/>
          </w:tcPr>
          <w:p>
            <w:pPr>
              <w:jc w:val="center"/>
              <w:ind w:right="2392"/>
              <w:spacing w:after="0"/>
              <w:rPr>
                <w:sz w:val="20"/>
                <w:szCs w:val="20"/>
                <w:color w:val="auto"/>
              </w:rPr>
            </w:pPr>
            <w:r>
              <w:rPr>
                <w:rFonts w:ascii="Arial" w:cs="Arial" w:eastAsia="Arial" w:hAnsi="Arial"/>
                <w:sz w:val="18"/>
                <w:szCs w:val="18"/>
                <w:b w:val="1"/>
                <w:bCs w:val="1"/>
                <w:color w:val="auto"/>
              </w:rPr>
              <w:t>SCHLUMBERGER LIMITED</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4"/>
                <w:szCs w:val="24"/>
                <w:color w:val="auto"/>
              </w:rPr>
            </w:pPr>
          </w:p>
        </w:tc>
        <w:tc>
          <w:tcPr>
            <w:tcW w:w="8560" w:type="dxa"/>
            <w:vAlign w:val="bottom"/>
            <w:gridSpan w:val="5"/>
          </w:tcPr>
          <w:p>
            <w:pPr>
              <w:jc w:val="center"/>
              <w:ind w:right="2392"/>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680" w:type="dxa"/>
            <w:vAlign w:val="bottom"/>
            <w:gridSpan w:val="4"/>
          </w:tcPr>
          <w:p>
            <w:pPr>
              <w:jc w:val="center"/>
              <w:ind w:right="4272"/>
              <w:spacing w:after="0"/>
              <w:rPr>
                <w:sz w:val="20"/>
                <w:szCs w:val="20"/>
                <w:color w:val="auto"/>
              </w:rPr>
            </w:pPr>
            <w:r>
              <w:rPr>
                <w:rFonts w:ascii="Arial" w:cs="Arial" w:eastAsia="Arial" w:hAnsi="Arial"/>
                <w:sz w:val="18"/>
                <w:szCs w:val="18"/>
                <w:b w:val="1"/>
                <w:bCs w:val="1"/>
                <w:color w:val="auto"/>
                <w:w w:val="91"/>
              </w:rPr>
              <w:t>and Indenture, dated as of [ ]</w:t>
            </w:r>
          </w:p>
        </w:tc>
        <w:tc>
          <w:tcPr>
            <w:tcW w:w="0" w:type="dxa"/>
            <w:vAlign w:val="bottom"/>
          </w:tcPr>
          <w:p>
            <w:pPr>
              <w:spacing w:after="0"/>
              <w:rPr>
                <w:sz w:val="1"/>
                <w:szCs w:val="1"/>
                <w:color w:val="auto"/>
              </w:rPr>
            </w:pPr>
          </w:p>
        </w:tc>
      </w:tr>
      <w:tr>
        <w:trPr>
          <w:trHeight w:val="351"/>
        </w:trPr>
        <w:tc>
          <w:tcPr>
            <w:tcW w:w="2460" w:type="dxa"/>
            <w:vAlign w:val="bottom"/>
            <w:vMerge w:val="restart"/>
          </w:tcPr>
          <w:p>
            <w:pPr>
              <w:spacing w:after="0"/>
              <w:rPr>
                <w:sz w:val="20"/>
                <w:szCs w:val="20"/>
                <w:color w:val="auto"/>
              </w:rPr>
            </w:pPr>
            <w:r>
              <w:rPr>
                <w:rFonts w:ascii="Arial" w:cs="Arial" w:eastAsia="Arial" w:hAnsi="Arial"/>
                <w:sz w:val="14"/>
                <w:szCs w:val="14"/>
                <w:color w:val="auto"/>
              </w:rPr>
              <w:t>Section of</w:t>
            </w:r>
          </w:p>
        </w:tc>
        <w:tc>
          <w:tcPr>
            <w:tcW w:w="18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4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60" w:type="dxa"/>
            <w:vAlign w:val="bottom"/>
          </w:tcPr>
          <w:p>
            <w:pPr>
              <w:spacing w:after="0" w:line="154" w:lineRule="exact"/>
              <w:rPr>
                <w:sz w:val="20"/>
                <w:szCs w:val="20"/>
                <w:color w:val="auto"/>
              </w:rPr>
            </w:pPr>
            <w:r>
              <w:rPr>
                <w:rFonts w:ascii="Arial" w:cs="Arial" w:eastAsia="Arial" w:hAnsi="Arial"/>
                <w:sz w:val="14"/>
                <w:szCs w:val="14"/>
                <w:color w:val="auto"/>
              </w:rPr>
              <w:t>Trust Indenture</w:t>
            </w:r>
          </w:p>
        </w:tc>
        <w:tc>
          <w:tcPr>
            <w:tcW w:w="1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line="154" w:lineRule="exact"/>
              <w:rPr>
                <w:sz w:val="20"/>
                <w:szCs w:val="20"/>
                <w:color w:val="auto"/>
              </w:rPr>
            </w:pPr>
            <w:r>
              <w:rPr>
                <w:rFonts w:ascii="Arial" w:cs="Arial" w:eastAsia="Arial" w:hAnsi="Arial"/>
                <w:sz w:val="14"/>
                <w:szCs w:val="14"/>
                <w:color w:val="auto"/>
              </w:rPr>
              <w:t>Section(s) of</w:t>
            </w:r>
          </w:p>
        </w:tc>
        <w:tc>
          <w:tcPr>
            <w:tcW w:w="0" w:type="dxa"/>
            <w:vAlign w:val="bottom"/>
          </w:tcPr>
          <w:p>
            <w:pPr>
              <w:spacing w:after="0"/>
              <w:rPr>
                <w:sz w:val="1"/>
                <w:szCs w:val="1"/>
                <w:color w:val="auto"/>
              </w:rPr>
            </w:pPr>
          </w:p>
        </w:tc>
      </w:tr>
      <w:tr>
        <w:trPr>
          <w:trHeight w:val="176"/>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Act of 1939</w:t>
            </w:r>
          </w:p>
        </w:tc>
        <w:tc>
          <w:tcPr>
            <w:tcW w:w="18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95"/>
        </w:trPr>
        <w:tc>
          <w:tcPr>
            <w:tcW w:w="2460" w:type="dxa"/>
            <w:vAlign w:val="bottom"/>
          </w:tcPr>
          <w:p>
            <w:pPr>
              <w:spacing w:after="0" w:line="195" w:lineRule="exact"/>
              <w:rPr>
                <w:sz w:val="20"/>
                <w:szCs w:val="20"/>
                <w:color w:val="auto"/>
              </w:rPr>
            </w:pPr>
            <w:r>
              <w:rPr>
                <w:rFonts w:ascii="Arial" w:cs="Arial" w:eastAsia="Arial" w:hAnsi="Arial"/>
                <w:sz w:val="18"/>
                <w:szCs w:val="18"/>
                <w:color w:val="auto"/>
              </w:rPr>
              <w:t>§310 (a)(1)</w:t>
            </w:r>
          </w:p>
        </w:tc>
        <w:tc>
          <w:tcPr>
            <w:tcW w:w="702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line="195"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(a)(2)</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(a)(3)</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(a)(4)</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(a)(5)</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7.8, 7.10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§311 (a)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§312 (a)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§313 (a)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§314 (a)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4.2, 4.7</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(c)(1)</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(c)(2)</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(c)(3)</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(e)</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§315 (a)</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(c)</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7.1(a)</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(d)(1)</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7.1(c)(1)</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(d)(2)</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7.1(c)(2)</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(d)(3)</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7.1(c)(3)</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(e)</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§316 (a)(1)(A)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(a)(1)(B)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(a)(2)</w:t>
            </w:r>
          </w:p>
        </w:tc>
        <w:tc>
          <w:tcPr>
            <w:tcW w:w="1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(a)(last sentence)</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§317 (a)(1)</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(a)(2)</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(b)</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§318 (a)</w:t>
            </w:r>
          </w:p>
        </w:tc>
        <w:tc>
          <w:tcPr>
            <w:tcW w:w="8560" w:type="dxa"/>
            <w:vAlign w:val="bottom"/>
            <w:gridSpan w:val="5"/>
          </w:tcPr>
          <w:p>
            <w:pPr>
              <w:ind w:left="74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020"/>
          </w:cols>
          <w:pgMar w:left="440" w:top="270" w:right="4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220" w:type="dxa"/>
            <w:vAlign w:val="bottom"/>
          </w:tcPr>
          <w:p>
            <w:pPr>
              <w:ind w:left="160"/>
              <w:spacing w:after="0"/>
              <w:rPr>
                <w:sz w:val="20"/>
                <w:szCs w:val="20"/>
                <w:color w:val="auto"/>
              </w:rPr>
            </w:pPr>
            <w:r>
              <w:rPr>
                <w:rFonts w:ascii="Arial" w:cs="Arial" w:eastAsia="Arial" w:hAnsi="Arial"/>
                <w:sz w:val="18"/>
                <w:szCs w:val="18"/>
                <w:color w:val="auto"/>
              </w:rPr>
              <w:t>Other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220" w:type="dxa"/>
            <w:vAlign w:val="bottom"/>
          </w:tcPr>
          <w:p>
            <w:pPr>
              <w:ind w:left="160"/>
              <w:spacing w:after="0"/>
              <w:rPr>
                <w:sz w:val="20"/>
                <w:szCs w:val="20"/>
                <w:color w:val="auto"/>
              </w:rPr>
            </w:pPr>
            <w:r>
              <w:rPr>
                <w:rFonts w:ascii="Arial" w:cs="Arial" w:eastAsia="Arial" w:hAnsi="Arial"/>
                <w:sz w:val="18"/>
                <w:szCs w:val="18"/>
                <w:color w:val="auto"/>
              </w:rPr>
              <w:t>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20" w:type="dxa"/>
            <w:vAlign w:val="bottom"/>
          </w:tcPr>
          <w:p>
            <w:pPr>
              <w:ind w:left="160"/>
              <w:spacing w:after="0"/>
              <w:rPr>
                <w:sz w:val="20"/>
                <w:szCs w:val="20"/>
                <w:color w:val="auto"/>
              </w:rPr>
            </w:pPr>
            <w:r>
              <w:rPr>
                <w:rFonts w:ascii="Arial" w:cs="Arial" w:eastAsia="Arial" w:hAnsi="Arial"/>
                <w:sz w:val="18"/>
                <w:szCs w:val="18"/>
                <w:color w:val="auto"/>
              </w:rPr>
              <w:t>Issuable in Series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20" w:type="dxa"/>
            <w:vAlign w:val="bottom"/>
          </w:tcPr>
          <w:p>
            <w:pPr>
              <w:ind w:left="160"/>
              <w:spacing w:after="0"/>
              <w:rPr>
                <w:sz w:val="20"/>
                <w:szCs w:val="20"/>
                <w:color w:val="auto"/>
              </w:rPr>
            </w:pPr>
            <w:r>
              <w:rPr>
                <w:rFonts w:ascii="Arial" w:cs="Arial" w:eastAsia="Arial" w:hAnsi="Arial"/>
                <w:sz w:val="18"/>
                <w:szCs w:val="18"/>
                <w:color w:val="auto"/>
              </w:rPr>
              <w:t>Establishment of Terms of Series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20" w:type="dxa"/>
            <w:vAlign w:val="bottom"/>
          </w:tcPr>
          <w:p>
            <w:pPr>
              <w:ind w:left="160"/>
              <w:spacing w:after="0"/>
              <w:rPr>
                <w:sz w:val="20"/>
                <w:szCs w:val="20"/>
                <w:color w:val="auto"/>
              </w:rPr>
            </w:pPr>
            <w:r>
              <w:rPr>
                <w:rFonts w:ascii="Arial" w:cs="Arial" w:eastAsia="Arial" w:hAnsi="Arial"/>
                <w:sz w:val="18"/>
                <w:szCs w:val="18"/>
                <w:color w:val="auto"/>
              </w:rPr>
              <w:t>Execution and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220" w:type="dxa"/>
            <w:vAlign w:val="bottom"/>
          </w:tcPr>
          <w:p>
            <w:pPr>
              <w:ind w:left="160"/>
              <w:spacing w:after="0"/>
              <w:rPr>
                <w:sz w:val="20"/>
                <w:szCs w:val="20"/>
                <w:color w:val="auto"/>
              </w:rPr>
            </w:pPr>
            <w:r>
              <w:rPr>
                <w:rFonts w:ascii="Arial" w:cs="Arial" w:eastAsia="Arial" w:hAnsi="Arial"/>
                <w:sz w:val="18"/>
                <w:szCs w:val="18"/>
                <w:color w:val="auto"/>
              </w:rPr>
              <w:t>Registrar, Paying Agent and Transfer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220" w:type="dxa"/>
            <w:vAlign w:val="bottom"/>
          </w:tcPr>
          <w:p>
            <w:pPr>
              <w:ind w:left="160"/>
              <w:spacing w:after="0"/>
              <w:rPr>
                <w:sz w:val="20"/>
                <w:szCs w:val="20"/>
                <w:color w:val="auto"/>
              </w:rPr>
            </w:pPr>
            <w:r>
              <w:rPr>
                <w:rFonts w:ascii="Arial" w:cs="Arial" w:eastAsia="Arial" w:hAnsi="Arial"/>
                <w:sz w:val="18"/>
                <w:szCs w:val="18"/>
                <w:color w:val="auto"/>
              </w:rPr>
              <w:t>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220" w:type="dxa"/>
            <w:vAlign w:val="bottom"/>
          </w:tcPr>
          <w:p>
            <w:pPr>
              <w:ind w:left="160"/>
              <w:spacing w:after="0"/>
              <w:rPr>
                <w:sz w:val="20"/>
                <w:szCs w:val="20"/>
                <w:color w:val="auto"/>
              </w:rPr>
            </w:pPr>
            <w:r>
              <w:rPr>
                <w:rFonts w:ascii="Arial" w:cs="Arial" w:eastAsia="Arial" w:hAnsi="Arial"/>
                <w:sz w:val="18"/>
                <w:szCs w:val="18"/>
                <w:color w:val="auto"/>
              </w:rPr>
              <w:t>Securityholder Lists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220" w:type="dxa"/>
            <w:vAlign w:val="bottom"/>
          </w:tcPr>
          <w:p>
            <w:pPr>
              <w:ind w:left="160"/>
              <w:spacing w:after="0"/>
              <w:rPr>
                <w:sz w:val="20"/>
                <w:szCs w:val="20"/>
                <w:color w:val="auto"/>
              </w:rPr>
            </w:pPr>
            <w:r>
              <w:rPr>
                <w:rFonts w:ascii="Arial" w:cs="Arial" w:eastAsia="Arial" w:hAnsi="Arial"/>
                <w:sz w:val="18"/>
                <w:szCs w:val="18"/>
                <w:color w:val="auto"/>
              </w:rPr>
              <w:t>Transfer and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220" w:type="dxa"/>
            <w:vAlign w:val="bottom"/>
          </w:tcPr>
          <w:p>
            <w:pPr>
              <w:ind w:left="160"/>
              <w:spacing w:after="0"/>
              <w:rPr>
                <w:sz w:val="20"/>
                <w:szCs w:val="20"/>
                <w:color w:val="auto"/>
              </w:rPr>
            </w:pPr>
            <w:r>
              <w:rPr>
                <w:rFonts w:ascii="Arial" w:cs="Arial" w:eastAsia="Arial" w:hAnsi="Arial"/>
                <w:sz w:val="18"/>
                <w:szCs w:val="18"/>
                <w:color w:val="auto"/>
              </w:rPr>
              <w:t>Mutilated, Destroyed, Lost and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220" w:type="dxa"/>
            <w:vAlign w:val="bottom"/>
          </w:tcPr>
          <w:p>
            <w:pPr>
              <w:ind w:left="160"/>
              <w:spacing w:after="0"/>
              <w:rPr>
                <w:sz w:val="20"/>
                <w:szCs w:val="20"/>
                <w:color w:val="auto"/>
              </w:rPr>
            </w:pPr>
            <w:r>
              <w:rPr>
                <w:rFonts w:ascii="Arial" w:cs="Arial" w:eastAsia="Arial" w:hAnsi="Arial"/>
                <w:sz w:val="18"/>
                <w:szCs w:val="18"/>
                <w:color w:val="auto"/>
              </w:rPr>
              <w:t>Outstanding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220" w:type="dxa"/>
            <w:vAlign w:val="bottom"/>
          </w:tcPr>
          <w:p>
            <w:pPr>
              <w:ind w:left="160"/>
              <w:spacing w:after="0"/>
              <w:rPr>
                <w:sz w:val="20"/>
                <w:szCs w:val="20"/>
                <w:color w:val="auto"/>
              </w:rPr>
            </w:pPr>
            <w:r>
              <w:rPr>
                <w:rFonts w:ascii="Arial" w:cs="Arial" w:eastAsia="Arial" w:hAnsi="Arial"/>
                <w:sz w:val="18"/>
                <w:szCs w:val="18"/>
                <w:color w:val="auto"/>
              </w:rPr>
              <w:t>Treasury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220" w:type="dxa"/>
            <w:vAlign w:val="bottom"/>
          </w:tcPr>
          <w:p>
            <w:pPr>
              <w:ind w:left="160"/>
              <w:spacing w:after="0"/>
              <w:rPr>
                <w:sz w:val="20"/>
                <w:szCs w:val="20"/>
                <w:color w:val="auto"/>
              </w:rPr>
            </w:pPr>
            <w:r>
              <w:rPr>
                <w:rFonts w:ascii="Arial" w:cs="Arial" w:eastAsia="Arial" w:hAnsi="Arial"/>
                <w:sz w:val="18"/>
                <w:szCs w:val="18"/>
                <w:color w:val="auto"/>
              </w:rPr>
              <w:t>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22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220" w:type="dxa"/>
            <w:vAlign w:val="bottom"/>
          </w:tcPr>
          <w:p>
            <w:pPr>
              <w:ind w:left="16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9220" w:type="dxa"/>
            <w:vAlign w:val="bottom"/>
          </w:tcPr>
          <w:p>
            <w:pPr>
              <w:ind w:left="160"/>
              <w:spacing w:after="0"/>
              <w:rPr>
                <w:sz w:val="20"/>
                <w:szCs w:val="20"/>
                <w:color w:val="auto"/>
              </w:rPr>
            </w:pPr>
            <w:r>
              <w:rPr>
                <w:rFonts w:ascii="Arial" w:cs="Arial" w:eastAsia="Arial" w:hAnsi="Arial"/>
                <w:sz w:val="18"/>
                <w:szCs w:val="18"/>
                <w:color w:val="auto"/>
              </w:rPr>
              <w:t>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9220" w:type="dxa"/>
            <w:vAlign w:val="bottom"/>
          </w:tcPr>
          <w:p>
            <w:pPr>
              <w:ind w:left="16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220" w:type="dxa"/>
            <w:vAlign w:val="bottom"/>
          </w:tcPr>
          <w:p>
            <w:pPr>
              <w:ind w:left="160"/>
              <w:spacing w:after="0"/>
              <w:rPr>
                <w:sz w:val="20"/>
                <w:szCs w:val="20"/>
                <w:color w:val="auto"/>
              </w:rPr>
            </w:pPr>
            <w:r>
              <w:rPr>
                <w:rFonts w:ascii="Arial" w:cs="Arial" w:eastAsia="Arial" w:hAnsi="Arial"/>
                <w:sz w:val="18"/>
                <w:szCs w:val="18"/>
                <w:color w:val="auto"/>
              </w:rPr>
              <w:t>Notice to Trustee; No Liability for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220" w:type="dxa"/>
            <w:vAlign w:val="bottom"/>
          </w:tcPr>
          <w:p>
            <w:pPr>
              <w:ind w:left="160"/>
              <w:spacing w:after="0"/>
              <w:rPr>
                <w:sz w:val="20"/>
                <w:szCs w:val="20"/>
                <w:color w:val="auto"/>
              </w:rPr>
            </w:pPr>
            <w:r>
              <w:rPr>
                <w:rFonts w:ascii="Arial" w:cs="Arial" w:eastAsia="Arial" w:hAnsi="Arial"/>
                <w:sz w:val="18"/>
                <w:szCs w:val="18"/>
                <w:color w:val="auto"/>
              </w:rPr>
              <w:t>Selection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22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220" w:type="dxa"/>
            <w:vAlign w:val="bottom"/>
          </w:tcPr>
          <w:p>
            <w:pPr>
              <w:ind w:left="160"/>
              <w:spacing w:after="0"/>
              <w:rPr>
                <w:sz w:val="20"/>
                <w:szCs w:val="20"/>
                <w:color w:val="auto"/>
              </w:rPr>
            </w:pPr>
            <w:r>
              <w:rPr>
                <w:rFonts w:ascii="Arial" w:cs="Arial" w:eastAsia="Arial" w:hAnsi="Arial"/>
                <w:sz w:val="18"/>
                <w:szCs w:val="18"/>
                <w:color w:val="auto"/>
              </w:rPr>
              <w:t>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220" w:type="dxa"/>
            <w:vAlign w:val="bottom"/>
          </w:tcPr>
          <w:p>
            <w:pPr>
              <w:ind w:left="16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220" w:type="dxa"/>
            <w:vAlign w:val="bottom"/>
          </w:tcPr>
          <w:p>
            <w:pPr>
              <w:ind w:left="160"/>
              <w:spacing w:after="0"/>
              <w:rPr>
                <w:sz w:val="20"/>
                <w:szCs w:val="20"/>
                <w:color w:val="auto"/>
              </w:rPr>
            </w:pPr>
            <w:r>
              <w:rPr>
                <w:rFonts w:ascii="Arial" w:cs="Arial" w:eastAsia="Arial" w:hAnsi="Arial"/>
                <w:sz w:val="18"/>
                <w:szCs w:val="18"/>
                <w:color w:val="auto"/>
              </w:rPr>
              <w:t>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220" w:type="dxa"/>
            <w:vAlign w:val="bottom"/>
          </w:tcPr>
          <w:p>
            <w:pPr>
              <w:ind w:left="160"/>
              <w:spacing w:after="0"/>
              <w:rPr>
                <w:sz w:val="20"/>
                <w:szCs w:val="20"/>
                <w:color w:val="auto"/>
              </w:rPr>
            </w:pPr>
            <w:r>
              <w:rPr>
                <w:rFonts w:ascii="Arial" w:cs="Arial" w:eastAsia="Arial" w:hAnsi="Arial"/>
                <w:sz w:val="18"/>
                <w:szCs w:val="18"/>
                <w:color w:val="auto"/>
              </w:rPr>
              <w:t>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220" w:type="dxa"/>
            <w:vAlign w:val="bottom"/>
          </w:tcPr>
          <w:p>
            <w:pPr>
              <w:ind w:left="160"/>
              <w:spacing w:after="0"/>
              <w:rPr>
                <w:sz w:val="20"/>
                <w:szCs w:val="20"/>
                <w:color w:val="auto"/>
              </w:rPr>
            </w:pPr>
            <w:r>
              <w:rPr>
                <w:rFonts w:ascii="Arial" w:cs="Arial" w:eastAsia="Arial" w:hAnsi="Arial"/>
                <w:sz w:val="18"/>
                <w:szCs w:val="18"/>
                <w:color w:val="auto"/>
              </w:rPr>
              <w:t>Satisfaction of Sinking Fund Payments with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220" w:type="dxa"/>
            <w:vAlign w:val="bottom"/>
          </w:tcPr>
          <w:p>
            <w:pPr>
              <w:ind w:left="160"/>
              <w:spacing w:after="0"/>
              <w:rPr>
                <w:sz w:val="20"/>
                <w:szCs w:val="20"/>
                <w:color w:val="auto"/>
              </w:rPr>
            </w:pPr>
            <w:r>
              <w:rPr>
                <w:rFonts w:ascii="Arial" w:cs="Arial" w:eastAsia="Arial" w:hAnsi="Arial"/>
                <w:sz w:val="18"/>
                <w:szCs w:val="18"/>
                <w:color w:val="auto"/>
              </w:rPr>
              <w:t>Redemption of Securities for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220" w:type="dxa"/>
            <w:vAlign w:val="bottom"/>
          </w:tcPr>
          <w:p>
            <w:pPr>
              <w:ind w:left="160"/>
              <w:spacing w:after="0"/>
              <w:rPr>
                <w:sz w:val="20"/>
                <w:szCs w:val="20"/>
                <w:color w:val="auto"/>
              </w:rPr>
            </w:pPr>
            <w:r>
              <w:rPr>
                <w:rFonts w:ascii="Arial" w:cs="Arial" w:eastAsia="Arial" w:hAnsi="Arial"/>
                <w:sz w:val="18"/>
                <w:szCs w:val="18"/>
                <w:color w:val="auto"/>
              </w:rPr>
              <w:t>Redemption Upon Changes in Tax Law</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220" w:type="dxa"/>
            <w:vAlign w:val="bottom"/>
          </w:tcPr>
          <w:p>
            <w:pPr>
              <w:ind w:left="160"/>
              <w:spacing w:after="0"/>
              <w:rPr>
                <w:sz w:val="20"/>
                <w:szCs w:val="20"/>
                <w:color w:val="auto"/>
              </w:rPr>
            </w:pPr>
            <w:r>
              <w:rPr>
                <w:rFonts w:ascii="Arial" w:cs="Arial" w:eastAsia="Arial" w:hAnsi="Arial"/>
                <w:sz w:val="18"/>
                <w:szCs w:val="18"/>
                <w:color w:val="auto"/>
              </w:rPr>
              <w:t>Payment of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22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220" w:type="dxa"/>
            <w:vAlign w:val="bottom"/>
          </w:tcPr>
          <w:p>
            <w:pPr>
              <w:ind w:left="160"/>
              <w:spacing w:after="0"/>
              <w:rPr>
                <w:sz w:val="20"/>
                <w:szCs w:val="20"/>
                <w:color w:val="auto"/>
              </w:rPr>
            </w:pPr>
            <w:r>
              <w:rPr>
                <w:rFonts w:ascii="Arial" w:cs="Arial" w:eastAsia="Arial" w:hAnsi="Arial"/>
                <w:sz w:val="18"/>
                <w:szCs w:val="18"/>
                <w:color w:val="auto"/>
              </w:rPr>
              <w:t>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220" w:type="dxa"/>
            <w:vAlign w:val="bottom"/>
          </w:tcPr>
          <w:p>
            <w:pPr>
              <w:ind w:left="160"/>
              <w:spacing w:after="0"/>
              <w:rPr>
                <w:sz w:val="20"/>
                <w:szCs w:val="20"/>
                <w:color w:val="auto"/>
              </w:rPr>
            </w:pPr>
            <w:r>
              <w:rPr>
                <w:rFonts w:ascii="Arial" w:cs="Arial" w:eastAsia="Arial" w:hAnsi="Arial"/>
                <w:sz w:val="18"/>
                <w:szCs w:val="18"/>
                <w:color w:val="auto"/>
              </w:rPr>
              <w:t>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220" w:type="dxa"/>
            <w:vAlign w:val="bottom"/>
          </w:tcPr>
          <w:p>
            <w:pPr>
              <w:ind w:left="16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220" w:type="dxa"/>
            <w:vAlign w:val="bottom"/>
          </w:tcPr>
          <w:p>
            <w:pPr>
              <w:ind w:left="160"/>
              <w:spacing w:after="0"/>
              <w:rPr>
                <w:sz w:val="20"/>
                <w:szCs w:val="20"/>
                <w:color w:val="auto"/>
              </w:rPr>
            </w:pPr>
            <w:r>
              <w:rPr>
                <w:rFonts w:ascii="Arial" w:cs="Arial" w:eastAsia="Arial" w:hAnsi="Arial"/>
                <w:sz w:val="18"/>
                <w:szCs w:val="18"/>
                <w:color w:val="auto"/>
              </w:rPr>
              <w:t>Additional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220" w:type="dxa"/>
            <w:vAlign w:val="bottom"/>
          </w:tcPr>
          <w:p>
            <w:pPr>
              <w:ind w:left="16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220" w:type="dxa"/>
            <w:vAlign w:val="bottom"/>
          </w:tcPr>
          <w:p>
            <w:pPr>
              <w:ind w:left="160"/>
              <w:spacing w:after="0"/>
              <w:rPr>
                <w:sz w:val="20"/>
                <w:szCs w:val="20"/>
                <w:color w:val="auto"/>
              </w:rPr>
            </w:pPr>
            <w:r>
              <w:rPr>
                <w:rFonts w:ascii="Arial" w:cs="Arial" w:eastAsia="Arial" w:hAnsi="Arial"/>
                <w:sz w:val="18"/>
                <w:szCs w:val="18"/>
                <w:color w:val="auto"/>
              </w:rPr>
              <w:t>Consolidation, Merger and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22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220" w:type="dxa"/>
            <w:vAlign w:val="bottom"/>
          </w:tcPr>
          <w:p>
            <w:pPr>
              <w:ind w:left="160"/>
              <w:spacing w:after="0"/>
              <w:rPr>
                <w:sz w:val="20"/>
                <w:szCs w:val="20"/>
                <w:color w:val="auto"/>
              </w:rPr>
            </w:pPr>
            <w:r>
              <w:rPr>
                <w:rFonts w:ascii="Arial" w:cs="Arial" w:eastAsia="Arial" w:hAnsi="Arial"/>
                <w:sz w:val="18"/>
                <w:szCs w:val="18"/>
                <w:color w:val="auto"/>
              </w:rPr>
              <w:t>Acceleration of Maturity; Rescission and Annulment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220" w:type="dxa"/>
            <w:vAlign w:val="bottom"/>
          </w:tcPr>
          <w:p>
            <w:pPr>
              <w:ind w:left="160"/>
              <w:spacing w:after="0"/>
              <w:rPr>
                <w:sz w:val="20"/>
                <w:szCs w:val="20"/>
                <w:color w:val="auto"/>
              </w:rPr>
            </w:pPr>
            <w:r>
              <w:rPr>
                <w:rFonts w:ascii="Arial" w:cs="Arial" w:eastAsia="Arial" w:hAnsi="Arial"/>
                <w:sz w:val="18"/>
                <w:szCs w:val="18"/>
                <w:color w:val="auto"/>
              </w:rPr>
              <w:t>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4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220" w:type="dxa"/>
            <w:vAlign w:val="bottom"/>
          </w:tcPr>
          <w:p>
            <w:pPr>
              <w:ind w:left="160"/>
              <w:spacing w:after="0"/>
              <w:rPr>
                <w:sz w:val="20"/>
                <w:szCs w:val="20"/>
                <w:color w:val="auto"/>
              </w:rPr>
            </w:pPr>
            <w:r>
              <w:rPr>
                <w:rFonts w:ascii="Arial" w:cs="Arial" w:eastAsia="Arial" w:hAnsi="Arial"/>
                <w:sz w:val="18"/>
                <w:szCs w:val="18"/>
                <w:color w:val="auto"/>
              </w:rPr>
              <w:t>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220" w:type="dxa"/>
            <w:vAlign w:val="bottom"/>
          </w:tcPr>
          <w:p>
            <w:pPr>
              <w:ind w:left="160"/>
              <w:spacing w:after="0"/>
              <w:rPr>
                <w:sz w:val="20"/>
                <w:szCs w:val="20"/>
                <w:color w:val="auto"/>
              </w:rPr>
            </w:pPr>
            <w:r>
              <w:rPr>
                <w:rFonts w:ascii="Arial" w:cs="Arial" w:eastAsia="Arial" w:hAnsi="Arial"/>
                <w:sz w:val="18"/>
                <w:szCs w:val="18"/>
                <w:color w:val="auto"/>
              </w:rPr>
              <w:t>Trustee May Enforce Claims Without Possession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220" w:type="dxa"/>
            <w:vAlign w:val="bottom"/>
          </w:tcPr>
          <w:p>
            <w:pPr>
              <w:ind w:left="160"/>
              <w:spacing w:after="0"/>
              <w:rPr>
                <w:sz w:val="20"/>
                <w:szCs w:val="20"/>
                <w:color w:val="auto"/>
              </w:rPr>
            </w:pPr>
            <w:r>
              <w:rPr>
                <w:rFonts w:ascii="Arial" w:cs="Arial" w:eastAsia="Arial" w:hAnsi="Arial"/>
                <w:sz w:val="18"/>
                <w:szCs w:val="18"/>
                <w:color w:val="auto"/>
              </w:rPr>
              <w:t>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220" w:type="dxa"/>
            <w:vAlign w:val="bottom"/>
          </w:tcPr>
          <w:p>
            <w:pPr>
              <w:ind w:left="160"/>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220" w:type="dxa"/>
            <w:vAlign w:val="bottom"/>
          </w:tcPr>
          <w:p>
            <w:pPr>
              <w:ind w:left="16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220" w:type="dxa"/>
            <w:vAlign w:val="bottom"/>
          </w:tcPr>
          <w:p>
            <w:pPr>
              <w:ind w:left="160"/>
              <w:spacing w:after="0"/>
              <w:rPr>
                <w:sz w:val="20"/>
                <w:szCs w:val="20"/>
                <w:color w:val="auto"/>
              </w:rPr>
            </w:pPr>
            <w:r>
              <w:rPr>
                <w:rFonts w:ascii="Arial" w:cs="Arial" w:eastAsia="Arial" w:hAnsi="Arial"/>
                <w:sz w:val="18"/>
                <w:szCs w:val="18"/>
                <w:color w:val="auto"/>
              </w:rPr>
              <w:t>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220" w:type="dxa"/>
            <w:vAlign w:val="bottom"/>
          </w:tcPr>
          <w:p>
            <w:pPr>
              <w:ind w:left="160"/>
              <w:spacing w:after="0"/>
              <w:rPr>
                <w:sz w:val="20"/>
                <w:szCs w:val="20"/>
                <w:color w:val="auto"/>
              </w:rPr>
            </w:pPr>
            <w:r>
              <w:rPr>
                <w:rFonts w:ascii="Arial" w:cs="Arial" w:eastAsia="Arial" w:hAnsi="Arial"/>
                <w:sz w:val="18"/>
                <w:szCs w:val="18"/>
                <w:color w:val="auto"/>
              </w:rPr>
              <w:t>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220" w:type="dxa"/>
            <w:vAlign w:val="bottom"/>
          </w:tcPr>
          <w:p>
            <w:pPr>
              <w:ind w:left="160"/>
              <w:spacing w:after="0"/>
              <w:rPr>
                <w:sz w:val="20"/>
                <w:szCs w:val="20"/>
                <w:color w:val="auto"/>
              </w:rPr>
            </w:pPr>
            <w:r>
              <w:rPr>
                <w:rFonts w:ascii="Arial" w:cs="Arial" w:eastAsia="Arial" w:hAnsi="Arial"/>
                <w:sz w:val="18"/>
                <w:szCs w:val="18"/>
                <w:color w:val="auto"/>
              </w:rPr>
              <w:t>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220" w:type="dxa"/>
            <w:vAlign w:val="bottom"/>
          </w:tcPr>
          <w:p>
            <w:pPr>
              <w:ind w:left="160"/>
              <w:spacing w:after="0"/>
              <w:rPr>
                <w:sz w:val="20"/>
                <w:szCs w:val="20"/>
                <w:color w:val="auto"/>
              </w:rPr>
            </w:pPr>
            <w:r>
              <w:rPr>
                <w:rFonts w:ascii="Arial" w:cs="Arial" w:eastAsia="Arial" w:hAnsi="Arial"/>
                <w:sz w:val="18"/>
                <w:szCs w:val="18"/>
                <w:color w:val="auto"/>
              </w:rPr>
              <w:t>Control by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9220" w:type="dxa"/>
            <w:vAlign w:val="bottom"/>
          </w:tcPr>
          <w:p>
            <w:pPr>
              <w:ind w:left="160"/>
              <w:spacing w:after="0"/>
              <w:rPr>
                <w:sz w:val="20"/>
                <w:szCs w:val="20"/>
                <w:color w:val="auto"/>
              </w:rPr>
            </w:pPr>
            <w:r>
              <w:rPr>
                <w:rFonts w:ascii="Arial" w:cs="Arial" w:eastAsia="Arial" w:hAnsi="Arial"/>
                <w:sz w:val="18"/>
                <w:szCs w:val="18"/>
                <w:color w:val="auto"/>
              </w:rPr>
              <w:t>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9220" w:type="dxa"/>
            <w:vAlign w:val="bottom"/>
          </w:tcPr>
          <w:p>
            <w:pPr>
              <w:ind w:left="160"/>
              <w:spacing w:after="0"/>
              <w:rPr>
                <w:sz w:val="20"/>
                <w:szCs w:val="20"/>
                <w:color w:val="auto"/>
              </w:rPr>
            </w:pPr>
            <w:r>
              <w:rPr>
                <w:rFonts w:ascii="Arial" w:cs="Arial" w:eastAsia="Arial" w:hAnsi="Arial"/>
                <w:sz w:val="18"/>
                <w:szCs w:val="18"/>
                <w:color w:val="auto"/>
              </w:rPr>
              <w:t>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220" w:type="dxa"/>
            <w:vAlign w:val="bottom"/>
          </w:tcPr>
          <w:p>
            <w:pPr>
              <w:ind w:left="160"/>
              <w:spacing w:after="0"/>
              <w:rPr>
                <w:sz w:val="20"/>
                <w:szCs w:val="20"/>
                <w:color w:val="auto"/>
              </w:rPr>
            </w:pPr>
            <w:r>
              <w:rPr>
                <w:rFonts w:ascii="Arial" w:cs="Arial" w:eastAsia="Arial" w:hAnsi="Arial"/>
                <w:sz w:val="18"/>
                <w:szCs w:val="18"/>
                <w:color w:val="auto"/>
              </w:rPr>
              <w:t>Duties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220" w:type="dxa"/>
            <w:vAlign w:val="bottom"/>
          </w:tcPr>
          <w:p>
            <w:pPr>
              <w:ind w:left="160"/>
              <w:spacing w:after="0"/>
              <w:rPr>
                <w:sz w:val="20"/>
                <w:szCs w:val="20"/>
                <w:color w:val="auto"/>
              </w:rPr>
            </w:pPr>
            <w:r>
              <w:rPr>
                <w:rFonts w:ascii="Arial" w:cs="Arial" w:eastAsia="Arial" w:hAnsi="Arial"/>
                <w:sz w:val="18"/>
                <w:szCs w:val="18"/>
                <w:color w:val="auto"/>
              </w:rPr>
              <w:t>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220" w:type="dxa"/>
            <w:vAlign w:val="bottom"/>
          </w:tcPr>
          <w:p>
            <w:pPr>
              <w:ind w:left="160"/>
              <w:spacing w:after="0"/>
              <w:rPr>
                <w:sz w:val="20"/>
                <w:szCs w:val="20"/>
                <w:color w:val="auto"/>
              </w:rPr>
            </w:pPr>
            <w:r>
              <w:rPr>
                <w:rFonts w:ascii="Arial" w:cs="Arial" w:eastAsia="Arial" w:hAnsi="Arial"/>
                <w:sz w:val="18"/>
                <w:szCs w:val="18"/>
                <w:color w:val="auto"/>
              </w:rPr>
              <w:t>May Hold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220" w:type="dxa"/>
            <w:vAlign w:val="bottom"/>
          </w:tcPr>
          <w:p>
            <w:pPr>
              <w:ind w:left="160"/>
              <w:spacing w:after="0"/>
              <w:rPr>
                <w:sz w:val="20"/>
                <w:szCs w:val="20"/>
                <w:color w:val="auto"/>
              </w:rPr>
            </w:pPr>
            <w:r>
              <w:rPr>
                <w:rFonts w:ascii="Arial" w:cs="Arial" w:eastAsia="Arial" w:hAnsi="Arial"/>
                <w:sz w:val="18"/>
                <w:szCs w:val="18"/>
                <w:color w:val="auto"/>
              </w:rPr>
              <w:t>Trustee’s 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220" w:type="dxa"/>
            <w:vAlign w:val="bottom"/>
          </w:tcPr>
          <w:p>
            <w:pPr>
              <w:ind w:left="160"/>
              <w:spacing w:after="0"/>
              <w:rPr>
                <w:sz w:val="20"/>
                <w:szCs w:val="20"/>
                <w:color w:val="auto"/>
              </w:rPr>
            </w:pPr>
            <w:r>
              <w:rPr>
                <w:rFonts w:ascii="Arial" w:cs="Arial" w:eastAsia="Arial" w:hAnsi="Arial"/>
                <w:sz w:val="18"/>
                <w:szCs w:val="18"/>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220" w:type="dxa"/>
            <w:vAlign w:val="bottom"/>
          </w:tcPr>
          <w:p>
            <w:pPr>
              <w:ind w:left="160"/>
              <w:spacing w:after="0"/>
              <w:rPr>
                <w:sz w:val="20"/>
                <w:szCs w:val="20"/>
                <w:color w:val="auto"/>
              </w:rPr>
            </w:pPr>
            <w:r>
              <w:rPr>
                <w:rFonts w:ascii="Arial" w:cs="Arial" w:eastAsia="Arial" w:hAnsi="Arial"/>
                <w:sz w:val="18"/>
                <w:szCs w:val="18"/>
                <w:color w:val="auto"/>
              </w:rPr>
              <w:t>Reports by Trustee to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9220" w:type="dxa"/>
            <w:vAlign w:val="bottom"/>
          </w:tcPr>
          <w:p>
            <w:pPr>
              <w:ind w:left="160"/>
              <w:spacing w:after="0"/>
              <w:rPr>
                <w:sz w:val="20"/>
                <w:szCs w:val="20"/>
                <w:color w:val="auto"/>
              </w:rPr>
            </w:pPr>
            <w:r>
              <w:rPr>
                <w:rFonts w:ascii="Arial" w:cs="Arial" w:eastAsia="Arial" w:hAnsi="Arial"/>
                <w:sz w:val="18"/>
                <w:szCs w:val="18"/>
                <w:color w:val="auto"/>
              </w:rPr>
              <w:t>Compensation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9220" w:type="dxa"/>
            <w:vAlign w:val="bottom"/>
          </w:tcPr>
          <w:p>
            <w:pPr>
              <w:ind w:left="160"/>
              <w:spacing w:after="0"/>
              <w:rPr>
                <w:sz w:val="20"/>
                <w:szCs w:val="20"/>
                <w:color w:val="auto"/>
              </w:rPr>
            </w:pPr>
            <w:r>
              <w:rPr>
                <w:rFonts w:ascii="Arial" w:cs="Arial" w:eastAsia="Arial" w:hAnsi="Arial"/>
                <w:sz w:val="18"/>
                <w:szCs w:val="18"/>
                <w:color w:val="auto"/>
              </w:rPr>
              <w:t>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9220" w:type="dxa"/>
            <w:vAlign w:val="bottom"/>
          </w:tcPr>
          <w:p>
            <w:pPr>
              <w:ind w:left="160"/>
              <w:spacing w:after="0"/>
              <w:rPr>
                <w:sz w:val="20"/>
                <w:szCs w:val="20"/>
                <w:color w:val="auto"/>
              </w:rPr>
            </w:pPr>
            <w:r>
              <w:rPr>
                <w:rFonts w:ascii="Arial" w:cs="Arial" w:eastAsia="Arial" w:hAnsi="Arial"/>
                <w:sz w:val="18"/>
                <w:szCs w:val="18"/>
                <w:color w:val="auto"/>
              </w:rPr>
              <w:t>Successor Trustee by Merger, etc.</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9220" w:type="dxa"/>
            <w:vAlign w:val="bottom"/>
          </w:tcPr>
          <w:p>
            <w:pPr>
              <w:ind w:left="160"/>
              <w:spacing w:after="0"/>
              <w:rPr>
                <w:sz w:val="20"/>
                <w:szCs w:val="20"/>
                <w:color w:val="auto"/>
              </w:rPr>
            </w:pPr>
            <w:r>
              <w:rPr>
                <w:rFonts w:ascii="Arial" w:cs="Arial" w:eastAsia="Arial" w:hAnsi="Arial"/>
                <w:sz w:val="18"/>
                <w:szCs w:val="18"/>
                <w:color w:val="auto"/>
              </w:rPr>
              <w:t>Eligibility; Disqualification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9220" w:type="dxa"/>
            <w:vAlign w:val="bottom"/>
          </w:tcPr>
          <w:p>
            <w:pPr>
              <w:ind w:left="160"/>
              <w:spacing w:after="0"/>
              <w:rPr>
                <w:sz w:val="20"/>
                <w:szCs w:val="20"/>
                <w:color w:val="auto"/>
              </w:rPr>
            </w:pPr>
            <w:r>
              <w:rPr>
                <w:rFonts w:ascii="Arial" w:cs="Arial" w:eastAsia="Arial" w:hAnsi="Arial"/>
                <w:sz w:val="18"/>
                <w:szCs w:val="18"/>
                <w:color w:val="auto"/>
              </w:rPr>
              <w:t>Preferential Collection of Claims Against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220" w:type="dxa"/>
            <w:vAlign w:val="bottom"/>
          </w:tcPr>
          <w:p>
            <w:pPr>
              <w:ind w:left="160"/>
              <w:spacing w:after="0"/>
              <w:rPr>
                <w:sz w:val="20"/>
                <w:szCs w:val="20"/>
                <w:color w:val="auto"/>
              </w:rPr>
            </w:pPr>
            <w:r>
              <w:rPr>
                <w:rFonts w:ascii="Arial" w:cs="Arial" w:eastAsia="Arial" w:hAnsi="Arial"/>
                <w:sz w:val="18"/>
                <w:szCs w:val="18"/>
                <w:color w:val="auto"/>
              </w:rPr>
              <w:t>Termination of Company’s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22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220" w:type="dxa"/>
            <w:vAlign w:val="bottom"/>
          </w:tcPr>
          <w:p>
            <w:pPr>
              <w:ind w:left="160"/>
              <w:spacing w:after="0"/>
              <w:rPr>
                <w:sz w:val="20"/>
                <w:szCs w:val="20"/>
                <w:color w:val="auto"/>
              </w:rPr>
            </w:pPr>
            <w:r>
              <w:rPr>
                <w:rFonts w:ascii="Arial" w:cs="Arial" w:eastAsia="Arial" w:hAnsi="Arial"/>
                <w:sz w:val="18"/>
                <w:szCs w:val="18"/>
                <w:color w:val="auto"/>
              </w:rPr>
              <w:t>Repayment to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22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220" w:type="dxa"/>
            <w:vAlign w:val="bottom"/>
          </w:tcPr>
          <w:p>
            <w:pPr>
              <w:ind w:left="160"/>
              <w:spacing w:after="0"/>
              <w:rPr>
                <w:sz w:val="20"/>
                <w:szCs w:val="20"/>
                <w:color w:val="auto"/>
              </w:rPr>
            </w:pPr>
            <w:r>
              <w:rPr>
                <w:rFonts w:ascii="Arial" w:cs="Arial" w:eastAsia="Arial" w:hAnsi="Arial"/>
                <w:sz w:val="18"/>
                <w:szCs w:val="18"/>
                <w:color w:val="auto"/>
              </w:rPr>
              <w:t>Without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220" w:type="dxa"/>
            <w:vAlign w:val="bottom"/>
          </w:tcPr>
          <w:p>
            <w:pPr>
              <w:ind w:left="160"/>
              <w:spacing w:after="0"/>
              <w:rPr>
                <w:sz w:val="20"/>
                <w:szCs w:val="20"/>
                <w:color w:val="auto"/>
              </w:rPr>
            </w:pPr>
            <w:r>
              <w:rPr>
                <w:rFonts w:ascii="Arial" w:cs="Arial" w:eastAsia="Arial" w:hAnsi="Arial"/>
                <w:sz w:val="18"/>
                <w:szCs w:val="18"/>
                <w:color w:val="auto"/>
              </w:rPr>
              <w:t>With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9220" w:type="dxa"/>
            <w:vAlign w:val="bottom"/>
          </w:tcPr>
          <w:p>
            <w:pPr>
              <w:ind w:left="160"/>
              <w:spacing w:after="0"/>
              <w:rPr>
                <w:sz w:val="20"/>
                <w:szCs w:val="20"/>
                <w:color w:val="auto"/>
              </w:rPr>
            </w:pPr>
            <w:r>
              <w:rPr>
                <w:rFonts w:ascii="Arial" w:cs="Arial" w:eastAsia="Arial" w:hAnsi="Arial"/>
                <w:sz w:val="18"/>
                <w:szCs w:val="18"/>
                <w:color w:val="auto"/>
              </w:rPr>
              <w:t>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220" w:type="dxa"/>
            <w:vAlign w:val="bottom"/>
          </w:tcPr>
          <w:p>
            <w:pPr>
              <w:ind w:left="160"/>
              <w:spacing w:after="0"/>
              <w:rPr>
                <w:sz w:val="20"/>
                <w:szCs w:val="20"/>
                <w:color w:val="auto"/>
              </w:rPr>
            </w:pPr>
            <w:r>
              <w:rPr>
                <w:rFonts w:ascii="Arial" w:cs="Arial" w:eastAsia="Arial" w:hAnsi="Arial"/>
                <w:sz w:val="18"/>
                <w:szCs w:val="18"/>
                <w:color w:val="auto"/>
              </w:rPr>
              <w:t>Form of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220" w:type="dxa"/>
            <w:vAlign w:val="bottom"/>
          </w:tcPr>
          <w:p>
            <w:pPr>
              <w:ind w:left="160"/>
              <w:spacing w:after="0"/>
              <w:rPr>
                <w:sz w:val="20"/>
                <w:szCs w:val="20"/>
                <w:color w:val="auto"/>
              </w:rPr>
            </w:pPr>
            <w:r>
              <w:rPr>
                <w:rFonts w:ascii="Arial" w:cs="Arial" w:eastAsia="Arial" w:hAnsi="Arial"/>
                <w:sz w:val="18"/>
                <w:szCs w:val="18"/>
                <w:color w:val="auto"/>
              </w:rPr>
              <w:t>Revocation and Effect of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220" w:type="dxa"/>
            <w:vAlign w:val="bottom"/>
          </w:tcPr>
          <w:p>
            <w:pPr>
              <w:ind w:left="160"/>
              <w:spacing w:after="0"/>
              <w:rPr>
                <w:sz w:val="20"/>
                <w:szCs w:val="20"/>
                <w:color w:val="auto"/>
              </w:rPr>
            </w:pPr>
            <w:r>
              <w:rPr>
                <w:rFonts w:ascii="Arial" w:cs="Arial" w:eastAsia="Arial" w:hAnsi="Arial"/>
                <w:sz w:val="18"/>
                <w:szCs w:val="18"/>
                <w:color w:val="auto"/>
              </w:rPr>
              <w:t>Notation on or Exchange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9220" w:type="dxa"/>
            <w:vAlign w:val="bottom"/>
          </w:tcPr>
          <w:p>
            <w:pPr>
              <w:ind w:left="160"/>
              <w:spacing w:after="0"/>
              <w:rPr>
                <w:sz w:val="20"/>
                <w:szCs w:val="20"/>
                <w:color w:val="auto"/>
              </w:rPr>
            </w:pPr>
            <w:r>
              <w:rPr>
                <w:rFonts w:ascii="Arial" w:cs="Arial" w:eastAsia="Arial" w:hAnsi="Arial"/>
                <w:sz w:val="18"/>
                <w:szCs w:val="18"/>
                <w:color w:val="auto"/>
              </w:rPr>
              <w:t>Trustee Protected</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220" w:type="dxa"/>
            <w:vAlign w:val="bottom"/>
          </w:tcPr>
          <w:p>
            <w:pPr>
              <w:ind w:left="1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220" w:type="dxa"/>
            <w:vAlign w:val="bottom"/>
          </w:tcPr>
          <w:p>
            <w:pPr>
              <w:ind w:left="160"/>
              <w:spacing w:after="0"/>
              <w:rPr>
                <w:sz w:val="20"/>
                <w:szCs w:val="20"/>
                <w:color w:val="auto"/>
              </w:rPr>
            </w:pPr>
            <w:r>
              <w:rPr>
                <w:rFonts w:ascii="Arial" w:cs="Arial" w:eastAsia="Arial" w:hAnsi="Arial"/>
                <w:sz w:val="18"/>
                <w:szCs w:val="18"/>
                <w:color w:val="auto"/>
              </w:rPr>
              <w:t>Communication by Holders with Other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22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220" w:type="dxa"/>
            <w:vAlign w:val="bottom"/>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22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220" w:type="dxa"/>
            <w:vAlign w:val="bottom"/>
          </w:tcPr>
          <w:p>
            <w:pPr>
              <w:ind w:left="16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5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16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Stockholders and Certain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160" w:type="dxa"/>
            <w:vAlign w:val="bottom"/>
          </w:tcPr>
          <w:p>
            <w:pPr>
              <w:ind w:left="100"/>
              <w:spacing w:after="0"/>
              <w:rPr>
                <w:sz w:val="20"/>
                <w:szCs w:val="20"/>
                <w:color w:val="auto"/>
              </w:rPr>
            </w:pPr>
            <w:r>
              <w:rPr>
                <w:rFonts w:ascii="Arial" w:cs="Arial" w:eastAsia="Arial" w:hAnsi="Arial"/>
                <w:sz w:val="18"/>
                <w:szCs w:val="18"/>
                <w:color w:val="auto"/>
              </w:rPr>
              <w:t>FATCA</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16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10.10.</w:t>
            </w:r>
          </w:p>
        </w:tc>
        <w:tc>
          <w:tcPr>
            <w:tcW w:w="9160" w:type="dxa"/>
            <w:vAlign w:val="bottom"/>
          </w:tcPr>
          <w:p>
            <w:pPr>
              <w:ind w:left="100"/>
              <w:spacing w:after="0"/>
              <w:rPr>
                <w:sz w:val="20"/>
                <w:szCs w:val="20"/>
                <w:color w:val="auto"/>
              </w:rPr>
            </w:pPr>
            <w:r>
              <w:rPr>
                <w:rFonts w:ascii="Arial" w:cs="Arial" w:eastAsia="Arial" w:hAnsi="Arial"/>
                <w:sz w:val="18"/>
                <w:szCs w:val="18"/>
                <w:color w:val="auto"/>
              </w:rPr>
              <w:t>Governing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10.11.</w:t>
            </w:r>
          </w:p>
        </w:tc>
        <w:tc>
          <w:tcPr>
            <w:tcW w:w="916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10.12.</w:t>
            </w:r>
          </w:p>
        </w:tc>
        <w:tc>
          <w:tcPr>
            <w:tcW w:w="916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10.13.</w:t>
            </w:r>
          </w:p>
        </w:tc>
        <w:tc>
          <w:tcPr>
            <w:tcW w:w="91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10.14.</w:t>
            </w:r>
          </w:p>
        </w:tc>
        <w:tc>
          <w:tcPr>
            <w:tcW w:w="916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10.15.</w:t>
            </w:r>
          </w:p>
        </w:tc>
        <w:tc>
          <w:tcPr>
            <w:tcW w:w="916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10.16.</w:t>
            </w:r>
          </w:p>
        </w:tc>
        <w:tc>
          <w:tcPr>
            <w:tcW w:w="9160" w:type="dxa"/>
            <w:vAlign w:val="bottom"/>
          </w:tcPr>
          <w:p>
            <w:pPr>
              <w:ind w:left="100"/>
              <w:spacing w:after="0"/>
              <w:rPr>
                <w:sz w:val="20"/>
                <w:szCs w:val="20"/>
                <w:color w:val="auto"/>
              </w:rPr>
            </w:pPr>
            <w:r>
              <w:rPr>
                <w:rFonts w:ascii="Arial" w:cs="Arial" w:eastAsia="Arial" w:hAnsi="Arial"/>
                <w:sz w:val="18"/>
                <w:szCs w:val="18"/>
                <w:color w:val="auto"/>
              </w:rPr>
              <w:t>English Language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10.17.</w:t>
            </w:r>
          </w:p>
        </w:tc>
        <w:tc>
          <w:tcPr>
            <w:tcW w:w="9160" w:type="dxa"/>
            <w:vAlign w:val="bottom"/>
          </w:tcPr>
          <w:p>
            <w:pPr>
              <w:ind w:left="100"/>
              <w:spacing w:after="0"/>
              <w:rPr>
                <w:sz w:val="20"/>
                <w:szCs w:val="20"/>
                <w:color w:val="auto"/>
              </w:rPr>
            </w:pPr>
            <w:r>
              <w:rPr>
                <w:rFonts w:ascii="Arial" w:cs="Arial" w:eastAsia="Arial" w:hAnsi="Arial"/>
                <w:sz w:val="18"/>
                <w:szCs w:val="18"/>
                <w:color w:val="auto"/>
              </w:rPr>
              <w:t>Submission to Jurisdiction; Appointment of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10.18.</w:t>
            </w:r>
          </w:p>
        </w:tc>
        <w:tc>
          <w:tcPr>
            <w:tcW w:w="9160" w:type="dxa"/>
            <w:vAlign w:val="bottom"/>
          </w:tcPr>
          <w:p>
            <w:pPr>
              <w:ind w:left="100"/>
              <w:spacing w:after="0"/>
              <w:rPr>
                <w:sz w:val="20"/>
                <w:szCs w:val="20"/>
                <w:color w:val="auto"/>
              </w:rPr>
            </w:pPr>
            <w:r>
              <w:rPr>
                <w:rFonts w:ascii="Arial" w:cs="Arial" w:eastAsia="Arial" w:hAnsi="Arial"/>
                <w:sz w:val="18"/>
                <w:szCs w:val="18"/>
                <w:color w:val="auto"/>
              </w:rPr>
              <w:t>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10.19.</w:t>
            </w:r>
          </w:p>
        </w:tc>
        <w:tc>
          <w:tcPr>
            <w:tcW w:w="916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w w:val="99"/>
              </w:rPr>
              <w:t>Section 10.20.</w:t>
            </w:r>
          </w:p>
        </w:tc>
        <w:tc>
          <w:tcPr>
            <w:tcW w:w="9160" w:type="dxa"/>
            <w:vAlign w:val="bottom"/>
          </w:tcPr>
          <w:p>
            <w:pPr>
              <w:ind w:left="100"/>
              <w:spacing w:after="0"/>
              <w:rPr>
                <w:sz w:val="20"/>
                <w:szCs w:val="20"/>
                <w:color w:val="auto"/>
              </w:rPr>
            </w:pPr>
            <w:r>
              <w:rPr>
                <w:rFonts w:ascii="Arial" w:cs="Arial" w:eastAsia="Arial" w:hAnsi="Arial"/>
                <w:sz w:val="18"/>
                <w:szCs w:val="18"/>
                <w:color w:val="auto"/>
              </w:rPr>
              <w:t>Trust Indenture Act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XI. SUBORDINATION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160" w:type="dxa"/>
            <w:vAlign w:val="bottom"/>
          </w:tcPr>
          <w:p>
            <w:pPr>
              <w:ind w:left="100"/>
              <w:spacing w:after="0"/>
              <w:rPr>
                <w:sz w:val="20"/>
                <w:szCs w:val="20"/>
                <w:color w:val="auto"/>
              </w:rPr>
            </w:pPr>
            <w:r>
              <w:rPr>
                <w:rFonts w:ascii="Arial" w:cs="Arial" w:eastAsia="Arial" w:hAnsi="Arial"/>
                <w:sz w:val="18"/>
                <w:szCs w:val="18"/>
                <w:color w:val="auto"/>
              </w:rPr>
              <w:t>Subordination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12" w:name="page113"/>
    <w:bookmarkEnd w:id="112"/>
    <w:p>
      <w:pPr>
        <w:ind w:left="984"/>
        <w:spacing w:after="0"/>
        <w:tabs>
          <w:tab w:leader="none" w:pos="33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w:t>
      </w:r>
      <w:r>
        <w:rPr>
          <w:sz w:val="20"/>
          <w:szCs w:val="20"/>
          <w:color w:val="auto"/>
        </w:rPr>
        <w:tab/>
      </w:r>
      <w:r>
        <w:rPr>
          <w:rFonts w:ascii="Arial" w:cs="Arial" w:eastAsia="Arial" w:hAnsi="Arial"/>
          <w:sz w:val="16"/>
          <w:szCs w:val="16"/>
          <w:color w:val="auto"/>
        </w:rPr>
        <w:t>] between Schlumberger Limited, a company organized under the laws of Curaçao (the “</w:t>
      </w:r>
      <w:r>
        <w:rPr>
          <w:rFonts w:ascii="Arial" w:cs="Arial" w:eastAsia="Arial" w:hAnsi="Arial"/>
          <w:sz w:val="16"/>
          <w:szCs w:val="16"/>
          <w:i w:val="1"/>
          <w:iCs w:val="1"/>
          <w:color w:val="auto"/>
        </w:rPr>
        <w:t>Company</w:t>
      </w:r>
      <w:r>
        <w:rPr>
          <w:rFonts w:ascii="Arial" w:cs="Arial" w:eastAsia="Arial" w:hAnsi="Arial"/>
          <w:sz w:val="16"/>
          <w:szCs w:val="16"/>
          <w:color w:val="auto"/>
        </w:rPr>
        <w:t>”) and</w:t>
      </w:r>
    </w:p>
    <w:p>
      <w:pPr>
        <w:spacing w:after="0" w:line="23" w:lineRule="exact"/>
        <w:rPr>
          <w:sz w:val="20"/>
          <w:szCs w:val="20"/>
          <w:color w:val="auto"/>
        </w:rPr>
      </w:pPr>
    </w:p>
    <w:p>
      <w:pPr>
        <w:ind w:left="784" w:hanging="784"/>
        <w:spacing w:after="0"/>
        <w:tabs>
          <w:tab w:leader="none" w:pos="7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DEFINITIONS AND INCORPORATION BY REFERENCE</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certification and delivered to the Trustee.</w:t>
      </w:r>
    </w:p>
    <w:p>
      <w:pPr>
        <w:spacing w:after="0" w:line="18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and Officer’s Certificate or by supplemental indenture for a particular Series, any day except a Saturday, a Sunday or a day on which banking institutions in The City of New York, New York or a place of payment are authorized or obligated by law, regulation or executive order to remain closed.</w:t>
      </w:r>
    </w:p>
    <w:p>
      <w:pPr>
        <w:spacing w:after="0" w:line="184" w:lineRule="exact"/>
        <w:rPr>
          <w:sz w:val="20"/>
          <w:szCs w:val="20"/>
          <w:color w:val="auto"/>
        </w:rPr>
      </w:pPr>
    </w:p>
    <w:p>
      <w:pPr>
        <w:ind w:left="4"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ectPr>
          <w:pgSz w:w="11900" w:h="16838" w:orient="portrait"/>
          <w:cols w:equalWidth="0" w:num="1">
            <w:col w:w="11024"/>
          </w:cols>
          <w:pgMar w:left="436" w:top="274" w:right="439" w:bottom="1440" w:gutter="0" w:footer="0" w:header="0"/>
        </w:sectPr>
      </w:pPr>
    </w:p>
    <w:bookmarkStart w:id="113" w:name="page114"/>
    <w:bookmarkEnd w:id="1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Limited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Order</w:t>
      </w:r>
      <w:r>
        <w:rPr>
          <w:rFonts w:ascii="Arial" w:cs="Arial" w:eastAsia="Arial" w:hAnsi="Arial"/>
          <w:sz w:val="16"/>
          <w:szCs w:val="16"/>
          <w:color w:val="auto"/>
        </w:rPr>
        <w:t>” or “</w:t>
      </w:r>
      <w:r>
        <w:rPr>
          <w:rFonts w:ascii="Arial" w:cs="Arial" w:eastAsia="Arial" w:hAnsi="Arial"/>
          <w:sz w:val="16"/>
          <w:szCs w:val="16"/>
          <w:i w:val="1"/>
          <w:iCs w:val="1"/>
          <w:color w:val="auto"/>
        </w:rPr>
        <w:t>Company Request</w:t>
      </w:r>
      <w:r>
        <w:rPr>
          <w:rFonts w:ascii="Arial" w:cs="Arial" w:eastAsia="Arial" w:hAnsi="Arial"/>
          <w:sz w:val="16"/>
          <w:szCs w:val="16"/>
          <w:color w:val="auto"/>
        </w:rPr>
        <w:t>” means a written order signed in the name of the Company by one of the Company’s Officers.</w:t>
      </w:r>
    </w:p>
    <w:p>
      <w:pPr>
        <w:spacing w:after="0" w:line="248"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Company’s most recent quarterly consolidated statement of financial position.</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14" w:name="page115"/>
    <w:bookmarkEnd w:id="11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Holder</w:t>
      </w:r>
      <w:r>
        <w:rPr>
          <w:rFonts w:ascii="Arial" w:cs="Arial" w:eastAsia="Arial" w:hAnsi="Arial"/>
          <w:sz w:val="17"/>
          <w:szCs w:val="17"/>
          <w:color w:val="auto"/>
        </w:rPr>
        <w:t>” or “</w:t>
      </w:r>
      <w:r>
        <w:rPr>
          <w:rFonts w:ascii="Arial" w:cs="Arial" w:eastAsia="Arial" w:hAnsi="Arial"/>
          <w:sz w:val="17"/>
          <w:szCs w:val="17"/>
          <w:i w:val="1"/>
          <w:iCs w:val="1"/>
          <w:color w:val="auto"/>
        </w:rPr>
        <w:t>Securityholder</w:t>
      </w:r>
      <w:r>
        <w:rPr>
          <w:rFonts w:ascii="Arial" w:cs="Arial" w:eastAsia="Arial" w:hAnsi="Arial"/>
          <w:sz w:val="17"/>
          <w:szCs w:val="17"/>
          <w:color w:val="auto"/>
        </w:rPr>
        <w:t>” means a Person in whose name a Security is registered in the register maintained by the Registrar.</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22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70"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obligor</w:t>
      </w:r>
      <w:r>
        <w:rPr>
          <w:rFonts w:ascii="Arial" w:cs="Arial" w:eastAsia="Arial" w:hAnsi="Arial"/>
          <w:sz w:val="16"/>
          <w:szCs w:val="16"/>
          <w:color w:val="auto"/>
        </w:rPr>
        <w:t>” on the indenture securities means the Company issuing the Securities and any successor to such obligor upon the Securities.</w:t>
      </w:r>
    </w:p>
    <w:p>
      <w:pPr>
        <w:spacing w:after="0" w:line="248"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115" w:name="page116"/>
    <w:bookmarkEnd w:id="115"/>
    <w:p>
      <w:pPr>
        <w:ind w:right="3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Periodic Offering</w:t>
      </w:r>
      <w:r>
        <w:rPr>
          <w:rFonts w:ascii="Arial" w:cs="Arial" w:eastAsia="Arial" w:hAnsi="Arial"/>
          <w:sz w:val="18"/>
          <w:szCs w:val="18"/>
          <w:color w:val="auto"/>
        </w:rPr>
        <w:t>” means an offering of Securities of a Series from time to time, during which any or all of the specific terms of the Securities, including the rate or rates of interest, if any, thereon, the maturity or maturities thereof and the redemption provisions, if any, with respect thereto, are to be determined by the Company or its agents upon the issuance of such Securities in accordance with the terms of the relevant supplemental indenture.</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Property</w:t>
      </w:r>
      <w:r>
        <w:rPr>
          <w:rFonts w:ascii="Arial" w:cs="Arial" w:eastAsia="Arial" w:hAnsi="Arial"/>
          <w:sz w:val="16"/>
          <w:szCs w:val="16"/>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Issue Date of the Securities of any Series, unless, in the opinion of the Board of Directors, such plant or facility or other asset is not of material importance to the total business conducted by the Company and its Restricted Subsidiaries taken as a whole.</w:t>
      </w:r>
    </w:p>
    <w:p>
      <w:pPr>
        <w:spacing w:after="0" w:line="15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Company which owns a Restricted Property.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any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w:t>
      </w:r>
      <w:r>
        <w:rPr>
          <w:rFonts w:ascii="Arial" w:cs="Arial" w:eastAsia="Arial" w:hAnsi="Arial"/>
          <w:sz w:val="17"/>
          <w:szCs w:val="17"/>
          <w:color w:val="auto"/>
        </w:rPr>
        <w:t>” or “</w:t>
      </w:r>
      <w:r>
        <w:rPr>
          <w:rFonts w:ascii="Arial" w:cs="Arial" w:eastAsia="Arial" w:hAnsi="Arial"/>
          <w:sz w:val="17"/>
          <w:szCs w:val="17"/>
          <w:i w:val="1"/>
          <w:iCs w:val="1"/>
          <w:color w:val="auto"/>
        </w:rPr>
        <w:t>Series of Securities</w:t>
      </w:r>
      <w:r>
        <w:rPr>
          <w:rFonts w:ascii="Arial" w:cs="Arial" w:eastAsia="Arial" w:hAnsi="Arial"/>
          <w:sz w:val="17"/>
          <w:szCs w:val="17"/>
          <w:color w:val="auto"/>
        </w:rPr>
        <w:t>” means each series of Securities of the Company created pursuant to Sections 2.1 and 2.2 hereof.</w:t>
      </w:r>
    </w:p>
    <w:p>
      <w:pPr>
        <w:spacing w:after="0" w:line="237"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6" w:name="page117"/>
    <w:bookmarkEnd w:id="116"/>
    <w:p>
      <w:pPr>
        <w:ind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as in effect on the date hereof.</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8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DEFINED IN</w:t>
            </w:r>
          </w:p>
        </w:tc>
      </w:tr>
      <w:tr>
        <w:trPr>
          <w:trHeight w:val="18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28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60" w:type="dxa"/>
            <w:vAlign w:val="bottom"/>
          </w:tcPr>
          <w:p>
            <w:pPr>
              <w:jc w:val="right"/>
              <w:ind w:right="95"/>
              <w:spacing w:after="0"/>
              <w:rPr>
                <w:sz w:val="20"/>
                <w:szCs w:val="20"/>
                <w:color w:val="auto"/>
              </w:rPr>
            </w:pPr>
            <w:r>
              <w:rPr>
                <w:rFonts w:ascii="Arial" w:cs="Arial" w:eastAsia="Arial" w:hAnsi="Arial"/>
                <w:sz w:val="14"/>
                <w:szCs w:val="14"/>
                <w:color w:val="auto"/>
              </w:rPr>
              <w:t>SECTION</w:t>
            </w: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50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4.6(a)</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50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8.1(b)</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50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8.1(c)</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Tax Jurisdiction</w:t>
            </w:r>
            <w:r>
              <w:rPr>
                <w:rFonts w:ascii="Arial" w:cs="Arial" w:eastAsia="Arial" w:hAnsi="Arial"/>
                <w:sz w:val="18"/>
                <w:szCs w:val="18"/>
                <w:color w:val="auto"/>
              </w:rPr>
              <w:t>”</w:t>
            </w:r>
          </w:p>
        </w:tc>
        <w:tc>
          <w:tcPr>
            <w:tcW w:w="50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4.6(a)</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50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4.6(a)</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50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4.6(a)</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20" w:type="dxa"/>
            <w:vAlign w:val="bottom"/>
          </w:tcPr>
          <w:p>
            <w:pPr>
              <w:jc w:val="right"/>
              <w:ind w:right="355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right="40" w:firstLine="419"/>
        <w:spacing w:after="0" w:line="270" w:lineRule="auto"/>
        <w:tabs>
          <w:tab w:leader="none" w:pos="10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117"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and Officer’s Certificate or as may be set forth in, or pursuant to a supplemental indenture establishing the terms of such Series of Securities.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117" w:lineRule="exact"/>
        <w:rPr>
          <w:sz w:val="20"/>
          <w:szCs w:val="20"/>
          <w:color w:val="auto"/>
        </w:rPr>
      </w:pPr>
    </w:p>
    <w:p>
      <w:pPr>
        <w:jc w:val="both"/>
        <w:ind w:right="360" w:firstLine="991"/>
        <w:spacing w:after="0" w:line="286" w:lineRule="auto"/>
        <w:rPr>
          <w:sz w:val="20"/>
          <w:szCs w:val="20"/>
          <w:color w:val="auto"/>
        </w:rPr>
      </w:pPr>
      <w:r>
        <w:rPr>
          <w:rFonts w:ascii="Arial" w:cs="Arial" w:eastAsia="Arial" w:hAnsi="Arial"/>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2.2.30) by or pursuant to a Board Resolution and Officer’s Certificate or by or pursuant to a supplemental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18" w:name="page119"/>
    <w:bookmarkEnd w:id="11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 the title of the Series (which shall distinguish the Securities of that particular Series from the Securities of any other Series);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 the aggregate principal amount of the Securities of the Series to be issued;</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and premium, if any, of the Securities of the Series is payable;</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2.2.6. the date or dates from which interest shall accrue, the dates on which such interest will be payable or the manner of determination of such dates, and the record date for the determination of Holders to whom interest is payable on any such dates;</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2.2.7.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2.2.8. the right, if any, to extend the interest payment periods or defer the payment of interest and the duration of such extension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deferral;</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2.2.9.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terms of any repurchase or remarketing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9" w:name="page120"/>
    <w:bookmarkEnd w:id="119"/>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2.2.12. if other than denominations of $2,000 or integral multiples of $1,000 in excess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2.2.13. the forms of the Securities of the Series including the form of the Trustee’s certificate of authentication for such Series;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2.2.14. any trustees, authenticating agents or Agents with respect to the Securities of the Series, if different from those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2.2.16. any provisions granting special rights to Holders when a specified event occurs;</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2.2.18. any special tax implications of the Securities, including provisions for original issue discount securities, if offered;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2.2.19. whether and upon what terms Securities of the Series may be defeased if different from the provisions set forth in this Indenture;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2.2.20. with regard to the Securities of any Series that do not bear interest, the dates for certain required reports to the Trustee;</w:t>
      </w:r>
    </w:p>
    <w:p>
      <w:pPr>
        <w:spacing w:after="0" w:line="23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2.2.22. any guarantees on the Securities of the Series;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2.2.23. the currency or currencies in which payment of the principal of, premium, if any, and interest on, the Securities of the Series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payable;</w:t>
      </w:r>
    </w:p>
    <w:p>
      <w:pPr>
        <w:spacing w:after="0" w:line="21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2.2.25. the provisions, if any, relating to any security provided for the Securities of the Series;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0" w:name="page121"/>
    <w:bookmarkEnd w:id="120"/>
    <w:p>
      <w:pPr>
        <w:ind w:right="2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2.2.27.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2.2.29. the subordination terms of the Securities of the Series; and</w:t>
      </w:r>
    </w:p>
    <w:p>
      <w:pPr>
        <w:spacing w:after="0" w:line="225"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2.2.30.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and Officer’s Certificate or by or pursuant to the supplemental indenture referred to above.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Officer of the Company shall sign the Securities for the Company by manual, facsimile or electronic signature.</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Security shall not be valid until authenticated by the manual, facsimile or electronic signature of the Trustee or an authenticating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shall be conclusive evidence that the Security has been authenticated under this Indenture.</w:t>
      </w:r>
    </w:p>
    <w:p>
      <w:pPr>
        <w:spacing w:after="0" w:line="211"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and Officer’s Certificate or in the supplemental indenture, upon receipt by the Trustee of a Company Order. Each Security shall be dated the date of its authentication unless otherwise provided by the relevant Board Resolution and Officer’s Certificate or the relevant supplemental indenture.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21" w:name="page122"/>
    <w:bookmarkEnd w:id="121"/>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provisions of Section 2.2 and the preceding paragraph, in the case of Securities offered in a Periodic Offering, the Trustee shall authenticate and deliver such Securities from time to time in accordance with a Company Order or such other procedures acceptable to the Trustee as may be specified by or pursuant to a supplemental indenture or the written order of the Company delivered to the Trustee prior to the time of the first authentication of Securities of such Series.</w:t>
      </w:r>
    </w:p>
    <w:p>
      <w:pPr>
        <w:spacing w:after="0" w:line="187"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The aggregate principal amount of Securities of any Series outstanding at any time may not exceed any limit upon the maximum principal amount for such Series set forth in the Board Resolution and Officer’s Certificate or in the supplemental indenture delivered pursuant to Section 2.2.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relying on: (a) the Board Resolution and Officer’s Certificate or the supplemental indenture establishing the form of the Securities of that Series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within that Series and the terms of the Securities of that Series or of Securities within that Series, (b) an Officer’s Certificate complying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10.4, and (c) an Opinion of Counsel complying with Section 10.4. With respect to Securities of a Series subject to a Periodic Offering,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Trustee conclusively may rely, as to the authorization by the Company of any of such Securities, the forms and terms thereof and the legality, validity,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binding effect and enforceability thereof, upon the written order of the Company, Opinion of Counsel, Officer’s Certificate and other documents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delivered pursuant to this Section 2.3 at or prior to the time of the first authentication of Securities of such Series unless and until such written order,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Opinion of Counsel, Officer’s Certificate or other documents have been superseded or revoked, and written notice thereof is provided to Trustee,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expire by their terms.</w:t>
      </w:r>
    </w:p>
    <w:p>
      <w:pPr>
        <w:spacing w:after="0" w:line="211"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4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Transfer Agent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will maintain one or more paying agents (each, a “</w:t>
      </w:r>
      <w:r>
        <w:rPr>
          <w:rFonts w:ascii="Arial" w:cs="Arial" w:eastAsia="Arial" w:hAnsi="Arial"/>
          <w:sz w:val="16"/>
          <w:szCs w:val="16"/>
          <w:i w:val="1"/>
          <w:iCs w:val="1"/>
          <w:color w:val="auto"/>
        </w:rPr>
        <w:t>Paying Agent</w:t>
      </w:r>
      <w:r>
        <w:rPr>
          <w:rFonts w:ascii="Arial" w:cs="Arial" w:eastAsia="Arial" w:hAnsi="Arial"/>
          <w:sz w:val="16"/>
          <w:szCs w:val="16"/>
          <w:color w:val="auto"/>
        </w:rPr>
        <w:t>”) for the Securities in the Borough of Manhattan, City of</w:t>
      </w:r>
    </w:p>
    <w:p>
      <w:pPr>
        <w:spacing w:after="0" w:line="4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New York. The initial Paying Agent will be [ ] and thereafter “</w:t>
      </w:r>
      <w:r>
        <w:rPr>
          <w:rFonts w:ascii="Arial" w:cs="Arial" w:eastAsia="Arial" w:hAnsi="Arial"/>
          <w:sz w:val="16"/>
          <w:szCs w:val="16"/>
          <w:i w:val="1"/>
          <w:iCs w:val="1"/>
          <w:color w:val="auto"/>
        </w:rPr>
        <w:t>Paying Agent</w:t>
      </w:r>
      <w:r>
        <w:rPr>
          <w:rFonts w:ascii="Arial" w:cs="Arial" w:eastAsia="Arial" w:hAnsi="Arial"/>
          <w:sz w:val="16"/>
          <w:szCs w:val="16"/>
          <w:color w:val="auto"/>
        </w:rPr>
        <w:t>” shall mean or include each Person who is then a Paying Agent hereunder, and if at any time there is more than one such Person, “</w:t>
      </w:r>
      <w:r>
        <w:rPr>
          <w:rFonts w:ascii="Arial" w:cs="Arial" w:eastAsia="Arial" w:hAnsi="Arial"/>
          <w:sz w:val="16"/>
          <w:szCs w:val="16"/>
          <w:i w:val="1"/>
          <w:iCs w:val="1"/>
          <w:color w:val="auto"/>
        </w:rPr>
        <w:t>Paying Agent</w:t>
      </w:r>
      <w:r>
        <w:rPr>
          <w:rFonts w:ascii="Arial" w:cs="Arial" w:eastAsia="Arial" w:hAnsi="Arial"/>
          <w:sz w:val="16"/>
          <w:szCs w:val="16"/>
          <w:color w:val="auto"/>
        </w:rPr>
        <w:t>” as used with respect to the Securities of any Series shall mean the Paying Agent with respect to Securities of that Series. The Company, upon written notice to the Trustee accompanied by an Officer’s Certificate, may appoint one or more paying agents, other than the Trustee, for all or any series of the Securities. If the Company fails to appoint or maintain another entity as paying agent, the Trustee shall act as such. The Company or any of its Subsidiaries, upon notice to the Trustee, may act as paying agent.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will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for the Securities in the Borough of Manhattan, City of New</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York. The initial Registrar will be [ ] and thereafter “</w:t>
      </w:r>
      <w:r>
        <w:rPr>
          <w:rFonts w:ascii="Arial" w:cs="Arial" w:eastAsia="Arial" w:hAnsi="Arial"/>
          <w:sz w:val="17"/>
          <w:szCs w:val="17"/>
          <w:i w:val="1"/>
          <w:iCs w:val="1"/>
          <w:color w:val="auto"/>
        </w:rPr>
        <w:t>Registrar</w:t>
      </w:r>
      <w:r>
        <w:rPr>
          <w:rFonts w:ascii="Arial" w:cs="Arial" w:eastAsia="Arial" w:hAnsi="Arial"/>
          <w:sz w:val="17"/>
          <w:szCs w:val="17"/>
          <w:color w:val="auto"/>
        </w:rPr>
        <w:t>” shall mean or include each Person who is then a Registrar hereunder, and if at any time there is more than one such Person, “</w:t>
      </w:r>
      <w:r>
        <w:rPr>
          <w:rFonts w:ascii="Arial" w:cs="Arial" w:eastAsia="Arial" w:hAnsi="Arial"/>
          <w:sz w:val="17"/>
          <w:szCs w:val="17"/>
          <w:i w:val="1"/>
          <w:iCs w:val="1"/>
          <w:color w:val="auto"/>
        </w:rPr>
        <w:t>Registrar</w:t>
      </w:r>
      <w:r>
        <w:rPr>
          <w:rFonts w:ascii="Arial" w:cs="Arial" w:eastAsia="Arial" w:hAnsi="Arial"/>
          <w:sz w:val="17"/>
          <w:szCs w:val="17"/>
          <w:color w:val="auto"/>
        </w:rPr>
        <w:t>” as used with respect to the Securities of any Series shall mean the Registrar with respect to Securities of that Series. The Company, upon written notice to the Trustee accompanied by an Officer’s Certificate, may appoint one or more registrars, other than the Trustee, for all or any series of the Securities. If the Company fails to appoint or maintain another entity as registrar, the Trustee shall act as such. The Company or any of its Subsidiaries, upon notice to the Trustee, may act as registrar.</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22" w:name="page123"/>
    <w:bookmarkEnd w:id="12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for the Securities in the Borough of Manhattan, City of New</w:t>
      </w:r>
    </w:p>
    <w:p>
      <w:pPr>
        <w:spacing w:after="0" w:line="4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York. The initial Transfer Agent will be [ ] and thereafter “</w:t>
      </w:r>
      <w:r>
        <w:rPr>
          <w:rFonts w:ascii="Arial" w:cs="Arial" w:eastAsia="Arial" w:hAnsi="Arial"/>
          <w:sz w:val="16"/>
          <w:szCs w:val="16"/>
          <w:i w:val="1"/>
          <w:iCs w:val="1"/>
          <w:color w:val="auto"/>
        </w:rPr>
        <w:t>Transfer Agent</w:t>
      </w:r>
      <w:r>
        <w:rPr>
          <w:rFonts w:ascii="Arial" w:cs="Arial" w:eastAsia="Arial" w:hAnsi="Arial"/>
          <w:sz w:val="16"/>
          <w:szCs w:val="16"/>
          <w:color w:val="auto"/>
        </w:rPr>
        <w:t>” shall mean or include each Person who is then a Transfer Agent hereunder, and if at any time there is more than one such Person, “</w:t>
      </w:r>
      <w:r>
        <w:rPr>
          <w:rFonts w:ascii="Arial" w:cs="Arial" w:eastAsia="Arial" w:hAnsi="Arial"/>
          <w:sz w:val="16"/>
          <w:szCs w:val="16"/>
          <w:i w:val="1"/>
          <w:iCs w:val="1"/>
          <w:color w:val="auto"/>
        </w:rPr>
        <w:t>Transfer Agent</w:t>
      </w:r>
      <w:r>
        <w:rPr>
          <w:rFonts w:ascii="Arial" w:cs="Arial" w:eastAsia="Arial" w:hAnsi="Arial"/>
          <w:sz w:val="16"/>
          <w:szCs w:val="16"/>
          <w:color w:val="auto"/>
        </w:rPr>
        <w:t>” as used with respect to the Securities of any Series shall mean the Transfer Agent with respect to Securities of that Series. The Company, upon written notice to the Trustee accompanied by an Officer’s Certificate, may appoint one or more transfer agents, other than the Trustee, for all or any series of the Securities. If the Company fails to appoint or maintain another entity as transfer agent, the Trustee shall act as such. The Company or any of its Subsidiaries, upon notice to the Trustee, may act as transfer agent.</w:t>
      </w:r>
    </w:p>
    <w:p>
      <w:pPr>
        <w:spacing w:after="0" w:line="162" w:lineRule="exact"/>
        <w:rPr>
          <w:sz w:val="20"/>
          <w:szCs w:val="20"/>
          <w:color w:val="auto"/>
        </w:rPr>
      </w:pPr>
    </w:p>
    <w:p>
      <w:pPr>
        <w:jc w:val="both"/>
        <w:ind w:right="280" w:firstLine="991"/>
        <w:spacing w:after="0" w:line="259" w:lineRule="auto"/>
        <w:rPr>
          <w:sz w:val="20"/>
          <w:szCs w:val="20"/>
          <w:color w:val="auto"/>
        </w:rPr>
      </w:pPr>
      <w:r>
        <w:rPr>
          <w:rFonts w:ascii="Arial" w:cs="Arial" w:eastAsia="Arial" w:hAnsi="Arial"/>
          <w:sz w:val="18"/>
          <w:szCs w:val="18"/>
          <w:color w:val="auto"/>
        </w:rPr>
        <w:t>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If any mutilated Security is surrendered to the Trustee, the Company shall execute and upon receipt of a Company Order, the Trustee shall authenticate and deliver in exchange therefor a new Security of the same Series and of like tenor and principal amount and bearing a number not contemporaneously outstanding.</w:t>
      </w:r>
    </w:p>
    <w:p>
      <w:pPr>
        <w:spacing w:after="0" w:line="184"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24" w:name="page125"/>
    <w:bookmarkEnd w:id="124"/>
    <w:p>
      <w:pPr>
        <w:ind w:right="5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Either (i) a Board Resolution and an Officer’s Certificate or (ii) a supplemental indenture shall establish whether the Securities of a Series shall be issued in whole or in part in the form of one or more Global Securities and the Depositary for such Global Security or Securities.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26" w:name="page127"/>
    <w:bookmarkEnd w:id="126"/>
    <w:p>
      <w:pPr>
        <w:ind w:left="4"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w:t>
      </w:r>
    </w:p>
    <w:p>
      <w:pPr>
        <w:spacing w:after="0" w:line="2" w:lineRule="exact"/>
        <w:rPr>
          <w:sz w:val="20"/>
          <w:szCs w:val="20"/>
          <w:color w:val="auto"/>
        </w:rPr>
      </w:pPr>
    </w:p>
    <w:p>
      <w:pPr>
        <w:ind w:left="4" w:right="20" w:hanging="4"/>
        <w:spacing w:after="0" w:line="302" w:lineRule="auto"/>
        <w:tabs>
          <w:tab w:leader="none" w:pos="2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5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4" w:right="120" w:firstLine="991"/>
        <w:spacing w:after="0" w:line="275" w:lineRule="auto"/>
        <w:rPr>
          <w:sz w:val="20"/>
          <w:szCs w:val="20"/>
          <w:color w:val="auto"/>
        </w:rPr>
      </w:pPr>
      <w:r>
        <w:rPr>
          <w:rFonts w:ascii="Arial" w:cs="Arial" w:eastAsia="Arial" w:hAnsi="Arial"/>
          <w:sz w:val="17"/>
          <w:szCs w:val="17"/>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left="4" w:right="100" w:firstLine="991"/>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27" w:name="page128"/>
    <w:bookmarkEnd w:id="127"/>
    <w:p>
      <w:pPr>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84"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3.8, 3.9 and 3.10 hereof and, as applicable, in the Board Resolution and Officer’s Certificate or in the supplemental indenture relating to such Series. If a Series of Securities is redeemable and the Company wants or is obligated to redeem prior to the Stated Maturity thereof all or part of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28" w:name="page129"/>
    <w:bookmarkEnd w:id="12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of Securities pursuant to the terms of such Securities, it shall notify the Trustee in writing of the redemption date and the principal amount of Series of Securities to be redeemed at least five days before the date that notice of redemption is to be given to the Holders of the Securities (or such shorter notice as may be acceptable to the Trustee). The Trustee shall have no liability with respect to or obligation to calculate the redemption price of any Securities to be redeemed pursuant to this Indenture.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Unless otherwise indicated for a particular Series by a Board Resolution and Officer’s Certificate or by a supplemental indenture, if fewer than all of the Securities of a Series are to be redeemed at any time, the Trustee will select the Securities of such Series to be redeemed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Securities issued in global form, such Securities of such Series to be redeemed shall be selected in accordance with the procedures of the Depositary therefor) unless otherwise required by law or applicable stock exchange. The Trustee will not be liable for selections made as contemplated in this section.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Securities of a Series in principal amount of less than the minimum authorized denomination can be redeemed in part.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Unless otherwise indicated for a particular Series by Board Resolution and Officer’s Certificate or by supplemental indenture, at least 10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103" w:lineRule="exact"/>
        <w:rPr>
          <w:sz w:val="20"/>
          <w:szCs w:val="20"/>
          <w:color w:val="auto"/>
        </w:rPr>
      </w:pPr>
    </w:p>
    <w:p>
      <w:pPr>
        <w:ind w:left="1100" w:hanging="241"/>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if any, and Additional Amounts, if any, to be paid;</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75" w:lineRule="exact"/>
        <w:rPr>
          <w:rFonts w:ascii="Arial" w:cs="Arial" w:eastAsia="Arial" w:hAnsi="Arial"/>
          <w:sz w:val="18"/>
          <w:szCs w:val="18"/>
          <w:color w:val="auto"/>
        </w:rPr>
      </w:pPr>
    </w:p>
    <w:p>
      <w:pPr>
        <w:ind w:left="440" w:firstLine="419"/>
        <w:spacing w:after="0" w:line="286" w:lineRule="auto"/>
        <w:tabs>
          <w:tab w:leader="none" w:pos="111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29" w:name="page130"/>
    <w:bookmarkEnd w:id="129"/>
    <w:p>
      <w:pPr>
        <w:ind w:left="1100" w:hanging="241"/>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name and address of the Paying Agent(s) to which the Securities are to be surrendered for redemption;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08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680" w:firstLine="419"/>
        <w:spacing w:after="0" w:line="277" w:lineRule="auto"/>
        <w:tabs>
          <w:tab w:leader="none" w:pos="10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paragraph of the Securities and/or Section of this Indenture pursuant to which the Securities called for redemption are being redeemed; and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0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Common Code numbers, if any, listed in such notice or printed on the Securities.</w:t>
      </w:r>
    </w:p>
    <w:p>
      <w:pPr>
        <w:spacing w:after="0" w:line="170"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At the Company’s written request, the Trustee shall give the notice of redemption in the Company’s name and at its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has delivered to the Trustee, at least five days prior to the date that notice of redemption is to be given to the 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such shorter notice as may be acceptable to the Trustee), an Officer’s Certificate requesting that the Trustee give such notice and setting forth the information to be stated in such notice as provided in the preceding paragraph.</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and Officer’s Certificate or by supplemental indenture,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Upon surrender of a Certificated Security that is redeemed in part, upon receipt of a Company Order, the Trustee shall authenticate for the Holder a new Certificated Security of the same Series and the same Maturity equal in principal amount to the unredeemed portion of the Security surrendered.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40" w:firstLine="991"/>
        <w:spacing w:after="0" w:line="308" w:lineRule="auto"/>
        <w:rPr>
          <w:sz w:val="20"/>
          <w:szCs w:val="20"/>
          <w:color w:val="auto"/>
        </w:rPr>
      </w:pPr>
      <w:r>
        <w:rPr>
          <w:rFonts w:ascii="Arial" w:cs="Arial" w:eastAsia="Arial" w:hAnsi="Arial"/>
          <w:sz w:val="17"/>
          <w:szCs w:val="17"/>
          <w:color w:val="auto"/>
        </w:rPr>
        <w:t>Unless otherwise indicated for a particular Series by Board Resolution and Officer’s Certificate or by supplemental indenture, the provisions of Sections 3.7, 3.8 and 3.9 shall be applicable to any sinking fund for the retirement of Securities of a Series.</w:t>
      </w:r>
    </w:p>
    <w:p>
      <w:pPr>
        <w:spacing w:after="0" w:line="14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referred to as a “mandatory sinking fund payment,” and any payment in excess of such minimum amount provided for by the terms of Securities of any series is referred to as an “optional sinking fund payment.” If provided for by the terms of Securities of any Series, the cash amount of any sinking fund payment may be subject to reduction as provided in Section 3.8. Each sinking fund payment shall be applied to the redemption of Securities of any Series as provided for by the terms of Securities of such Series.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jc w:val="both"/>
        <w:ind w:right="360" w:firstLine="991"/>
        <w:spacing w:after="0" w:line="301" w:lineRule="auto"/>
        <w:rPr>
          <w:sz w:val="20"/>
          <w:szCs w:val="20"/>
          <w:color w:val="auto"/>
        </w:rPr>
      </w:pPr>
      <w:r>
        <w:rPr>
          <w:rFonts w:ascii="Arial" w:cs="Arial" w:eastAsia="Arial" w:hAnsi="Arial"/>
          <w:sz w:val="16"/>
          <w:szCs w:val="16"/>
          <w:color w:val="auto"/>
        </w:rPr>
        <w:t>Not less than 30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131" w:name="page132"/>
    <w:bookmarkEnd w:id="13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The Company may redeem the Securities of any Series,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(but not including) the date fixed by the Company for redemption (a “</w:t>
      </w:r>
      <w:r>
        <w:rPr>
          <w:rFonts w:ascii="Arial" w:cs="Arial" w:eastAsia="Arial" w:hAnsi="Arial"/>
          <w:sz w:val="17"/>
          <w:szCs w:val="17"/>
          <w:i w:val="1"/>
          <w:iCs w:val="1"/>
          <w:color w:val="auto"/>
        </w:rPr>
        <w:t>Tax</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Date</w:t>
      </w:r>
      <w:r>
        <w:rPr>
          <w:rFonts w:ascii="Arial" w:cs="Arial" w:eastAsia="Arial" w:hAnsi="Arial"/>
          <w:sz w:val="17"/>
          <w:szCs w:val="17"/>
          <w:color w:val="auto"/>
        </w:rPr>
        <w:t>”) and all Additional Amounts (if any) then due and which will become due on the Tax Redemption Date as a result of the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is or would be required to pay Additional Amounts, and the Company cannot avoid any such payment obligation by taking reasonable measures available to it, and the requirement arises as a result of:</w:t>
      </w:r>
    </w:p>
    <w:p>
      <w:pPr>
        <w:spacing w:after="0" w:line="70" w:lineRule="exact"/>
        <w:rPr>
          <w:sz w:val="20"/>
          <w:szCs w:val="20"/>
          <w:color w:val="auto"/>
        </w:rPr>
      </w:pPr>
    </w:p>
    <w:p>
      <w:pPr>
        <w:jc w:val="both"/>
        <w:ind w:left="440" w:right="180" w:firstLine="419"/>
        <w:spacing w:after="0" w:line="311" w:lineRule="auto"/>
        <w:tabs>
          <w:tab w:leader="none" w:pos="110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of such Securities (or, if the applicable Relevant Tax Jurisdiction became a Relevant Tax Jurisdiction on a date after the Issue Date of such Securities, such later date), or</w:t>
      </w:r>
    </w:p>
    <w:p>
      <w:pPr>
        <w:spacing w:after="0" w:line="40" w:lineRule="exact"/>
        <w:rPr>
          <w:rFonts w:ascii="Arial" w:cs="Arial" w:eastAsia="Arial" w:hAnsi="Arial"/>
          <w:sz w:val="16"/>
          <w:szCs w:val="16"/>
          <w:color w:val="auto"/>
        </w:rPr>
      </w:pPr>
    </w:p>
    <w:p>
      <w:pPr>
        <w:ind w:left="440" w:right="160" w:firstLine="419"/>
        <w:spacing w:after="0" w:line="259" w:lineRule="auto"/>
        <w:tabs>
          <w:tab w:leader="none" w:pos="11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will not give any such notice of redemption earlier than 90 days prior to the earliest date on which the Company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will deliver to the Trustee an opinion of independent tax counsel to the effect that there has been such amendment or change which would entitle the Company to redeem such Securities hereunder. In addition, before the Company gives notice of redemption of such Securities as described above, it will deliver to the Trustee an Officer’s Certificate to the effect that it cannot avoid its obligation to pay Additional Amounts by taking reasonable measures available to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32" w:name="page133"/>
    <w:bookmarkEnd w:id="132"/>
    <w:p>
      <w:pPr>
        <w:ind w:right="3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is incorporated, organized or resident for tax purposes, or any jurisdiction from or through which payment is made by or on behalf of such Person on such Securities and any political subdivision thereof or therein.</w:t>
      </w:r>
    </w:p>
    <w:p>
      <w:pPr>
        <w:spacing w:after="0" w:line="29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1983"/>
        <w:spacing w:after="0" w:line="296" w:lineRule="auto"/>
        <w:rPr>
          <w:sz w:val="20"/>
          <w:szCs w:val="20"/>
          <w:color w:val="auto"/>
        </w:rPr>
      </w:pPr>
      <w:r>
        <w:rPr>
          <w:rFonts w:ascii="Arial" w:cs="Arial" w:eastAsia="Arial" w:hAnsi="Arial"/>
          <w:sz w:val="16"/>
          <w:szCs w:val="16"/>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and Officer’s Certificate or by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89" w:lineRule="auto"/>
        <w:tabs>
          <w:tab w:leader="none" w:pos="110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58" w:lineRule="exact"/>
        <w:rPr>
          <w:rFonts w:ascii="Arial" w:cs="Arial" w:eastAsia="Arial" w:hAnsi="Arial"/>
          <w:sz w:val="16"/>
          <w:szCs w:val="16"/>
          <w:color w:val="auto"/>
        </w:rPr>
      </w:pPr>
    </w:p>
    <w:p>
      <w:pPr>
        <w:jc w:val="both"/>
        <w:ind w:left="440" w:right="540" w:firstLine="419"/>
        <w:spacing w:after="0" w:line="263"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The Company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(a) through (j) below) would not exceed 20% of Consolidated Net Worth as shown on the Company’s most recent consolidated quarterly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these provisions shall not apply to:</w:t>
      </w:r>
    </w:p>
    <w:p>
      <w:pPr>
        <w:spacing w:after="0" w:line="73" w:lineRule="exact"/>
        <w:rPr>
          <w:sz w:val="20"/>
          <w:szCs w:val="20"/>
          <w:color w:val="auto"/>
        </w:rPr>
      </w:pPr>
    </w:p>
    <w:p>
      <w:pPr>
        <w:ind w:left="1100" w:hanging="241"/>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w:t>
      </w:r>
    </w:p>
    <w:p>
      <w:pPr>
        <w:spacing w:after="0" w:line="62" w:lineRule="exact"/>
        <w:rPr>
          <w:rFonts w:ascii="Arial" w:cs="Arial" w:eastAsia="Arial" w:hAnsi="Arial"/>
          <w:sz w:val="18"/>
          <w:szCs w:val="18"/>
          <w:color w:val="auto"/>
        </w:rPr>
      </w:pPr>
    </w:p>
    <w:p>
      <w:pPr>
        <w:ind w:left="440" w:right="160" w:firstLine="419"/>
        <w:spacing w:after="0" w:line="275" w:lineRule="auto"/>
        <w:tabs>
          <w:tab w:leader="none" w:pos="1108" w:val="left"/>
        </w:tabs>
        <w:numPr>
          <w:ilvl w:val="0"/>
          <w:numId w:val="93"/>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34" w:name="page135"/>
    <w:bookmarkEnd w:id="134"/>
    <w:p>
      <w:pPr>
        <w:ind w:left="680" w:hanging="26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Mortgages in favor of the Company or any of its Subsidiaries;</w:t>
      </w:r>
    </w:p>
    <w:p>
      <w:pPr>
        <w:spacing w:after="0" w:line="117" w:lineRule="exact"/>
        <w:rPr>
          <w:rFonts w:ascii="Arial" w:cs="Arial" w:eastAsia="Arial" w:hAnsi="Arial"/>
          <w:sz w:val="18"/>
          <w:szCs w:val="18"/>
          <w:color w:val="auto"/>
        </w:rPr>
      </w:pPr>
    </w:p>
    <w:p>
      <w:pPr>
        <w:ind w:right="120" w:firstLine="419"/>
        <w:spacing w:after="0" w:line="259" w:lineRule="auto"/>
        <w:tabs>
          <w:tab w:leader="none" w:pos="6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8" w:lineRule="exact"/>
        <w:rPr>
          <w:rFonts w:ascii="Arial" w:cs="Arial" w:eastAsia="Arial" w:hAnsi="Arial"/>
          <w:sz w:val="18"/>
          <w:szCs w:val="18"/>
          <w:color w:val="auto"/>
        </w:rPr>
      </w:pPr>
    </w:p>
    <w:p>
      <w:pPr>
        <w:ind w:left="640" w:hanging="221"/>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40" w:lineRule="exact"/>
        <w:rPr>
          <w:rFonts w:ascii="Arial" w:cs="Arial" w:eastAsia="Arial" w:hAnsi="Arial"/>
          <w:sz w:val="16"/>
          <w:szCs w:val="16"/>
          <w:color w:val="auto"/>
        </w:rPr>
      </w:pPr>
    </w:p>
    <w:p>
      <w:pPr>
        <w:ind w:right="240" w:firstLine="419"/>
        <w:spacing w:after="0" w:line="259" w:lineRule="auto"/>
        <w:tabs>
          <w:tab w:leader="none" w:pos="6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8"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property or assets, or a project financed with, Non-recourse Debt; and</w:t>
      </w:r>
    </w:p>
    <w:p>
      <w:pPr>
        <w:spacing w:after="0" w:line="128" w:lineRule="exact"/>
        <w:rPr>
          <w:rFonts w:ascii="Arial" w:cs="Arial" w:eastAsia="Arial" w:hAnsi="Arial"/>
          <w:sz w:val="17"/>
          <w:szCs w:val="17"/>
          <w:color w:val="auto"/>
        </w:rPr>
      </w:pPr>
    </w:p>
    <w:p>
      <w:pPr>
        <w:ind w:right="120" w:firstLine="419"/>
        <w:spacing w:after="0" w:line="311" w:lineRule="auto"/>
        <w:tabs>
          <w:tab w:leader="none" w:pos="63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93" w:lineRule="auto"/>
        <w:tabs>
          <w:tab w:leader="none" w:pos="66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is then incorporated, organized or resident for tax purposes or any political subdivision thereof or therein (each, a “</w:t>
      </w:r>
      <w:r>
        <w:rPr>
          <w:rFonts w:ascii="Arial" w:cs="Arial" w:eastAsia="Arial" w:hAnsi="Arial"/>
          <w:sz w:val="16"/>
          <w:szCs w:val="16"/>
          <w:i w:val="1"/>
          <w:iCs w:val="1"/>
          <w:color w:val="auto"/>
        </w:rPr>
        <w:t>Relevant Tax Jurisdiction</w:t>
      </w:r>
      <w:r>
        <w:rPr>
          <w:rFonts w:ascii="Arial" w:cs="Arial" w:eastAsia="Arial" w:hAnsi="Arial"/>
          <w:sz w:val="16"/>
          <w:szCs w:val="16"/>
          <w:color w:val="auto"/>
        </w:rPr>
        <w:t>”) or (2) any jurisdiction from or through which payment is made or deemed made by or on behalf of the</w:t>
      </w:r>
    </w:p>
    <w:p>
      <w:pPr>
        <w:spacing w:after="0" w:line="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880" w:top="274" w:right="519" w:bottom="1440" w:gutter="0" w:footer="0" w:header="0"/>
        </w:sectPr>
      </w:pPr>
    </w:p>
    <w:bookmarkStart w:id="135" w:name="page136"/>
    <w:bookmarkEnd w:id="135"/>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(including the jurisdiction of any Paying Agent for the applicable Securities) or any political subdivision thereof or therein (each, together with each Relevant Tax Jurisdiction, a “</w:t>
      </w:r>
      <w:r>
        <w:rPr>
          <w:rFonts w:ascii="Arial" w:cs="Arial" w:eastAsia="Arial" w:hAnsi="Arial"/>
          <w:sz w:val="18"/>
          <w:szCs w:val="18"/>
          <w:i w:val="1"/>
          <w:iCs w:val="1"/>
          <w:color w:val="auto"/>
        </w:rPr>
        <w:t>Tax Jurisdiction</w:t>
      </w:r>
      <w:r>
        <w:rPr>
          <w:rFonts w:ascii="Arial" w:cs="Arial" w:eastAsia="Arial" w:hAnsi="Arial"/>
          <w:sz w:val="18"/>
          <w:szCs w:val="18"/>
          <w:color w:val="auto"/>
        </w:rPr>
        <w:t>”) will at any time be required to be made from any payments made or deemed made by or on behalf of the Company under or with respect to the Securities, including payments of principal, redemption price, interest or premium, the Company will pay such additional amounts (the “</w:t>
      </w:r>
      <w:r>
        <w:rPr>
          <w:rFonts w:ascii="Arial" w:cs="Arial" w:eastAsia="Arial" w:hAnsi="Arial"/>
          <w:sz w:val="18"/>
          <w:szCs w:val="18"/>
          <w:i w:val="1"/>
          <w:iCs w:val="1"/>
          <w:color w:val="auto"/>
        </w:rPr>
        <w:t>Additional Amounts</w:t>
      </w:r>
      <w:r>
        <w:rPr>
          <w:rFonts w:ascii="Arial" w:cs="Arial" w:eastAsia="Arial" w:hAnsi="Arial"/>
          <w:sz w:val="18"/>
          <w:szCs w:val="18"/>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Additional Amounts will be payable with respect to:</w:t>
      </w:r>
    </w:p>
    <w:p>
      <w:pPr>
        <w:spacing w:after="0" w:line="84" w:lineRule="exact"/>
        <w:rPr>
          <w:sz w:val="20"/>
          <w:szCs w:val="20"/>
          <w:color w:val="auto"/>
        </w:rPr>
      </w:pPr>
    </w:p>
    <w:p>
      <w:pPr>
        <w:ind w:left="540" w:right="20" w:firstLine="408"/>
        <w:spacing w:after="0" w:line="273" w:lineRule="auto"/>
        <w:tabs>
          <w:tab w:leader="none" w:pos="1196"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Securities (or any guarantees thereof)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any guarantee thereof) or the receipt of any payments in respect of such Security (or any guarantee thereof);</w:t>
      </w:r>
    </w:p>
    <w:p>
      <w:pPr>
        <w:spacing w:after="0" w:line="69" w:lineRule="exact"/>
        <w:rPr>
          <w:rFonts w:ascii="Arial" w:cs="Arial" w:eastAsia="Arial" w:hAnsi="Arial"/>
          <w:sz w:val="17"/>
          <w:szCs w:val="17"/>
          <w:color w:val="auto"/>
        </w:rPr>
      </w:pPr>
    </w:p>
    <w:p>
      <w:pPr>
        <w:ind w:left="540" w:firstLine="408"/>
        <w:spacing w:after="0" w:line="311" w:lineRule="auto"/>
        <w:tabs>
          <w:tab w:leader="none" w:pos="119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such Security been presented on the last day of such 30 day period);</w:t>
      </w:r>
    </w:p>
    <w:p>
      <w:pPr>
        <w:spacing w:after="0" w:line="40" w:lineRule="exact"/>
        <w:rPr>
          <w:rFonts w:ascii="Arial" w:cs="Arial" w:eastAsia="Arial" w:hAnsi="Arial"/>
          <w:sz w:val="16"/>
          <w:szCs w:val="16"/>
          <w:color w:val="auto"/>
        </w:rPr>
      </w:pPr>
    </w:p>
    <w:p>
      <w:pPr>
        <w:ind w:left="1200" w:hanging="252"/>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540" w:right="320" w:firstLine="408"/>
        <w:spacing w:after="0" w:line="286" w:lineRule="auto"/>
        <w:tabs>
          <w:tab w:leader="none" w:pos="1196"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57" w:lineRule="exact"/>
        <w:rPr>
          <w:rFonts w:ascii="Arial" w:cs="Arial" w:eastAsia="Arial" w:hAnsi="Arial"/>
          <w:sz w:val="17"/>
          <w:szCs w:val="17"/>
          <w:color w:val="auto"/>
        </w:rPr>
      </w:pPr>
    </w:p>
    <w:p>
      <w:pPr>
        <w:ind w:left="540" w:right="480" w:firstLine="408"/>
        <w:spacing w:after="0" w:line="308" w:lineRule="auto"/>
        <w:tabs>
          <w:tab w:leader="none" w:pos="1196" w:val="left"/>
        </w:tabs>
        <w:numPr>
          <w:ilvl w:val="0"/>
          <w:numId w:val="96"/>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38" w:lineRule="exact"/>
        <w:rPr>
          <w:rFonts w:ascii="Arial" w:cs="Arial" w:eastAsia="Arial" w:hAnsi="Arial"/>
          <w:sz w:val="17"/>
          <w:szCs w:val="17"/>
          <w:color w:val="auto"/>
        </w:rPr>
      </w:pPr>
    </w:p>
    <w:p>
      <w:pPr>
        <w:ind w:left="540" w:right="560" w:firstLine="408"/>
        <w:spacing w:after="0" w:line="277" w:lineRule="auto"/>
        <w:tabs>
          <w:tab w:leader="none" w:pos="11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Securities or any guarantee of such Securities;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0"/>
          </w:cols>
          <w:pgMar w:left="880" w:top="274" w:right="479" w:bottom="1440" w:gutter="0" w:footer="0" w:header="0"/>
        </w:sectPr>
      </w:pPr>
    </w:p>
    <w:bookmarkStart w:id="136" w:name="page137"/>
    <w:bookmarkEnd w:id="136"/>
    <w:p>
      <w:pPr>
        <w:ind w:left="540" w:firstLine="408"/>
        <w:spacing w:after="0" w:line="254" w:lineRule="auto"/>
        <w:tabs>
          <w:tab w:leader="none" w:pos="1196"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Taxes to the extent such Taxes are imposed or withheld by reason of the failure of the Holder or beneficial owner of such Security, to comply with any written request of the Company addressed to the Holder or beneficial owner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86" w:lineRule="exact"/>
        <w:rPr>
          <w:rFonts w:ascii="Arial" w:cs="Arial" w:eastAsia="Arial" w:hAnsi="Arial"/>
          <w:sz w:val="18"/>
          <w:szCs w:val="18"/>
          <w:color w:val="auto"/>
        </w:rPr>
      </w:pPr>
    </w:p>
    <w:p>
      <w:pPr>
        <w:ind w:left="1200" w:hanging="252"/>
        <w:spacing w:after="0"/>
        <w:tabs>
          <w:tab w:leader="none" w:pos="12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combination of items (1) through (7) of this Section 4.6(a).</w:t>
      </w:r>
    </w:p>
    <w:p>
      <w:pPr>
        <w:spacing w:after="0" w:line="117" w:lineRule="exact"/>
        <w:rPr>
          <w:rFonts w:ascii="Arial" w:cs="Arial" w:eastAsia="Arial" w:hAnsi="Arial"/>
          <w:sz w:val="18"/>
          <w:szCs w:val="18"/>
          <w:color w:val="auto"/>
        </w:rPr>
      </w:pPr>
    </w:p>
    <w:p>
      <w:pPr>
        <w:ind w:firstLine="419"/>
        <w:spacing w:after="0" w:line="279" w:lineRule="auto"/>
        <w:tabs>
          <w:tab w:leader="none" w:pos="678"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addition to the foregoing, the Company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Securities, this Indenture or the related supplement, or any other document or instrument referred to herein or therein.</w:t>
      </w:r>
    </w:p>
    <w:p>
      <w:pPr>
        <w:spacing w:after="0" w:line="63" w:lineRule="exact"/>
        <w:rPr>
          <w:rFonts w:ascii="Arial" w:cs="Arial" w:eastAsia="Arial" w:hAnsi="Arial"/>
          <w:sz w:val="17"/>
          <w:szCs w:val="17"/>
          <w:color w:val="auto"/>
        </w:rPr>
      </w:pPr>
    </w:p>
    <w:p>
      <w:pPr>
        <w:ind w:right="60" w:firstLine="419"/>
        <w:spacing w:after="0" w:line="272" w:lineRule="auto"/>
        <w:tabs>
          <w:tab w:leader="none" w:pos="668"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Company becomes aware that it will be obligated to pay Additional Amounts with respect to any payment under or with respect to the Securities, the Company will deliver to the Trustee on a date that is at least 30 days prior to the date of that payment (unless the obligation to pay Additional Amounts arises fewer than 45 days prior to that payment date, in which case the Company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69" w:lineRule="exact"/>
        <w:rPr>
          <w:rFonts w:ascii="Arial" w:cs="Arial" w:eastAsia="Arial" w:hAnsi="Arial"/>
          <w:sz w:val="17"/>
          <w:szCs w:val="17"/>
          <w:color w:val="auto"/>
        </w:rPr>
      </w:pPr>
    </w:p>
    <w:p>
      <w:pPr>
        <w:ind w:right="20" w:firstLine="419"/>
        <w:spacing w:after="0" w:line="293" w:lineRule="auto"/>
        <w:tabs>
          <w:tab w:leader="none" w:pos="6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will make all withholdings and deductions required by law in respect of the Securities, and will remit the full amount deducted or withheld to the applicable Tax authority in accordance with applicable law. The Company will use its reasonable efforts to obtain Tax receipts from each Tax authority evidencing the payment of any Taxes so deducted or withheld. Upon reasonable written request, the Company will furnish to the Trustee (or to a Holder or beneficial owner upon written request), within a reasonable time after the date the payment of any Taxes so deducted or withheld is made, certified copies of Tax receipts evidencing payment by the Company or if, notwithstanding the Company’s efforts to obtain receipts, receipts are not obtained, other evidence of payments (reasonably satisfactory to the Trustee).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137" w:name="page138"/>
    <w:bookmarkEnd w:id="137"/>
    <w:p>
      <w:pPr>
        <w:ind w:left="440" w:firstLine="419"/>
        <w:spacing w:after="0" w:line="259" w:lineRule="auto"/>
        <w:tabs>
          <w:tab w:leader="none" w:pos="1108"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in this Indenture there is mentioned, in any context, the payment of amounts based upon the principal amount of the Securities or of principal, interest or of any other amount payable under, or with respect to, any of the Securities,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The obligations in this Section 4.6 will survive any termination, defeasance or discharge of this Indenture, any transfer by a Holder or beneficial owner of the Securities, and will apply, mutatis mutandis, to any jurisdiction in which any successor Person to the Company is incorporated, organized or resident for tax purposes, or any jurisdiction from or through which payment is made by or on behalf of such Person on the applicable Securities and any political subdivision thereof or therein.</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Notwithstanding any provision herein or in the Securities to the contrary, none of the Trustee or any Agent shall be required to determine the identity of a beneficial owner or be liable for any determination thereof by the Company.</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55" w:lineRule="auto"/>
        <w:tabs>
          <w:tab w:leader="none" w:pos="11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So long as any Securities are outstanding, the Company shall file with the Trustee, within 15 days after the Company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84"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have any obligation to determine if and when the Company’s information is available on the SEC’s (EDGAR) website. The Company shall either (i) provide the Trustee with prompt written notification of such time as the Company becomes or ceases to be a reporting company or (ii) continue to provide the Trustee with the foregoing information.</w:t>
      </w:r>
    </w:p>
    <w:p>
      <w:pPr>
        <w:spacing w:after="0" w:line="75" w:lineRule="exact"/>
        <w:rPr>
          <w:rFonts w:ascii="Arial" w:cs="Arial" w:eastAsia="Arial" w:hAnsi="Arial"/>
          <w:sz w:val="18"/>
          <w:szCs w:val="18"/>
          <w:color w:val="auto"/>
        </w:rPr>
      </w:pPr>
    </w:p>
    <w:p>
      <w:pPr>
        <w:ind w:left="440" w:right="160" w:firstLine="419"/>
        <w:spacing w:after="0" w:line="259" w:lineRule="auto"/>
        <w:tabs>
          <w:tab w:leader="none" w:pos="11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Company may not consolidate with or merge into any other Person or transfer or lease all or substantially all of its assets to any Person unless any successor or purchaser expressly assumes its obligations under this Indenture and the Securities, by an indenture supplemental to this Indenture to which the Company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38" w:name="page139"/>
    <w:bookmarkEnd w:id="138"/>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DEFAULTS AND REMEDIES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are “</w:t>
      </w:r>
      <w:r>
        <w:rPr>
          <w:rFonts w:ascii="Arial" w:cs="Arial" w:eastAsia="Arial" w:hAnsi="Arial"/>
          <w:sz w:val="17"/>
          <w:szCs w:val="17"/>
          <w:i w:val="1"/>
          <w:iCs w:val="1"/>
          <w:color w:val="auto"/>
        </w:rPr>
        <w:t>Events of Default</w:t>
      </w:r>
      <w:r>
        <w:rPr>
          <w:rFonts w:ascii="Arial" w:cs="Arial" w:eastAsia="Arial" w:hAnsi="Arial"/>
          <w:sz w:val="17"/>
          <w:szCs w:val="17"/>
          <w:color w:val="auto"/>
        </w:rPr>
        <w:t>” with respect to the Securities of any Series, unless in the establishing Board Resolution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Officer’s Certificate or the establishing supplemental indenture, it is provided that such Series shall not have the benefit of said Event of Default:</w:t>
      </w:r>
    </w:p>
    <w:p>
      <w:pPr>
        <w:spacing w:after="0" w:line="126" w:lineRule="exact"/>
        <w:rPr>
          <w:sz w:val="20"/>
          <w:szCs w:val="20"/>
          <w:color w:val="auto"/>
        </w:rPr>
      </w:pPr>
    </w:p>
    <w:p>
      <w:pPr>
        <w:ind w:left="1100" w:hanging="241"/>
        <w:spacing w:after="0"/>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failure to pay any interest on the Securities within 30 days after such interest becomes due and payable;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failure to pay principal of the Securities at Maturity, or if applicable, the redemption price, when the same become due and payable;</w:t>
      </w:r>
    </w:p>
    <w:p>
      <w:pPr>
        <w:spacing w:after="0" w:line="140" w:lineRule="exact"/>
        <w:rPr>
          <w:rFonts w:ascii="Arial" w:cs="Arial" w:eastAsia="Arial" w:hAnsi="Arial"/>
          <w:sz w:val="16"/>
          <w:szCs w:val="16"/>
          <w:color w:val="auto"/>
        </w:rPr>
      </w:pPr>
    </w:p>
    <w:p>
      <w:pPr>
        <w:ind w:left="440" w:right="620" w:firstLine="419"/>
        <w:spacing w:after="0" w:line="277"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becomes due and payable by the terms of the Securities, and continuance of such default for a period of 30 days;</w:t>
      </w:r>
    </w:p>
    <w:p>
      <w:pPr>
        <w:spacing w:after="0" w:line="62" w:lineRule="exact"/>
        <w:rPr>
          <w:rFonts w:ascii="Arial" w:cs="Arial" w:eastAsia="Arial" w:hAnsi="Arial"/>
          <w:sz w:val="18"/>
          <w:szCs w:val="18"/>
          <w:color w:val="auto"/>
        </w:rPr>
      </w:pPr>
    </w:p>
    <w:p>
      <w:pPr>
        <w:jc w:val="both"/>
        <w:ind w:left="440" w:firstLine="419"/>
        <w:spacing w:after="0" w:line="259" w:lineRule="auto"/>
        <w:tabs>
          <w:tab w:leader="none" w:pos="11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failure to comply with any of the covenants or agreements in the Securities or this Indenture (other than an agreement or covenant that the Company has included in this Indenture solely for the benefit of another Series of Securities that does not constitute part of the Securities of such Series) for 90 days after written notice by the Trustee or by the Holders of at least 25% in principal amount of all outstanding Securities of such Series affected by that failure;</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0"/>
          </w:cols>
          <w:pgMar w:left="440" w:top="274" w:right="679" w:bottom="1440" w:gutter="0" w:footer="0" w:header="0"/>
        </w:sectPr>
      </w:pPr>
    </w:p>
    <w:bookmarkStart w:id="139" w:name="page140"/>
    <w:bookmarkEnd w:id="139"/>
    <w:p>
      <w:pPr>
        <w:ind w:left="1640" w:hanging="252"/>
        <w:spacing w:after="0"/>
        <w:tabs>
          <w:tab w:leader="none" w:pos="16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for relief against the Company in an involuntary case,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60 days; and</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Event of Default provided in the Officer’s Certificate, supplemental indenture or Board Resolution under which such Series of Securities is issued.</w:t>
      </w:r>
    </w:p>
    <w:p>
      <w:pPr>
        <w:spacing w:after="0" w:line="170" w:lineRule="exact"/>
        <w:rPr>
          <w:sz w:val="20"/>
          <w:szCs w:val="20"/>
          <w:color w:val="auto"/>
        </w:rPr>
      </w:pPr>
    </w:p>
    <w:p>
      <w:pPr>
        <w:jc w:val="both"/>
        <w:ind w:right="420" w:firstLine="991"/>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the Curaçao Bankruptcy Decree 1931 (</w:t>
      </w:r>
      <w:r>
        <w:rPr>
          <w:rFonts w:ascii="Arial" w:cs="Arial" w:eastAsia="Arial" w:hAnsi="Arial"/>
          <w:sz w:val="18"/>
          <w:szCs w:val="18"/>
          <w:i w:val="1"/>
          <w:iCs w:val="1"/>
          <w:color w:val="auto"/>
        </w:rPr>
        <w:t>Faillissementsbesluit</w:t>
      </w:r>
      <w:r>
        <w:rPr>
          <w:rFonts w:ascii="Arial" w:cs="Arial" w:eastAsia="Arial" w:hAnsi="Arial"/>
          <w:sz w:val="18"/>
          <w:szCs w:val="18"/>
          <w:color w:val="auto"/>
        </w:rPr>
        <w:t>), in each case, as amended, or any similar Federal or State law for the relief of debtors or similar law in Curaçao.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84"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A Default under one Series of Securities issued under this Indenture will not necessarily be a default under another Series of Securities under this Indenture.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If an Event of Default for a Series of Securities occurs and is continuing (other than an Event of Default referred to in Section 6.1(e) or (f)),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6.1(e) or (f) occurs with respect to the Company, the principal amount plus accrued and unpaid interest on the Securities of that Series will become immediately due and payable without any action on the part of the Trustee or any Holder.</w:t>
      </w:r>
    </w:p>
    <w:p>
      <w:pPr>
        <w:spacing w:after="0" w:line="161"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40" w:name="page141"/>
    <w:bookmarkEnd w:id="1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jc w:val="both"/>
        <w:ind w:left="440" w:right="360" w:firstLine="419"/>
        <w:spacing w:after="0" w:line="259" w:lineRule="auto"/>
        <w:tabs>
          <w:tab w:leader="none" w:pos="11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41" w:name="page142"/>
    <w:bookmarkEnd w:id="141"/>
    <w:p>
      <w:pPr>
        <w:ind w:left="440" w:right="40" w:firstLine="419"/>
        <w:spacing w:after="0" w:line="275" w:lineRule="auto"/>
        <w:tabs>
          <w:tab w:leader="none" w:pos="1118"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76"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the Trustee under Section 7.7;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Second: To the payment of all senior indebtedness of the Company if and to the extent required by Article XI;</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Third: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Fourth: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00" w:hanging="241"/>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Series of Securities make a written request to the Trustee to pursue the remedy;</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Holders furnish to the Trustee indemnity or security reasonably satisfactory to the Trustee against the costs, expenses and liabilities which might be incurred by it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or security; and</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Securities of such Series do not give the Trustee a direction inconsistent with the request.</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This provision does not, however, affect the right of a Holder of Securities to sue for enforcement of any overdue payment with respect to such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43" w:name="page144"/>
    <w:bookmarkEnd w:id="1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(i) a Default in the payment of the principal of or interest on any Security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Securities of any Series may rescind an acceleration and its consequences, including any related payment default that resulted from such acceleration), or (ii) a Default in respect of a provision contained in this Indenture that cannot be modified or amended without the consent of the Holder of each outstanding Security affected thereby.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300" w:firstLine="419"/>
        <w:spacing w:after="0" w:line="263"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117"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980" w:right="20" w:firstLine="408"/>
        <w:spacing w:after="0" w:line="259" w:lineRule="auto"/>
        <w:tabs>
          <w:tab w:leader="none" w:pos="16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8" w:lineRule="exact"/>
        <w:rPr>
          <w:rFonts w:ascii="Arial" w:cs="Arial" w:eastAsia="Arial" w:hAnsi="Arial"/>
          <w:sz w:val="18"/>
          <w:szCs w:val="18"/>
          <w:color w:val="auto"/>
        </w:rPr>
      </w:pPr>
    </w:p>
    <w:p>
      <w:pPr>
        <w:ind w:left="440" w:right="840" w:firstLine="419"/>
        <w:spacing w:after="0" w:line="277"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45" w:name="page146"/>
    <w:bookmarkEnd w:id="145"/>
    <w:p>
      <w:pPr>
        <w:ind w:left="540" w:right="140" w:firstLine="408"/>
        <w:spacing w:after="0" w:line="277" w:lineRule="auto"/>
        <w:tabs>
          <w:tab w:leader="none" w:pos="1196"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540" w:right="420" w:firstLine="408"/>
        <w:spacing w:after="0" w:line="277" w:lineRule="auto"/>
        <w:tabs>
          <w:tab w:leader="none" w:pos="119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6.12.</w:t>
      </w:r>
    </w:p>
    <w:p>
      <w:pPr>
        <w:spacing w:after="0" w:line="62" w:lineRule="exact"/>
        <w:rPr>
          <w:rFonts w:ascii="Arial" w:cs="Arial" w:eastAsia="Arial" w:hAnsi="Arial"/>
          <w:sz w:val="18"/>
          <w:szCs w:val="18"/>
          <w:color w:val="auto"/>
        </w:rPr>
      </w:pPr>
    </w:p>
    <w:p>
      <w:pPr>
        <w:ind w:right="300" w:firstLine="419"/>
        <w:spacing w:after="0" w:line="277" w:lineRule="auto"/>
        <w:tabs>
          <w:tab w:leader="none" w:pos="6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62" w:lineRule="exact"/>
        <w:rPr>
          <w:rFonts w:ascii="Arial" w:cs="Arial" w:eastAsia="Arial" w:hAnsi="Arial"/>
          <w:sz w:val="18"/>
          <w:szCs w:val="18"/>
          <w:color w:val="auto"/>
        </w:rPr>
      </w:pPr>
    </w:p>
    <w:p>
      <w:pPr>
        <w:ind w:right="160" w:firstLine="419"/>
        <w:spacing w:after="0" w:line="342" w:lineRule="auto"/>
        <w:tabs>
          <w:tab w:leader="none" w:pos="66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5" w:lineRule="exact"/>
        <w:rPr>
          <w:rFonts w:ascii="Arial" w:cs="Arial" w:eastAsia="Arial" w:hAnsi="Arial"/>
          <w:sz w:val="16"/>
          <w:szCs w:val="16"/>
          <w:color w:val="auto"/>
        </w:rPr>
      </w:pPr>
    </w:p>
    <w:p>
      <w:pPr>
        <w:ind w:firstLine="419"/>
        <w:spacing w:after="0" w:line="259"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220" w:firstLine="419"/>
        <w:spacing w:after="0" w:line="301" w:lineRule="auto"/>
        <w:tabs>
          <w:tab w:leader="none" w:pos="66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49" w:lineRule="exact"/>
        <w:rPr>
          <w:rFonts w:ascii="Arial" w:cs="Arial" w:eastAsia="Arial" w:hAnsi="Arial"/>
          <w:sz w:val="16"/>
          <w:szCs w:val="16"/>
          <w:color w:val="auto"/>
        </w:rPr>
      </w:pPr>
    </w:p>
    <w:p>
      <w:pPr>
        <w:ind w:right="40" w:firstLine="419"/>
        <w:spacing w:after="0" w:line="301" w:lineRule="auto"/>
        <w:tabs>
          <w:tab w:leader="none" w:pos="67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49" w:lineRule="exact"/>
        <w:rPr>
          <w:rFonts w:ascii="Arial" w:cs="Arial" w:eastAsia="Arial" w:hAnsi="Arial"/>
          <w:sz w:val="16"/>
          <w:szCs w:val="16"/>
          <w:color w:val="auto"/>
        </w:rPr>
      </w:pPr>
    </w:p>
    <w:p>
      <w:pPr>
        <w:ind w:right="120" w:firstLine="419"/>
        <w:spacing w:after="0" w:line="277" w:lineRule="auto"/>
        <w:tabs>
          <w:tab w:leader="none" w:pos="6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274" w:right="479" w:bottom="1440" w:gutter="0" w:footer="0" w:header="0"/>
        </w:sectPr>
      </w:pPr>
    </w:p>
    <w:bookmarkStart w:id="146" w:name="page147"/>
    <w:bookmarkEnd w:id="146"/>
    <w:p>
      <w:pPr>
        <w:ind w:right="140" w:firstLine="419"/>
        <w:spacing w:after="0" w:line="286" w:lineRule="auto"/>
        <w:tabs>
          <w:tab w:leader="none" w:pos="678" w:val="left"/>
        </w:tabs>
        <w:numPr>
          <w:ilvl w:val="0"/>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57" w:lineRule="exact"/>
        <w:rPr>
          <w:rFonts w:ascii="Arial" w:cs="Arial" w:eastAsia="Arial" w:hAnsi="Arial"/>
          <w:sz w:val="17"/>
          <w:szCs w:val="17"/>
          <w:color w:val="auto"/>
        </w:rPr>
      </w:pPr>
    </w:p>
    <w:p>
      <w:pPr>
        <w:ind w:right="20" w:firstLine="419"/>
        <w:spacing w:after="0" w:line="277" w:lineRule="auto"/>
        <w:tabs>
          <w:tab w:leader="none" w:pos="6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62" w:lineRule="exact"/>
        <w:rPr>
          <w:rFonts w:ascii="Arial" w:cs="Arial" w:eastAsia="Arial" w:hAnsi="Arial"/>
          <w:sz w:val="18"/>
          <w:szCs w:val="18"/>
          <w:color w:val="auto"/>
        </w:rPr>
      </w:pPr>
    </w:p>
    <w:p>
      <w:pPr>
        <w:ind w:right="300" w:firstLine="419"/>
        <w:spacing w:after="0" w:line="259"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78" w:lineRule="exact"/>
        <w:rPr>
          <w:rFonts w:ascii="Arial" w:cs="Arial" w:eastAsia="Arial" w:hAnsi="Arial"/>
          <w:sz w:val="18"/>
          <w:szCs w:val="18"/>
          <w:color w:val="auto"/>
        </w:rPr>
      </w:pPr>
    </w:p>
    <w:p>
      <w:pPr>
        <w:ind w:firstLine="419"/>
        <w:spacing w:after="0" w:line="259" w:lineRule="auto"/>
        <w:tabs>
          <w:tab w:leader="none" w:pos="6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78" w:lineRule="exact"/>
        <w:rPr>
          <w:rFonts w:ascii="Arial" w:cs="Arial" w:eastAsia="Arial" w:hAnsi="Arial"/>
          <w:sz w:val="18"/>
          <w:szCs w:val="18"/>
          <w:color w:val="auto"/>
        </w:rPr>
      </w:pPr>
    </w:p>
    <w:p>
      <w:pPr>
        <w:ind w:right="60" w:firstLine="419"/>
        <w:spacing w:after="0" w:line="263" w:lineRule="auto"/>
        <w:tabs>
          <w:tab w:leader="none" w:pos="6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5" w:lineRule="exact"/>
        <w:rPr>
          <w:rFonts w:ascii="Arial" w:cs="Arial" w:eastAsia="Arial" w:hAnsi="Arial"/>
          <w:sz w:val="18"/>
          <w:szCs w:val="18"/>
          <w:color w:val="auto"/>
        </w:rPr>
      </w:pPr>
    </w:p>
    <w:p>
      <w:pPr>
        <w:ind w:right="60" w:firstLine="419"/>
        <w:spacing w:after="0" w:line="259" w:lineRule="auto"/>
        <w:tabs>
          <w:tab w:leader="none" w:pos="6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8" w:lineRule="exact"/>
        <w:rPr>
          <w:rFonts w:ascii="Arial" w:cs="Arial" w:eastAsia="Arial" w:hAnsi="Arial"/>
          <w:sz w:val="18"/>
          <w:szCs w:val="18"/>
          <w:color w:val="auto"/>
        </w:rPr>
      </w:pPr>
    </w:p>
    <w:p>
      <w:pPr>
        <w:ind w:right="40" w:firstLine="419"/>
        <w:spacing w:after="0" w:line="293" w:lineRule="auto"/>
        <w:tabs>
          <w:tab w:leader="none" w:pos="6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Notwithstanding any provision herein to the contrary, in no event shall the Trustee be liable for any failure or delay in the performance of its obligations under this Indenture because of circumstances beyond its control, including, but not limited to, pandemic,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4" w:right="459" w:bottom="1440" w:gutter="0" w:footer="0" w:header="0"/>
        </w:sectPr>
      </w:pPr>
    </w:p>
    <w:bookmarkStart w:id="147" w:name="page148"/>
    <w:bookmarkEnd w:id="147"/>
    <w:p>
      <w:pPr>
        <w:jc w:val="both"/>
        <w:ind w:left="440" w:right="20" w:firstLine="419"/>
        <w:spacing w:after="0" w:line="263" w:lineRule="auto"/>
        <w:tabs>
          <w:tab w:leader="none" w:pos="11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jc w:val="both"/>
        <w:ind w:right="500" w:firstLine="991"/>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Within 60 days after May 15 of each year after the execution of this Indenture, the Trustee shall give to Holders of each Series of Securities and the Company a brief report dated as of such reporting date that complies with TIA § 313(a); provided, however,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5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The Company hereby indemnifies the Trustee from, and agrees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18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own negligence or bad faith.</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To secure the payment obligations of the Company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under this Section 7.7 shall survive the satisfaction and discharge of this Indenture, the payment of the Securities and/or the resignation or removal of the Trustee.</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bankruptcy, insolvency or other similar law.</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170"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149" w:name="page150"/>
    <w:bookmarkEnd w:id="149"/>
    <w:p>
      <w:pPr>
        <w:ind w:left="1100" w:hanging="241"/>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61"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49"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8"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150" w:name="page151"/>
    <w:bookmarkEnd w:id="15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66"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7.8, the obligations of the Company under Section 7.7 shall continue for the benefit of the retiring Trustee or Trustees.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117" w:lineRule="exact"/>
        <w:rPr>
          <w:sz w:val="20"/>
          <w:szCs w:val="20"/>
          <w:color w:val="auto"/>
        </w:rPr>
      </w:pPr>
    </w:p>
    <w:p>
      <w:pPr>
        <w:ind w:right="580" w:firstLine="991"/>
        <w:spacing w:after="0" w:line="342" w:lineRule="auto"/>
        <w:rPr>
          <w:sz w:val="20"/>
          <w:szCs w:val="20"/>
          <w:color w:val="auto"/>
        </w:rPr>
      </w:pPr>
      <w:r>
        <w:rPr>
          <w:rFonts w:ascii="Arial" w:cs="Arial" w:eastAsia="Arial" w:hAnsi="Arial"/>
          <w:sz w:val="16"/>
          <w:szCs w:val="16"/>
          <w:color w:val="auto"/>
        </w:rPr>
        <w:t>Subject to Section 7.10,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24"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57" w:lineRule="exact"/>
        <w:rPr>
          <w:sz w:val="20"/>
          <w:szCs w:val="20"/>
          <w:color w:val="auto"/>
        </w:rPr>
      </w:pPr>
    </w:p>
    <w:p>
      <w:pPr>
        <w:jc w:val="both"/>
        <w:ind w:right="360" w:firstLine="991"/>
        <w:spacing w:after="0" w:line="286" w:lineRule="auto"/>
        <w:rPr>
          <w:sz w:val="20"/>
          <w:szCs w:val="20"/>
          <w:color w:val="auto"/>
        </w:rPr>
      </w:pPr>
      <w:r>
        <w:rPr>
          <w:rFonts w:ascii="Arial" w:cs="Arial" w:eastAsia="Arial" w:hAnsi="Arial"/>
          <w:sz w:val="17"/>
          <w:szCs w:val="17"/>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51" w:name="page152"/>
    <w:bookmarkEnd w:id="1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DISCHARGE OF INDENTURE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79" w:lineRule="auto"/>
        <w:tabs>
          <w:tab w:leader="none" w:pos="110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This Indenture shall cease to be of further effect with respect to the Securities of a Series (except that all obligations of the Company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63" w:lineRule="exact"/>
        <w:rPr>
          <w:rFonts w:ascii="Arial" w:cs="Arial" w:eastAsia="Arial" w:hAnsi="Arial"/>
          <w:sz w:val="17"/>
          <w:szCs w:val="17"/>
          <w:color w:val="auto"/>
        </w:rPr>
      </w:pPr>
    </w:p>
    <w:p>
      <w:pPr>
        <w:ind w:left="1640" w:hanging="252"/>
        <w:spacing w:after="0"/>
        <w:tabs>
          <w:tab w:leader="none" w:pos="16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640" w:right="160" w:firstLine="8"/>
        <w:spacing w:after="0" w:line="277" w:lineRule="auto"/>
        <w:tabs>
          <w:tab w:leader="none" w:pos="193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62" w:lineRule="exact"/>
        <w:rPr>
          <w:rFonts w:ascii="Arial" w:cs="Arial" w:eastAsia="Arial" w:hAnsi="Arial"/>
          <w:sz w:val="18"/>
          <w:szCs w:val="18"/>
          <w:color w:val="auto"/>
        </w:rPr>
      </w:pPr>
    </w:p>
    <w:p>
      <w:pPr>
        <w:ind w:left="1940" w:hanging="292"/>
        <w:spacing w:after="0"/>
        <w:tabs>
          <w:tab w:leader="none" w:pos="194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117" w:lineRule="exact"/>
        <w:rPr>
          <w:rFonts w:ascii="Arial" w:cs="Arial" w:eastAsia="Arial" w:hAnsi="Arial"/>
          <w:sz w:val="18"/>
          <w:szCs w:val="18"/>
          <w:color w:val="auto"/>
        </w:rPr>
      </w:pPr>
    </w:p>
    <w:p>
      <w:pPr>
        <w:ind w:left="2200" w:hanging="221"/>
        <w:spacing w:after="0"/>
        <w:tabs>
          <w:tab w:leader="none" w:pos="220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980" w:right="20" w:hanging="1"/>
        <w:spacing w:after="0" w:line="277" w:lineRule="auto"/>
        <w:tabs>
          <w:tab w:leader="none" w:pos="2295" w:val="left"/>
        </w:tabs>
        <w:numPr>
          <w:ilvl w:val="3"/>
          <w:numId w:val="11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ind w:left="1640"/>
        <w:spacing w:after="0" w:line="342" w:lineRule="auto"/>
        <w:rPr>
          <w:sz w:val="20"/>
          <w:szCs w:val="20"/>
          <w:color w:val="auto"/>
        </w:rPr>
      </w:pPr>
      <w:r>
        <w:rPr>
          <w:rFonts w:ascii="Arial" w:cs="Arial" w:eastAsia="Arial" w:hAnsi="Arial"/>
          <w:sz w:val="16"/>
          <w:szCs w:val="16"/>
          <w:color w:val="auto"/>
        </w:rPr>
        <w:t>and, in the case of clause (i), (ii) or (iii) above, the Company has irrevocably deposited or caused to be deposited with the Trustee as funds (immediately available to the Holders in the case of clause (i)) in trust for such purpose (x) cash in an amount,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152" w:name="page153"/>
    <w:bookmarkEnd w:id="152"/>
    <w:p>
      <w:pPr>
        <w:ind w:left="1200" w:right="60" w:firstLine="8"/>
        <w:spacing w:after="0" w:line="255" w:lineRule="auto"/>
        <w:tabs>
          <w:tab w:leader="none" w:pos="14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 Obligations, maturing as to principal and interest at such times and in such amounts as will ensure the availability of cash in an amount or (z) a combination thereof which will be sufficient, in the opinion (in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84" w:lineRule="exact"/>
        <w:rPr>
          <w:sz w:val="20"/>
          <w:szCs w:val="20"/>
          <w:color w:val="auto"/>
        </w:rPr>
      </w:pPr>
    </w:p>
    <w:p>
      <w:pPr>
        <w:ind w:left="1200" w:right="420"/>
        <w:spacing w:after="0" w:line="277" w:lineRule="auto"/>
        <w:rPr>
          <w:sz w:val="20"/>
          <w:szCs w:val="20"/>
          <w:color w:val="auto"/>
        </w:rPr>
      </w:pPr>
      <w:r>
        <w:rPr>
          <w:rFonts w:ascii="Arial" w:cs="Arial" w:eastAsia="Arial" w:hAnsi="Arial"/>
          <w:sz w:val="18"/>
          <w:szCs w:val="18"/>
          <w:color w:val="auto"/>
        </w:rPr>
        <w:t>(C) the Company has properly fulfilled such other means of satisfaction and discharge, as contemplated by Section 2.2 to be applicable to the Securities of such Series;</w:t>
      </w:r>
    </w:p>
    <w:p>
      <w:pPr>
        <w:spacing w:after="0" w:line="62" w:lineRule="exact"/>
        <w:rPr>
          <w:sz w:val="20"/>
          <w:szCs w:val="20"/>
          <w:color w:val="auto"/>
        </w:rPr>
      </w:pPr>
    </w:p>
    <w:p>
      <w:pPr>
        <w:ind w:left="1200" w:hanging="252"/>
        <w:spacing w:after="0"/>
        <w:tabs>
          <w:tab w:leader="none" w:pos="12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540" w:right="160" w:firstLine="408"/>
        <w:spacing w:after="0" w:line="263" w:lineRule="auto"/>
        <w:tabs>
          <w:tab w:leader="none" w:pos="11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75" w:lineRule="exact"/>
        <w:rPr>
          <w:rFonts w:ascii="Arial" w:cs="Arial" w:eastAsia="Arial" w:hAnsi="Arial"/>
          <w:sz w:val="18"/>
          <w:szCs w:val="18"/>
          <w:color w:val="auto"/>
        </w:rPr>
      </w:pPr>
    </w:p>
    <w:p>
      <w:pPr>
        <w:ind w:firstLine="419"/>
        <w:spacing w:after="0" w:line="289" w:lineRule="auto"/>
        <w:tabs>
          <w:tab w:leader="none" w:pos="6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Unless this Section 8.1(b) is specified as not being applicable to Securities of a Series as contemplated by Section 2.2, the Company may be discharged from its obligations under Sections 4.2(a), 4.4, 4.5 and 4.7 of this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with respect to the Securities of such Series and such Securities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if:</w:t>
      </w:r>
    </w:p>
    <w:p>
      <w:pPr>
        <w:spacing w:after="0" w:line="58" w:lineRule="exact"/>
        <w:rPr>
          <w:rFonts w:ascii="Arial" w:cs="Arial" w:eastAsia="Arial" w:hAnsi="Arial"/>
          <w:sz w:val="16"/>
          <w:szCs w:val="16"/>
          <w:color w:val="auto"/>
        </w:rPr>
      </w:pPr>
    </w:p>
    <w:p>
      <w:pPr>
        <w:ind w:left="540" w:right="120" w:firstLine="408"/>
        <w:spacing w:after="0" w:line="301" w:lineRule="auto"/>
        <w:tabs>
          <w:tab w:leader="none" w:pos="119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880" w:top="274" w:right="459" w:bottom="1440" w:gutter="0" w:footer="0" w:header="0"/>
        </w:sectPr>
      </w:pPr>
    </w:p>
    <w:bookmarkStart w:id="153" w:name="page154"/>
    <w:bookmarkEnd w:id="153"/>
    <w:p>
      <w:pPr>
        <w:ind w:left="9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7" w:lineRule="exact"/>
        <w:rPr>
          <w:sz w:val="20"/>
          <w:szCs w:val="20"/>
          <w:color w:val="auto"/>
        </w:rPr>
      </w:pPr>
    </w:p>
    <w:p>
      <w:pPr>
        <w:ind w:left="980" w:right="300" w:firstLine="408"/>
        <w:spacing w:after="0" w:line="342" w:lineRule="auto"/>
        <w:tabs>
          <w:tab w:leader="none" w:pos="163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15" w:lineRule="exact"/>
        <w:rPr>
          <w:rFonts w:ascii="Arial" w:cs="Arial" w:eastAsia="Arial" w:hAnsi="Arial"/>
          <w:sz w:val="16"/>
          <w:szCs w:val="16"/>
          <w:color w:val="auto"/>
        </w:rPr>
      </w:pPr>
    </w:p>
    <w:p>
      <w:pPr>
        <w:ind w:left="980" w:right="120" w:firstLine="408"/>
        <w:spacing w:after="0" w:line="277"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w:t>
      </w:r>
    </w:p>
    <w:p>
      <w:pPr>
        <w:spacing w:after="0" w:line="62" w:lineRule="exact"/>
        <w:rPr>
          <w:rFonts w:ascii="Arial" w:cs="Arial" w:eastAsia="Arial" w:hAnsi="Arial"/>
          <w:sz w:val="18"/>
          <w:szCs w:val="18"/>
          <w:color w:val="auto"/>
        </w:rPr>
      </w:pPr>
    </w:p>
    <w:p>
      <w:pPr>
        <w:jc w:val="both"/>
        <w:ind w:left="980" w:right="200" w:firstLine="408"/>
        <w:spacing w:after="0" w:line="257"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Section 8.1(b) and will be subject to Federal income tax on the same amount and in the same manner and at the same times as would have been the case if such option had not been exercised; and</w:t>
      </w:r>
    </w:p>
    <w:p>
      <w:pPr>
        <w:spacing w:after="0" w:line="79" w:lineRule="exact"/>
        <w:rPr>
          <w:rFonts w:ascii="Arial" w:cs="Arial" w:eastAsia="Arial" w:hAnsi="Arial"/>
          <w:sz w:val="18"/>
          <w:szCs w:val="18"/>
          <w:color w:val="auto"/>
        </w:rPr>
      </w:pPr>
    </w:p>
    <w:p>
      <w:pPr>
        <w:ind w:left="980" w:right="660" w:firstLine="408"/>
        <w:spacing w:after="0" w:line="277" w:lineRule="auto"/>
        <w:tabs>
          <w:tab w:leader="none" w:pos="1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such deposit and covenant defeasance shall not cause the Trustee to have a conflicting interest as defined in TIA § 310(b).</w:t>
      </w:r>
    </w:p>
    <w:p>
      <w:pPr>
        <w:spacing w:after="0" w:line="23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76" w:lineRule="exact"/>
        <w:rPr>
          <w:sz w:val="20"/>
          <w:szCs w:val="20"/>
          <w:color w:val="auto"/>
        </w:rPr>
      </w:pPr>
    </w:p>
    <w:p>
      <w:pPr>
        <w:ind w:left="1100" w:hanging="241"/>
        <w:spacing w:after="0"/>
        <w:tabs>
          <w:tab w:leader="none" w:pos="11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Unless this Section 8.1(c) is specified as not being applicable to Securities of a Series as contemplated by Section 2.2, upon the</w:t>
      </w:r>
    </w:p>
    <w:p>
      <w:pPr>
        <w:spacing w:after="0" w:line="34" w:lineRule="exact"/>
        <w:rPr>
          <w:rFonts w:ascii="Arial" w:cs="Arial" w:eastAsia="Arial" w:hAnsi="Arial"/>
          <w:sz w:val="17"/>
          <w:szCs w:val="17"/>
          <w:color w:val="auto"/>
        </w:rPr>
      </w:pPr>
    </w:p>
    <w:p>
      <w:pPr>
        <w:ind w:left="440" w:right="60"/>
        <w:spacing w:after="0" w:line="270" w:lineRule="auto"/>
        <w:rPr>
          <w:rFonts w:ascii="Arial" w:cs="Arial" w:eastAsia="Arial" w:hAnsi="Arial"/>
          <w:sz w:val="17"/>
          <w:szCs w:val="17"/>
          <w:color w:val="auto"/>
        </w:rPr>
      </w:pPr>
      <w:r>
        <w:rPr>
          <w:rFonts w:ascii="Arial" w:cs="Arial" w:eastAsia="Arial" w:hAnsi="Arial"/>
          <w:sz w:val="17"/>
          <w:szCs w:val="17"/>
          <w:color w:val="auto"/>
        </w:rPr>
        <w:t>Company’s exercise under this clause (c) of the option applicable to this Section 8.1(c) with respect to any Series of Securities, the Company will be deemed to have been released from their obligations with respect to all outstanding Securities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8.2 hereof and the other Sections of this Indenture referred to below, and to have satisfied all their other obligations under such Securities and this Indenture with respect to such Securities, if:</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154" w:name="page155"/>
    <w:bookmarkEnd w:id="154"/>
    <w:p>
      <w:pPr>
        <w:ind w:left="980" w:right="20" w:firstLine="408"/>
        <w:spacing w:after="0" w:line="253" w:lineRule="auto"/>
        <w:tabs>
          <w:tab w:leader="none" w:pos="1636"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Arial" w:cs="Arial" w:eastAsia="Arial" w:hAnsi="Arial"/>
          <w:sz w:val="18"/>
          <w:szCs w:val="18"/>
          <w:color w:val="auto"/>
        </w:rPr>
      </w:pPr>
    </w:p>
    <w:p>
      <w:pPr>
        <w:ind w:left="980" w:right="200" w:firstLine="408"/>
        <w:spacing w:after="0" w:line="263" w:lineRule="auto"/>
        <w:tabs>
          <w:tab w:leader="none" w:pos="163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 Default or Event of Default under clauses (f) and (g) of Section 6.1 hereof shall have occurred at any time during the period ending on the 91st day after the date of deposit contemplated by Section 8.1(c)(1) (it being understood that this condition shall not be deemed satisfied until the expiration of such period);</w:t>
      </w:r>
    </w:p>
    <w:p>
      <w:pPr>
        <w:spacing w:after="0" w:line="75" w:lineRule="exact"/>
        <w:rPr>
          <w:rFonts w:ascii="Arial" w:cs="Arial" w:eastAsia="Arial" w:hAnsi="Arial"/>
          <w:sz w:val="18"/>
          <w:szCs w:val="18"/>
          <w:color w:val="auto"/>
        </w:rPr>
      </w:pPr>
    </w:p>
    <w:p>
      <w:pPr>
        <w:ind w:left="980" w:firstLine="408"/>
        <w:spacing w:after="0" w:line="291" w:lineRule="auto"/>
        <w:tabs>
          <w:tab w:leader="none" w:pos="163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unless otherwise specified with respect to Securities of such Series as contemplated by Section 2.2, the Company has delivered to the Trustee an Opinion of Counsel from nationally recognized counsel acceptable to the Trustee to the effect referred to in Section 8.1(b)</w:t>
      </w:r>
    </w:p>
    <w:p>
      <w:pPr>
        <w:jc w:val="both"/>
        <w:ind w:left="980" w:right="160" w:firstLine="7"/>
        <w:spacing w:after="0" w:line="295" w:lineRule="auto"/>
        <w:tabs>
          <w:tab w:leader="none" w:pos="123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 respect to such legal defeasance, which opinion is based on (i) a private ruling of the Internal Revenue Service addressed to the Company or the Trustee,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53" w:lineRule="exact"/>
        <w:rPr>
          <w:rFonts w:ascii="Arial" w:cs="Arial" w:eastAsia="Arial" w:hAnsi="Arial"/>
          <w:sz w:val="16"/>
          <w:szCs w:val="16"/>
          <w:color w:val="auto"/>
        </w:rPr>
      </w:pPr>
    </w:p>
    <w:p>
      <w:pPr>
        <w:ind w:left="980" w:right="60" w:firstLine="408"/>
        <w:spacing w:after="0" w:line="263" w:lineRule="auto"/>
        <w:tabs>
          <w:tab w:leader="none" w:pos="163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8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In such event, this Indenture shall cease to be of further effect except that the Company’s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in Section 7.7 and the Trustee’s and Paying Agent’s obligations in Section 8.3 shall survive with respect to Securities of such Series.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155" w:name="page156"/>
    <w:bookmarkEnd w:id="155"/>
    <w:p>
      <w:pPr>
        <w:ind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63" w:lineRule="exact"/>
        <w:rPr>
          <w:sz w:val="20"/>
          <w:szCs w:val="20"/>
          <w:color w:val="auto"/>
        </w:rPr>
      </w:pPr>
    </w:p>
    <w:p>
      <w:pPr>
        <w:ind w:left="440" w:right="20" w:firstLine="419"/>
        <w:spacing w:after="0" w:line="279" w:lineRule="auto"/>
        <w:tabs>
          <w:tab w:leader="none" w:pos="111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Securities of any Series subject to subsections (a), (b) or (c)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91"/>
        <w:spacing w:after="0" w:line="311" w:lineRule="auto"/>
        <w:rPr>
          <w:sz w:val="20"/>
          <w:szCs w:val="20"/>
          <w:color w:val="auto"/>
        </w:rPr>
      </w:pPr>
      <w:r>
        <w:rPr>
          <w:rFonts w:ascii="Arial" w:cs="Arial" w:eastAsia="Arial" w:hAnsi="Arial"/>
          <w:sz w:val="16"/>
          <w:szCs w:val="16"/>
          <w:color w:val="auto"/>
        </w:rPr>
        <w:t>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56" w:name="page157"/>
    <w:bookmarkEnd w:id="156"/>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premium (if any) or interest on or any Additional Amounts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AMENDMENTS AND WAIVERS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Without the consent of any Holder of Securities of a Series, the Company and the Trustee may amend or supplement this Indenture or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of Securities in the following circumstances:</w:t>
      </w:r>
    </w:p>
    <w:p>
      <w:pPr>
        <w:spacing w:after="0" w:line="103" w:lineRule="exact"/>
        <w:rPr>
          <w:sz w:val="20"/>
          <w:szCs w:val="20"/>
          <w:color w:val="auto"/>
        </w:rPr>
      </w:pPr>
    </w:p>
    <w:p>
      <w:pPr>
        <w:ind w:left="1640" w:hanging="252"/>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980" w:right="540" w:firstLine="408"/>
        <w:spacing w:after="0" w:line="277" w:lineRule="auto"/>
        <w:tabs>
          <w:tab w:leader="none" w:pos="16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under this Indenture or the Securities by a successor upon any merger, consolidation or asset transfer in accordance with Section 5.1;</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any security for or guarantees of its Securities or for the addition of an additional obligor on its Securities;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this Indenture under the TIA, if applicable;</w:t>
      </w:r>
    </w:p>
    <w:p>
      <w:pPr>
        <w:spacing w:after="0" w:line="117" w:lineRule="exact"/>
        <w:rPr>
          <w:rFonts w:ascii="Arial" w:cs="Arial" w:eastAsia="Arial" w:hAnsi="Arial"/>
          <w:sz w:val="18"/>
          <w:szCs w:val="18"/>
          <w:color w:val="auto"/>
        </w:rPr>
      </w:pPr>
    </w:p>
    <w:p>
      <w:pPr>
        <w:ind w:left="980" w:right="180" w:firstLine="408"/>
        <w:spacing w:after="0" w:line="277" w:lineRule="auto"/>
        <w:tabs>
          <w:tab w:leader="none" w:pos="16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the outstanding Securities or to surrender any rights the Company has under this Indenture;</w:t>
      </w:r>
    </w:p>
    <w:p>
      <w:pPr>
        <w:spacing w:after="0" w:line="62" w:lineRule="exact"/>
        <w:rPr>
          <w:rFonts w:ascii="Arial" w:cs="Arial" w:eastAsia="Arial" w:hAnsi="Arial"/>
          <w:sz w:val="18"/>
          <w:szCs w:val="18"/>
          <w:color w:val="auto"/>
        </w:rPr>
      </w:pPr>
    </w:p>
    <w:p>
      <w:pPr>
        <w:ind w:left="980" w:right="240" w:firstLine="408"/>
        <w:spacing w:after="0" w:line="263" w:lineRule="auto"/>
        <w:tabs>
          <w:tab w:leader="none" w:pos="16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Securities;</w:t>
      </w:r>
    </w:p>
    <w:p>
      <w:pPr>
        <w:spacing w:after="0" w:line="117" w:lineRule="exact"/>
        <w:rPr>
          <w:rFonts w:ascii="Arial" w:cs="Arial" w:eastAsia="Arial" w:hAnsi="Arial"/>
          <w:sz w:val="18"/>
          <w:szCs w:val="18"/>
          <w:color w:val="auto"/>
        </w:rPr>
      </w:pPr>
    </w:p>
    <w:p>
      <w:pPr>
        <w:jc w:val="both"/>
        <w:ind w:left="980" w:right="340" w:firstLine="408"/>
        <w:spacing w:after="0" w:line="263" w:lineRule="auto"/>
        <w:tabs>
          <w:tab w:leader="none" w:pos="16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to issue additional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Securities have the same terms (other than the issue date, date from which interest accrues, first interest payment date and restrictions on transfer) as, and will be deemed part of the same Series as, the applicable Series of Securities to the extent required under this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57" w:name="page158"/>
    <w:bookmarkEnd w:id="157"/>
    <w:p>
      <w:pPr>
        <w:ind w:left="980" w:right="40" w:firstLine="408"/>
        <w:spacing w:after="0" w:line="263" w:lineRule="auto"/>
        <w:tabs>
          <w:tab w:leader="none" w:pos="17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evidence and provide for the acceptance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75" w:lineRule="exact"/>
        <w:rPr>
          <w:rFonts w:ascii="Arial" w:cs="Arial" w:eastAsia="Arial" w:hAnsi="Arial"/>
          <w:sz w:val="18"/>
          <w:szCs w:val="18"/>
          <w:color w:val="auto"/>
        </w:rPr>
      </w:pPr>
    </w:p>
    <w:p>
      <w:pPr>
        <w:ind w:left="1720" w:hanging="332"/>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Securities; and</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This Indenture or the Securities of a Series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 (other than in respect of a provision contained in this Indenture that cannot be modified or amended without the consent of the Holder of each outstanding Security affected thereby).</w:t>
      </w:r>
    </w:p>
    <w:p>
      <w:pPr>
        <w:spacing w:after="0" w:line="166"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w:t>
      </w:r>
    </w:p>
    <w:p>
      <w:pPr>
        <w:spacing w:after="0" w:line="184"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Without the consent of each Holder of outstanding Securities of a Series, an amendment, supplement or waiver may not (with respect to any Securities of such Series held by a non-consenting Holder):</w:t>
      </w:r>
    </w:p>
    <w:p>
      <w:pPr>
        <w:spacing w:after="0" w:line="62" w:lineRule="exact"/>
        <w:rPr>
          <w:sz w:val="20"/>
          <w:szCs w:val="20"/>
          <w:color w:val="auto"/>
        </w:rPr>
      </w:pPr>
    </w:p>
    <w:p>
      <w:pPr>
        <w:ind w:left="1640" w:hanging="252"/>
        <w:spacing w:after="0"/>
        <w:tabs>
          <w:tab w:leader="none" w:pos="1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reduce the amount of the Securities of such Series whose Holders must consent to an amendment, supplement or waiver;</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Securities of such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58" w:name="page159"/>
    <w:bookmarkEnd w:id="158"/>
    <w:p>
      <w:pPr>
        <w:ind w:left="1640" w:hanging="252"/>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reduce the principal of the Securities of such Series or change the Stated Maturity of the Securities of such Series;</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make payments on the Securities of such Series payable in currency other than as originally stated in such Securities;</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modify the subordination provisions of the Security of such Series in a manner adverse in any material respect to the Holder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1640" w:hanging="252"/>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Securities of such Series;</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6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make any change in the percentage of aggregate principal amount of the Securities of such Series necessary to waive compliance with Sections 6.8 and 6.13 of this Indenture or to make any change in this Section 9.3(9); or</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Securities of such Series.</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In the event that consent is obtained from some of the Holders but not from all of the Holders with respect to any amendments or waivers pursuant to clauses (1) through (10)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59" w:name="page160"/>
    <w:bookmarkEnd w:id="159"/>
    <w:p>
      <w:pPr>
        <w:ind w:right="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(1) through (10)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It will not be necessary for the consent of the Holders to approve the particular form of any proposed supplement, amendment or waiver, but it will be sufficient if such consent approves the substance of it.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11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Any request, direction, instruction, demand, document, notice or communication by the Company or the Trustee to the other, or by a Holder to the Company or the Trustee, shall be in English and in writing and delivered in person, mailed by first-class mail or delivered by overnight courier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Andrew L. Fabens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the Trustee:</w:t>
      </w:r>
    </w:p>
    <w:p>
      <w:pPr>
        <w:spacing w:after="0" w:line="252" w:lineRule="exact"/>
        <w:rPr>
          <w:sz w:val="20"/>
          <w:szCs w:val="20"/>
          <w:color w:val="auto"/>
        </w:rPr>
      </w:pPr>
    </w:p>
    <w:p>
      <w:pPr>
        <w:ind w:left="2620" w:hanging="1004"/>
        <w:spacing w:after="0"/>
        <w:tabs>
          <w:tab w:leader="none" w:pos="2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620" w:hanging="1004"/>
        <w:spacing w:after="0"/>
        <w:tabs>
          <w:tab w:leader="none" w:pos="2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1004"/>
        <w:spacing w:after="0"/>
        <w:tabs>
          <w:tab w:leader="none" w:pos="2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620"/>
        <w:spacing w:after="0"/>
        <w:tabs>
          <w:tab w:leader="none" w:pos="334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2620" w:hanging="1004"/>
        <w:spacing w:after="0"/>
        <w:tabs>
          <w:tab w:leader="none" w:pos="2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620" w:hanging="1004"/>
        <w:spacing w:after="0"/>
        <w:tabs>
          <w:tab w:leader="none" w:pos="2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1004"/>
        <w:spacing w:after="0"/>
        <w:tabs>
          <w:tab w:leader="none" w:pos="2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1620"/>
        <w:spacing w:after="0"/>
        <w:tabs>
          <w:tab w:leader="none" w:pos="334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If a notice or communication to any Securityholder is given in the manner provided above, within the time prescribed, it is duly given, whether or not the Securityholder receives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mails a notice or communication to Securityholders, it shall mail a copy to the Trustee and each Agent at the same time.</w:t>
      </w:r>
    </w:p>
    <w:p>
      <w:pPr>
        <w:spacing w:after="0" w:line="248"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80"/>
          </w:cols>
          <w:pgMar w:left="440" w:top="274" w:right="579" w:bottom="1440" w:gutter="0" w:footer="0" w:header="0"/>
        </w:sectPr>
      </w:pPr>
    </w:p>
    <w:bookmarkStart w:id="161" w:name="page162"/>
    <w:bookmarkEnd w:id="1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117"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16" w:lineRule="exact"/>
        <w:rPr>
          <w:sz w:val="20"/>
          <w:szCs w:val="20"/>
          <w:color w:val="auto"/>
        </w:rPr>
      </w:pPr>
    </w:p>
    <w:p>
      <w:pPr>
        <w:ind w:left="1960" w:hanging="533"/>
        <w:spacing w:after="0" w:line="342" w:lineRule="auto"/>
        <w:tabs>
          <w:tab w:leader="none" w:pos="1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29" w:lineRule="exact"/>
        <w:rPr>
          <w:rFonts w:ascii="Arial" w:cs="Arial" w:eastAsia="Arial" w:hAnsi="Arial"/>
          <w:sz w:val="16"/>
          <w:szCs w:val="16"/>
          <w:color w:val="auto"/>
        </w:rPr>
      </w:pPr>
    </w:p>
    <w:p>
      <w:pPr>
        <w:ind w:left="1960" w:right="440" w:hanging="533"/>
        <w:spacing w:after="0" w:line="277" w:lineRule="auto"/>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10.4) stating that, in the opinion of such counsel, all such conditions precedent have been complied with.</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jc w:val="both"/>
        <w:ind w:right="80" w:firstLine="991"/>
        <w:spacing w:after="0" w:line="342" w:lineRule="auto"/>
        <w:rPr>
          <w:sz w:val="20"/>
          <w:szCs w:val="20"/>
          <w:color w:val="auto"/>
        </w:rPr>
      </w:pPr>
      <w:r>
        <w:rPr>
          <w:rFonts w:ascii="Arial" w:cs="Arial" w:eastAsia="Arial" w:hAnsi="Arial"/>
          <w:sz w:val="16"/>
          <w:szCs w:val="16"/>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29" w:lineRule="exact"/>
        <w:rPr>
          <w:sz w:val="20"/>
          <w:szCs w:val="20"/>
          <w:color w:val="auto"/>
        </w:rPr>
      </w:pPr>
    </w:p>
    <w:p>
      <w:pPr>
        <w:ind w:left="1960" w:hanging="533"/>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30" w:lineRule="exact"/>
        <w:rPr>
          <w:rFonts w:ascii="Arial" w:cs="Arial" w:eastAsia="Arial" w:hAnsi="Arial"/>
          <w:sz w:val="18"/>
          <w:szCs w:val="18"/>
          <w:color w:val="auto"/>
        </w:rPr>
      </w:pPr>
    </w:p>
    <w:p>
      <w:pPr>
        <w:ind w:left="1960" w:right="500" w:hanging="533"/>
        <w:spacing w:after="0" w:line="277" w:lineRule="auto"/>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1960" w:right="60" w:hanging="533"/>
        <w:spacing w:after="0" w:line="342" w:lineRule="auto"/>
        <w:tabs>
          <w:tab w:leader="none" w:pos="1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29" w:lineRule="exact"/>
        <w:rPr>
          <w:rFonts w:ascii="Arial" w:cs="Arial" w:eastAsia="Arial" w:hAnsi="Arial"/>
          <w:sz w:val="16"/>
          <w:szCs w:val="16"/>
          <w:color w:val="auto"/>
        </w:rPr>
      </w:pPr>
    </w:p>
    <w:p>
      <w:pPr>
        <w:ind w:left="1960" w:hanging="533"/>
        <w:spacing w:after="0"/>
        <w:tabs>
          <w:tab w:leader="none" w:pos="19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condition or covenant has been complied with.</w:t>
      </w: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162" w:name="page163"/>
    <w:bookmarkEnd w:id="1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If a payment date is not a Business Day, payment may be made at that place on the next succeeding day that is a Business Day, and no interest shall accrue for the intervening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Stockholders and Certain Others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79" w:lineRule="auto"/>
        <w:rPr>
          <w:sz w:val="20"/>
          <w:szCs w:val="20"/>
          <w:color w:val="auto"/>
        </w:rPr>
      </w:pPr>
      <w:r>
        <w:rPr>
          <w:rFonts w:ascii="Arial" w:cs="Arial" w:eastAsia="Arial" w:hAnsi="Arial"/>
          <w:sz w:val="17"/>
          <w:szCs w:val="17"/>
          <w:color w:val="auto"/>
        </w:rPr>
        <w:t>No director, officer, employee, stockholder, incorporator or similar founder of the Company will have any liability for or any obligations of the Company under this Indenture or the Securities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FATCA</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Company agrees that if reasonably requested in writing by the Trustee or any Agent (for purposes of this Section 10.8, the “</w:t>
      </w:r>
      <w:r>
        <w:rPr>
          <w:rFonts w:ascii="Arial" w:cs="Arial" w:eastAsia="Arial" w:hAnsi="Arial"/>
          <w:sz w:val="17"/>
          <w:szCs w:val="17"/>
          <w:i w:val="1"/>
          <w:iCs w:val="1"/>
          <w:color w:val="auto"/>
        </w:rPr>
        <w:t>Trustee</w:t>
      </w:r>
      <w:r>
        <w:rPr>
          <w:rFonts w:ascii="Arial" w:cs="Arial" w:eastAsia="Arial" w:hAnsi="Arial"/>
          <w:sz w:val="17"/>
          <w:szCs w:val="17"/>
          <w:color w:val="auto"/>
        </w:rPr>
        <w:t>”), the Company shall provide such information as is reasonably necessary for the Trustee to comply with the requirements of Sections 1471 to 1474 of the Internal Revenue Code of 1986, as amended, and any current or future regulations or official interpretations thereof (collectively, “</w:t>
      </w:r>
      <w:r>
        <w:rPr>
          <w:rFonts w:ascii="Arial" w:cs="Arial" w:eastAsia="Arial" w:hAnsi="Arial"/>
          <w:sz w:val="17"/>
          <w:szCs w:val="17"/>
          <w:i w:val="1"/>
          <w:iCs w:val="1"/>
          <w:color w:val="auto"/>
        </w:rPr>
        <w:t>FATCA</w:t>
      </w:r>
      <w:r>
        <w:rPr>
          <w:rFonts w:ascii="Arial" w:cs="Arial" w:eastAsia="Arial" w:hAnsi="Arial"/>
          <w:sz w:val="17"/>
          <w:szCs w:val="17"/>
          <w:color w:val="auto"/>
        </w:rPr>
        <w:t>”), in relation to a payment made under the Indenture or the Securities; provided, however, that the Company shall not be required to provide any information that it is prohibited from disclosing. The Trustee shall be entitled to make any withholding or deduction from payments under the Indenture or the Securities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 or as a result of the Company’s failure to provide information reasonably requested in writing by the Trustee pursuant to the first sentence of this Section 10.8.</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one and the same instrument. Delivery of an executed counterpart of a signature page of this Indenture by facsimile or in electronic format shall be effective as delivery of a manually executed counterpart of this Indenture.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113"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163" w:name="page164"/>
    <w:bookmarkEnd w:id="16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any Subsidiary of the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31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respective successors. All agreements of the Trustee in this Indenture shall bind its successor.</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117" w:lineRule="exact"/>
        <w:rPr>
          <w:sz w:val="20"/>
          <w:szCs w:val="20"/>
          <w:color w:val="auto"/>
        </w:rPr>
      </w:pPr>
    </w:p>
    <w:p>
      <w:pPr>
        <w:ind w:left="4" w:right="560" w:firstLine="991"/>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2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ind w:left="4" w:right="120" w:firstLine="991"/>
        <w:spacing w:after="0" w:line="284"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this Indenture or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w:t>
      </w:r>
    </w:p>
    <w:p>
      <w:pPr>
        <w:spacing w:after="0" w:line="2" w:lineRule="exact"/>
        <w:rPr>
          <w:sz w:val="20"/>
          <w:szCs w:val="20"/>
          <w:color w:val="auto"/>
        </w:rPr>
      </w:pPr>
    </w:p>
    <w:p>
      <w:pPr>
        <w:ind w:left="4" w:hanging="4"/>
        <w:spacing w:after="0" w:line="252" w:lineRule="auto"/>
        <w:tabs>
          <w:tab w:leader="none" w:pos="25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8"/>
          <w:szCs w:val="18"/>
          <w:i w:val="1"/>
          <w:iCs w:val="1"/>
          <w:color w:val="auto"/>
        </w:rPr>
        <w:t>New York Banking Day</w:t>
      </w:r>
      <w:r>
        <w:rPr>
          <w:rFonts w:ascii="Arial" w:cs="Arial" w:eastAsia="Arial" w:hAnsi="Arial"/>
          <w:sz w:val="18"/>
          <w:szCs w:val="18"/>
          <w:color w:val="auto"/>
        </w:rPr>
        <w:t>” means any Business Day.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4" w:right="43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10.16.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Any suit, action or proceeding against the Company or its respective properties, assets or revenues with respect to this Indenture or the Securities (a “</w:t>
      </w:r>
      <w:r>
        <w:rPr>
          <w:rFonts w:ascii="Arial" w:cs="Arial" w:eastAsia="Arial" w:hAnsi="Arial"/>
          <w:sz w:val="17"/>
          <w:szCs w:val="17"/>
          <w:i w:val="1"/>
          <w:iCs w:val="1"/>
          <w:color w:val="auto"/>
        </w:rPr>
        <w:t>Related Proceeding</w:t>
      </w:r>
      <w:r>
        <w:rPr>
          <w:rFonts w:ascii="Arial" w:cs="Arial" w:eastAsia="Arial" w:hAnsi="Arial"/>
          <w:sz w:val="17"/>
          <w:szCs w:val="17"/>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Limited, 5599 San Felipe Street, 17th Floor, Houston, Texas 77056 Attention: Vice President Treasurer (the “</w:t>
      </w:r>
      <w:r>
        <w:rPr>
          <w:rFonts w:ascii="Arial" w:cs="Arial" w:eastAsia="Arial" w:hAnsi="Arial"/>
          <w:sz w:val="17"/>
          <w:szCs w:val="17"/>
          <w:i w:val="1"/>
          <w:iCs w:val="1"/>
          <w:color w:val="auto"/>
        </w:rPr>
        <w:t>Process Agent</w:t>
      </w:r>
      <w:r>
        <w:rPr>
          <w:rFonts w:ascii="Arial" w:cs="Arial" w:eastAsia="Arial" w:hAnsi="Arial"/>
          <w:sz w:val="17"/>
          <w:szCs w:val="17"/>
          <w:color w:val="auto"/>
        </w:rPr>
        <w:t>”). The Company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3"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EACH OF THE COMPANY AND THE TRUSTEE HERETO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any provision of this Indenture limits, qualifies or conflicts with the duties imposed by operation of TIA § 318(c), the imposed duties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shall control.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SUBORDINATION OF SECURITIES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Securities of a Series issued hereunder shall be subordinated in right of payment to the extent provided in the subordination terms with respect to the Securities of such Series that are established pursuant to Section 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 the day and year first above written.</w:t>
      </w:r>
    </w:p>
    <w:p>
      <w:pPr>
        <w:spacing w:after="0" w:line="200" w:lineRule="exact"/>
        <w:rPr>
          <w:sz w:val="20"/>
          <w:szCs w:val="20"/>
          <w:color w:val="auto"/>
        </w:rPr>
      </w:pPr>
    </w:p>
    <w:p>
      <w:pPr>
        <w:spacing w:after="0" w:line="2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Base Indenture</w:t>
      </w:r>
    </w:p>
    <w:p>
      <w:pPr>
        <w:sectPr>
          <w:pgSz w:w="11900" w:h="16838" w:orient="portrait"/>
          <w:cols w:equalWidth="0" w:num="1">
            <w:col w:w="9680"/>
          </w:cols>
          <w:pgMar w:left="1420" w:top="274" w:right="799" w:bottom="1440" w:gutter="0" w:footer="0" w:header="0"/>
        </w:sectPr>
      </w:pPr>
    </w:p>
    <w:bookmarkStart w:id="167" w:name="page168"/>
    <w:bookmarkEnd w:id="16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Base Indenture</w:t>
      </w:r>
    </w:p>
    <w:p>
      <w:pPr>
        <w:sectPr>
          <w:pgSz w:w="11900" w:h="16838" w:orient="portrait"/>
          <w:cols w:equalWidth="0" w:num="1">
            <w:col w:w="9019"/>
          </w:cols>
          <w:pgMar w:left="1440" w:top="486"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023110" cy="316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2023110" cy="316865"/>
                    </a:xfrm>
                    <a:prstGeom prst="rect">
                      <a:avLst/>
                    </a:prstGeom>
                    <a:noFill/>
                  </pic:spPr>
                </pic:pic>
              </a:graphicData>
            </a:graphic>
          </wp:anchor>
        </w:drawing>
      </w:r>
    </w:p>
    <w:p>
      <w:pPr>
        <w:spacing w:after="0" w:line="11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200 Park Avenue</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New York, NY 10166-0193</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Tel 212.351.4000</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www.gibsondunn.com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October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38" w:lineRule="exact"/>
        <w:rPr>
          <w:sz w:val="20"/>
          <w:szCs w:val="20"/>
          <w:color w:val="auto"/>
        </w:rPr>
      </w:pPr>
    </w:p>
    <w:p>
      <w:pPr>
        <w:jc w:val="center"/>
        <w:ind w:right="6100"/>
        <w:spacing w:after="0"/>
        <w:tabs>
          <w:tab w:leader="none" w:pos="2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Schlumberger N.V. (Schlumberger Limited)</w:t>
      </w:r>
    </w:p>
    <w:p>
      <w:pPr>
        <w:spacing w:after="0" w:line="23" w:lineRule="exact"/>
        <w:rPr>
          <w:sz w:val="20"/>
          <w:szCs w:val="20"/>
          <w:color w:val="auto"/>
        </w:rPr>
      </w:pPr>
    </w:p>
    <w:p>
      <w:pPr>
        <w:jc w:val="center"/>
        <w:ind w:right="6500"/>
        <w:spacing w:after="0"/>
        <w:rPr>
          <w:sz w:val="20"/>
          <w:szCs w:val="20"/>
          <w:color w:val="auto"/>
        </w:rPr>
      </w:pPr>
      <w:r>
        <w:rPr>
          <w:rFonts w:ascii="Arial" w:cs="Arial" w:eastAsia="Arial" w:hAnsi="Arial"/>
          <w:sz w:val="18"/>
          <w:szCs w:val="18"/>
          <w:i w:val="1"/>
          <w:iCs w:val="1"/>
          <w:color w:val="auto"/>
        </w:rPr>
        <w:t>RegistrationStatement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We have acted as counsel to Schlumberger N.V. (Schlumberger Limited), a Curaçao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151" w:lineRule="exact"/>
        <w:rPr>
          <w:sz w:val="20"/>
          <w:szCs w:val="20"/>
          <w:color w:val="auto"/>
        </w:rPr>
      </w:pPr>
    </w:p>
    <w:p>
      <w:pPr>
        <w:ind w:right="220" w:firstLine="436"/>
        <w:spacing w:after="0" w:line="282"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Company’s debt securities, which may either be senior debt securities (the “</w:t>
      </w:r>
      <w:r>
        <w:rPr>
          <w:rFonts w:ascii="Arial" w:cs="Arial" w:eastAsia="Arial" w:hAnsi="Arial"/>
          <w:sz w:val="18"/>
          <w:szCs w:val="18"/>
          <w:b w:val="1"/>
          <w:bCs w:val="1"/>
          <w:color w:val="auto"/>
        </w:rPr>
        <w:t>Senior Debt Securities</w:t>
      </w:r>
      <w:r>
        <w:rPr>
          <w:rFonts w:ascii="Arial" w:cs="Arial" w:eastAsia="Arial" w:hAnsi="Arial"/>
          <w:sz w:val="18"/>
          <w:szCs w:val="18"/>
          <w:color w:val="auto"/>
        </w:rPr>
        <w:t>”) or subordinated debt securities (the “</w:t>
      </w:r>
      <w:r>
        <w:rPr>
          <w:rFonts w:ascii="Arial" w:cs="Arial" w:eastAsia="Arial" w:hAnsi="Arial"/>
          <w:sz w:val="18"/>
          <w:szCs w:val="18"/>
          <w:b w:val="1"/>
          <w:bCs w:val="1"/>
          <w:color w:val="auto"/>
        </w:rPr>
        <w:t>Subordinated Debt Securities</w:t>
      </w:r>
      <w:r>
        <w:rPr>
          <w:rFonts w:ascii="Arial" w:cs="Arial" w:eastAsia="Arial" w:hAnsi="Arial"/>
          <w:sz w:val="18"/>
          <w:szCs w:val="18"/>
          <w:color w:val="auto"/>
        </w:rPr>
        <w:t>” and, collectively with the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00" w:hanging="264"/>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guarantees of debt securities (the “</w:t>
      </w:r>
      <w:r>
        <w:rPr>
          <w:rFonts w:ascii="Arial" w:cs="Arial" w:eastAsia="Arial" w:hAnsi="Arial"/>
          <w:sz w:val="18"/>
          <w:szCs w:val="18"/>
          <w:b w:val="1"/>
          <w:bCs w:val="1"/>
          <w:color w:val="auto"/>
        </w:rPr>
        <w:t>Guarantees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shares of the Company’s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Debt Securities, Guarantees and Common Stock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Any Senior Debt Securities are to be issued under an indenture to be entered into between the Company and a financial institution to be named at the time such indenture is executed (the “</w:t>
      </w:r>
      <w:r>
        <w:rPr>
          <w:rFonts w:ascii="Arial" w:cs="Arial" w:eastAsia="Arial" w:hAnsi="Arial"/>
          <w:sz w:val="18"/>
          <w:szCs w:val="18"/>
          <w:b w:val="1"/>
          <w:bCs w:val="1"/>
          <w:color w:val="auto"/>
        </w:rPr>
        <w:t>Trust</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as indenture trustee (the “</w:t>
      </w:r>
      <w:r>
        <w:rPr>
          <w:rFonts w:ascii="Arial" w:cs="Arial" w:eastAsia="Arial" w:hAnsi="Arial"/>
          <w:sz w:val="18"/>
          <w:szCs w:val="18"/>
          <w:b w:val="1"/>
          <w:bCs w:val="1"/>
          <w:color w:val="auto"/>
        </w:rPr>
        <w:t>Senior Base Indenture</w:t>
      </w:r>
      <w:r>
        <w:rPr>
          <w:rFonts w:ascii="Arial" w:cs="Arial" w:eastAsia="Arial" w:hAnsi="Arial"/>
          <w:sz w:val="18"/>
          <w:szCs w:val="18"/>
          <w:color w:val="auto"/>
        </w:rPr>
        <w:t>”). Any Subordinated Debt Securities are to be issued under an indenture to be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between the Company and Trust Company, as indenture trustee (the “</w:t>
      </w:r>
      <w:r>
        <w:rPr>
          <w:rFonts w:ascii="Arial" w:cs="Arial" w:eastAsia="Arial" w:hAnsi="Arial"/>
          <w:sz w:val="18"/>
          <w:szCs w:val="18"/>
          <w:b w:val="1"/>
          <w:bCs w:val="1"/>
          <w:color w:val="auto"/>
        </w:rPr>
        <w:t>Subordinated Base Indenture</w:t>
      </w:r>
      <w:r>
        <w:rPr>
          <w:rFonts w:ascii="Arial" w:cs="Arial" w:eastAsia="Arial" w:hAnsi="Arial"/>
          <w:sz w:val="18"/>
          <w:szCs w:val="18"/>
          <w:color w:val="auto"/>
        </w:rPr>
        <w:t>” and, together with the Senior Base Indenture, the “</w:t>
      </w:r>
      <w:r>
        <w:rPr>
          <w:rFonts w:ascii="Arial" w:cs="Arial" w:eastAsia="Arial" w:hAnsi="Arial"/>
          <w:sz w:val="18"/>
          <w:szCs w:val="18"/>
          <w:b w:val="1"/>
          <w:bCs w:val="1"/>
          <w:color w:val="auto"/>
        </w:rPr>
        <w:t>Base Indentures</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Beijing • Brussels • Century City • Dallas • Denver • Dubai • Frankfurt • Hong Kong • Houston • London • Los Angeles • Munich</w:t>
      </w:r>
    </w:p>
    <w:p>
      <w:pPr>
        <w:jc w:val="center"/>
        <w:spacing w:after="0"/>
        <w:rPr>
          <w:sz w:val="20"/>
          <w:szCs w:val="20"/>
          <w:color w:val="auto"/>
        </w:rPr>
      </w:pPr>
      <w:r>
        <w:rPr>
          <w:rFonts w:ascii="Arial" w:cs="Arial" w:eastAsia="Arial" w:hAnsi="Arial"/>
          <w:sz w:val="14"/>
          <w:szCs w:val="14"/>
          <w:color w:val="auto"/>
        </w:rPr>
        <w:t>New York • Orange Country • Palo Alto • Paris • San Francisco • São Paulo • Singapore • Washington, D.C.</w:t>
      </w:r>
    </w:p>
    <w:p>
      <w:pPr>
        <w:sectPr>
          <w:pgSz w:w="11900" w:h="16838" w:orient="portrait"/>
          <w:cols w:equalWidth="0" w:num="1">
            <w:col w:w="11020"/>
          </w:cols>
          <w:pgMar w:left="440" w:top="121"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23110" cy="317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2023110" cy="317500"/>
                    </a:xfrm>
                    <a:prstGeom prst="rect">
                      <a:avLst/>
                    </a:prstGeom>
                    <a:noFill/>
                  </pic:spPr>
                </pic:pic>
              </a:graphicData>
            </a:graphic>
          </wp:anchor>
        </w:drawing>
        <w:t>Schlumberger N.V.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arriving at the opinions expressed below, we have examined originals, or copies certified or otherwise identified to our satisfaction as being true and complete copies of the originals, of the form of Senior Base Indenture filed as Exhibit 4.2 to the Registration Statement, the form of Subordinated Base Indenture filed as Exhibit 4.3 to the Registration Statement,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not admitted or qualified to practice law in Curaçao. Therefore, we have relied upon the opinion of STvB Advocaten (Europe) N.V., filed as an exhibit to the Registration Statement, with respect to matters governed by the laws of Curaçao.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assumed without independent investigation that:</w:t>
      </w:r>
    </w:p>
    <w:p>
      <w:pPr>
        <w:spacing w:after="0" w:line="221" w:lineRule="exact"/>
        <w:rPr>
          <w:sz w:val="20"/>
          <w:szCs w:val="20"/>
          <w:color w:val="auto"/>
        </w:rPr>
      </w:pPr>
    </w:p>
    <w:p>
      <w:pPr>
        <w:ind w:right="780" w:firstLine="436"/>
        <w:spacing w:after="0" w:line="347" w:lineRule="auto"/>
        <w:tabs>
          <w:tab w:leader="none" w:pos="6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at the time any Securities are sold pursuant to the Registration Statement (the “</w:t>
      </w:r>
      <w:r>
        <w:rPr>
          <w:rFonts w:ascii="Arial" w:cs="Arial" w:eastAsia="Arial" w:hAnsi="Arial"/>
          <w:sz w:val="16"/>
          <w:szCs w:val="16"/>
          <w:b w:val="1"/>
          <w:bCs w:val="1"/>
          <w:color w:val="auto"/>
        </w:rPr>
        <w:t>Relevant Time</w:t>
      </w:r>
      <w:r>
        <w:rPr>
          <w:rFonts w:ascii="Arial" w:cs="Arial" w:eastAsia="Arial" w:hAnsi="Arial"/>
          <w:sz w:val="16"/>
          <w:szCs w:val="16"/>
          <w:color w:val="auto"/>
        </w:rPr>
        <w:t>”), the Registration Statement and any supplements and amendments thereto (including post-effective amendments) will be effective and will comply with all applicable laws;</w:t>
      </w:r>
    </w:p>
    <w:p>
      <w:pPr>
        <w:spacing w:after="0" w:line="119" w:lineRule="exact"/>
        <w:rPr>
          <w:rFonts w:ascii="Arial" w:cs="Arial" w:eastAsia="Arial" w:hAnsi="Arial"/>
          <w:sz w:val="16"/>
          <w:szCs w:val="16"/>
          <w:color w:val="auto"/>
        </w:rPr>
      </w:pPr>
    </w:p>
    <w:p>
      <w:pPr>
        <w:ind w:right="520" w:firstLine="436"/>
        <w:spacing w:after="0" w:line="277"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all Securities will be issued and sold in the manner stated in the Registration Statement and the applicable prospectus supplement;</w:t>
      </w:r>
    </w:p>
    <w:p>
      <w:pPr>
        <w:spacing w:after="0" w:line="236" w:lineRule="exact"/>
        <w:rPr>
          <w:rFonts w:ascii="Arial" w:cs="Arial" w:eastAsia="Arial" w:hAnsi="Arial"/>
          <w:sz w:val="17"/>
          <w:szCs w:val="17"/>
          <w:color w:val="auto"/>
        </w:rPr>
      </w:pPr>
    </w:p>
    <w:p>
      <w:pPr>
        <w:ind w:firstLine="436"/>
        <w:spacing w:after="0" w:line="311" w:lineRule="auto"/>
        <w:tabs>
          <w:tab w:leader="none" w:pos="74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at the Relevant Time, all corporate or other action required to be taken by the Company to duly authorize each proposed issuance of Securities and any related documentation (including the execution (in the case of certificated Securities), delivery and performance of the Securities and any related documentation referred to in paragraphs 1 and 2 below) shall have been duly completed and shall remain in full force and effect;</w:t>
      </w:r>
    </w:p>
    <w:p>
      <w:pPr>
        <w:sectPr>
          <w:pgSz w:w="11900" w:h="16838" w:orient="portrait"/>
          <w:cols w:equalWidth="0" w:num="1">
            <w:col w:w="10980"/>
          </w:cols>
          <w:pgMar w:left="440" w:top="1205" w:right="479" w:bottom="1440" w:gutter="0" w:footer="0" w:header="0"/>
        </w:sectPr>
      </w:pPr>
    </w:p>
    <w:bookmarkStart w:id="170" w:name="page171"/>
    <w:bookmarkEnd w:id="17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23110" cy="3175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2023110" cy="317500"/>
                    </a:xfrm>
                    <a:prstGeom prst="rect">
                      <a:avLst/>
                    </a:prstGeom>
                    <a:noFill/>
                  </pic:spPr>
                </pic:pic>
              </a:graphicData>
            </a:graphic>
          </wp:anchor>
        </w:drawing>
        <w:t>Schlumberger N.V. (Schlumberger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40" w:firstLine="436"/>
        <w:spacing w:after="0" w:line="311" w:lineRule="auto"/>
        <w:tabs>
          <w:tab w:leader="none" w:pos="69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case of Debt Securities and Guarantees, at the Relevant Time, the relevant trustee shall have been qualified under the Trust Indenture Act of 1939, as amended (the “</w:t>
      </w:r>
      <w:r>
        <w:rPr>
          <w:rFonts w:ascii="Arial" w:cs="Arial" w:eastAsia="Arial" w:hAnsi="Arial"/>
          <w:sz w:val="16"/>
          <w:szCs w:val="16"/>
          <w:b w:val="1"/>
          <w:bCs w:val="1"/>
          <w:color w:val="auto"/>
        </w:rPr>
        <w:t>TIA</w:t>
      </w:r>
      <w:r>
        <w:rPr>
          <w:rFonts w:ascii="Arial" w:cs="Arial" w:eastAsia="Arial" w:hAnsi="Arial"/>
          <w:sz w:val="16"/>
          <w:szCs w:val="16"/>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148" w:lineRule="exact"/>
        <w:rPr>
          <w:rFonts w:ascii="Arial" w:cs="Arial" w:eastAsia="Arial" w:hAnsi="Arial"/>
          <w:sz w:val="16"/>
          <w:szCs w:val="16"/>
          <w:color w:val="auto"/>
        </w:rPr>
      </w:pPr>
    </w:p>
    <w:p>
      <w:pPr>
        <w:ind w:left="4" w:right="180" w:firstLine="436"/>
        <w:spacing w:after="0" w:line="263" w:lineRule="auto"/>
        <w:tabs>
          <w:tab w:leader="none" w:pos="7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184"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exceptions, qualifications and limitations set forth herein, we are of the opinion that:</w:t>
      </w:r>
    </w:p>
    <w:p>
      <w:pPr>
        <w:spacing w:after="0" w:line="76" w:lineRule="exact"/>
        <w:rPr>
          <w:sz w:val="20"/>
          <w:szCs w:val="20"/>
          <w:color w:val="auto"/>
        </w:rPr>
      </w:pPr>
    </w:p>
    <w:p>
      <w:pPr>
        <w:ind w:left="544" w:hanging="544"/>
        <w:spacing w:after="0"/>
        <w:tabs>
          <w:tab w:leader="none" w:pos="5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any Debt Securities, when:</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relevant Base Indenture has been duly executed and delivered by the Company and the relevant trustee,</w:t>
      </w:r>
    </w:p>
    <w:p>
      <w:pPr>
        <w:spacing w:after="0" w:line="130" w:lineRule="exact"/>
        <w:rPr>
          <w:rFonts w:ascii="Arial" w:cs="Arial" w:eastAsia="Arial" w:hAnsi="Arial"/>
          <w:sz w:val="18"/>
          <w:szCs w:val="18"/>
          <w:color w:val="auto"/>
        </w:rPr>
      </w:pPr>
    </w:p>
    <w:p>
      <w:pPr>
        <w:ind w:left="1184" w:right="580" w:hanging="644"/>
        <w:spacing w:after="0" w:line="277" w:lineRule="auto"/>
        <w:tabs>
          <w:tab w:leader="none" w:pos="11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terms and conditions of such Debt Securities have been duly established by supplemental indenture or officer’s certificate in accordance with the terms and conditions of the relevant Base Indenture,</w:t>
      </w:r>
    </w:p>
    <w:p>
      <w:pPr>
        <w:spacing w:after="0" w:line="75" w:lineRule="exact"/>
        <w:rPr>
          <w:rFonts w:ascii="Arial" w:cs="Arial" w:eastAsia="Arial" w:hAnsi="Arial"/>
          <w:sz w:val="18"/>
          <w:szCs w:val="18"/>
          <w:color w:val="auto"/>
        </w:rPr>
      </w:pPr>
    </w:p>
    <w:p>
      <w:pPr>
        <w:ind w:left="1184" w:right="420" w:hanging="644"/>
        <w:spacing w:after="0" w:line="277" w:lineRule="auto"/>
        <w:tabs>
          <w:tab w:leader="none" w:pos="11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such supplemental indenture has been duly executed and delivered by the Company and the relevant trustee (together with the relevant Base Indenture, the relevant “</w:t>
      </w:r>
      <w:r>
        <w:rPr>
          <w:rFonts w:ascii="Arial" w:cs="Arial" w:eastAsia="Arial" w:hAnsi="Arial"/>
          <w:sz w:val="18"/>
          <w:szCs w:val="18"/>
          <w:b w:val="1"/>
          <w:bCs w:val="1"/>
          <w:color w:val="auto"/>
        </w:rPr>
        <w:t>Indenture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4" w:hanging="644"/>
        <w:spacing w:after="0" w:line="259" w:lineRule="auto"/>
        <w:tabs>
          <w:tab w:leader="none" w:pos="11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such Debt Securities have been executed (in the case of certificated Debt Securities), delivered and authenticated in accordance with the terms of the relevant Indenture and issued and sold for the consideration set forth in the applicable definitive purchase, underwriting or similar agreement, such Debt Securities will be legal, valid and binding obligations of the Company, enforceable against the Company in accordance with their respective terms.</w:t>
      </w:r>
    </w:p>
    <w:p>
      <w:pPr>
        <w:spacing w:after="0" w:line="92" w:lineRule="exact"/>
        <w:rPr>
          <w:rFonts w:ascii="Arial" w:cs="Arial" w:eastAsia="Arial" w:hAnsi="Arial"/>
          <w:sz w:val="18"/>
          <w:szCs w:val="18"/>
          <w:color w:val="auto"/>
        </w:rPr>
      </w:pPr>
    </w:p>
    <w:p>
      <w:pPr>
        <w:ind w:left="544" w:hanging="544"/>
        <w:spacing w:after="0"/>
        <w:tabs>
          <w:tab w:leader="none" w:pos="5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any Guarantees, when:</w:t>
      </w:r>
    </w:p>
    <w:p>
      <w:pPr>
        <w:spacing w:after="0" w:line="126" w:lineRule="exact"/>
        <w:rPr>
          <w:rFonts w:ascii="Arial" w:cs="Arial" w:eastAsia="Arial" w:hAnsi="Arial"/>
          <w:sz w:val="18"/>
          <w:szCs w:val="18"/>
          <w:color w:val="auto"/>
        </w:rPr>
      </w:pPr>
    </w:p>
    <w:p>
      <w:pPr>
        <w:ind w:left="1184" w:right="160" w:hanging="644"/>
        <w:spacing w:after="0" w:line="282" w:lineRule="auto"/>
        <w:tabs>
          <w:tab w:leader="none" w:pos="11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guarantee agreement relating to such Guarantees (“</w:t>
      </w:r>
      <w:r>
        <w:rPr>
          <w:rFonts w:ascii="Arial" w:cs="Arial" w:eastAsia="Arial" w:hAnsi="Arial"/>
          <w:sz w:val="18"/>
          <w:szCs w:val="18"/>
          <w:b w:val="1"/>
          <w:bCs w:val="1"/>
          <w:color w:val="auto"/>
        </w:rPr>
        <w:t>Guarantee Agreement</w:t>
      </w:r>
      <w:r>
        <w:rPr>
          <w:rFonts w:ascii="Arial" w:cs="Arial" w:eastAsia="Arial" w:hAnsi="Arial"/>
          <w:sz w:val="18"/>
          <w:szCs w:val="18"/>
          <w:color w:val="auto"/>
        </w:rPr>
        <w:t>”) has been duly executed and delivered by the Company and each other party thereto,</w:t>
      </w:r>
    </w:p>
    <w:p>
      <w:pPr>
        <w:sectPr>
          <w:pgSz w:w="11900" w:h="16838" w:orient="portrait"/>
          <w:cols w:equalWidth="0" w:num="1">
            <w:col w:w="10984"/>
          </w:cols>
          <w:pgMar w:left="436" w:top="1205" w:right="479" w:bottom="1440" w:gutter="0" w:footer="0" w:header="0"/>
        </w:sectPr>
      </w:pPr>
    </w:p>
    <w:bookmarkStart w:id="171" w:name="page172"/>
    <w:bookmarkEnd w:id="17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23110" cy="317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023110" cy="317500"/>
                    </a:xfrm>
                    <a:prstGeom prst="rect">
                      <a:avLst/>
                    </a:prstGeom>
                    <a:noFill/>
                  </pic:spPr>
                </pic:pic>
              </a:graphicData>
            </a:graphic>
          </wp:anchor>
        </w:drawing>
        <w:t>Schlumberger N.V. (Schlumberger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184" w:right="180" w:hanging="644"/>
        <w:spacing w:after="0" w:line="277" w:lineRule="auto"/>
        <w:tabs>
          <w:tab w:leader="none" w:pos="11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terms and conditions of such Guarantees have been duly established in accordance with the terms and conditions of the Guarantee Agreement, and</w:t>
      </w:r>
    </w:p>
    <w:p>
      <w:pPr>
        <w:spacing w:after="0" w:line="75" w:lineRule="exact"/>
        <w:rPr>
          <w:rFonts w:ascii="Arial" w:cs="Arial" w:eastAsia="Arial" w:hAnsi="Arial"/>
          <w:sz w:val="18"/>
          <w:szCs w:val="18"/>
          <w:color w:val="auto"/>
        </w:rPr>
      </w:pPr>
    </w:p>
    <w:p>
      <w:pPr>
        <w:jc w:val="both"/>
        <w:ind w:left="1184" w:hanging="644"/>
        <w:spacing w:after="0" w:line="311" w:lineRule="auto"/>
        <w:tabs>
          <w:tab w:leader="none" w:pos="118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such Guarantees have been duly executed and delivered in accordance with the terms of the applicable Guarantee Agreement and issued and sold for the consideration set forth in the applicable definitive purchase, underwriting or similar agreement, such Guarantees will be legal, valid and binding obligations of the Company, enforceable against the Company in accordance with their respective terms.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exceptions, qualifications, limitations and assumptions:</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 The opinions above with respect to the Indentures, the Debt Securities and the Guarantees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each subject to</w:t>
      </w:r>
    </w:p>
    <w:p>
      <w:pPr>
        <w:spacing w:after="0" w:line="50" w:lineRule="exact"/>
        <w:rPr>
          <w:sz w:val="20"/>
          <w:szCs w:val="20"/>
          <w:color w:val="auto"/>
        </w:rPr>
      </w:pPr>
    </w:p>
    <w:p>
      <w:pPr>
        <w:ind w:left="4" w:right="60" w:hanging="4"/>
        <w:spacing w:after="0" w:line="295" w:lineRule="auto"/>
        <w:tabs>
          <w:tab w:leader="none" w:pos="21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61" w:lineRule="exact"/>
        <w:rPr>
          <w:rFonts w:ascii="Arial" w:cs="Arial" w:eastAsia="Arial" w:hAnsi="Arial"/>
          <w:sz w:val="16"/>
          <w:szCs w:val="16"/>
          <w:color w:val="auto"/>
        </w:rPr>
      </w:pPr>
    </w:p>
    <w:p>
      <w:pPr>
        <w:ind w:left="4" w:right="240" w:firstLine="436"/>
        <w:spacing w:after="0" w:line="254" w:lineRule="auto"/>
        <w:tabs>
          <w:tab w:leader="none" w:pos="65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We express no opinion regarding the effectiveness of (i) any waiver of stay, extension or usury laws or of unknown future rights; (ii) any waiver (whether or not stated as such) under any Indenture or any other Document of, or any consent thereunder relating to, unknown future rights or the rights of any party thereto existing, or duties owing to it, as a matter of law; (iii) any waiver (whether or not stated as such) contained in any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w:t>
      </w:r>
    </w:p>
    <w:p>
      <w:pPr>
        <w:sectPr>
          <w:pgSz w:w="11900" w:h="16838" w:orient="portrait"/>
          <w:cols w:equalWidth="0" w:num="1">
            <w:col w:w="10984"/>
          </w:cols>
          <w:pgMar w:left="436" w:top="1205" w:right="479" w:bottom="1440" w:gutter="0" w:footer="0" w:header="0"/>
        </w:sectPr>
      </w:pPr>
    </w:p>
    <w:bookmarkStart w:id="172" w:name="page173"/>
    <w:bookmarkEnd w:id="17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23110" cy="3175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2023110" cy="317500"/>
                    </a:xfrm>
                    <a:prstGeom prst="rect">
                      <a:avLst/>
                    </a:prstGeom>
                    <a:noFill/>
                  </pic:spPr>
                </pic:pic>
              </a:graphicData>
            </a:graphic>
          </wp:anchor>
        </w:drawing>
        <w:t>Schlumberger N.V. (Schlumberger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 w:right="100" w:hanging="4"/>
        <w:spacing w:after="0" w:line="261" w:lineRule="auto"/>
        <w:tabs>
          <w:tab w:leader="none" w:pos="25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purported fraudulent transfer “</w:t>
      </w:r>
      <w:r>
        <w:rPr>
          <w:rFonts w:ascii="Arial" w:cs="Arial" w:eastAsia="Arial" w:hAnsi="Arial"/>
          <w:sz w:val="18"/>
          <w:szCs w:val="18"/>
          <w:b w:val="1"/>
          <w:bCs w:val="1"/>
          <w:color w:val="auto"/>
        </w:rPr>
        <w:t>savings</w:t>
      </w:r>
      <w:r>
        <w:rPr>
          <w:rFonts w:ascii="Arial" w:cs="Arial" w:eastAsia="Arial" w:hAnsi="Arial"/>
          <w:sz w:val="18"/>
          <w:szCs w:val="18"/>
          <w:color w:val="auto"/>
        </w:rPr>
        <w:t>” clause; (vi) any provision in any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83" w:lineRule="exact"/>
        <w:rPr>
          <w:rFonts w:ascii="Arial" w:cs="Arial" w:eastAsia="Arial" w:hAnsi="Arial"/>
          <w:sz w:val="18"/>
          <w:szCs w:val="18"/>
          <w:color w:val="auto"/>
        </w:rPr>
      </w:pPr>
    </w:p>
    <w:p>
      <w:pPr>
        <w:ind w:left="4" w:right="340" w:firstLine="436"/>
        <w:spacing w:after="0" w:line="277" w:lineRule="auto"/>
        <w:tabs>
          <w:tab w:leader="none" w:pos="66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the extent relevant to our opinions in paragraph 2, we have assumed that the debt underlying any Guarantee is a legal, valid and binding obligation of the issuer thereof, enforceable against such issuer in accordance with its terms.</w:t>
      </w:r>
    </w:p>
    <w:p>
      <w:pPr>
        <w:spacing w:after="0" w:line="17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w:t>
      </w:r>
    </w:p>
    <w:p>
      <w:pPr>
        <w:ind w:left="4" w:right="60" w:hanging="4"/>
        <w:spacing w:after="0" w:line="260" w:lineRule="auto"/>
        <w:tabs>
          <w:tab w:leader="none" w:pos="2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consent to the filing of this opinion as an exhibit to the Registration Statement, and we further consent to the use of our name under the caption</w:t>
      </w:r>
    </w:p>
    <w:p>
      <w:pPr>
        <w:spacing w:after="0" w:line="46"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Validity of the Securities</w:t>
      </w:r>
      <w:r>
        <w:rPr>
          <w:rFonts w:ascii="Arial" w:cs="Arial" w:eastAsia="Arial" w:hAnsi="Arial"/>
          <w:sz w:val="18"/>
          <w:szCs w:val="18"/>
          <w:color w:val="auto"/>
        </w:rPr>
        <w:t>”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1004"/>
          </w:cols>
          <w:pgMar w:left="436" w:top="1205" w:right="4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 October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acted as legal counsel to Schlumberger N.V. (also referred to as Schlumberger Limited), a limited liability company organized under the laws of Curaçao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and the proposed issuance and sale from time to time pursuant to Rule 415 under the Act of (i) the Company’s debt securities, which may either be senior debt securities or subordinated debt securities (together the “</w:t>
      </w:r>
      <w:r>
        <w:rPr>
          <w:rFonts w:ascii="Arial" w:cs="Arial" w:eastAsia="Arial" w:hAnsi="Arial"/>
          <w:sz w:val="17"/>
          <w:szCs w:val="17"/>
          <w:b w:val="1"/>
          <w:bCs w:val="1"/>
          <w:color w:val="auto"/>
        </w:rPr>
        <w:t>Debt Securities</w:t>
      </w:r>
      <w:r>
        <w:rPr>
          <w:rFonts w:ascii="Arial" w:cs="Arial" w:eastAsia="Arial" w:hAnsi="Arial"/>
          <w:sz w:val="17"/>
          <w:szCs w:val="17"/>
          <w:color w:val="auto"/>
        </w:rPr>
        <w:t>”), (ii) guarantees of debt securities (the “</w:t>
      </w:r>
      <w:r>
        <w:rPr>
          <w:rFonts w:ascii="Arial" w:cs="Arial" w:eastAsia="Arial" w:hAnsi="Arial"/>
          <w:sz w:val="17"/>
          <w:szCs w:val="17"/>
          <w:b w:val="1"/>
          <w:bCs w:val="1"/>
          <w:color w:val="auto"/>
        </w:rPr>
        <w:t>Guarantees</w:t>
      </w:r>
      <w:r>
        <w:rPr>
          <w:rFonts w:ascii="Arial" w:cs="Arial" w:eastAsia="Arial" w:hAnsi="Arial"/>
          <w:sz w:val="17"/>
          <w:szCs w:val="17"/>
          <w:color w:val="auto"/>
        </w:rPr>
        <w:t>”), and (iii) shares of the Company’s common stock, par value $0.01 per share (the “</w:t>
      </w:r>
      <w:r>
        <w:rPr>
          <w:rFonts w:ascii="Arial" w:cs="Arial" w:eastAsia="Arial" w:hAnsi="Arial"/>
          <w:sz w:val="17"/>
          <w:szCs w:val="17"/>
          <w:b w:val="1"/>
          <w:bCs w:val="1"/>
          <w:color w:val="auto"/>
        </w:rPr>
        <w:t>Shares</w:t>
      </w:r>
      <w:r>
        <w:rPr>
          <w:rFonts w:ascii="Arial" w:cs="Arial" w:eastAsia="Arial" w:hAnsi="Arial"/>
          <w:sz w:val="17"/>
          <w:szCs w:val="17"/>
          <w:color w:val="auto"/>
        </w:rPr>
        <w:t>” and, together with the Debt Securities and the Guarantees, the “</w:t>
      </w:r>
      <w:r>
        <w:rPr>
          <w:rFonts w:ascii="Arial" w:cs="Arial" w:eastAsia="Arial" w:hAnsi="Arial"/>
          <w:sz w:val="17"/>
          <w:szCs w:val="17"/>
          <w:b w:val="1"/>
          <w:bCs w:val="1"/>
          <w:color w:val="auto"/>
        </w:rPr>
        <w:t>Securities</w:t>
      </w:r>
      <w:r>
        <w:rPr>
          <w:rFonts w:ascii="Arial" w:cs="Arial" w:eastAsia="Arial" w:hAnsi="Arial"/>
          <w:sz w:val="17"/>
          <w:szCs w:val="17"/>
          <w:color w:val="auto"/>
        </w:rPr>
        <w:t>”) that may be issued by the Company pursuant to applicable provisions of the articles of incorporation of the Company (the “</w:t>
      </w:r>
      <w:r>
        <w:rPr>
          <w:rFonts w:ascii="Arial" w:cs="Arial" w:eastAsia="Arial" w:hAnsi="Arial"/>
          <w:sz w:val="17"/>
          <w:szCs w:val="17"/>
          <w:b w:val="1"/>
          <w:bCs w:val="1"/>
          <w:color w:val="auto"/>
        </w:rPr>
        <w:t>Articles of Incorporation</w:t>
      </w:r>
      <w:r>
        <w:rPr>
          <w:rFonts w:ascii="Arial" w:cs="Arial" w:eastAsia="Arial" w:hAnsi="Arial"/>
          <w:sz w:val="17"/>
          <w:szCs w:val="17"/>
          <w:color w:val="auto"/>
        </w:rPr>
        <w:t>”). We understand that a registration statement on Form S-3 relating to the Debt Securities, the Guarantees and the Shares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is being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Act on October 26, 2020. At your request, this opinion is being furnished to you for filing as an exhibit to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 and relied upon the following documents in original, photo static or facsimile form:</w:t>
      </w:r>
    </w:p>
    <w:p>
      <w:pPr>
        <w:spacing w:after="0" w:line="131" w:lineRule="exact"/>
        <w:rPr>
          <w:sz w:val="20"/>
          <w:szCs w:val="20"/>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as presently in effect;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presently in effect;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 extract obtained online on October 26, 2020 from the Curaçao Commercial Register, relating to the registration of the Company;</w:t>
      </w:r>
    </w:p>
    <w:p>
      <w:pPr>
        <w:spacing w:after="0" w:line="138" w:lineRule="exact"/>
        <w:rPr>
          <w:rFonts w:ascii="Arial" w:cs="Arial" w:eastAsia="Arial" w:hAnsi="Arial"/>
          <w:sz w:val="17"/>
          <w:szCs w:val="17"/>
          <w:color w:val="auto"/>
        </w:rPr>
      </w:pPr>
    </w:p>
    <w:p>
      <w:pPr>
        <w:ind w:left="960" w:hanging="532"/>
        <w:spacing w:after="0"/>
        <w:tabs>
          <w:tab w:leader="none" w:pos="9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certified copy of the resolutions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providing for the registration of the Securities;</w:t>
      </w:r>
    </w:p>
    <w:p>
      <w:pPr>
        <w:sectPr>
          <w:pgSz w:w="11900" w:h="16838" w:orient="portrait"/>
          <w:cols w:equalWidth="0" w:num="1">
            <w:col w:w="11020"/>
          </w:cols>
          <w:pgMar w:left="440" w:top="121" w:right="43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our examination of the documents referred to above and in expressing our opinion, we have assumed without independent verification of any kind:</w:t>
      </w:r>
    </w:p>
    <w:p>
      <w:pPr>
        <w:spacing w:after="0" w:line="154" w:lineRule="exact"/>
        <w:rPr>
          <w:sz w:val="20"/>
          <w:szCs w:val="20"/>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cs="Arial" w:eastAsia="Arial" w:hAnsi="Arial"/>
          <w:sz w:val="18"/>
          <w:szCs w:val="18"/>
          <w:i w:val="1"/>
          <w:iCs w:val="1"/>
          <w:color w:val="auto"/>
        </w:rPr>
        <w:t>Hoge Raad der</w:t>
      </w:r>
      <w:r>
        <w:rPr>
          <w:rFonts w:ascii="Arial" w:cs="Arial" w:eastAsia="Arial" w:hAnsi="Arial"/>
          <w:sz w:val="18"/>
          <w:szCs w:val="18"/>
          <w:color w:val="auto"/>
        </w:rPr>
        <w:t xml:space="preserve"> </w:t>
      </w:r>
      <w:r>
        <w:rPr>
          <w:rFonts w:ascii="Arial" w:cs="Arial" w:eastAsia="Arial" w:hAnsi="Arial"/>
          <w:sz w:val="18"/>
          <w:szCs w:val="18"/>
          <w:i w:val="1"/>
          <w:iCs w:val="1"/>
          <w:color w:val="auto"/>
        </w:rPr>
        <w:t>Nederlanden</w:t>
      </w:r>
      <w:r>
        <w:rPr>
          <w:rFonts w:ascii="Arial" w:cs="Arial" w:eastAsia="Arial" w:hAnsi="Arial"/>
          <w:sz w:val="18"/>
          <w:szCs w:val="18"/>
          <w:color w:val="auto"/>
        </w:rPr>
        <w: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ind w:left="960" w:right="4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has been duly registered with the Curaçao Commercial Register under number 1674.</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own its properties, to conduct its business within the limits of its objects clause as set forth in article 2 of the Articles of Incorporation and to execute, deliver and perform its obligations under the Debt Securities and the Guarantees.</w:t>
      </w:r>
    </w:p>
    <w:p>
      <w:pPr>
        <w:spacing w:after="0" w:line="89"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With respect to the Shares, when (a) the Board has taken all necessary corporate action to approve the issuance of and the terms of the offering of such Shares and (b) such Shares have been duly authorized and delivered in accordance with the applicable definitive purchase, underwriting or similar agreement for the consideration provided for therein, such Shares will be validly issued, fully paid and non-assessable.</w:t>
      </w:r>
    </w:p>
    <w:p>
      <w:pPr>
        <w:spacing w:after="0" w:line="92" w:lineRule="exact"/>
        <w:rPr>
          <w:rFonts w:ascii="Arial" w:cs="Arial" w:eastAsia="Arial" w:hAnsi="Arial"/>
          <w:sz w:val="18"/>
          <w:szCs w:val="18"/>
          <w:color w:val="auto"/>
        </w:rPr>
      </w:pPr>
    </w:p>
    <w:p>
      <w:pPr>
        <w:ind w:left="960" w:right="64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personal liability will attach to the holders of the Shares under the laws of Curaçao by reason of their being stockholders of the Company.</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this consent, we do not thereby admit that we are within the category of persons whose consent is required under Section 7 of the Act or the rules and regulations of the Commission thereunder.</w:t>
      </w:r>
    </w:p>
    <w:p>
      <w:pPr>
        <w:spacing w:after="0" w:line="12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STvB Advocaten (Europe) N.V.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Schlumberger Limited of our report dated January 22, 2020 relating to the financial statements and the effectiveness of internal control over financial reporting, which appears in Schlumberger Limited’s Annual Report on Form 10-K for the year ended December 31, 2019. We also consent to the reference to us under the heading “Experts” in such Registration Statement.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2020</w:t>
      </w:r>
    </w:p>
    <w:p>
      <w:pPr>
        <w:sectPr>
          <w:pgSz w:w="11900" w:h="16838" w:orient="portrait"/>
          <w:cols w:equalWidth="0" w:num="1">
            <w:col w:w="11020"/>
          </w:cols>
          <w:pgMar w:left="440" w:top="121" w:right="4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Each of the undersigned, being a director or officer, or both, of Schlumberger Limited, a Curaçao corporation (the “Company”), hereby constitutes and appoints Howard Guild, Alexander C. Juden or Saul R. Laureles,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w:t>
      </w:r>
    </w:p>
    <w:p>
      <w:pPr>
        <w:spacing w:after="0" w:line="1"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83"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0"/>
          </w:cols>
          <w:pgMar w:left="440" w:top="121" w:right="4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52"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01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Patrick de La Chevardière</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01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Miguel Galuccio</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01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6"/>
          <w:szCs w:val="16"/>
          <w:color w:val="auto"/>
        </w:rPr>
        <w:t>Chief Executive Officer and Director</w:t>
      </w:r>
    </w:p>
    <w:p>
      <w:pPr>
        <w:spacing w:after="0" w:line="24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 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01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Tatiana Mitrova</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4201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Lubna S. Olayan</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22225</wp:posOffset>
            </wp:positionV>
            <wp:extent cx="30175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29210</wp:posOffset>
            </wp:positionV>
            <wp:extent cx="30175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29210</wp:posOffset>
            </wp:positionV>
            <wp:extent cx="30175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29210</wp:posOffset>
            </wp:positionV>
            <wp:extent cx="30175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Jeff W. Sheets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300" w:space="720"/>
            <w:col w:w="3000"/>
          </w:cols>
          <w:pgMar w:left="440" w:top="121" w:right="4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firstLine="440"/>
        <w:spacing w:after="0" w:line="269" w:lineRule="auto"/>
        <w:rPr>
          <w:sz w:val="20"/>
          <w:szCs w:val="20"/>
          <w:color w:val="auto"/>
        </w:rPr>
      </w:pPr>
      <w:r>
        <w:rPr>
          <w:rFonts w:ascii="Arial" w:cs="Arial" w:eastAsia="Arial" w:hAnsi="Arial"/>
          <w:sz w:val="17"/>
          <w:szCs w:val="17"/>
          <w:color w:val="auto"/>
        </w:rPr>
        <w:t>The undersigned, being a director of Schlumberger Limited, a Curaçao corporation (the “Company”), hereby constitutes and appoints Howard Guild, Alexander C. Juden or Saul R. Laureles, and each of them, her true and lawful attorney-in-fact and agent, with full and several power of substitution, resubstitution and revocation and to act with or without the others, for her and in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14605</wp:posOffset>
            </wp:positionV>
            <wp:extent cx="27946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Maria Moræus Hanssen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1)"/>
      <w:numFmt w:val="decimal"/>
      <w:start w:val="713"/>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1)"/>
      <w:numFmt w:val="decimal"/>
      <w:start w:val="1"/>
    </w:lvl>
  </w:abstractNum>
  <w:abstractNum w:abstractNumId="11">
    <w:nsid w:val="3B0FD379"/>
    <w:multiLevelType w:val="hybridMultilevel"/>
    <w:lvl w:ilvl="0">
      <w:lvlJc w:val="left"/>
      <w:lvlText w:val="(%1)"/>
      <w:numFmt w:val="decimal"/>
      <w:start w:val="2"/>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decimal"/>
      <w:start w:val="2"/>
    </w:lvl>
  </w:abstractNum>
  <w:abstractNum w:abstractNumId="14">
    <w:nsid w:val="60B6DF70"/>
    <w:multiLevelType w:val="hybridMultilevel"/>
    <w:lvl w:ilvl="0">
      <w:lvlJc w:val="left"/>
      <w:lvlText w:val="(%1)"/>
      <w:numFmt w:val="decimal"/>
      <w:start w:val="1"/>
    </w:lvl>
  </w:abstractNum>
  <w:abstractNum w:abstractNumId="15">
    <w:nsid w:val="6A5EE64"/>
    <w:multiLevelType w:val="hybridMultilevel"/>
    <w:lvl w:ilvl="0">
      <w:lvlJc w:val="left"/>
      <w:lvlText w:val="(%1)"/>
      <w:numFmt w:val="decimal"/>
      <w:start w:val="4"/>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1)"/>
      <w:numFmt w:val="decimal"/>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74DE0EE3"/>
    <w:multiLevelType w:val="hybridMultilevel"/>
    <w:lvl w:ilvl="0">
      <w:lvlJc w:val="left"/>
      <w:lvlText w:val="(%1)"/>
      <w:numFmt w:val="lowerRoman"/>
      <w:start w:val="3"/>
    </w:lvl>
  </w:abstractNum>
  <w:abstractNum w:abstractNumId="32">
    <w:nsid w:val="68EBC550"/>
    <w:multiLevelType w:val="hybridMultilevel"/>
    <w:lvl w:ilvl="0">
      <w:lvlJc w:val="left"/>
      <w:lvlText w:val="(%1)"/>
      <w:numFmt w:val="decimal"/>
      <w:start w:val="2"/>
    </w:lvl>
    <w:lvl w:ilvl="1">
      <w:lvlJc w:val="left"/>
      <w:lvlText w:val="(%2)"/>
      <w:numFmt w:val="upperLetter"/>
      <w:start w:val="1"/>
    </w:lvl>
  </w:abstractNum>
  <w:abstractNum w:abstractNumId="33">
    <w:nsid w:val="2DF6D648"/>
    <w:multiLevelType w:val="hybridMultilevel"/>
    <w:lvl w:ilvl="0">
      <w:lvlJc w:val="left"/>
      <w:lvlText w:val="(%1)"/>
      <w:numFmt w:val="decimal"/>
      <w:start w:val="5"/>
    </w:lvl>
    <w:lvl w:ilvl="1">
      <w:lvlJc w:val="left"/>
      <w:lvlText w:val="(%2)"/>
      <w:numFmt w:val="upperLetter"/>
      <w:start w:val="1"/>
    </w:lvl>
  </w:abstractNum>
  <w:abstractNum w:abstractNumId="34">
    <w:nsid w:val="46B7D447"/>
    <w:multiLevelType w:val="hybridMultilevel"/>
    <w:lvl w:ilvl="0">
      <w:lvlJc w:val="left"/>
      <w:lvlText w:val="%1"/>
      <w:numFmt w:val="lowerLetter"/>
      <w:start w:val="1"/>
    </w:lvl>
    <w:lvl w:ilvl="1">
      <w:lvlJc w:val="left"/>
      <w:lvlText w:val="(%2)"/>
      <w:numFmt w:val="upperLetter"/>
      <w:start w:val="2"/>
    </w:lvl>
  </w:abstractNum>
  <w:abstractNum w:abstractNumId="35">
    <w:nsid w:val="4A2AC315"/>
    <w:multiLevelType w:val="hybridMultilevel"/>
    <w:lvl w:ilvl="0">
      <w:lvlJc w:val="left"/>
      <w:lvlText w:val="(%1)"/>
      <w:numFmt w:val="lowerLetter"/>
      <w:start w:val="2"/>
    </w:lvl>
    <w:lvl w:ilvl="1">
      <w:lvlJc w:val="left"/>
      <w:lvlText w:val="%2"/>
      <w:numFmt w:val="upperLetter"/>
      <w:start w:val="1"/>
    </w:lvl>
  </w:abstractNum>
  <w:abstractNum w:abstractNumId="36">
    <w:nsid w:val="39EE015C"/>
    <w:multiLevelType w:val="hybridMultilevel"/>
    <w:lvl w:ilvl="0">
      <w:lvlJc w:val="left"/>
      <w:lvlText w:val="(%1)"/>
      <w:numFmt w:val="lowerLetter"/>
      <w:start w:val="1"/>
    </w:lvl>
  </w:abstractNum>
  <w:abstractNum w:abstractNumId="37">
    <w:nsid w:val="57FC4FBB"/>
    <w:multiLevelType w:val="hybridMultilevel"/>
    <w:lvl w:ilvl="0">
      <w:lvlJc w:val="left"/>
      <w:lvlText w:val="(%1)"/>
      <w:numFmt w:val="lowerRoman"/>
      <w:start w:val="2"/>
    </w:lvl>
  </w:abstractNum>
  <w:abstractNum w:abstractNumId="38">
    <w:nsid w:val="CC1016F"/>
    <w:multiLevelType w:val="hybridMultilevel"/>
    <w:lvl w:ilvl="0">
      <w:lvlJc w:val="left"/>
      <w:lvlText w:val="(%1)"/>
      <w:numFmt w:val="lowerLetter"/>
      <w:start w:val="1"/>
    </w:lvl>
  </w:abstractNum>
  <w:abstractNum w:abstractNumId="39">
    <w:nsid w:val="43F18422"/>
    <w:multiLevelType w:val="hybridMultilevel"/>
    <w:lvl w:ilvl="0">
      <w:lvlJc w:val="left"/>
      <w:lvlText w:val="(%1)"/>
      <w:numFmt w:val="lowerLetter"/>
      <w:start w:val="5"/>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lowerLetter"/>
      <w:start w:val="4"/>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lowerLetter"/>
      <w:start w:val="1"/>
    </w:lvl>
    <w:lvl w:ilvl="1">
      <w:lvlJc w:val="left"/>
      <w:lvlText w:val="(%2)"/>
      <w:numFmt w:val="decimal"/>
      <w:start w:val="7"/>
    </w:lvl>
  </w:abstractNum>
  <w:abstractNum w:abstractNumId="47">
    <w:nsid w:val="488AC1A"/>
    <w:multiLevelType w:val="hybridMultilevel"/>
    <w:lvl w:ilvl="0">
      <w:lvlJc w:val="left"/>
      <w:lvlText w:val="(%1)"/>
      <w:numFmt w:val="lowerLetter"/>
      <w:start w:val="2"/>
    </w:lvl>
    <w:lvl w:ilvl="1">
      <w:lvlJc w:val="left"/>
      <w:lvlText w:val="%2"/>
      <w:numFmt w:val="decimal"/>
      <w:start w:val="1"/>
    </w:lvl>
  </w:abstractNum>
  <w:abstractNum w:abstractNumId="48">
    <w:nsid w:val="5FB8011C"/>
    <w:multiLevelType w:val="hybridMultilevel"/>
    <w:lvl w:ilvl="0">
      <w:lvlJc w:val="left"/>
      <w:lvlText w:val="(%1)"/>
      <w:numFmt w:val="lowerLetter"/>
      <w:start w:val="1"/>
    </w:lvl>
  </w:abstractNum>
  <w:abstractNum w:abstractNumId="49">
    <w:nsid w:val="6AA78F7F"/>
    <w:multiLevelType w:val="hybridMultilevel"/>
    <w:lvl w:ilvl="0">
      <w:lvlJc w:val="left"/>
      <w:lvlText w:val="(%1)"/>
      <w:numFmt w:val="lowerLetter"/>
      <w:start w:val="1"/>
    </w:lvl>
    <w:lvl w:ilvl="1">
      <w:lvlJc w:val="left"/>
      <w:lvlText w:val="(%2)"/>
      <w:numFmt w:val="decimal"/>
      <w:start w:val="1"/>
    </w:lvl>
  </w:abstractNum>
  <w:abstractNum w:abstractNumId="50">
    <w:nsid w:val="7672BD23"/>
    <w:multiLevelType w:val="hybridMultilevel"/>
    <w:lvl w:ilvl="0">
      <w:lvlJc w:val="left"/>
      <w:lvlText w:val="%1"/>
      <w:numFmt w:val="lowerLetter"/>
      <w:start w:val="1"/>
    </w:lvl>
    <w:lvl w:ilvl="1">
      <w:lvlJc w:val="left"/>
      <w:lvlText w:val="(%2)"/>
      <w:numFmt w:val="decimal"/>
      <w:start w:val="1"/>
    </w:lvl>
  </w:abstractNum>
  <w:abstractNum w:abstractNumId="51">
    <w:nsid w:val="6FC75AF8"/>
    <w:multiLevelType w:val="hybridMultilevel"/>
    <w:lvl w:ilvl="0">
      <w:lvlJc w:val="left"/>
      <w:lvlText w:val="(%1)"/>
      <w:numFmt w:val="lowerLetter"/>
      <w:start w:val="7"/>
    </w:lvl>
    <w:lvl w:ilvl="1">
      <w:lvlJc w:val="left"/>
      <w:lvlText w:val="%2"/>
      <w:numFmt w:val="decimal"/>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1"/>
    </w:lvl>
  </w:abstractNum>
  <w:abstractNum w:abstractNumId="54">
    <w:nsid w:val="5F3534A4"/>
    <w:multiLevelType w:val="hybridMultilevel"/>
    <w:lvl w:ilvl="0">
      <w:lvlJc w:val="left"/>
      <w:lvlText w:val="(%1)"/>
      <w:numFmt w:val="lowerLetter"/>
      <w:start w:val="2"/>
    </w:lvl>
  </w:abstractNum>
  <w:abstractNum w:abstractNumId="55">
    <w:nsid w:val="73A1821B"/>
    <w:multiLevelType w:val="hybridMultilevel"/>
    <w:lvl w:ilvl="0">
      <w:lvlJc w:val="left"/>
      <w:lvlText w:val="(%1)"/>
      <w:numFmt w:val="lowerLetter"/>
      <w:start w:val="1"/>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1"/>
    </w:lvl>
    <w:lvl w:ilvl="1">
      <w:lvlJc w:val="left"/>
      <w:lvlText w:val="(%2)"/>
      <w:numFmt w:val="decimal"/>
      <w:start w:val="1"/>
    </w:lvl>
  </w:abstractNum>
  <w:abstractNum w:abstractNumId="58">
    <w:nsid w:val="3FA62ACA"/>
    <w:multiLevelType w:val="hybridMultilevel"/>
    <w:lvl w:ilvl="0">
      <w:lvlJc w:val="left"/>
      <w:lvlText w:val="%1"/>
      <w:numFmt w:val="lowerLetter"/>
      <w:start w:val="1"/>
    </w:lvl>
    <w:lvl w:ilvl="1">
      <w:lvlJc w:val="left"/>
      <w:lvlText w:val="(%2)"/>
      <w:numFmt w:val="decimal"/>
      <w:start w:val="2"/>
    </w:lvl>
  </w:abstractNum>
  <w:abstractNum w:abstractNumId="59">
    <w:nsid w:val="14FCE74E"/>
    <w:multiLevelType w:val="hybridMultilevel"/>
    <w:lvl w:ilvl="0">
      <w:lvlJc w:val="left"/>
      <w:lvlText w:val="(%1)"/>
      <w:numFmt w:val="lowerLetter"/>
      <w:start w:val="4"/>
    </w:lvl>
    <w:lvl w:ilvl="1">
      <w:lvlJc w:val="left"/>
      <w:lvlText w:val="%2"/>
      <w:numFmt w:val="decimal"/>
      <w:start w:val="1"/>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5"/>
    </w:lvl>
  </w:abstractNum>
  <w:abstractNum w:abstractNumId="62">
    <w:nsid w:val="9DAF632"/>
    <w:multiLevelType w:val="hybridMultilevel"/>
    <w:lvl w:ilvl="0">
      <w:lvlJc w:val="left"/>
      <w:lvlText w:val="(%1)"/>
      <w:numFmt w:val="lowerLetter"/>
      <w:start w:val="11"/>
    </w:lvl>
  </w:abstractNum>
  <w:abstractNum w:abstractNumId="63">
    <w:nsid w:val="53299938"/>
    <w:multiLevelType w:val="hybridMultilevel"/>
    <w:lvl w:ilvl="0">
      <w:lvlJc w:val="left"/>
      <w:lvlText w:val="(%1)"/>
      <w:numFmt w:val="lowerLetter"/>
      <w:start w:val="1"/>
    </w:lvl>
  </w:abstractNum>
  <w:abstractNum w:abstractNumId="64">
    <w:nsid w:val="1FBFE8E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65">
    <w:nsid w:val="5092CA79"/>
    <w:multiLevelType w:val="hybridMultilevel"/>
    <w:lvl w:ilvl="0">
      <w:lvlJc w:val="left"/>
      <w:lvlText w:val="%1"/>
      <w:numFmt w:val="decimal"/>
      <w:start w:val="1"/>
    </w:lvl>
    <w:lvl w:ilvl="1">
      <w:lvlJc w:val="left"/>
      <w:lvlText w:val="(%2)"/>
      <w:numFmt w:val="lowerLetter"/>
      <w:start w:val="25"/>
    </w:lvl>
    <w:lvl w:ilvl="2">
      <w:lvlJc w:val="left"/>
      <w:lvlText w:val="(%3)"/>
      <w:numFmt w:val="upperLetter"/>
      <w:start w:val="3"/>
    </w:lvl>
  </w:abstractNum>
  <w:abstractNum w:abstractNumId="66">
    <w:nsid w:val="1D545C4D"/>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67">
    <w:nsid w:val="59ADEA3D"/>
    <w:multiLevelType w:val="hybridMultilevel"/>
    <w:lvl w:ilvl="0">
      <w:lvlJc w:val="left"/>
      <w:lvlText w:val="%1"/>
      <w:numFmt w:val="lowerLetter"/>
      <w:start w:val="1"/>
    </w:lvl>
    <w:lvl w:ilvl="1">
      <w:lvlJc w:val="left"/>
      <w:lvlText w:val="(%2)"/>
      <w:numFmt w:val="decimal"/>
      <w:start w:val="3"/>
    </w:lvl>
  </w:abstractNum>
  <w:abstractNum w:abstractNumId="68">
    <w:nsid w:val="288F1A34"/>
    <w:multiLevelType w:val="hybridMultilevel"/>
    <w:lvl w:ilvl="0">
      <w:lvlJc w:val="left"/>
      <w:lvlText w:val="(%1)"/>
      <w:numFmt w:val="lowerLetter"/>
      <w:start w:val="2"/>
    </w:lvl>
    <w:lvl w:ilvl="1">
      <w:lvlJc w:val="left"/>
      <w:lvlText w:val="(%2)"/>
      <w:numFmt w:val="decimal"/>
      <w:start w:val="1"/>
    </w:lvl>
  </w:abstractNum>
  <w:abstractNum w:abstractNumId="69">
    <w:nsid w:val="2A155DBC"/>
    <w:multiLevelType w:val="hybridMultilevel"/>
    <w:lvl w:ilvl="0">
      <w:lvlJc w:val="left"/>
      <w:lvlText w:val="(%1)"/>
      <w:numFmt w:val="decimal"/>
      <w:start w:val="2"/>
    </w:lvl>
  </w:abstractNum>
  <w:abstractNum w:abstractNumId="70">
    <w:nsid w:val="1D9F6E5F"/>
    <w:multiLevelType w:val="hybridMultilevel"/>
    <w:lvl w:ilvl="0">
      <w:lvlJc w:val="left"/>
      <w:lvlText w:val="(%1)"/>
      <w:numFmt w:val="lowerLetter"/>
      <w:start w:val="3"/>
    </w:lvl>
  </w:abstractNum>
  <w:abstractNum w:abstractNumId="71">
    <w:nsid w:val="97E1B4E"/>
    <w:multiLevelType w:val="hybridMultilevel"/>
    <w:lvl w:ilvl="0">
      <w:lvlJc w:val="left"/>
      <w:lvlText w:val="%1"/>
      <w:numFmt w:val="decimal"/>
      <w:start w:val="1"/>
    </w:lvl>
    <w:lvl w:ilvl="1">
      <w:lvlJc w:val="left"/>
      <w:lvlText w:val="(%2)"/>
      <w:numFmt w:val="decimal"/>
      <w:start w:val="1"/>
    </w:lvl>
  </w:abstractNum>
  <w:abstractNum w:abstractNumId="72">
    <w:nsid w:val="51088277"/>
    <w:multiLevelType w:val="hybridMultilevel"/>
    <w:lvl w:ilvl="0">
      <w:lvlJc w:val="left"/>
      <w:lvlText w:val="(%1)"/>
      <w:numFmt w:val="decimal"/>
      <w:start w:val="4"/>
    </w:lvl>
    <w:lvl w:ilvl="1">
      <w:lvlJc w:val="left"/>
      <w:lvlText w:val="(%2)"/>
      <w:numFmt w:val="decimal"/>
      <w:start w:val="4"/>
    </w:lvl>
  </w:abstractNum>
  <w:abstractNum w:abstractNumId="73">
    <w:nsid w:val="1CA0C5FA"/>
    <w:multiLevelType w:val="hybridMultilevel"/>
    <w:lvl w:ilvl="0">
      <w:lvlJc w:val="left"/>
      <w:lvlText w:val="(%1)"/>
      <w:numFmt w:val="lowerLetter"/>
      <w:start w:val="4"/>
    </w:lvl>
  </w:abstractNum>
  <w:abstractNum w:abstractNumId="74">
    <w:nsid w:val="53584BCB"/>
    <w:multiLevelType w:val="hybridMultilevel"/>
    <w:lvl w:ilvl="0">
      <w:lvlJc w:val="left"/>
      <w:lvlText w:val="(%1)"/>
      <w:numFmt w:val="decimal"/>
      <w:start w:val="1"/>
    </w:lvl>
  </w:abstractNum>
  <w:abstractNum w:abstractNumId="75">
    <w:nsid w:val="415E286C"/>
    <w:multiLevelType w:val="hybridMultilevel"/>
    <w:lvl w:ilvl="0">
      <w:lvlJc w:val="left"/>
      <w:lvlText w:val="(%1)"/>
      <w:numFmt w:val="decimal"/>
      <w:start w:val="10"/>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1)"/>
      <w:numFmt w:val="decimal"/>
      <w:start w:val="3"/>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decimal"/>
      <w:start w:val="1"/>
    </w:lvl>
  </w:abstractNum>
  <w:abstractNum w:abstractNumId="84">
    <w:nsid w:val="39B7AAA2"/>
    <w:multiLevelType w:val="hybridMultilevel"/>
    <w:lvl w:ilvl="0">
      <w:lvlJc w:val="left"/>
      <w:lvlText w:val="(%1)"/>
      <w:numFmt w:val="lowerLetter"/>
      <w:start w:val="2"/>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Roman"/>
      <w:start w:val="2"/>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5"/>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4"/>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lowerLetter"/>
      <w:start w:val="1"/>
    </w:lvl>
    <w:lvl w:ilvl="1">
      <w:lvlJc w:val="left"/>
      <w:lvlText w:val="(%2)"/>
      <w:numFmt w:val="decimal"/>
      <w:start w:val="7"/>
    </w:lvl>
  </w:abstractNum>
  <w:abstractNum w:abstractNumId="97">
    <w:nsid w:val="5B25ACE2"/>
    <w:multiLevelType w:val="hybridMultilevel"/>
    <w:lvl w:ilvl="0">
      <w:lvlJc w:val="left"/>
      <w:lvlText w:val="(%1)"/>
      <w:numFmt w:val="lowerLetter"/>
      <w:start w:val="2"/>
    </w:lvl>
    <w:lvl w:ilvl="1">
      <w:lvlJc w:val="left"/>
      <w:lvlText w:val="%2"/>
      <w:numFmt w:val="decimal"/>
      <w:start w:val="1"/>
    </w:lvl>
  </w:abstractNum>
  <w:abstractNum w:abstractNumId="98">
    <w:nsid w:val="175DFCF0"/>
    <w:multiLevelType w:val="hybridMultilevel"/>
    <w:lvl w:ilvl="0">
      <w:lvlJc w:val="left"/>
      <w:lvlText w:val="(%1)"/>
      <w:numFmt w:val="lowerLetter"/>
      <w:start w:val="5"/>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1)"/>
      <w:numFmt w:val="lowerLetter"/>
      <w:start w:val="1"/>
    </w:lvl>
    <w:lvl w:ilvl="1">
      <w:lvlJc w:val="left"/>
      <w:lvlText w:val="(%2)"/>
      <w:numFmt w:val="decimal"/>
      <w:start w:val="1"/>
    </w:lvl>
  </w:abstractNum>
  <w:abstractNum w:abstractNumId="101">
    <w:nsid w:val="34FD6B4F"/>
    <w:multiLevelType w:val="hybridMultilevel"/>
    <w:lvl w:ilvl="0">
      <w:lvlJc w:val="left"/>
      <w:lvlText w:val="%1"/>
      <w:numFmt w:val="lowerLetter"/>
      <w:start w:val="1"/>
    </w:lvl>
    <w:lvl w:ilvl="1">
      <w:lvlJc w:val="left"/>
      <w:lvlText w:val="(%2)"/>
      <w:numFmt w:val="decimal"/>
      <w:start w:val="1"/>
    </w:lvl>
  </w:abstractNum>
  <w:abstractNum w:abstractNumId="102">
    <w:nsid w:val="5915FF32"/>
    <w:multiLevelType w:val="hybridMultilevel"/>
    <w:lvl w:ilvl="0">
      <w:lvlJc w:val="left"/>
      <w:lvlText w:val="(%1)"/>
      <w:numFmt w:val="lowerLetter"/>
      <w:start w:val="7"/>
    </w:lvl>
    <w:lvl w:ilvl="1">
      <w:lvlJc w:val="left"/>
      <w:lvlText w:val="%2"/>
      <w:numFmt w:val="decimal"/>
      <w:start w:val="1"/>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2"/>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lvl w:ilvl="1">
      <w:lvlJc w:val="left"/>
      <w:lvlText w:val="(%2)"/>
      <w:numFmt w:val="decimal"/>
      <w:start w:val="1"/>
    </w:lvl>
  </w:abstractNum>
  <w:abstractNum w:abstractNumId="109">
    <w:nsid w:val="5D888A08"/>
    <w:multiLevelType w:val="hybridMultilevel"/>
    <w:lvl w:ilvl="0">
      <w:lvlJc w:val="left"/>
      <w:lvlText w:val="%1"/>
      <w:numFmt w:val="lowerLetter"/>
      <w:start w:val="1"/>
    </w:lvl>
    <w:lvl w:ilvl="1">
      <w:lvlJc w:val="left"/>
      <w:lvlText w:val="(%2)"/>
      <w:numFmt w:val="decimal"/>
      <w:start w:val="2"/>
    </w:lvl>
  </w:abstractNum>
  <w:abstractNum w:abstractNumId="110">
    <w:nsid w:val="2A082C70"/>
    <w:multiLevelType w:val="hybridMultilevel"/>
    <w:lvl w:ilvl="0">
      <w:lvlJc w:val="left"/>
      <w:lvlText w:val="(%1)"/>
      <w:numFmt w:val="lowerLetter"/>
      <w:start w:val="4"/>
    </w:lvl>
    <w:lvl w:ilvl="1">
      <w:lvlJc w:val="left"/>
      <w:lvlText w:val="%2"/>
      <w:numFmt w:val="decimal"/>
      <w:start w:val="1"/>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1)"/>
      <w:numFmt w:val="lowerLetter"/>
      <w:start w:val="4"/>
    </w:lvl>
  </w:abstractNum>
  <w:abstractNum w:abstractNumId="113">
    <w:nsid w:val="75E0858A"/>
    <w:multiLevelType w:val="hybridMultilevel"/>
    <w:lvl w:ilvl="0">
      <w:lvlJc w:val="left"/>
      <w:lvlText w:val="(%1)"/>
      <w:numFmt w:val="lowerLetter"/>
      <w:start w:val="1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16">
    <w:nsid w:val="20EE1348"/>
    <w:multiLevelType w:val="hybridMultilevel"/>
    <w:lvl w:ilvl="0">
      <w:lvlJc w:val="left"/>
      <w:lvlText w:val="(%1)"/>
      <w:numFmt w:val="lowerLetter"/>
      <w:start w:val="25"/>
    </w:lvl>
  </w:abstractNum>
  <w:abstractNum w:abstractNumId="117">
    <w:nsid w:val="4427069A"/>
    <w:multiLevelType w:val="hybridMultilevel"/>
    <w:lvl w:ilvl="0">
      <w:lvlJc w:val="left"/>
      <w:lvlText w:val="(%1)"/>
      <w:numFmt w:val="decimal"/>
      <w:start w:val="2"/>
    </w:lvl>
  </w:abstractNum>
  <w:abstractNum w:abstractNumId="118">
    <w:nsid w:val="B37E80A"/>
    <w:multiLevelType w:val="hybridMultilevel"/>
    <w:lvl w:ilvl="0">
      <w:lvlJc w:val="left"/>
      <w:lvlText w:val="%1"/>
      <w:numFmt w:val="lowerLetter"/>
      <w:start w:val="1"/>
    </w:lvl>
    <w:lvl w:ilvl="1">
      <w:lvlJc w:val="left"/>
      <w:lvlText w:val="(%2)"/>
      <w:numFmt w:val="decimal"/>
      <w:start w:val="3"/>
    </w:lvl>
  </w:abstractNum>
  <w:abstractNum w:abstractNumId="119">
    <w:nsid w:val="2157F6BC"/>
    <w:multiLevelType w:val="hybridMultilevel"/>
    <w:lvl w:ilvl="0">
      <w:lvlJc w:val="left"/>
      <w:lvlText w:val="(%1)"/>
      <w:numFmt w:val="lowerLetter"/>
      <w:start w:val="2"/>
    </w:lvl>
    <w:lvl w:ilvl="1">
      <w:lvlJc w:val="left"/>
      <w:lvlText w:val="(%2)"/>
      <w:numFmt w:val="decimal"/>
      <w:start w:val="1"/>
    </w:lvl>
  </w:abstractNum>
  <w:abstractNum w:abstractNumId="120">
    <w:nsid w:val="704E1DD5"/>
    <w:multiLevelType w:val="hybridMultilevel"/>
    <w:lvl w:ilvl="0">
      <w:lvlJc w:val="left"/>
      <w:lvlText w:val="(%1)"/>
      <w:numFmt w:val="decimal"/>
      <w:start w:val="2"/>
    </w:lvl>
  </w:abstractNum>
  <w:abstractNum w:abstractNumId="121">
    <w:nsid w:val="57D2F10E"/>
    <w:multiLevelType w:val="hybridMultilevel"/>
    <w:lvl w:ilvl="0">
      <w:lvlJc w:val="left"/>
      <w:lvlText w:val="(%1)"/>
      <w:numFmt w:val="lowerLetter"/>
      <w:start w:val="3"/>
    </w:lvl>
  </w:abstractNum>
  <w:abstractNum w:abstractNumId="122">
    <w:nsid w:val="BFFAE18"/>
    <w:multiLevelType w:val="hybridMultilevel"/>
    <w:lvl w:ilvl="0">
      <w:lvlJc w:val="left"/>
      <w:lvlText w:val="%1"/>
      <w:numFmt w:val="decimal"/>
      <w:start w:val="1"/>
    </w:lvl>
    <w:lvl w:ilvl="1">
      <w:lvlJc w:val="left"/>
      <w:lvlText w:val="(%2)"/>
      <w:numFmt w:val="decimal"/>
      <w:start w:val="1"/>
    </w:lvl>
  </w:abstractNum>
  <w:abstractNum w:abstractNumId="123">
    <w:nsid w:val="E3E47A8"/>
    <w:multiLevelType w:val="hybridMultilevel"/>
    <w:lvl w:ilvl="0">
      <w:lvlJc w:val="left"/>
      <w:lvlText w:val="(%1)"/>
      <w:numFmt w:val="decimal"/>
      <w:start w:val="4"/>
    </w:lvl>
    <w:lvl w:ilvl="1">
      <w:lvlJc w:val="left"/>
      <w:lvlText w:val="(%2)"/>
      <w:numFmt w:val="decimal"/>
      <w:start w:val="4"/>
    </w:lvl>
  </w:abstractNum>
  <w:abstractNum w:abstractNumId="124">
    <w:nsid w:val="2E48F044"/>
    <w:multiLevelType w:val="hybridMultilevel"/>
    <w:lvl w:ilvl="0">
      <w:lvlJc w:val="left"/>
      <w:lvlText w:val="(%1)"/>
      <w:numFmt w:val="lowerLetter"/>
      <w:start w:val="4"/>
    </w:lvl>
  </w:abstractNum>
  <w:abstractNum w:abstractNumId="125">
    <w:nsid w:val="49D0FEAC"/>
    <w:multiLevelType w:val="hybridMultilevel"/>
    <w:lvl w:ilvl="0">
      <w:lvlJc w:val="left"/>
      <w:lvlText w:val="(%1)"/>
      <w:numFmt w:val="decimal"/>
      <w:start w:val="1"/>
    </w:lvl>
  </w:abstractNum>
  <w:abstractNum w:abstractNumId="126">
    <w:nsid w:val="4BEE5A5B"/>
    <w:multiLevelType w:val="hybridMultilevel"/>
    <w:lvl w:ilvl="0">
      <w:lvlJc w:val="left"/>
      <w:lvlText w:val="(%1)"/>
      <w:numFmt w:val="decimal"/>
      <w:start w:val="10"/>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3"/>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1."/>
      <w:numFmt w:val="decimal"/>
      <w:start w:val="1"/>
    </w:lvl>
  </w:abstractNum>
  <w:abstractNum w:abstractNumId="135">
    <w:nsid w:val="69E7F3E5"/>
    <w:multiLevelType w:val="hybridMultilevel"/>
    <w:lvl w:ilvl="0">
      <w:lvlJc w:val="left"/>
      <w:lvlText w:val="(%1)"/>
      <w:numFmt w:val="lowerLetter"/>
      <w:start w:val="2"/>
    </w:lvl>
  </w:abstractNum>
  <w:abstractNum w:abstractNumId="136">
    <w:nsid w:val="2A6DE806"/>
    <w:multiLevelType w:val="hybridMultilevel"/>
    <w:lvl w:ilvl="0">
      <w:lvlJc w:val="left"/>
      <w:lvlText w:val="(%1)"/>
      <w:numFmt w:val="lowerRoman"/>
      <w:start w:val="1"/>
    </w:lvl>
  </w:abstractNum>
  <w:abstractNum w:abstractNumId="137">
    <w:nsid w:val="1816F8C4"/>
    <w:multiLevelType w:val="hybridMultilevel"/>
    <w:lvl w:ilvl="0">
      <w:lvlJc w:val="left"/>
      <w:lvlText w:val="(%1)"/>
      <w:numFmt w:val="lowerRoman"/>
      <w:start w:val="1"/>
    </w:lvl>
  </w:abstractNum>
  <w:abstractNum w:abstractNumId="138">
    <w:nsid w:val="37DF2233"/>
    <w:multiLevelType w:val="hybridMultilevel"/>
    <w:lvl w:ilvl="0">
      <w:lvlJc w:val="left"/>
      <w:lvlText w:val="(%1)"/>
      <w:numFmt w:val="lowerRoman"/>
      <w:start w:val="5"/>
    </w:lvl>
  </w:abstractNum>
  <w:abstractNum w:abstractNumId="139">
    <w:nsid w:val="7AB49DAF"/>
    <w:multiLevelType w:val="hybridMultilevel"/>
    <w:lvl w:ilvl="0">
      <w:lvlJc w:val="left"/>
      <w:lvlText w:val="%1."/>
      <w:numFmt w:val="decimal"/>
      <w:start w:val="1"/>
    </w:lvl>
    <w:lvl w:ilvl="1">
      <w:lvlJc w:val="left"/>
      <w:lvlText w:val="%2."/>
      <w:numFmt w:val="lowerLetter"/>
      <w:start w:val="1"/>
    </w:lvl>
  </w:abstractNum>
  <w:abstractNum w:abstractNumId="140">
    <w:nsid w:val="759F82CD"/>
    <w:multiLevelType w:val="hybridMultilevel"/>
    <w:lvl w:ilvl="0">
      <w:lvlJc w:val="left"/>
      <w:lvlText w:val="%1."/>
      <w:numFmt w:val="lowerLetter"/>
      <w:start w:val="2"/>
    </w:lvl>
  </w:abstractNum>
  <w:abstractNum w:abstractNumId="141">
    <w:nsid w:val="61E74EA3"/>
    <w:multiLevelType w:val="hybridMultilevel"/>
    <w:lvl w:ilvl="0">
      <w:lvlJc w:val="left"/>
      <w:lvlText w:val="(%1)"/>
      <w:numFmt w:val="lowerRoman"/>
      <w:start w:val="1"/>
    </w:lvl>
    <w:lvl w:ilvl="1">
      <w:lvlJc w:val="left"/>
      <w:lvlText w:val="%2."/>
      <w:numFmt w:val="upperLetter"/>
      <w:start w:val="3"/>
    </w:lvl>
  </w:abstractNum>
  <w:abstractNum w:abstractNumId="142">
    <w:nsid w:val="597B4D84"/>
    <w:multiLevelType w:val="hybridMultilevel"/>
    <w:lvl w:ilvl="0">
      <w:lvlJc w:val="left"/>
      <w:lvlText w:val="(%1)"/>
      <w:numFmt w:val="lowerRoman"/>
      <w:start w:val="5"/>
    </w:lvl>
    <w:lvl w:ilvl="1">
      <w:lvlJc w:val="left"/>
      <w:lvlText w:val="%2."/>
      <w:numFmt w:val="upperLetter"/>
      <w:start w:val="4"/>
    </w:lvl>
  </w:abstractNum>
  <w:abstractNum w:abstractNumId="143">
    <w:nsid w:val="F819E7F"/>
    <w:multiLevelType w:val="hybridMultilevel"/>
    <w:lvl w:ilvl="0">
      <w:lvlJc w:val="left"/>
      <w:lvlText w:val="(%1)"/>
      <w:numFmt w:val="lowerRoman"/>
      <w:start w:val="10"/>
    </w:lvl>
  </w:abstractNum>
  <w:abstractNum w:abstractNumId="144">
    <w:nsid w:val="57C7D42D"/>
    <w:multiLevelType w:val="hybridMultilevel"/>
    <w:lvl w:ilvl="0">
      <w:lvlJc w:val="left"/>
      <w:lvlText w:val="%1."/>
      <w:numFmt w:val="lowerLetter"/>
      <w:start w:val="1"/>
    </w:lvl>
  </w:abstractNum>
  <w:abstractNum w:abstractNumId="145">
    <w:nsid w:val="312167AD"/>
    <w:multiLevelType w:val="hybridMultilevel"/>
    <w:lvl w:ilvl="0">
      <w:lvlJc w:val="left"/>
      <w:lvlText w:val="%1."/>
      <w:numFmt w:val="lowerRoman"/>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jpeg"/><Relationship Id="rId219" Type="http://schemas.openxmlformats.org/officeDocument/2006/relationships/image" Target="media/image202.png"/><Relationship Id="rId220" Type="http://schemas.openxmlformats.org/officeDocument/2006/relationships/image" Target="media/image203.jpeg"/><Relationship Id="rId221" Type="http://schemas.openxmlformats.org/officeDocument/2006/relationships/image" Target="media/image204.png"/><Relationship Id="rId222" Type="http://schemas.openxmlformats.org/officeDocument/2006/relationships/image" Target="media/image205.jpeg"/><Relationship Id="rId223" Type="http://schemas.openxmlformats.org/officeDocument/2006/relationships/image" Target="media/image206.png"/><Relationship Id="rId224" Type="http://schemas.openxmlformats.org/officeDocument/2006/relationships/image" Target="media/image207.jpeg"/><Relationship Id="rId225" Type="http://schemas.openxmlformats.org/officeDocument/2006/relationships/image" Target="media/image208.png"/><Relationship Id="rId226" Type="http://schemas.openxmlformats.org/officeDocument/2006/relationships/image" Target="media/image209.jpe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35" Type="http://schemas.openxmlformats.org/officeDocument/2006/relationships/hyperlink" Target="http://www.sec.gov/ix?doc=/Archives/edgar/data/87347/000156459020001578/slb-10k_20191231.htm" TargetMode="External"/><Relationship Id="rId36" Type="http://schemas.openxmlformats.org/officeDocument/2006/relationships/hyperlink" Target="http://www.sec.gov/Archives/edgar/data/87347/000130817920000009/lslb2020_def14a.htm" TargetMode="External"/><Relationship Id="rId37" Type="http://schemas.openxmlformats.org/officeDocument/2006/relationships/hyperlink" Target="http://www.sec.gov/ix?doc=/Archives/edgar/data/87347/000156459020017823/slb-10q_20200331.htm" TargetMode="External"/><Relationship Id="rId38" Type="http://schemas.openxmlformats.org/officeDocument/2006/relationships/hyperlink" Target="http://www.sec.gov/ix?doc=/Archives/edgar/data/87347/000156459020034137/slb-10q_20200630.htm" TargetMode="External"/><Relationship Id="rId39" Type="http://schemas.openxmlformats.org/officeDocument/2006/relationships/hyperlink" Target="http://www.sec.gov/ix?doc=/Archives/edgar/data/87347/000156459020047045/slb-10q_20200930.htm" TargetMode="External"/><Relationship Id="rId40" Type="http://schemas.openxmlformats.org/officeDocument/2006/relationships/hyperlink" Target="http://www.sec.gov/ix?doc=/Archives/edgar/data/87347/000119312520170138/d944136d8k.htm" TargetMode="External"/><Relationship Id="rId41" Type="http://schemas.openxmlformats.org/officeDocument/2006/relationships/hyperlink" Target="http://www.sec.gov/ix?doc=/Archives/edgar/data/87347/000119312520272042/d67294d8k.htm" TargetMode="External"/><Relationship Id="rId42" Type="http://schemas.openxmlformats.org/officeDocument/2006/relationships/hyperlink" Target="http://www.sec.gov/Archives/edgar/data/87347/000156459020001578/slb-ex41_549.htm" TargetMode="External"/><Relationship Id="rId76" Type="http://schemas.openxmlformats.org/officeDocument/2006/relationships/hyperlink" Target="http://www.sec.gov/Archives/edgar/data/87347/000119312516532046/d176097dex31.htm" TargetMode="External"/><Relationship Id="rId77"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2020-10-26T13:46:32Z</dcterms:created>
  <dcterms:modified xsi:type="dcterms:W3CDTF">2020-10-26T13:46:32Z</dcterms:modified>
</cp:coreProperties>
</file>