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0001580649</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835"/>
        </w:trPr>
        <w:tc>
          <w:tcPr>
            <w:tcW w:w="65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SCHLUMBERGER LIMITED/NV</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001-04601</w:t>
            </w:r>
          </w:p>
        </w:tc>
      </w:tr>
      <w:tr>
        <w:trPr>
          <w:trHeight w:val="258"/>
        </w:trPr>
        <w:tc>
          <w:tcPr>
            <w:tcW w:w="3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5599 SAN FELIPE</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17TH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HOUSTON</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77056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7135132000</w:t>
            </w:r>
          </w:p>
        </w:tc>
      </w:tr>
      <w:tr>
        <w:trPr>
          <w:trHeight w:val="297"/>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Al Mogharbel Khaled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38570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1944790.76</w:t>
            </w: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1423420641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01/23/2024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01/20/2023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38570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01/20/2023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0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01/23/2024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8"/>
              </w:rPr>
              <w:t>/s/ Gerardo Ibarra-Munoz, as a duly authorized representative of Fidelity Brokerage Services LLC, as attorney-in-</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99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fact for Khaled Al Mogharbel</w:t>
            </w:r>
          </w:p>
        </w:tc>
        <w:tc>
          <w:tcPr>
            <w:tcW w:w="0" w:type="dxa"/>
            <w:vAlign w:val="bottom"/>
          </w:tcPr>
          <w:p>
            <w:pPr>
              <w:spacing w:after="0"/>
              <w:rPr>
                <w:sz w:val="1"/>
                <w:szCs w:val="1"/>
                <w:color w:val="auto"/>
              </w:rPr>
            </w:pPr>
          </w:p>
        </w:tc>
      </w:tr>
      <w:tr>
        <w:trPr>
          <w:trHeight w:val="122"/>
        </w:trPr>
        <w:tc>
          <w:tcPr>
            <w:tcW w:w="96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2024-01-23T12:49:10Z</dcterms:created>
  <dcterms:modified xsi:type="dcterms:W3CDTF">2024-01-23T12:49:10Z</dcterms:modified>
</cp:coreProperties>
</file>