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Arial;Helvetica;Sans-Serif" w:hAnsi="Arial;Helvetica;Sans-Serif"/>
          <w:b/>
          <w:i w:val="false"/>
          <w:caps w:val="false"/>
          <w:smallCaps w:val="false"/>
          <w:sz w:val="18"/>
        </w:rPr>
      </w:pPr>
      <w:bookmarkStart w:id="0" w:name="slb015155-defa14a.htm"/>
      <w:bookmarkStart w:id="1" w:name="ksslb015155defa14a"/>
      <w:bookmarkEnd w:id="0"/>
      <w:bookmarkEnd w:id="1"/>
      <w:r>
        <w:rPr>
          <w:rFonts w:ascii="Arial;Helvetica;Sans-Serif" w:hAnsi="Arial;Helvetica;Sans-Serif"/>
          <w:b/>
          <w:i w:val="false"/>
          <w:caps w:val="false"/>
          <w:smallCaps w:val="false"/>
          <w:sz w:val="18"/>
        </w:rPr>
        <w:t xml:space="preserve">UNITED STATES </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SECURITIES AND EXCHANGE COMMISSION</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color w:val="0233A1"/>
          <w:sz w:val="28"/>
        </w:rPr>
      </w:pPr>
      <w:r>
        <w:rPr>
          <w:rFonts w:ascii="Arial;Helvetica;Sans-Serif" w:hAnsi="Arial;Helvetica;Sans-Serif"/>
          <w:b/>
          <w:i w:val="false"/>
          <w:caps w:val="false"/>
          <w:smallCaps w:val="false"/>
          <w:color w:val="0233A1"/>
          <w:sz w:val="28"/>
        </w:rPr>
        <w:t>SCHEDULE 14A INFORMATION</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 xml:space="preserve">PROXY STATEMENT PURSUANT TO SECTION 14(A) </w:t>
      </w:r>
      <w:r>
        <w:rPr>
          <w:rFonts w:ascii="Arial;Helvetica;Sans-Serif" w:hAnsi="Arial;Helvetica;Sans-Serif"/>
          <w:b w:val="false"/>
          <w:i w:val="false"/>
          <w:caps w:val="false"/>
          <w:smallCaps w:val="false"/>
          <w:sz w:val="18"/>
        </w:rPr>
        <w:br/>
      </w:r>
      <w:r>
        <w:rPr>
          <w:rFonts w:ascii="Arial;Helvetica;Sans-Serif" w:hAnsi="Arial;Helvetica;Sans-Serif"/>
          <w:b/>
          <w:i w:val="false"/>
          <w:caps w:val="false"/>
          <w:smallCaps w:val="false"/>
          <w:sz w:val="18"/>
        </w:rPr>
        <w:t xml:space="preserve">OF THE SECURITIES EXCHANGE ACT OF 1934 </w:t>
      </w:r>
    </w:p>
    <w:p>
      <w:pPr>
        <w:pStyle w:val="TextBody"/>
        <w:bidi w:val="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(Amendment No. ___)</w:t>
      </w:r>
    </w:p>
    <w:p>
      <w:pPr>
        <w:pStyle w:val="TextBody"/>
        <w:bidi w:val="0"/>
        <w:jc w:val="center"/>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390"/>
        <w:gridCol w:w="2285"/>
        <w:gridCol w:w="375"/>
        <w:gridCol w:w="4025"/>
      </w:tblGrid>
      <w:tr>
        <w:trPr/>
        <w:tc>
          <w:tcPr>
            <w:tcW w:w="390" w:type="dxa"/>
            <w:tcBorders/>
            <w:vAlign w:val="center"/>
          </w:tcPr>
          <w:p>
            <w:pPr>
              <w:pStyle w:val="TableContents"/>
              <w:bidi w:val="0"/>
              <w:spacing w:before="0" w:after="283"/>
              <w:jc w:val="right"/>
              <w:rPr/>
            </w:pPr>
            <w:r>
              <w:rPr/>
              <w:drawing>
                <wp:inline distT="0" distB="0" distL="0" distR="0">
                  <wp:extent cx="238125"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 cy="238125"/>
                          </a:xfrm>
                          <a:prstGeom prst="rect">
                            <a:avLst/>
                          </a:prstGeom>
                        </pic:spPr>
                      </pic:pic>
                    </a:graphicData>
                  </a:graphic>
                </wp:inline>
              </w:drawing>
            </w:r>
          </w:p>
        </w:tc>
        <w:tc>
          <w:tcPr>
            <w:tcW w:w="2285" w:type="dxa"/>
            <w:tcBorders/>
            <w:vAlign w:val="center"/>
          </w:tcPr>
          <w:p>
            <w:pPr>
              <w:pStyle w:val="TableContents"/>
              <w:bidi w:val="0"/>
              <w:spacing w:before="0" w:after="283"/>
              <w:jc w:val="left"/>
              <w:rPr/>
            </w:pPr>
            <w:r>
              <w:rPr/>
              <w:t>  </w:t>
            </w:r>
            <w:r>
              <w:rPr/>
              <w:t>Filed by the Registrant</w:t>
            </w:r>
          </w:p>
        </w:tc>
        <w:tc>
          <w:tcPr>
            <w:tcW w:w="375" w:type="dxa"/>
            <w:tcBorders/>
            <w:vAlign w:val="center"/>
          </w:tcPr>
          <w:p>
            <w:pPr>
              <w:pStyle w:val="TableContents"/>
              <w:bidi w:val="0"/>
              <w:spacing w:before="0" w:after="283"/>
              <w:jc w:val="left"/>
              <w:rPr/>
            </w:pPr>
            <w:r>
              <w:rPr/>
              <w:drawing>
                <wp:inline distT="0" distB="0" distL="0" distR="0">
                  <wp:extent cx="238125" cy="23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125" cy="238125"/>
                          </a:xfrm>
                          <a:prstGeom prst="rect">
                            <a:avLst/>
                          </a:prstGeom>
                        </pic:spPr>
                      </pic:pic>
                    </a:graphicData>
                  </a:graphic>
                </wp:inline>
              </w:drawing>
            </w:r>
          </w:p>
        </w:tc>
        <w:tc>
          <w:tcPr>
            <w:tcW w:w="4025" w:type="dxa"/>
            <w:tcBorders/>
            <w:vAlign w:val="center"/>
          </w:tcPr>
          <w:p>
            <w:pPr>
              <w:pStyle w:val="TableContents"/>
              <w:bidi w:val="0"/>
              <w:spacing w:before="0" w:after="283"/>
              <w:jc w:val="left"/>
              <w:rPr/>
            </w:pPr>
            <w:r>
              <w:rPr/>
              <w:t>  </w:t>
            </w:r>
            <w:r>
              <w:rPr/>
              <w:t>Filed by a Party other than the Registrant</w:t>
            </w:r>
          </w:p>
        </w:tc>
      </w:tr>
    </w:tbl>
    <w:p>
      <w:pPr>
        <w:pStyle w:val="TextBody"/>
        <w:bidi w:val="0"/>
        <w:jc w:val="center"/>
        <w:rPr>
          <w:caps w:val="false"/>
          <w:smallCaps w:val="false"/>
        </w:rPr>
      </w:pPr>
      <w:r>
        <w:rPr>
          <w:caps w:val="false"/>
          <w:smallCaps w:val="false"/>
        </w:rPr>
        <w:t> </w:t>
      </w:r>
    </w:p>
    <w:tbl>
      <w:tblPr>
        <w:tblW w:w="8555" w:type="dxa"/>
        <w:jc w:val="left"/>
        <w:tblInd w:w="0" w:type="dxa"/>
        <w:tblLayout w:type="fixed"/>
        <w:tblCellMar>
          <w:top w:w="40" w:type="dxa"/>
          <w:left w:w="40" w:type="dxa"/>
          <w:bottom w:w="28" w:type="dxa"/>
          <w:right w:w="40" w:type="dxa"/>
        </w:tblCellMar>
      </w:tblPr>
      <w:tblGrid>
        <w:gridCol w:w="390"/>
        <w:gridCol w:w="8165"/>
      </w:tblGrid>
      <w:tr>
        <w:trPr/>
        <w:tc>
          <w:tcPr>
            <w:tcW w:w="8555" w:type="dxa"/>
            <w:gridSpan w:val="2"/>
            <w:tcBorders>
              <w:top w:val="single" w:sz="2" w:space="0" w:color="000000"/>
              <w:left w:val="single" w:sz="2" w:space="0" w:color="000000"/>
              <w:bottom w:val="single" w:sz="2" w:space="0" w:color="000000"/>
              <w:right w:val="single" w:sz="2" w:space="0" w:color="000000"/>
            </w:tcBorders>
            <w:shd w:fill="F1F1F1" w:val="clear"/>
            <w:vAlign w:val="center"/>
          </w:tcPr>
          <w:p>
            <w:pPr>
              <w:pStyle w:val="TableContents"/>
              <w:bidi w:val="0"/>
              <w:spacing w:before="0" w:after="283"/>
              <w:jc w:val="left"/>
              <w:rPr>
                <w:b/>
                <w:sz w:val="20"/>
              </w:rPr>
            </w:pPr>
            <w:r>
              <w:rPr>
                <w:b/>
                <w:sz w:val="20"/>
              </w:rPr>
              <w:t>Check the appropriate box:</w:t>
            </w:r>
          </w:p>
        </w:tc>
      </w:tr>
      <w:tr>
        <w:trPr/>
        <w:tc>
          <w:tcPr>
            <w:tcW w:w="390" w:type="dxa"/>
            <w:tcBorders>
              <w:left w:val="single" w:sz="2" w:space="0" w:color="000000"/>
              <w:bottom w:val="single" w:sz="2" w:space="0" w:color="000000"/>
              <w:right w:val="single" w:sz="2" w:space="0" w:color="000000"/>
            </w:tcBorders>
            <w:tcMar>
              <w:top w:w="0" w:type="dxa"/>
              <w:bottom w:w="40" w:type="dxa"/>
            </w:tcMar>
            <w:vAlign w:val="center"/>
          </w:tcPr>
          <w:p>
            <w:pPr>
              <w:pStyle w:val="TableContents"/>
              <w:bidi w:val="0"/>
              <w:spacing w:before="0" w:after="283"/>
              <w:jc w:val="center"/>
              <w:rPr/>
            </w:pPr>
            <w:r>
              <w:rPr/>
              <w:drawing>
                <wp:inline distT="0" distB="0" distL="0" distR="0">
                  <wp:extent cx="238125" cy="23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8125" cy="238125"/>
                          </a:xfrm>
                          <a:prstGeom prst="rect">
                            <a:avLst/>
                          </a:prstGeom>
                        </pic:spPr>
                      </pic:pic>
                    </a:graphicData>
                  </a:graphic>
                </wp:inline>
              </w:drawing>
            </w:r>
          </w:p>
        </w:tc>
        <w:tc>
          <w:tcPr>
            <w:tcW w:w="8165" w:type="dxa"/>
            <w:tcBorders>
              <w:bottom w:val="single" w:sz="2" w:space="0" w:color="000000"/>
              <w:right w:val="single" w:sz="2" w:space="0" w:color="000000"/>
            </w:tcBorders>
            <w:tcMar>
              <w:top w:w="0" w:type="dxa"/>
              <w:left w:w="0" w:type="dxa"/>
              <w:bottom w:w="40" w:type="dxa"/>
            </w:tcMar>
            <w:vAlign w:val="center"/>
          </w:tcPr>
          <w:p>
            <w:pPr>
              <w:pStyle w:val="TableContents"/>
              <w:bidi w:val="0"/>
              <w:spacing w:before="0" w:after="283"/>
              <w:jc w:val="left"/>
              <w:rPr/>
            </w:pPr>
            <w:r>
              <w:rPr/>
              <w:t>Preliminary Proxy Statement</w:t>
            </w:r>
          </w:p>
        </w:tc>
      </w:tr>
      <w:tr>
        <w:trPr/>
        <w:tc>
          <w:tcPr>
            <w:tcW w:w="390" w:type="dxa"/>
            <w:tcBorders>
              <w:left w:val="single" w:sz="2" w:space="0" w:color="000000"/>
              <w:bottom w:val="single" w:sz="2" w:space="0" w:color="000000"/>
              <w:right w:val="single" w:sz="2" w:space="0" w:color="000000"/>
            </w:tcBorders>
            <w:tcMar>
              <w:top w:w="0" w:type="dxa"/>
              <w:bottom w:w="40" w:type="dxa"/>
            </w:tcMar>
            <w:vAlign w:val="center"/>
          </w:tcPr>
          <w:p>
            <w:pPr>
              <w:pStyle w:val="TableContents"/>
              <w:bidi w:val="0"/>
              <w:spacing w:before="0" w:after="283"/>
              <w:jc w:val="center"/>
              <w:rPr/>
            </w:pPr>
            <w:r>
              <w:rPr/>
              <w:drawing>
                <wp:inline distT="0" distB="0" distL="0" distR="0">
                  <wp:extent cx="238125" cy="23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8125" cy="238125"/>
                          </a:xfrm>
                          <a:prstGeom prst="rect">
                            <a:avLst/>
                          </a:prstGeom>
                        </pic:spPr>
                      </pic:pic>
                    </a:graphicData>
                  </a:graphic>
                </wp:inline>
              </w:drawing>
            </w:r>
          </w:p>
        </w:tc>
        <w:tc>
          <w:tcPr>
            <w:tcW w:w="8165" w:type="dxa"/>
            <w:tcBorders>
              <w:bottom w:val="single" w:sz="2" w:space="0" w:color="000000"/>
              <w:right w:val="single" w:sz="2" w:space="0" w:color="000000"/>
            </w:tcBorders>
            <w:tcMar>
              <w:top w:w="0" w:type="dxa"/>
              <w:left w:w="0" w:type="dxa"/>
              <w:bottom w:w="40" w:type="dxa"/>
            </w:tcMar>
            <w:vAlign w:val="center"/>
          </w:tcPr>
          <w:p>
            <w:pPr>
              <w:pStyle w:val="TableContents"/>
              <w:bidi w:val="0"/>
              <w:spacing w:before="0" w:after="283"/>
              <w:jc w:val="left"/>
              <w:rPr>
                <w:b/>
              </w:rPr>
            </w:pPr>
            <w:r>
              <w:rPr>
                <w:b/>
              </w:rPr>
              <w:t>Confidential, for Use of the Commission Only (as permitted by Rule 14A-6(e)(2))</w:t>
            </w:r>
          </w:p>
        </w:tc>
      </w:tr>
      <w:tr>
        <w:trPr/>
        <w:tc>
          <w:tcPr>
            <w:tcW w:w="390" w:type="dxa"/>
            <w:tcBorders>
              <w:left w:val="single" w:sz="2" w:space="0" w:color="000000"/>
              <w:bottom w:val="single" w:sz="2" w:space="0" w:color="000000"/>
              <w:right w:val="single" w:sz="2" w:space="0" w:color="000000"/>
            </w:tcBorders>
            <w:tcMar>
              <w:top w:w="0" w:type="dxa"/>
              <w:bottom w:w="40" w:type="dxa"/>
            </w:tcMar>
            <w:vAlign w:val="center"/>
          </w:tcPr>
          <w:p>
            <w:pPr>
              <w:pStyle w:val="TableContents"/>
              <w:bidi w:val="0"/>
              <w:spacing w:before="0" w:after="283"/>
              <w:jc w:val="center"/>
              <w:rPr/>
            </w:pPr>
            <w:r>
              <w:rPr/>
              <w:drawing>
                <wp:inline distT="0" distB="0" distL="0" distR="0">
                  <wp:extent cx="238125" cy="23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8125" cy="238125"/>
                          </a:xfrm>
                          <a:prstGeom prst="rect">
                            <a:avLst/>
                          </a:prstGeom>
                        </pic:spPr>
                      </pic:pic>
                    </a:graphicData>
                  </a:graphic>
                </wp:inline>
              </w:drawing>
            </w:r>
          </w:p>
        </w:tc>
        <w:tc>
          <w:tcPr>
            <w:tcW w:w="8165" w:type="dxa"/>
            <w:tcBorders>
              <w:bottom w:val="single" w:sz="2" w:space="0" w:color="000000"/>
              <w:right w:val="single" w:sz="2" w:space="0" w:color="000000"/>
            </w:tcBorders>
            <w:tcMar>
              <w:top w:w="0" w:type="dxa"/>
              <w:left w:w="0" w:type="dxa"/>
              <w:bottom w:w="40" w:type="dxa"/>
            </w:tcMar>
            <w:vAlign w:val="center"/>
          </w:tcPr>
          <w:p>
            <w:pPr>
              <w:pStyle w:val="TableContents"/>
              <w:bidi w:val="0"/>
              <w:spacing w:before="0" w:after="283"/>
              <w:jc w:val="left"/>
              <w:rPr/>
            </w:pPr>
            <w:r>
              <w:rPr/>
              <w:t>Definitive Proxy Statement</w:t>
            </w:r>
          </w:p>
        </w:tc>
      </w:tr>
      <w:tr>
        <w:trPr/>
        <w:tc>
          <w:tcPr>
            <w:tcW w:w="390" w:type="dxa"/>
            <w:tcBorders>
              <w:left w:val="single" w:sz="2" w:space="0" w:color="000000"/>
              <w:bottom w:val="single" w:sz="2" w:space="0" w:color="000000"/>
              <w:right w:val="single" w:sz="2" w:space="0" w:color="000000"/>
            </w:tcBorders>
            <w:tcMar>
              <w:top w:w="0" w:type="dxa"/>
              <w:bottom w:w="40" w:type="dxa"/>
            </w:tcMar>
            <w:vAlign w:val="center"/>
          </w:tcPr>
          <w:p>
            <w:pPr>
              <w:pStyle w:val="TableContents"/>
              <w:bidi w:val="0"/>
              <w:spacing w:before="0" w:after="283"/>
              <w:jc w:val="center"/>
              <w:rPr/>
            </w:pPr>
            <w:r>
              <w:rPr/>
              <w:drawing>
                <wp:inline distT="0" distB="0" distL="0" distR="0">
                  <wp:extent cx="238125" cy="23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8125" cy="238125"/>
                          </a:xfrm>
                          <a:prstGeom prst="rect">
                            <a:avLst/>
                          </a:prstGeom>
                        </pic:spPr>
                      </pic:pic>
                    </a:graphicData>
                  </a:graphic>
                </wp:inline>
              </w:drawing>
            </w:r>
          </w:p>
        </w:tc>
        <w:tc>
          <w:tcPr>
            <w:tcW w:w="8165" w:type="dxa"/>
            <w:tcBorders>
              <w:bottom w:val="single" w:sz="2" w:space="0" w:color="000000"/>
              <w:right w:val="single" w:sz="2" w:space="0" w:color="000000"/>
            </w:tcBorders>
            <w:tcMar>
              <w:top w:w="0" w:type="dxa"/>
              <w:left w:w="0" w:type="dxa"/>
              <w:bottom w:w="40" w:type="dxa"/>
            </w:tcMar>
            <w:vAlign w:val="center"/>
          </w:tcPr>
          <w:p>
            <w:pPr>
              <w:pStyle w:val="TableContents"/>
              <w:bidi w:val="0"/>
              <w:spacing w:before="0" w:after="283"/>
              <w:jc w:val="left"/>
              <w:rPr/>
            </w:pPr>
            <w:r>
              <w:rPr/>
              <w:t>Definitive Additional Materials</w:t>
            </w:r>
          </w:p>
        </w:tc>
      </w:tr>
      <w:tr>
        <w:trPr/>
        <w:tc>
          <w:tcPr>
            <w:tcW w:w="390" w:type="dxa"/>
            <w:tcBorders>
              <w:left w:val="single" w:sz="2" w:space="0" w:color="000000"/>
              <w:bottom w:val="single" w:sz="2" w:space="0" w:color="000000"/>
              <w:right w:val="single" w:sz="2" w:space="0" w:color="000000"/>
            </w:tcBorders>
            <w:tcMar>
              <w:top w:w="0" w:type="dxa"/>
              <w:bottom w:w="40" w:type="dxa"/>
            </w:tcMar>
            <w:vAlign w:val="center"/>
          </w:tcPr>
          <w:p>
            <w:pPr>
              <w:pStyle w:val="TableContents"/>
              <w:bidi w:val="0"/>
              <w:spacing w:before="0" w:after="283"/>
              <w:jc w:val="center"/>
              <w:rPr/>
            </w:pPr>
            <w:r>
              <w:rPr/>
              <w:drawing>
                <wp:inline distT="0" distB="0" distL="0" distR="0">
                  <wp:extent cx="238125" cy="23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8125" cy="238125"/>
                          </a:xfrm>
                          <a:prstGeom prst="rect">
                            <a:avLst/>
                          </a:prstGeom>
                        </pic:spPr>
                      </pic:pic>
                    </a:graphicData>
                  </a:graphic>
                </wp:inline>
              </w:drawing>
            </w:r>
          </w:p>
        </w:tc>
        <w:tc>
          <w:tcPr>
            <w:tcW w:w="8165" w:type="dxa"/>
            <w:tcBorders>
              <w:bottom w:val="single" w:sz="2" w:space="0" w:color="000000"/>
              <w:right w:val="single" w:sz="2" w:space="0" w:color="000000"/>
            </w:tcBorders>
            <w:tcMar>
              <w:top w:w="0" w:type="dxa"/>
              <w:left w:w="0" w:type="dxa"/>
              <w:bottom w:w="40" w:type="dxa"/>
            </w:tcMar>
            <w:vAlign w:val="center"/>
          </w:tcPr>
          <w:p>
            <w:pPr>
              <w:pStyle w:val="TableContents"/>
              <w:bidi w:val="0"/>
              <w:spacing w:before="0" w:after="283"/>
              <w:jc w:val="left"/>
              <w:rPr/>
            </w:pPr>
            <w:r>
              <w:rPr/>
              <w:t>Soliciting Material under §240.14a-12</w:t>
            </w:r>
          </w:p>
        </w:tc>
      </w:tr>
    </w:tbl>
    <w:p>
      <w:pPr>
        <w:pStyle w:val="TextBody"/>
        <w:bidi w:val="0"/>
        <w:jc w:val="center"/>
        <w:rPr>
          <w:caps w:val="false"/>
          <w:smallCaps w:val="false"/>
          <w:color w:val="3CF12F"/>
        </w:rPr>
      </w:pPr>
      <w:r>
        <w:rPr>
          <w:caps w:val="false"/>
          <w:smallCaps w:val="false"/>
          <w:color w:val="3CF12F"/>
        </w:rPr>
        <w:t> </w:t>
      </w:r>
    </w:p>
    <w:p>
      <w:pPr>
        <w:pStyle w:val="TextBody"/>
        <w:bidi w:val="0"/>
        <w:jc w:val="center"/>
        <w:rPr>
          <w:caps w:val="false"/>
          <w:smallCaps w:val="false"/>
        </w:rPr>
      </w:pPr>
      <w:r>
        <w:rPr>
          <w:caps w:val="false"/>
          <w:smallCaps w:val="false"/>
        </w:rPr>
        <w:drawing>
          <wp:inline distT="0" distB="0" distL="0" distR="0">
            <wp:extent cx="952500" cy="571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52500" cy="5715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40"/>
        </w:rPr>
      </w:pPr>
      <w:r>
        <w:rPr>
          <w:rFonts w:ascii="Arial;Helvetica;Sans-Serif" w:hAnsi="Arial;Helvetica;Sans-Serif"/>
          <w:b/>
          <w:i w:val="false"/>
          <w:caps w:val="false"/>
          <w:smallCaps w:val="false"/>
          <w:sz w:val="40"/>
        </w:rPr>
        <w:t>SCHLUMBERGER N.V. (SCHLUMBERGER LIMITED)</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(Name of Registrant as Specified in Its Charter)</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(Name of Person(s) Filing Proxy Statement if other than the Registrant)</w:t>
      </w:r>
    </w:p>
    <w:p>
      <w:pPr>
        <w:pStyle w:val="TextBody"/>
        <w:bidi w:val="0"/>
        <w:jc w:val="center"/>
        <w:rPr>
          <w:caps w:val="false"/>
          <w:smallCaps w:val="false"/>
        </w:rPr>
      </w:pPr>
      <w:r>
        <w:rPr>
          <w:caps w:val="false"/>
          <w:smallCaps w:val="false"/>
        </w:rPr>
        <w:t> </w:t>
      </w:r>
    </w:p>
    <w:tbl>
      <w:tblPr>
        <w:tblW w:w="10055" w:type="dxa"/>
        <w:jc w:val="left"/>
        <w:tblInd w:w="0" w:type="dxa"/>
        <w:tblLayout w:type="fixed"/>
        <w:tblCellMar>
          <w:top w:w="40" w:type="dxa"/>
          <w:left w:w="40" w:type="dxa"/>
          <w:bottom w:w="28" w:type="dxa"/>
          <w:right w:w="40" w:type="dxa"/>
        </w:tblCellMar>
      </w:tblPr>
      <w:tblGrid>
        <w:gridCol w:w="390"/>
        <w:gridCol w:w="9665"/>
      </w:tblGrid>
      <w:tr>
        <w:trPr/>
        <w:tc>
          <w:tcPr>
            <w:tcW w:w="10055" w:type="dxa"/>
            <w:gridSpan w:val="2"/>
            <w:tcBorders>
              <w:top w:val="single" w:sz="2" w:space="0" w:color="000000"/>
              <w:left w:val="single" w:sz="2" w:space="0" w:color="000000"/>
              <w:bottom w:val="single" w:sz="2" w:space="0" w:color="000000"/>
              <w:right w:val="single" w:sz="2" w:space="0" w:color="000000"/>
            </w:tcBorders>
            <w:shd w:fill="F1F1F1" w:val="clear"/>
            <w:vAlign w:val="center"/>
          </w:tcPr>
          <w:p>
            <w:pPr>
              <w:pStyle w:val="TableContents"/>
              <w:bidi w:val="0"/>
              <w:spacing w:before="0" w:after="283"/>
              <w:jc w:val="left"/>
              <w:rPr>
                <w:b/>
                <w:sz w:val="20"/>
              </w:rPr>
            </w:pPr>
            <w:r>
              <w:rPr>
                <w:b/>
                <w:sz w:val="20"/>
              </w:rPr>
              <w:t>Payment of Filing Fee (Check all boxes that apply):</w:t>
            </w:r>
          </w:p>
        </w:tc>
      </w:tr>
      <w:tr>
        <w:trPr/>
        <w:tc>
          <w:tcPr>
            <w:tcW w:w="390" w:type="dxa"/>
            <w:tcBorders>
              <w:left w:val="single" w:sz="2" w:space="0" w:color="000000"/>
              <w:bottom w:val="single" w:sz="2" w:space="0" w:color="000000"/>
              <w:right w:val="single" w:sz="2" w:space="0" w:color="000000"/>
            </w:tcBorders>
            <w:tcMar>
              <w:top w:w="0" w:type="dxa"/>
              <w:left w:w="80" w:type="dxa"/>
              <w:bottom w:w="40" w:type="dxa"/>
              <w:right w:w="80" w:type="dxa"/>
            </w:tcMar>
            <w:vAlign w:val="center"/>
          </w:tcPr>
          <w:p>
            <w:pPr>
              <w:pStyle w:val="TableContents"/>
              <w:bidi w:val="0"/>
              <w:spacing w:before="0" w:after="283"/>
              <w:jc w:val="center"/>
              <w:rPr/>
            </w:pPr>
            <w:r>
              <w:rPr/>
              <w:drawing>
                <wp:inline distT="0" distB="0" distL="0" distR="0">
                  <wp:extent cx="238125" cy="23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8125" cy="238125"/>
                          </a:xfrm>
                          <a:prstGeom prst="rect">
                            <a:avLst/>
                          </a:prstGeom>
                        </pic:spPr>
                      </pic:pic>
                    </a:graphicData>
                  </a:graphic>
                </wp:inline>
              </w:drawing>
            </w:r>
          </w:p>
        </w:tc>
        <w:tc>
          <w:tcPr>
            <w:tcW w:w="9665" w:type="dxa"/>
            <w:tcBorders>
              <w:bottom w:val="single" w:sz="2" w:space="0" w:color="000000"/>
              <w:right w:val="single" w:sz="2" w:space="0" w:color="000000"/>
            </w:tcBorders>
            <w:tcMar>
              <w:top w:w="0" w:type="dxa"/>
              <w:left w:w="0" w:type="dxa"/>
              <w:bottom w:w="40" w:type="dxa"/>
              <w:right w:w="100" w:type="dxa"/>
            </w:tcMar>
            <w:vAlign w:val="center"/>
          </w:tcPr>
          <w:p>
            <w:pPr>
              <w:pStyle w:val="TableContents"/>
              <w:bidi w:val="0"/>
              <w:spacing w:before="0" w:after="283"/>
              <w:jc w:val="both"/>
              <w:rPr/>
            </w:pPr>
            <w:r>
              <w:rPr/>
              <w:t>No fee required</w:t>
            </w:r>
          </w:p>
        </w:tc>
      </w:tr>
      <w:tr>
        <w:trPr/>
        <w:tc>
          <w:tcPr>
            <w:tcW w:w="390" w:type="dxa"/>
            <w:tcBorders>
              <w:left w:val="single" w:sz="2" w:space="0" w:color="000000"/>
              <w:bottom w:val="single" w:sz="2" w:space="0" w:color="000000"/>
              <w:right w:val="single" w:sz="2" w:space="0" w:color="000000"/>
            </w:tcBorders>
            <w:tcMar>
              <w:top w:w="0" w:type="dxa"/>
              <w:left w:w="80" w:type="dxa"/>
              <w:bottom w:w="40" w:type="dxa"/>
              <w:right w:w="80" w:type="dxa"/>
            </w:tcMar>
            <w:vAlign w:val="center"/>
          </w:tcPr>
          <w:p>
            <w:pPr>
              <w:pStyle w:val="TableContents"/>
              <w:bidi w:val="0"/>
              <w:spacing w:before="0" w:after="283"/>
              <w:jc w:val="center"/>
              <w:rPr/>
            </w:pPr>
            <w:r>
              <w:rPr/>
              <w:drawing>
                <wp:inline distT="0" distB="0" distL="0" distR="0">
                  <wp:extent cx="238125" cy="23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8125" cy="238125"/>
                          </a:xfrm>
                          <a:prstGeom prst="rect">
                            <a:avLst/>
                          </a:prstGeom>
                        </pic:spPr>
                      </pic:pic>
                    </a:graphicData>
                  </a:graphic>
                </wp:inline>
              </w:drawing>
            </w:r>
          </w:p>
        </w:tc>
        <w:tc>
          <w:tcPr>
            <w:tcW w:w="9665" w:type="dxa"/>
            <w:tcBorders>
              <w:bottom w:val="single" w:sz="2" w:space="0" w:color="000000"/>
              <w:right w:val="single" w:sz="2" w:space="0" w:color="000000"/>
            </w:tcBorders>
            <w:tcMar>
              <w:top w:w="0" w:type="dxa"/>
              <w:left w:w="0" w:type="dxa"/>
              <w:bottom w:w="40" w:type="dxa"/>
              <w:right w:w="100" w:type="dxa"/>
            </w:tcMar>
            <w:vAlign w:val="center"/>
          </w:tcPr>
          <w:p>
            <w:pPr>
              <w:pStyle w:val="TableContents"/>
              <w:bidi w:val="0"/>
              <w:spacing w:before="0" w:after="283"/>
              <w:jc w:val="both"/>
              <w:rPr/>
            </w:pPr>
            <w:r>
              <w:rPr/>
              <w:t>Fee paid previously with preliminary materials</w:t>
            </w:r>
          </w:p>
        </w:tc>
      </w:tr>
      <w:tr>
        <w:trPr/>
        <w:tc>
          <w:tcPr>
            <w:tcW w:w="390" w:type="dxa"/>
            <w:tcBorders>
              <w:left w:val="single" w:sz="2" w:space="0" w:color="000000"/>
              <w:bottom w:val="single" w:sz="2" w:space="0" w:color="000000"/>
              <w:right w:val="single" w:sz="2" w:space="0" w:color="000000"/>
            </w:tcBorders>
            <w:tcMar>
              <w:top w:w="0" w:type="dxa"/>
              <w:left w:w="80" w:type="dxa"/>
              <w:bottom w:w="40" w:type="dxa"/>
              <w:right w:w="80" w:type="dxa"/>
            </w:tcMar>
            <w:vAlign w:val="center"/>
          </w:tcPr>
          <w:p>
            <w:pPr>
              <w:pStyle w:val="TableContents"/>
              <w:bidi w:val="0"/>
              <w:spacing w:before="0" w:after="283"/>
              <w:jc w:val="center"/>
              <w:rPr/>
            </w:pPr>
            <w:r>
              <w:rPr/>
              <w:drawing>
                <wp:inline distT="0" distB="0" distL="0" distR="0">
                  <wp:extent cx="238125" cy="23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8125" cy="238125"/>
                          </a:xfrm>
                          <a:prstGeom prst="rect">
                            <a:avLst/>
                          </a:prstGeom>
                        </pic:spPr>
                      </pic:pic>
                    </a:graphicData>
                  </a:graphic>
                </wp:inline>
              </w:drawing>
            </w:r>
          </w:p>
        </w:tc>
        <w:tc>
          <w:tcPr>
            <w:tcW w:w="9665" w:type="dxa"/>
            <w:tcBorders>
              <w:bottom w:val="single" w:sz="2" w:space="0" w:color="000000"/>
              <w:right w:val="single" w:sz="2" w:space="0" w:color="000000"/>
            </w:tcBorders>
            <w:tcMar>
              <w:top w:w="0" w:type="dxa"/>
              <w:left w:w="0" w:type="dxa"/>
              <w:bottom w:w="40" w:type="dxa"/>
              <w:right w:w="100" w:type="dxa"/>
            </w:tcMar>
            <w:vAlign w:val="center"/>
          </w:tcPr>
          <w:p>
            <w:pPr>
              <w:pStyle w:val="TableContents"/>
              <w:bidi w:val="0"/>
              <w:spacing w:before="0" w:after="283"/>
              <w:jc w:val="both"/>
              <w:rPr/>
            </w:pPr>
            <w:r>
              <w:rPr/>
              <w:t>Fee computed on table in exhibit required by Item 25(b) per Exchange Act Rules 14a-6(i)(1) and 0-11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caps w:val="false"/>
          <w:smallCaps w:val="false"/>
        </w:rPr>
      </w:pPr>
      <w:r>
        <w:rPr>
          <w:caps w:val="false"/>
          <w:smallCaps w:val="false"/>
        </w:rPr>
        <w:drawing>
          <wp:inline distT="0" distB="0" distL="0" distR="0">
            <wp:extent cx="7620000" cy="98679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9867900"/>
                    </a:xfrm>
                    <a:prstGeom prst="rect">
                      <a:avLst/>
                    </a:prstGeom>
                  </pic:spPr>
                </pic:pic>
              </a:graphicData>
            </a:graphic>
          </wp:inline>
        </w:drawing>
      </w:r>
    </w:p>
    <w:p>
      <w:pPr>
        <w:pStyle w:val="TextBody"/>
        <w:bidi w:val="0"/>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z w:val="2"/>
        </w:rPr>
        <w:t>P.O. BOX 8016, CARY, NC 27512-9903 Your vote matters! SLB N.V. Annual General Meeting of Shareholders Wednesday, April 8, 2026 9:00 AM, Atlantic Standard Time Curaçao Marriott Beach Resort, John F Kennedy Boulevard, 3, Piscadera Bay For a convenient way to view proxy materials, VOTE, and obtain directions to attend the meeting go to www.proxydocs.com/SLB To vote your proxy while visiting this site, you will need the 12 digit control number in the box below.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Under United States Securities and Exchange Commission rules, proxy materials do not have to be delivered in paper. Proxy materials can be distributed by making them available on the internet. If you want to receive a paper or e-mail copy of the proxy material, you must request one. There is no charge to you for requesting a copy. In order to receive a paper package in time for this year's meeting, you must make this request on or before March 31, 2026. Meeting Materials: Notice of Meeting and Proxy Statement, and Annual Report on Form 10-K Important Notice Regarding the Availability of Proxy Materials for the Shareholders Meeting To Be Held On April 8, 2026 For Shareholders as of February 11, 2026 To order paper materials, use one of the following methods. Internet: www.investorelections.com/SLB Call: 1-866-648-8133 Email: paper@investorelections.com * If requesting material by e-mail, please send a blank e-mail with the 12 digit control number (located below) in the subject line. No other requests, instructions OR other inquiries should be included with your e-mail requesting material. Your control number Have the 12 digit control number located in the box above available when you access the website and follow the instructions. SEE REVERSE FOR FULL AGENDA Copyright © 2026 BetaNXT, Inc. or its affiliates. All Rights Reserved</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caps w:val="false"/>
          <w:smallCaps w:val="false"/>
        </w:rPr>
      </w:pPr>
      <w:r>
        <w:rPr>
          <w:caps w:val="false"/>
          <w:smallCaps w:val="false"/>
        </w:rPr>
        <w:drawing>
          <wp:inline distT="0" distB="0" distL="0" distR="0">
            <wp:extent cx="7562850" cy="98393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562850" cy="9839325"/>
                    </a:xfrm>
                    <a:prstGeom prst="rect">
                      <a:avLst/>
                    </a:prstGeom>
                  </pic:spPr>
                </pic:pic>
              </a:graphicData>
            </a:graphic>
          </wp:inline>
        </w:drawing>
      </w:r>
    </w:p>
    <w:p>
      <w:pPr>
        <w:pStyle w:val="TextBody"/>
        <w:bidi w:val="0"/>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z w:val="2"/>
        </w:rPr>
        <w:t>SLB N.V. Annual General Meeting of Shareholders THE BOARD OF DIRECTORS RECOMMENDS A VOTE: FOR THE DIRECTOR NOMINEES IN PROPOSAL 1 FOR PROPOSALS 2, 3, 4 AND 5 PROPOSAL 1. Election of Directors 1.01 Peter Coleman 1.02 Patrick de La Chevardière 1.03 Miguel Galuccio 1.04 Jim Hackett 1.05 Olivier Le Peuch 1.06 Samuel Leupold 1.07 Maria Moraeus Hanssen 1.08 Vanitha Narayanan 1.09 Jeff Sheets 2. Advisory approval of our executive compensation. 3. Approval of our consolidated balance sheet at December 31, 2025; our consolidated statement of income for the year ended December 31, 2025; and the declarations of dividends by our Board of Directors in 2025, as reflected in our Annual Report on Form 10-K for the fiscal year ended December 31, 2025. 4. Ratification of the appointment of PricewaterhouseCoopers LLP as our independent auditors for 2026. 5. Approval of an amendment and restatement of the 2017 SLB Omnibus Stock Incentive Plan. Note: Such other business as may properly come before the meeting or any adjournment thereof.</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638</Words>
  <Characters>3390</Characters>
  <CharactersWithSpaces>4026</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SCHLUMBERGER N.V. (SCHLUMBERGER LIMITED) - DEFA 14A</dc:title>
</cp:coreProperties>
</file>