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5488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8830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Rennick Gavin</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8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SCHLUMBERGER LIMITED/NV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SLB</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00" w:type="dxa"/>
            <w:vAlign w:val="bottom"/>
            <w:tcBorders>
              <w:top w:val="single" w:sz="8" w:color="0000EE"/>
            </w:tcBorders>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3080" w:type="dxa"/>
            <w:vAlign w:val="bottom"/>
            <w:gridSpan w:val="4"/>
            <w:vMerge w:val="restart"/>
          </w:tcPr>
          <w:p>
            <w:pPr>
              <w:ind w:left="160"/>
              <w:spacing w:after="0" w:line="172" w:lineRule="exact"/>
              <w:rPr>
                <w:sz w:val="20"/>
                <w:szCs w:val="20"/>
                <w:color w:val="auto"/>
              </w:rPr>
            </w:pPr>
            <w:r>
              <w:rPr>
                <w:rFonts w:ascii="Times New Roman" w:cs="Times New Roman" w:eastAsia="Times New Roman" w:hAnsi="Times New Roman"/>
                <w:sz w:val="17"/>
                <w:szCs w:val="17"/>
                <w:color w:val="0000FF"/>
              </w:rPr>
              <w:t>11/11/2022</w:t>
            </w: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08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5599 SAN FELIPE, 17TH FLOOR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0"/>
          <w:szCs w:val="20"/>
          <w:color w:val="auto"/>
        </w:rPr>
      </w:pPr>
    </w:p>
    <w:tbl>
      <w:tblPr>
        <w:tblLayout w:type="fixed"/>
        <w:tblInd w:w="199"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839"/>
        <w:spacing w:after="0"/>
        <w:rPr>
          <w:sz w:val="20"/>
          <w:szCs w:val="20"/>
          <w:color w:val="auto"/>
        </w:rPr>
      </w:pPr>
      <w:r>
        <w:rPr>
          <w:rFonts w:ascii="Times New Roman" w:cs="Times New Roman" w:eastAsia="Times New Roman" w:hAnsi="Times New Roman"/>
          <w:sz w:val="17"/>
          <w:szCs w:val="17"/>
          <w:color w:val="0000FF"/>
        </w:rPr>
        <w:t>President New Energy</w:t>
      </w:r>
    </w:p>
    <w:p>
      <w:pPr>
        <w:spacing w:after="0" w:line="304" w:lineRule="exact"/>
        <w:rPr>
          <w:sz w:val="20"/>
          <w:szCs w:val="20"/>
          <w:color w:val="auto"/>
        </w:rPr>
      </w:pPr>
    </w:p>
    <w:p>
      <w:pPr>
        <w:sectPr>
          <w:pgSz w:w="11900" w:h="16838" w:orient="portrait"/>
          <w:cols w:equalWidth="0" w:num="2">
            <w:col w:w="7660" w:space="61"/>
            <w:col w:w="3359"/>
          </w:cols>
          <w:pgMar w:left="460" w:top="217" w:right="359" w:bottom="1440" w:gutter="0" w:footer="0" w:header="0"/>
          <w:type w:val="continuous"/>
        </w:sectPr>
      </w:pPr>
    </w:p>
    <w:p>
      <w:pPr>
        <w:spacing w:after="0" w:line="154"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77056</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9" w:lineRule="exact"/>
        <w:rPr>
          <w:sz w:val="20"/>
          <w:szCs w:val="20"/>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0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11/11/2022</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5,882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54.991</w:t>
            </w:r>
            <w:r>
              <w:rPr>
                <w:rFonts w:ascii="Times New Roman" w:cs="Times New Roman" w:eastAsia="Times New Roman" w:hAnsi="Times New Roman"/>
                <w:sz w:val="21"/>
                <w:szCs w:val="21"/>
                <w:color w:val="008000"/>
                <w:w w:val="93"/>
                <w:vertAlign w:val="superscript"/>
              </w:rPr>
              <w:t>(1)</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32,565</w:t>
            </w:r>
            <w:r>
              <w:rPr>
                <w:rFonts w:ascii="Times New Roman" w:cs="Times New Roman" w:eastAsia="Times New Roman" w:hAnsi="Times New Roman"/>
                <w:sz w:val="21"/>
                <w:szCs w:val="21"/>
                <w:color w:val="008000"/>
                <w:w w:val="91"/>
                <w:vertAlign w:val="superscript"/>
              </w:rPr>
              <w:t>(2)</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11/11/2022</w:t>
            </w:r>
          </w:p>
        </w:tc>
        <w:tc>
          <w:tcPr>
            <w:tcW w:w="1080" w:type="dxa"/>
            <w:vAlign w:val="bottom"/>
          </w:tcPr>
          <w:p>
            <w:pPr>
              <w:spacing w:after="0"/>
              <w:rPr>
                <w:sz w:val="22"/>
                <w:szCs w:val="22"/>
                <w:color w:val="auto"/>
              </w:rPr>
            </w:pPr>
          </w:p>
        </w:tc>
        <w:tc>
          <w:tcPr>
            <w:tcW w:w="760" w:type="dxa"/>
            <w:vAlign w:val="bottom"/>
          </w:tcPr>
          <w:p>
            <w:pPr>
              <w:jc w:val="center"/>
              <w:ind w:right="280"/>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15,486</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41.47</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48,051</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11/11/2022</w:t>
            </w:r>
          </w:p>
        </w:tc>
        <w:tc>
          <w:tcPr>
            <w:tcW w:w="1080" w:type="dxa"/>
            <w:vAlign w:val="bottom"/>
          </w:tcPr>
          <w:p>
            <w:pPr>
              <w:spacing w:after="0"/>
              <w:rPr>
                <w:sz w:val="22"/>
                <w:szCs w:val="22"/>
                <w:color w:val="auto"/>
              </w:rPr>
            </w:pPr>
          </w:p>
        </w:tc>
        <w:tc>
          <w:tcPr>
            <w:tcW w:w="760" w:type="dxa"/>
            <w:vAlign w:val="bottom"/>
          </w:tcPr>
          <w:p>
            <w:pPr>
              <w:jc w:val="center"/>
              <w:ind w:right="28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15,486</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54.795</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32,565</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2C2C2C"/>
            </w:tcBorders>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$0.01</w:t>
            </w: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01/16/2020</w:t>
            </w:r>
            <w:r>
              <w:rPr>
                <w:rFonts w:ascii="Times New Roman" w:cs="Times New Roman" w:eastAsia="Times New Roman" w:hAnsi="Times New Roman"/>
                <w:sz w:val="21"/>
                <w:szCs w:val="21"/>
                <w:color w:val="008000"/>
                <w:vertAlign w:val="superscript"/>
              </w:rPr>
              <w:t>(3)</w:t>
            </w:r>
          </w:p>
        </w:tc>
        <w:tc>
          <w:tcPr>
            <w:tcW w:w="6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15,486</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41.47</w:t>
            </w:r>
          </w:p>
        </w:tc>
        <w:tc>
          <w:tcPr>
            <w:tcW w:w="10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11/11/2022</w:t>
            </w:r>
          </w:p>
        </w:tc>
        <w:tc>
          <w:tcPr>
            <w:tcW w:w="1080" w:type="dxa"/>
            <w:vAlign w:val="bottom"/>
          </w:tcPr>
          <w:p>
            <w:pPr>
              <w:spacing w:after="0"/>
              <w:rPr>
                <w:sz w:val="5"/>
                <w:szCs w:val="5"/>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15,486</w:t>
            </w:r>
          </w:p>
        </w:tc>
        <w:tc>
          <w:tcPr>
            <w:tcW w:w="920" w:type="dxa"/>
            <w:vAlign w:val="bottom"/>
            <w:vMerge w:val="continue"/>
          </w:tcPr>
          <w:p>
            <w:pPr>
              <w:spacing w:after="0"/>
              <w:rPr>
                <w:sz w:val="5"/>
                <w:szCs w:val="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01/16/2029</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Par</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10,324</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27"/>
        </w:trPr>
        <w:tc>
          <w:tcPr>
            <w:tcW w:w="36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(Right to</w:t>
            </w:r>
          </w:p>
        </w:tc>
        <w:tc>
          <w:tcPr>
            <w:tcW w:w="3500" w:type="dxa"/>
            <w:vAlign w:val="bottom"/>
          </w:tcPr>
          <w:p>
            <w:pPr>
              <w:jc w:val="center"/>
              <w:ind w:left="3136"/>
              <w:spacing w:after="0" w:line="127" w:lineRule="exact"/>
              <w:rPr>
                <w:sz w:val="20"/>
                <w:szCs w:val="20"/>
                <w:color w:val="auto"/>
              </w:rPr>
            </w:pPr>
            <w:r>
              <w:rPr>
                <w:rFonts w:ascii="Times New Roman" w:cs="Times New Roman" w:eastAsia="Times New Roman" w:hAnsi="Times New Roman"/>
                <w:sz w:val="13"/>
                <w:szCs w:val="13"/>
                <w:color w:val="0000FF"/>
                <w:w w:val="96"/>
              </w:rPr>
              <w:t>Value</w:t>
            </w:r>
          </w:p>
        </w:tc>
        <w:tc>
          <w:tcPr>
            <w:tcW w:w="0" w:type="dxa"/>
            <w:vAlign w:val="bottom"/>
          </w:tcPr>
          <w:p>
            <w:pPr>
              <w:spacing w:after="0"/>
              <w:rPr>
                <w:sz w:val="1"/>
                <w:szCs w:val="1"/>
                <w:color w:val="auto"/>
              </w:rPr>
            </w:pPr>
          </w:p>
        </w:tc>
      </w:tr>
      <w:tr>
        <w:trPr>
          <w:trHeight w:val="64"/>
        </w:trPr>
        <w:tc>
          <w:tcPr>
            <w:tcW w:w="3660" w:type="dxa"/>
            <w:vAlign w:val="bottom"/>
            <w:vMerge w:val="continue"/>
          </w:tcPr>
          <w:p>
            <w:pPr>
              <w:spacing w:after="0"/>
              <w:rPr>
                <w:sz w:val="5"/>
                <w:szCs w:val="5"/>
                <w:color w:val="auto"/>
              </w:rPr>
            </w:pPr>
          </w:p>
        </w:tc>
        <w:tc>
          <w:tcPr>
            <w:tcW w:w="3500" w:type="dxa"/>
            <w:vAlign w:val="bottom"/>
            <w:vMerge w:val="restart"/>
          </w:tcPr>
          <w:p>
            <w:pPr>
              <w:jc w:val="center"/>
              <w:ind w:left="3136"/>
              <w:spacing w:after="0" w:line="141" w:lineRule="exact"/>
              <w:rPr>
                <w:sz w:val="20"/>
                <w:szCs w:val="20"/>
                <w:color w:val="auto"/>
              </w:rPr>
            </w:pPr>
            <w:r>
              <w:rPr>
                <w:rFonts w:ascii="Times New Roman" w:cs="Times New Roman" w:eastAsia="Times New Roman" w:hAnsi="Times New Roman"/>
                <w:sz w:val="13"/>
                <w:szCs w:val="13"/>
                <w:color w:val="0000FF"/>
              </w:rPr>
              <w:t>Per</w:t>
            </w:r>
          </w:p>
        </w:tc>
        <w:tc>
          <w:tcPr>
            <w:tcW w:w="0" w:type="dxa"/>
            <w:vAlign w:val="bottom"/>
          </w:tcPr>
          <w:p>
            <w:pPr>
              <w:spacing w:after="0"/>
              <w:rPr>
                <w:sz w:val="1"/>
                <w:szCs w:val="1"/>
                <w:color w:val="auto"/>
              </w:rPr>
            </w:pPr>
          </w:p>
        </w:tc>
      </w:tr>
      <w:tr>
        <w:trPr>
          <w:trHeight w:val="77"/>
        </w:trPr>
        <w:tc>
          <w:tcPr>
            <w:tcW w:w="36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Buy)</w:t>
            </w:r>
          </w:p>
        </w:tc>
        <w:tc>
          <w:tcPr>
            <w:tcW w:w="3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3660" w:type="dxa"/>
            <w:vAlign w:val="bottom"/>
            <w:vMerge w:val="continue"/>
          </w:tcPr>
          <w:p>
            <w:pPr>
              <w:spacing w:after="0"/>
              <w:rPr>
                <w:sz w:val="7"/>
                <w:szCs w:val="7"/>
                <w:color w:val="auto"/>
              </w:rPr>
            </w:pPr>
          </w:p>
        </w:tc>
        <w:tc>
          <w:tcPr>
            <w:tcW w:w="3500" w:type="dxa"/>
            <w:vAlign w:val="bottom"/>
            <w:vMerge w:val="restart"/>
          </w:tcPr>
          <w:p>
            <w:pPr>
              <w:jc w:val="center"/>
              <w:ind w:left="3136"/>
              <w:spacing w:after="0"/>
              <w:rPr>
                <w:sz w:val="20"/>
                <w:szCs w:val="20"/>
                <w:color w:val="auto"/>
              </w:rPr>
            </w:pPr>
            <w:r>
              <w:rPr>
                <w:rFonts w:ascii="Times New Roman" w:cs="Times New Roman" w:eastAsia="Times New Roman" w:hAnsi="Times New Roman"/>
                <w:sz w:val="13"/>
                <w:szCs w:val="13"/>
                <w:color w:val="0000FF"/>
              </w:rPr>
              <w:t>Share</w:t>
            </w:r>
          </w:p>
        </w:tc>
        <w:tc>
          <w:tcPr>
            <w:tcW w:w="0" w:type="dxa"/>
            <w:vAlign w:val="bottom"/>
          </w:tcPr>
          <w:p>
            <w:pPr>
              <w:spacing w:after="0"/>
              <w:rPr>
                <w:sz w:val="1"/>
                <w:szCs w:val="1"/>
                <w:color w:val="auto"/>
              </w:rPr>
            </w:pPr>
          </w:p>
        </w:tc>
      </w:tr>
      <w:tr>
        <w:trPr>
          <w:trHeight w:val="77"/>
        </w:trPr>
        <w:tc>
          <w:tcPr>
            <w:tcW w:w="3660" w:type="dxa"/>
            <w:vAlign w:val="bottom"/>
          </w:tcPr>
          <w:p>
            <w:pPr>
              <w:spacing w:after="0"/>
              <w:rPr>
                <w:sz w:val="6"/>
                <w:szCs w:val="6"/>
                <w:color w:val="auto"/>
              </w:rPr>
            </w:pPr>
          </w:p>
        </w:tc>
        <w:tc>
          <w:tcPr>
            <w:tcW w:w="3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$54.99 to $55.00.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403 shares acquired under the Schlumberger discounted stock purchase plan for the period ended June 30, 2022.</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exercisable in five equal annual installments beginning January 16, 2020.</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Samantha Blons, Attorney-</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11/15/2022</w:t>
            </w:r>
          </w:p>
        </w:tc>
        <w:tc>
          <w:tcPr>
            <w:tcW w:w="0" w:type="dxa"/>
            <w:vAlign w:val="bottom"/>
          </w:tcPr>
          <w:p>
            <w:pPr>
              <w:spacing w:after="0"/>
              <w:rPr>
                <w:sz w:val="1"/>
                <w:szCs w:val="1"/>
                <w:color w:val="auto"/>
              </w:rPr>
            </w:pPr>
          </w:p>
        </w:tc>
      </w:tr>
      <w:tr>
        <w:trPr>
          <w:trHeight w:val="83"/>
        </w:trPr>
        <w:tc>
          <w:tcPr>
            <w:tcW w:w="21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7983"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2022-11-15T16:56:06Z</dcterms:created>
  <dcterms:modified xsi:type="dcterms:W3CDTF">2022-11-15T16:56:06Z</dcterms:modified>
</cp:coreProperties>
</file>