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195580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February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182880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40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176530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192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Curaçao</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2"/>
              </w:rPr>
              <w:t>1-4601</w:t>
            </w:r>
          </w:p>
        </w:tc>
        <w:tc>
          <w:tcPr>
            <w:tcW w:w="1560" w:type="dxa"/>
            <w:vAlign w:val="bottom"/>
          </w:tcPr>
          <w:p>
            <w:pPr>
              <w:jc w:val="center"/>
              <w:ind w:left="362"/>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19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156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20" w:type="dxa"/>
            <w:vAlign w:val="bottom"/>
          </w:tcPr>
          <w:p>
            <w:pPr>
              <w:jc w:val="center"/>
              <w:ind w:right="202"/>
              <w:spacing w:after="0"/>
              <w:rPr>
                <w:sz w:val="20"/>
                <w:szCs w:val="20"/>
                <w:color w:val="auto"/>
              </w:rPr>
            </w:pPr>
            <w:r>
              <w:rPr>
                <w:rFonts w:ascii="Arial" w:cs="Arial" w:eastAsia="Arial" w:hAnsi="Arial"/>
                <w:sz w:val="14"/>
                <w:szCs w:val="14"/>
                <w:b w:val="1"/>
                <w:bCs w:val="1"/>
                <w:color w:val="auto"/>
                <w:w w:val="92"/>
              </w:rPr>
              <w:t>of incorporation)</w:t>
            </w: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1560" w:type="dxa"/>
            <w:vAlign w:val="bottom"/>
          </w:tcPr>
          <w:p>
            <w:pPr>
              <w:jc w:val="center"/>
              <w:ind w:left="362"/>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1920" w:type="dxa"/>
            <w:vAlign w:val="bottom"/>
          </w:tcPr>
          <w:p>
            <w:pPr>
              <w:spacing w:after="0"/>
              <w:rPr>
                <w:sz w:val="24"/>
                <w:szCs w:val="24"/>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560" w:type="dxa"/>
            <w:vAlign w:val="bottom"/>
          </w:tcPr>
          <w:p>
            <w:pPr>
              <w:spacing w:after="0"/>
              <w:rPr>
                <w:sz w:val="24"/>
                <w:szCs w:val="24"/>
                <w:color w:val="auto"/>
              </w:rPr>
            </w:pPr>
          </w:p>
        </w:tc>
      </w:tr>
      <w:tr>
        <w:trPr>
          <w:trHeight w:val="216"/>
        </w:trPr>
        <w:tc>
          <w:tcPr>
            <w:tcW w:w="1920" w:type="dxa"/>
            <w:vAlign w:val="bottom"/>
          </w:tcPr>
          <w:p>
            <w:pPr>
              <w:spacing w:after="0"/>
              <w:rPr>
                <w:sz w:val="18"/>
                <w:szCs w:val="18"/>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89"/>
              </w:rPr>
              <w:t>5599 San Felipe, Houston, Texas U.S.A. 77056</w:t>
            </w:r>
          </w:p>
        </w:tc>
        <w:tc>
          <w:tcPr>
            <w:tcW w:w="156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92"/>
              </w:rPr>
              <w:t>62 Buckingham Gate, London, United Kingdom SW1E 6AJ</w:t>
            </w:r>
          </w:p>
        </w:tc>
        <w:tc>
          <w:tcPr>
            <w:tcW w:w="1560" w:type="dxa"/>
            <w:vAlign w:val="bottom"/>
          </w:tcPr>
          <w:p>
            <w:pPr>
              <w:spacing w:after="0"/>
              <w:rPr>
                <w:sz w:val="18"/>
                <w:szCs w:val="18"/>
                <w:color w:val="auto"/>
              </w:rPr>
            </w:pPr>
          </w:p>
        </w:tc>
      </w:tr>
      <w:tr>
        <w:trPr>
          <w:trHeight w:val="212"/>
        </w:trPr>
        <w:tc>
          <w:tcPr>
            <w:tcW w:w="1920" w:type="dxa"/>
            <w:vAlign w:val="bottom"/>
          </w:tcPr>
          <w:p>
            <w:pPr>
              <w:spacing w:after="0"/>
              <w:rPr>
                <w:sz w:val="18"/>
                <w:szCs w:val="18"/>
                <w:color w:val="auto"/>
              </w:rPr>
            </w:pPr>
          </w:p>
        </w:tc>
        <w:tc>
          <w:tcPr>
            <w:tcW w:w="5300" w:type="dxa"/>
            <w:vAlign w:val="bottom"/>
          </w:tcPr>
          <w:p>
            <w:pPr>
              <w:jc w:val="center"/>
              <w:ind w:right="97"/>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560" w:type="dxa"/>
            <w:vAlign w:val="bottom"/>
          </w:tcPr>
          <w:p>
            <w:pPr>
              <w:spacing w:after="0"/>
              <w:rPr>
                <w:sz w:val="18"/>
                <w:szCs w:val="18"/>
                <w:color w:val="auto"/>
              </w:rPr>
            </w:pPr>
          </w:p>
        </w:tc>
      </w:tr>
      <w:tr>
        <w:trPr>
          <w:trHeight w:val="186"/>
        </w:trPr>
        <w:tc>
          <w:tcPr>
            <w:tcW w:w="1920" w:type="dxa"/>
            <w:vAlign w:val="bottom"/>
          </w:tcPr>
          <w:p>
            <w:pPr>
              <w:spacing w:after="0"/>
              <w:rPr>
                <w:sz w:val="16"/>
                <w:szCs w:val="16"/>
                <w:color w:val="auto"/>
              </w:rPr>
            </w:pPr>
          </w:p>
        </w:tc>
        <w:tc>
          <w:tcPr>
            <w:tcW w:w="5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(Addresses of principal executive offices and zip or postal codes)</w:t>
            </w:r>
          </w:p>
        </w:tc>
        <w:tc>
          <w:tcPr>
            <w:tcW w:w="1560" w:type="dxa"/>
            <w:vAlign w:val="bottom"/>
          </w:tcPr>
          <w:p>
            <w:pPr>
              <w:spacing w:after="0"/>
              <w:rPr>
                <w:sz w:val="16"/>
                <w:szCs w:val="16"/>
                <w:color w:val="auto"/>
              </w:rPr>
            </w:pP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189230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common stock, par value $0.01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56515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ind w:left="1100" w:right="92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Ashok Belani, formerly Schlumberger’s Executive Vice President, Technology, has changed roles and assumed the position of Executive Vice President, Schlumberger New Energy, effective February 11, 2020. Mr. Demosthenis Pafitis succeeds Mr. Belani as the Company’s new Chief Technology Officer. Schlumberger will continue strengthening its technology leadership under Mr. Pafitis, a 29-year company veteran with an extensive technology track record including senior positions in research, engineering, manufacturing, and GeoMarket field operations management. In his previous position as Schlumberger’s Senior Vice President, Schlumberger 4.0 Platforms, Mr. Pafitis was responsible for Schlumberger’s next generation technology platform-based offerings.</w:t>
      </w:r>
    </w:p>
    <w:p>
      <w:pPr>
        <w:sectPr>
          <w:pgSz w:w="11900" w:h="16838" w:orient="portrait"/>
          <w:cols w:equalWidth="0" w:num="1">
            <w:col w:w="10960"/>
          </w:cols>
          <w:pgMar w:left="440" w:top="297"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 February 14, 2020</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2020-02-14T11:11:51Z</dcterms:created>
  <dcterms:modified xsi:type="dcterms:W3CDTF">2020-02-14T11:11:51Z</dcterms:modified>
</cp:coreProperties>
</file>