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17, 2014</w:t>
      </w:r>
    </w:p>
    <w:p>
      <w:pPr>
        <w:spacing w:after="0" w:line="4" w:lineRule="exact"/>
        <w:rPr>
          <w:sz w:val="24"/>
          <w:szCs w:val="24"/>
          <w:color w:val="auto"/>
        </w:rPr>
      </w:pPr>
    </w:p>
    <w:p>
      <w:pPr>
        <w:ind w:left="968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SCHLUMBERGER N.V.</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(SCHLUMBERGER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678" w:gutter="0" w:footer="0" w:header="0"/>
        </w:sectPr>
      </w:pPr>
    </w:p>
    <w:p>
      <w:pPr>
        <w:spacing w:after="0" w:line="274" w:lineRule="exact"/>
        <w:rPr>
          <w:sz w:val="24"/>
          <w:szCs w:val="24"/>
          <w:color w:val="auto"/>
        </w:rPr>
      </w:pPr>
    </w:p>
    <w:p>
      <w:pPr>
        <w:ind w:left="1660"/>
        <w:spacing w:after="0"/>
        <w:rPr>
          <w:sz w:val="20"/>
          <w:szCs w:val="20"/>
          <w:color w:val="auto"/>
        </w:rPr>
      </w:pPr>
      <w:r>
        <w:rPr>
          <w:rFonts w:ascii="Arial" w:cs="Arial" w:eastAsia="Arial" w:hAnsi="Arial"/>
          <w:sz w:val="13"/>
          <w:szCs w:val="13"/>
          <w:b w:val="1"/>
          <w:bCs w:val="1"/>
          <w:color w:val="auto"/>
        </w:rPr>
        <w:t>Curaçao</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2500"/>
        <w:spacing w:after="0"/>
        <w:rPr>
          <w:sz w:val="20"/>
          <w:szCs w:val="20"/>
          <w:color w:val="auto"/>
        </w:rPr>
      </w:pPr>
      <w:r>
        <w:rPr>
          <w:rFonts w:ascii="Arial" w:cs="Arial" w:eastAsia="Arial" w:hAnsi="Arial"/>
          <w:sz w:val="14"/>
          <w:szCs w:val="14"/>
          <w:b w:val="1"/>
          <w:bCs w:val="1"/>
          <w:color w:val="auto"/>
        </w:rPr>
        <w:t>1389</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52-0684746</w:t>
      </w:r>
    </w:p>
    <w:p>
      <w:pPr>
        <w:spacing w:after="0" w:line="12" w:lineRule="exact"/>
        <w:rPr>
          <w:sz w:val="24"/>
          <w:szCs w:val="24"/>
          <w:color w:val="auto"/>
        </w:rPr>
      </w:pPr>
    </w:p>
    <w:p>
      <w:pPr>
        <w:sectPr>
          <w:pgSz w:w="11900" w:h="16838" w:orient="portrait"/>
          <w:cols w:equalWidth="0" w:num="3">
            <w:col w:w="4960" w:space="720"/>
            <w:col w:w="2820" w:space="720"/>
            <w:col w:w="2200"/>
          </w:cols>
          <w:pgMar w:left="240" w:top="230" w:right="239" w:bottom="678" w:gutter="0" w:footer="0" w:header="0"/>
          <w:type w:val="continuous"/>
        </w:sectPr>
      </w:pPr>
    </w:p>
    <w:p>
      <w:pPr>
        <w:spacing w:after="0" w:line="22" w:lineRule="exact"/>
        <w:rPr>
          <w:sz w:val="24"/>
          <w:szCs w:val="24"/>
          <w:color w:val="auto"/>
        </w:rPr>
      </w:pPr>
    </w:p>
    <w:p>
      <w:pPr>
        <w:ind w:left="1160"/>
        <w:spacing w:after="0"/>
        <w:rPr>
          <w:sz w:val="20"/>
          <w:szCs w:val="20"/>
          <w:color w:val="auto"/>
        </w:rPr>
      </w:pPr>
      <w:r>
        <w:rPr>
          <w:rFonts w:ascii="Arial" w:cs="Arial" w:eastAsia="Arial" w:hAnsi="Arial"/>
          <w:sz w:val="11"/>
          <w:szCs w:val="11"/>
          <w:b w:val="1"/>
          <w:bCs w:val="1"/>
          <w:color w:val="auto"/>
        </w:rPr>
        <w:t>(State or other jurisdiction of</w:t>
      </w:r>
    </w:p>
    <w:p>
      <w:pPr>
        <w:ind w:left="112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(Primary Standard Industrial</w:t>
      </w:r>
    </w:p>
    <w:p>
      <w:pPr>
        <w:ind w:left="20"/>
        <w:spacing w:after="0"/>
        <w:rPr>
          <w:sz w:val="20"/>
          <w:szCs w:val="20"/>
          <w:color w:val="auto"/>
        </w:rPr>
      </w:pPr>
      <w:r>
        <w:rPr>
          <w:rFonts w:ascii="Arial" w:cs="Arial" w:eastAsia="Arial" w:hAnsi="Arial"/>
          <w:sz w:val="11"/>
          <w:szCs w:val="11"/>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3"/>
          <w:szCs w:val="13"/>
          <w:b w:val="1"/>
          <w:bCs w:val="1"/>
          <w:color w:val="auto"/>
        </w:rPr>
        <w:t>(I.R.S. Employer</w:t>
      </w:r>
    </w:p>
    <w:p>
      <w:pPr>
        <w:jc w:val="center"/>
        <w:ind w:right="1200"/>
        <w:spacing w:after="0"/>
        <w:rPr>
          <w:sz w:val="20"/>
          <w:szCs w:val="20"/>
          <w:color w:val="auto"/>
        </w:rPr>
      </w:pPr>
      <w:r>
        <w:rPr>
          <w:rFonts w:ascii="Arial" w:cs="Arial" w:eastAsia="Arial" w:hAnsi="Arial"/>
          <w:sz w:val="11"/>
          <w:szCs w:val="11"/>
          <w:b w:val="1"/>
          <w:bCs w:val="1"/>
          <w:color w:val="auto"/>
        </w:rPr>
        <w:t>Identification Number)</w:t>
      </w:r>
    </w:p>
    <w:p>
      <w:pPr>
        <w:spacing w:after="0" w:line="58" w:lineRule="exact"/>
        <w:rPr>
          <w:sz w:val="24"/>
          <w:szCs w:val="24"/>
          <w:color w:val="auto"/>
        </w:rPr>
      </w:pPr>
    </w:p>
    <w:p>
      <w:pPr>
        <w:sectPr>
          <w:pgSz w:w="11900" w:h="16838" w:orient="portrait"/>
          <w:cols w:equalWidth="0" w:num="3">
            <w:col w:w="4320" w:space="720"/>
            <w:col w:w="3220" w:space="720"/>
            <w:col w:w="2440"/>
          </w:cols>
          <w:pgMar w:left="240" w:top="230" w:right="239" w:bottom="678"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42, rue Saint-Dominique</w:t>
      </w:r>
    </w:p>
    <w:p>
      <w:pPr>
        <w:jc w:val="center"/>
        <w:ind w:right="-19"/>
        <w:spacing w:after="0" w:line="226" w:lineRule="auto"/>
        <w:rPr>
          <w:sz w:val="20"/>
          <w:szCs w:val="20"/>
          <w:color w:val="auto"/>
        </w:rPr>
      </w:pPr>
      <w:r>
        <w:rPr>
          <w:rFonts w:ascii="Arial" w:cs="Arial" w:eastAsia="Arial" w:hAnsi="Arial"/>
          <w:sz w:val="14"/>
          <w:szCs w:val="14"/>
          <w:b w:val="1"/>
          <w:bCs w:val="1"/>
          <w:color w:val="auto"/>
        </w:rPr>
        <w:t>Paris, France 75007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33-1-4062-1000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5599 San Felipe, 17th Floor</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Houston, Texas 77056</w:t>
      </w:r>
    </w:p>
    <w:p>
      <w:pPr>
        <w:jc w:val="center"/>
        <w:ind w:right="-19"/>
        <w:spacing w:after="0"/>
        <w:rPr>
          <w:sz w:val="20"/>
          <w:szCs w:val="20"/>
          <w:color w:val="auto"/>
        </w:rPr>
      </w:pPr>
      <w:r>
        <w:rPr>
          <w:rFonts w:ascii="Arial" w:cs="Arial" w:eastAsia="Arial" w:hAnsi="Arial"/>
          <w:sz w:val="14"/>
          <w:szCs w:val="14"/>
          <w:b w:val="1"/>
          <w:bCs w:val="1"/>
          <w:color w:val="auto"/>
        </w:rPr>
        <w:t>(713) 375-3400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Parkstraat 83, The Hague</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The Netherlands, 2514 JG</w:t>
      </w:r>
    </w:p>
    <w:p>
      <w:pPr>
        <w:jc w:val="center"/>
        <w:ind w:right="-19"/>
        <w:spacing w:after="0"/>
        <w:rPr>
          <w:sz w:val="20"/>
          <w:szCs w:val="20"/>
          <w:color w:val="auto"/>
        </w:rPr>
      </w:pPr>
      <w:r>
        <w:rPr>
          <w:rFonts w:ascii="Arial" w:cs="Arial" w:eastAsia="Arial" w:hAnsi="Arial"/>
          <w:sz w:val="14"/>
          <w:szCs w:val="14"/>
          <w:b w:val="1"/>
          <w:bCs w:val="1"/>
          <w:color w:val="auto"/>
        </w:rPr>
        <w:t>31-70-310-54003000</w:t>
      </w:r>
    </w:p>
    <w:p>
      <w:pPr>
        <w:sectPr>
          <w:pgSz w:w="11900" w:h="16838" w:orient="portrait"/>
          <w:cols w:equalWidth="0" w:num="1">
            <w:col w:w="11420"/>
          </w:cols>
          <w:pgMar w:left="240" w:top="230" w:right="239" w:bottom="678"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Saul R. Laureles</w:t>
      </w:r>
    </w:p>
    <w:p>
      <w:pPr>
        <w:jc w:val="center"/>
        <w:spacing w:after="0" w:line="226" w:lineRule="auto"/>
        <w:rPr>
          <w:sz w:val="20"/>
          <w:szCs w:val="20"/>
          <w:color w:val="auto"/>
        </w:rPr>
      </w:pPr>
      <w:r>
        <w:rPr>
          <w:rFonts w:ascii="Arial" w:cs="Arial" w:eastAsia="Arial" w:hAnsi="Arial"/>
          <w:sz w:val="14"/>
          <w:szCs w:val="14"/>
          <w:b w:val="1"/>
          <w:bCs w:val="1"/>
          <w:color w:val="auto"/>
        </w:rPr>
        <w:t>Deputy General Counsel Governance and Securities</w:t>
      </w:r>
    </w:p>
    <w:p>
      <w:pPr>
        <w:jc w:val="center"/>
        <w:spacing w:after="0" w:line="222" w:lineRule="auto"/>
        <w:rPr>
          <w:sz w:val="20"/>
          <w:szCs w:val="20"/>
          <w:color w:val="auto"/>
        </w:rPr>
      </w:pPr>
      <w:r>
        <w:rPr>
          <w:rFonts w:ascii="Arial" w:cs="Arial" w:eastAsia="Arial" w:hAnsi="Arial"/>
          <w:sz w:val="14"/>
          <w:szCs w:val="14"/>
          <w:b w:val="1"/>
          <w:bCs w:val="1"/>
          <w:color w:val="auto"/>
        </w:rPr>
        <w:t>Schlumberger Limited</w:t>
      </w:r>
    </w:p>
    <w:p>
      <w:pPr>
        <w:jc w:val="center"/>
        <w:spacing w:after="0" w:line="221" w:lineRule="auto"/>
        <w:rPr>
          <w:sz w:val="20"/>
          <w:szCs w:val="20"/>
          <w:color w:val="auto"/>
        </w:rPr>
      </w:pPr>
      <w:r>
        <w:rPr>
          <w:rFonts w:ascii="Arial" w:cs="Arial" w:eastAsia="Arial" w:hAnsi="Arial"/>
          <w:sz w:val="14"/>
          <w:szCs w:val="14"/>
          <w:b w:val="1"/>
          <w:bCs w:val="1"/>
          <w:color w:val="auto"/>
        </w:rPr>
        <w:t>5599 San Felipe, 17th Floor</w:t>
      </w:r>
    </w:p>
    <w:p>
      <w:pPr>
        <w:jc w:val="center"/>
        <w:spacing w:after="0" w:line="222" w:lineRule="auto"/>
        <w:rPr>
          <w:sz w:val="20"/>
          <w:szCs w:val="20"/>
          <w:color w:val="auto"/>
        </w:rPr>
      </w:pPr>
      <w:r>
        <w:rPr>
          <w:rFonts w:ascii="Arial" w:cs="Arial" w:eastAsia="Arial" w:hAnsi="Arial"/>
          <w:sz w:val="14"/>
          <w:szCs w:val="14"/>
          <w:b w:val="1"/>
          <w:bCs w:val="1"/>
          <w:color w:val="auto"/>
        </w:rPr>
        <w:t>Houston, Texas 77056</w:t>
      </w:r>
    </w:p>
    <w:p>
      <w:pPr>
        <w:jc w:val="center"/>
        <w:spacing w:after="0"/>
        <w:rPr>
          <w:sz w:val="20"/>
          <w:szCs w:val="20"/>
          <w:color w:val="auto"/>
        </w:rPr>
      </w:pPr>
      <w:r>
        <w:rPr>
          <w:rFonts w:ascii="Arial" w:cs="Arial" w:eastAsia="Arial" w:hAnsi="Arial"/>
          <w:sz w:val="14"/>
          <w:szCs w:val="14"/>
          <w:b w:val="1"/>
          <w:bCs w:val="1"/>
          <w:color w:val="auto"/>
        </w:rPr>
        <w:t>(713) 375-3400</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Copy to:</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Andrew L. Fabens</w:t>
      </w:r>
    </w:p>
    <w:p>
      <w:pPr>
        <w:jc w:val="center"/>
        <w:spacing w:after="0" w:line="226" w:lineRule="auto"/>
        <w:rPr>
          <w:sz w:val="20"/>
          <w:szCs w:val="20"/>
          <w:color w:val="auto"/>
        </w:rPr>
      </w:pPr>
      <w:r>
        <w:rPr>
          <w:rFonts w:ascii="Arial" w:cs="Arial" w:eastAsia="Arial" w:hAnsi="Arial"/>
          <w:sz w:val="14"/>
          <w:szCs w:val="14"/>
          <w:b w:val="1"/>
          <w:bCs w:val="1"/>
          <w:color w:val="auto"/>
        </w:rPr>
        <w:t>Gibson, Dunn &amp; Crutcher LLP</w:t>
      </w:r>
    </w:p>
    <w:p>
      <w:pPr>
        <w:jc w:val="center"/>
        <w:spacing w:after="0" w:line="222" w:lineRule="auto"/>
        <w:rPr>
          <w:sz w:val="20"/>
          <w:szCs w:val="20"/>
          <w:color w:val="auto"/>
        </w:rPr>
      </w:pPr>
      <w:r>
        <w:rPr>
          <w:rFonts w:ascii="Arial" w:cs="Arial" w:eastAsia="Arial" w:hAnsi="Arial"/>
          <w:sz w:val="14"/>
          <w:szCs w:val="14"/>
          <w:b w:val="1"/>
          <w:bCs w:val="1"/>
          <w:color w:val="auto"/>
        </w:rPr>
        <w:t>200 Park Ave.</w:t>
      </w:r>
    </w:p>
    <w:p>
      <w:pPr>
        <w:jc w:val="center"/>
        <w:spacing w:after="0" w:line="221" w:lineRule="auto"/>
        <w:rPr>
          <w:sz w:val="20"/>
          <w:szCs w:val="20"/>
          <w:color w:val="auto"/>
        </w:rPr>
      </w:pPr>
      <w:r>
        <w:rPr>
          <w:rFonts w:ascii="Arial" w:cs="Arial" w:eastAsia="Arial" w:hAnsi="Arial"/>
          <w:sz w:val="14"/>
          <w:szCs w:val="14"/>
          <w:b w:val="1"/>
          <w:bCs w:val="1"/>
          <w:color w:val="auto"/>
        </w:rPr>
        <w:t>New York, New York 10166</w:t>
      </w:r>
    </w:p>
    <w:p>
      <w:pPr>
        <w:jc w:val="center"/>
        <w:spacing w:after="0"/>
        <w:rPr>
          <w:sz w:val="20"/>
          <w:szCs w:val="20"/>
          <w:color w:val="auto"/>
        </w:rPr>
      </w:pPr>
      <w:r>
        <w:rPr>
          <w:rFonts w:ascii="Arial" w:cs="Arial" w:eastAsia="Arial" w:hAnsi="Arial"/>
          <w:sz w:val="14"/>
          <w:szCs w:val="14"/>
          <w:b w:val="1"/>
          <w:bCs w:val="1"/>
          <w:color w:val="auto"/>
        </w:rPr>
        <w:t>(212) 351-4000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9" w:lineRule="exact"/>
        <w:rPr>
          <w:sz w:val="24"/>
          <w:szCs w:val="24"/>
          <w:color w:val="auto"/>
        </w:rPr>
      </w:pPr>
    </w:p>
    <w:p>
      <w:pPr>
        <w:ind w:right="520" w:firstLine="342"/>
        <w:spacing w:after="0" w:line="259" w:lineRule="auto"/>
        <w:rPr>
          <w:sz w:val="20"/>
          <w:szCs w:val="20"/>
          <w:color w:val="auto"/>
        </w:rPr>
      </w:pPr>
      <w:r>
        <w:rPr>
          <w:rFonts w:ascii="Arial" w:cs="Arial" w:eastAsia="Arial" w:hAnsi="Arial"/>
          <w:sz w:val="14"/>
          <w:szCs w:val="14"/>
          <w:b w:val="1"/>
          <w:bCs w:val="1"/>
          <w:color w:val="auto"/>
        </w:rPr>
        <w:t xml:space="preserve">Approximate date of commencement of proposed sale of the securities to the public: </w:t>
      </w:r>
      <w:r>
        <w:rPr>
          <w:rFonts w:ascii="Arial" w:cs="Arial" w:eastAsia="Arial" w:hAnsi="Arial"/>
          <w:sz w:val="14"/>
          <w:szCs w:val="14"/>
          <w:color w:val="auto"/>
        </w:rPr>
        <w:t>From time to time after the effective date of this Registration Statement, as determined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102235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right="40" w:firstLine="342"/>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right="380"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40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60" w:firstLine="342"/>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right="12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8" w:lineRule="exact"/>
        <w:rPr>
          <w:sz w:val="24"/>
          <w:szCs w:val="24"/>
          <w:color w:val="auto"/>
        </w:rPr>
      </w:pPr>
    </w:p>
    <w:p>
      <w:pPr>
        <w:ind w:right="180" w:firstLine="342"/>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440" w:type="dxa"/>
            <w:vAlign w:val="bottom"/>
            <w:gridSpan w:val="2"/>
          </w:tcPr>
          <w:p>
            <w:pPr>
              <w:spacing w:after="0"/>
              <w:rPr>
                <w:sz w:val="20"/>
                <w:szCs w:val="20"/>
                <w:color w:val="auto"/>
              </w:rPr>
            </w:pPr>
            <w:r>
              <w:rPr>
                <w:rFonts w:ascii="Arial" w:cs="Arial" w:eastAsia="Arial" w:hAnsi="Arial"/>
                <w:sz w:val="14"/>
                <w:szCs w:val="14"/>
                <w:color w:val="auto"/>
              </w:rPr>
              <w:t>Large accelerated filer</w:t>
            </w:r>
          </w:p>
        </w:tc>
        <w:tc>
          <w:tcPr>
            <w:tcW w:w="264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40" w:type="dxa"/>
            <w:vAlign w:val="bottom"/>
            <w:gridSpan w:val="2"/>
          </w:tcPr>
          <w:p>
            <w:pPr>
              <w:ind w:left="1060"/>
              <w:spacing w:after="0"/>
              <w:rPr>
                <w:sz w:val="20"/>
                <w:szCs w:val="20"/>
                <w:color w:val="auto"/>
              </w:rPr>
            </w:pPr>
            <w:r>
              <w:rPr>
                <w:rFonts w:ascii="Arial" w:cs="Arial" w:eastAsia="Arial" w:hAnsi="Arial"/>
                <w:sz w:val="14"/>
                <w:szCs w:val="14"/>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44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5660" w:type="dxa"/>
            <w:vAlign w:val="bottom"/>
            <w:gridSpan w:val="4"/>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1160" w:type="dxa"/>
            <w:vAlign w:val="bottom"/>
          </w:tcPr>
          <w:p>
            <w:pPr>
              <w:spacing w:after="0"/>
              <w:rPr>
                <w:sz w:val="24"/>
                <w:szCs w:val="24"/>
                <w:color w:val="auto"/>
              </w:rPr>
            </w:pPr>
          </w:p>
        </w:tc>
        <w:tc>
          <w:tcPr>
            <w:tcW w:w="2940" w:type="dxa"/>
            <w:vAlign w:val="bottom"/>
            <w:gridSpan w:val="2"/>
          </w:tcPr>
          <w:p>
            <w:pPr>
              <w:ind w:left="1060"/>
              <w:spacing w:after="0"/>
              <w:rPr>
                <w:sz w:val="20"/>
                <w:szCs w:val="20"/>
                <w:color w:val="auto"/>
              </w:rPr>
            </w:pPr>
            <w:r>
              <w:rPr>
                <w:rFonts w:ascii="Arial" w:cs="Arial" w:eastAsia="Arial" w:hAnsi="Arial"/>
                <w:sz w:val="14"/>
                <w:szCs w:val="14"/>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98"/>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020" w:type="dxa"/>
            <w:vAlign w:val="bottom"/>
            <w:gridSpan w:val="3"/>
          </w:tcPr>
          <w:p>
            <w:pPr>
              <w:ind w:left="260"/>
              <w:spacing w:after="0"/>
              <w:rPr>
                <w:sz w:val="20"/>
                <w:szCs w:val="20"/>
                <w:color w:val="auto"/>
              </w:rPr>
            </w:pPr>
            <w:r>
              <w:rPr>
                <w:rFonts w:ascii="Arial" w:cs="Arial" w:eastAsia="Arial" w:hAnsi="Arial"/>
                <w:sz w:val="14"/>
                <w:szCs w:val="14"/>
                <w:b w:val="1"/>
                <w:bCs w:val="1"/>
                <w:color w:val="auto"/>
              </w:rPr>
              <w:t>CALCULATION OF REGISTRATION FEE</w:t>
            </w: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93"/>
        </w:trPr>
        <w:tc>
          <w:tcPr>
            <w:tcW w:w="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Borders>
              <w:right w:val="single" w:sz="8" w:color="auto"/>
            </w:tcBorders>
          </w:tcPr>
          <w:p>
            <w:pPr>
              <w:jc w:val="center"/>
              <w:ind w:right="277"/>
              <w:spacing w:after="0" w:line="97" w:lineRule="exact"/>
              <w:rPr>
                <w:sz w:val="20"/>
                <w:szCs w:val="20"/>
                <w:color w:val="auto"/>
              </w:rPr>
            </w:pPr>
            <w:r>
              <w:rPr>
                <w:rFonts w:ascii="Arial" w:cs="Arial" w:eastAsia="Arial" w:hAnsi="Arial"/>
                <w:sz w:val="11"/>
                <w:szCs w:val="11"/>
                <w:b w:val="1"/>
                <w:bCs w:val="1"/>
                <w:color w:val="auto"/>
                <w:w w:val="98"/>
              </w:rPr>
              <w:t>Proposed</w:t>
            </w:r>
          </w:p>
        </w:tc>
        <w:tc>
          <w:tcPr>
            <w:tcW w:w="1600" w:type="dxa"/>
            <w:vAlign w:val="bottom"/>
            <w:tcBorders>
              <w:right w:val="single" w:sz="8" w:color="auto"/>
            </w:tcBorders>
          </w:tcPr>
          <w:p>
            <w:pPr>
              <w:jc w:val="center"/>
              <w:ind w:left="35"/>
              <w:spacing w:after="0" w:line="97" w:lineRule="exact"/>
              <w:rPr>
                <w:sz w:val="20"/>
                <w:szCs w:val="20"/>
                <w:color w:val="auto"/>
              </w:rPr>
            </w:pPr>
            <w:r>
              <w:rPr>
                <w:rFonts w:ascii="Arial" w:cs="Arial" w:eastAsia="Arial" w:hAnsi="Arial"/>
                <w:sz w:val="11"/>
                <w:szCs w:val="11"/>
                <w:b w:val="1"/>
                <w:bCs w:val="1"/>
                <w:color w:val="auto"/>
                <w:w w:val="98"/>
              </w:rPr>
              <w:t>Proposed</w:t>
            </w: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5"/>
              <w:spacing w:after="0" w:line="135" w:lineRule="exact"/>
              <w:rPr>
                <w:sz w:val="20"/>
                <w:szCs w:val="20"/>
                <w:color w:val="auto"/>
              </w:rPr>
            </w:pPr>
            <w:r>
              <w:rPr>
                <w:rFonts w:ascii="Arial" w:cs="Arial" w:eastAsia="Arial" w:hAnsi="Arial"/>
                <w:sz w:val="13"/>
                <w:szCs w:val="13"/>
                <w:b w:val="1"/>
                <w:bCs w:val="1"/>
                <w:color w:val="auto"/>
                <w:w w:val="89"/>
              </w:rPr>
              <w:t>Amount</w:t>
            </w:r>
          </w:p>
        </w:tc>
        <w:tc>
          <w:tcPr>
            <w:tcW w:w="440" w:type="dxa"/>
            <w:vAlign w:val="bottom"/>
          </w:tcPr>
          <w:p>
            <w:pPr>
              <w:spacing w:after="0"/>
              <w:rPr>
                <w:sz w:val="11"/>
                <w:szCs w:val="11"/>
                <w:color w:val="auto"/>
              </w:rPr>
            </w:pPr>
          </w:p>
        </w:tc>
        <w:tc>
          <w:tcPr>
            <w:tcW w:w="1160" w:type="dxa"/>
            <w:vAlign w:val="bottom"/>
            <w:tcBorders>
              <w:right w:val="single" w:sz="8" w:color="auto"/>
            </w:tcBorders>
          </w:tcPr>
          <w:p>
            <w:pPr>
              <w:jc w:val="center"/>
              <w:ind w:right="297"/>
              <w:spacing w:after="0" w:line="135" w:lineRule="exact"/>
              <w:rPr>
                <w:sz w:val="20"/>
                <w:szCs w:val="20"/>
                <w:color w:val="auto"/>
              </w:rPr>
            </w:pPr>
            <w:r>
              <w:rPr>
                <w:rFonts w:ascii="Arial" w:cs="Arial" w:eastAsia="Arial" w:hAnsi="Arial"/>
                <w:sz w:val="13"/>
                <w:szCs w:val="13"/>
                <w:b w:val="1"/>
                <w:bCs w:val="1"/>
                <w:color w:val="auto"/>
                <w:w w:val="93"/>
              </w:rPr>
              <w:t>Maximum</w:t>
            </w:r>
          </w:p>
        </w:tc>
        <w:tc>
          <w:tcPr>
            <w:tcW w:w="1600" w:type="dxa"/>
            <w:vAlign w:val="bottom"/>
            <w:tcBorders>
              <w:right w:val="single" w:sz="8" w:color="auto"/>
            </w:tcBorders>
          </w:tcPr>
          <w:p>
            <w:pPr>
              <w:jc w:val="center"/>
              <w:ind w:left="15"/>
              <w:spacing w:after="0" w:line="135" w:lineRule="exact"/>
              <w:rPr>
                <w:sz w:val="20"/>
                <w:szCs w:val="20"/>
                <w:color w:val="auto"/>
              </w:rPr>
            </w:pPr>
            <w:r>
              <w:rPr>
                <w:rFonts w:ascii="Arial" w:cs="Arial" w:eastAsia="Arial" w:hAnsi="Arial"/>
                <w:sz w:val="13"/>
                <w:szCs w:val="13"/>
                <w:b w:val="1"/>
                <w:bCs w:val="1"/>
                <w:color w:val="auto"/>
                <w:w w:val="93"/>
              </w:rPr>
              <w:t>Maximum</w:t>
            </w: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40" w:type="dxa"/>
            <w:vAlign w:val="bottom"/>
          </w:tcPr>
          <w:p>
            <w:pPr>
              <w:jc w:val="center"/>
              <w:ind w:right="413"/>
              <w:spacing w:after="0" w:line="135" w:lineRule="exact"/>
              <w:rPr>
                <w:sz w:val="20"/>
                <w:szCs w:val="20"/>
                <w:color w:val="auto"/>
              </w:rPr>
            </w:pPr>
            <w:r>
              <w:rPr>
                <w:rFonts w:ascii="Arial" w:cs="Arial" w:eastAsia="Arial" w:hAnsi="Arial"/>
                <w:sz w:val="13"/>
                <w:szCs w:val="13"/>
                <w:b w:val="1"/>
                <w:bCs w:val="1"/>
                <w:color w:val="auto"/>
                <w:w w:val="88"/>
              </w:rPr>
              <w:t>Title of Each Class of</w:t>
            </w:r>
          </w:p>
        </w:tc>
        <w:tc>
          <w:tcPr>
            <w:tcW w:w="98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c>
          <w:tcPr>
            <w:tcW w:w="440" w:type="dxa"/>
            <w:vAlign w:val="bottom"/>
          </w:tcPr>
          <w:p>
            <w:pPr>
              <w:spacing w:after="0"/>
              <w:rPr>
                <w:sz w:val="11"/>
                <w:szCs w:val="11"/>
                <w:color w:val="auto"/>
              </w:rPr>
            </w:pPr>
          </w:p>
        </w:tc>
        <w:tc>
          <w:tcPr>
            <w:tcW w:w="1160" w:type="dxa"/>
            <w:vAlign w:val="bottom"/>
            <w:tcBorders>
              <w:right w:val="single" w:sz="8" w:color="auto"/>
            </w:tcBorders>
          </w:tcPr>
          <w:p>
            <w:pPr>
              <w:jc w:val="center"/>
              <w:ind w:right="297"/>
              <w:spacing w:after="0" w:line="135" w:lineRule="exact"/>
              <w:rPr>
                <w:sz w:val="20"/>
                <w:szCs w:val="20"/>
                <w:color w:val="auto"/>
              </w:rPr>
            </w:pPr>
            <w:r>
              <w:rPr>
                <w:rFonts w:ascii="Arial" w:cs="Arial" w:eastAsia="Arial" w:hAnsi="Arial"/>
                <w:sz w:val="13"/>
                <w:szCs w:val="13"/>
                <w:b w:val="1"/>
                <w:bCs w:val="1"/>
                <w:color w:val="auto"/>
                <w:w w:val="88"/>
              </w:rPr>
              <w:t>Offering Price</w:t>
            </w:r>
          </w:p>
        </w:tc>
        <w:tc>
          <w:tcPr>
            <w:tcW w:w="1600" w:type="dxa"/>
            <w:vAlign w:val="bottom"/>
            <w:tcBorders>
              <w:right w:val="single" w:sz="8" w:color="auto"/>
            </w:tcBorders>
          </w:tcPr>
          <w:p>
            <w:pPr>
              <w:jc w:val="center"/>
              <w:ind w:left="15"/>
              <w:spacing w:after="0" w:line="135" w:lineRule="exact"/>
              <w:rPr>
                <w:sz w:val="20"/>
                <w:szCs w:val="20"/>
                <w:color w:val="auto"/>
              </w:rPr>
            </w:pPr>
            <w:r>
              <w:rPr>
                <w:rFonts w:ascii="Arial" w:cs="Arial" w:eastAsia="Arial" w:hAnsi="Arial"/>
                <w:sz w:val="13"/>
                <w:szCs w:val="13"/>
                <w:b w:val="1"/>
                <w:bCs w:val="1"/>
                <w:color w:val="auto"/>
                <w:w w:val="87"/>
              </w:rPr>
              <w:t>Aggregate</w:t>
            </w:r>
          </w:p>
        </w:tc>
        <w:tc>
          <w:tcPr>
            <w:tcW w:w="1340" w:type="dxa"/>
            <w:vAlign w:val="bottom"/>
          </w:tcPr>
          <w:p>
            <w:pPr>
              <w:jc w:val="center"/>
              <w:ind w:left="254"/>
              <w:spacing w:after="0" w:line="135" w:lineRule="exact"/>
              <w:rPr>
                <w:sz w:val="20"/>
                <w:szCs w:val="20"/>
                <w:color w:val="auto"/>
              </w:rPr>
            </w:pPr>
            <w:r>
              <w:rPr>
                <w:rFonts w:ascii="Arial" w:cs="Arial" w:eastAsia="Arial" w:hAnsi="Arial"/>
                <w:sz w:val="13"/>
                <w:szCs w:val="13"/>
                <w:b w:val="1"/>
                <w:bCs w:val="1"/>
                <w:color w:val="auto"/>
                <w:w w:val="89"/>
              </w:rPr>
              <w:t>Amount of</w:t>
            </w:r>
          </w:p>
        </w:tc>
        <w:tc>
          <w:tcPr>
            <w:tcW w:w="220" w:type="dxa"/>
            <w:vAlign w:val="bottom"/>
          </w:tcPr>
          <w:p>
            <w:pPr>
              <w:spacing w:after="0"/>
              <w:rPr>
                <w:sz w:val="11"/>
                <w:szCs w:val="11"/>
                <w:color w:val="auto"/>
              </w:rPr>
            </w:pPr>
          </w:p>
        </w:tc>
      </w:tr>
      <w:tr>
        <w:trPr>
          <w:trHeight w:val="164"/>
        </w:trPr>
        <w:tc>
          <w:tcPr>
            <w:tcW w:w="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jc w:val="center"/>
              <w:ind w:right="413"/>
              <w:spacing w:after="0"/>
              <w:rPr>
                <w:sz w:val="20"/>
                <w:szCs w:val="20"/>
                <w:color w:val="auto"/>
              </w:rPr>
            </w:pPr>
            <w:r>
              <w:rPr>
                <w:rFonts w:ascii="Arial" w:cs="Arial" w:eastAsia="Arial" w:hAnsi="Arial"/>
                <w:sz w:val="13"/>
                <w:szCs w:val="13"/>
                <w:b w:val="1"/>
                <w:bCs w:val="1"/>
                <w:color w:val="auto"/>
                <w:w w:val="85"/>
              </w:rPr>
              <w:t>Securities to be Registered</w:t>
            </w:r>
          </w:p>
        </w:tc>
        <w:tc>
          <w:tcPr>
            <w:tcW w:w="98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3"/>
                <w:szCs w:val="13"/>
                <w:b w:val="1"/>
                <w:bCs w:val="1"/>
                <w:color w:val="auto"/>
                <w:w w:val="83"/>
              </w:rPr>
              <w:t>Registered</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center"/>
              <w:ind w:right="277"/>
              <w:spacing w:after="0"/>
              <w:rPr>
                <w:sz w:val="20"/>
                <w:szCs w:val="20"/>
                <w:color w:val="auto"/>
              </w:rPr>
            </w:pPr>
            <w:r>
              <w:rPr>
                <w:rFonts w:ascii="Arial" w:cs="Arial" w:eastAsia="Arial" w:hAnsi="Arial"/>
                <w:sz w:val="13"/>
                <w:szCs w:val="13"/>
                <w:b w:val="1"/>
                <w:bCs w:val="1"/>
                <w:color w:val="auto"/>
                <w:w w:val="92"/>
              </w:rPr>
              <w:t>Per Unit</w:t>
            </w:r>
          </w:p>
        </w:tc>
        <w:tc>
          <w:tcPr>
            <w:tcW w:w="160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3"/>
                <w:szCs w:val="13"/>
                <w:b w:val="1"/>
                <w:bCs w:val="1"/>
                <w:color w:val="auto"/>
                <w:w w:val="90"/>
              </w:rPr>
              <w:t>Offering Price</w:t>
            </w:r>
          </w:p>
        </w:tc>
        <w:tc>
          <w:tcPr>
            <w:tcW w:w="1340" w:type="dxa"/>
            <w:vAlign w:val="bottom"/>
            <w:tcBorders>
              <w:bottom w:val="single" w:sz="8" w:color="auto"/>
            </w:tcBorders>
          </w:tcPr>
          <w:p>
            <w:pPr>
              <w:jc w:val="center"/>
              <w:ind w:left="234"/>
              <w:spacing w:after="0"/>
              <w:rPr>
                <w:sz w:val="20"/>
                <w:szCs w:val="20"/>
                <w:color w:val="auto"/>
              </w:rPr>
            </w:pPr>
            <w:r>
              <w:rPr>
                <w:rFonts w:ascii="Arial" w:cs="Arial" w:eastAsia="Arial" w:hAnsi="Arial"/>
                <w:sz w:val="13"/>
                <w:szCs w:val="13"/>
                <w:b w:val="1"/>
                <w:bCs w:val="1"/>
                <w:color w:val="auto"/>
                <w:w w:val="86"/>
              </w:rPr>
              <w:t>Registration Fee</w:t>
            </w:r>
          </w:p>
        </w:tc>
        <w:tc>
          <w:tcPr>
            <w:tcW w:w="220" w:type="dxa"/>
            <w:vAlign w:val="bottom"/>
            <w:tcBorders>
              <w:bottom w:val="single" w:sz="8" w:color="auto"/>
            </w:tcBorders>
          </w:tcPr>
          <w:p>
            <w:pPr>
              <w:spacing w:after="0"/>
              <w:rPr>
                <w:sz w:val="14"/>
                <w:szCs w:val="14"/>
                <w:color w:val="auto"/>
              </w:rPr>
            </w:pPr>
          </w:p>
        </w:tc>
      </w:tr>
      <w:tr>
        <w:trPr>
          <w:trHeight w:val="145"/>
        </w:trPr>
        <w:tc>
          <w:tcPr>
            <w:tcW w:w="20" w:type="dxa"/>
            <w:vAlign w:val="bottom"/>
            <w:tcBorders>
              <w:bottom w:val="single" w:sz="8" w:color="auto"/>
            </w:tcBorders>
          </w:tcPr>
          <w:p>
            <w:pPr>
              <w:spacing w:after="0"/>
              <w:rPr>
                <w:sz w:val="12"/>
                <w:szCs w:val="12"/>
                <w:color w:val="auto"/>
              </w:rPr>
            </w:pPr>
          </w:p>
        </w:tc>
        <w:tc>
          <w:tcPr>
            <w:tcW w:w="4060" w:type="dxa"/>
            <w:vAlign w:val="bottom"/>
            <w:tcBorders>
              <w:bottom w:val="single" w:sz="8" w:color="auto"/>
            </w:tcBorders>
            <w:gridSpan w:val="2"/>
          </w:tcPr>
          <w:p>
            <w:pPr>
              <w:spacing w:after="0" w:line="145" w:lineRule="exact"/>
              <w:rPr>
                <w:sz w:val="20"/>
                <w:szCs w:val="20"/>
                <w:color w:val="auto"/>
              </w:rPr>
            </w:pPr>
            <w:r>
              <w:rPr>
                <w:rFonts w:ascii="Arial" w:cs="Arial" w:eastAsia="Arial" w:hAnsi="Arial"/>
                <w:sz w:val="14"/>
                <w:szCs w:val="14"/>
                <w:color w:val="auto"/>
                <w:w w:val="98"/>
              </w:rPr>
              <w:t>Debt Securities, Common Stock, Guarantees of Debt Securities(1)</w:t>
            </w:r>
          </w:p>
        </w:tc>
        <w:tc>
          <w:tcPr>
            <w:tcW w:w="9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center"/>
              <w:ind w:left="15"/>
              <w:spacing w:after="0" w:line="145" w:lineRule="exact"/>
              <w:rPr>
                <w:sz w:val="20"/>
                <w:szCs w:val="20"/>
                <w:color w:val="auto"/>
              </w:rPr>
            </w:pPr>
            <w:r>
              <w:rPr>
                <w:rFonts w:ascii="Arial" w:cs="Arial" w:eastAsia="Arial" w:hAnsi="Arial"/>
                <w:sz w:val="14"/>
                <w:szCs w:val="14"/>
                <w:color w:val="auto"/>
                <w:w w:val="93"/>
              </w:rPr>
              <w:t>(2)</w:t>
            </w:r>
          </w:p>
        </w:tc>
        <w:tc>
          <w:tcPr>
            <w:tcW w:w="44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297"/>
              <w:spacing w:after="0" w:line="145" w:lineRule="exact"/>
              <w:rPr>
                <w:sz w:val="20"/>
                <w:szCs w:val="20"/>
                <w:color w:val="auto"/>
              </w:rPr>
            </w:pPr>
            <w:r>
              <w:rPr>
                <w:rFonts w:ascii="Arial" w:cs="Arial" w:eastAsia="Arial" w:hAnsi="Arial"/>
                <w:sz w:val="14"/>
                <w:szCs w:val="14"/>
                <w:color w:val="auto"/>
                <w:w w:val="93"/>
              </w:rPr>
              <w:t>(2)</w:t>
            </w:r>
          </w:p>
        </w:tc>
        <w:tc>
          <w:tcPr>
            <w:tcW w:w="1600" w:type="dxa"/>
            <w:vAlign w:val="bottom"/>
            <w:tcBorders>
              <w:bottom w:val="single" w:sz="8" w:color="auto"/>
              <w:right w:val="single" w:sz="8" w:color="auto"/>
            </w:tcBorders>
          </w:tcPr>
          <w:p>
            <w:pPr>
              <w:jc w:val="center"/>
              <w:ind w:left="15"/>
              <w:spacing w:after="0" w:line="145" w:lineRule="exact"/>
              <w:rPr>
                <w:sz w:val="20"/>
                <w:szCs w:val="20"/>
                <w:color w:val="auto"/>
              </w:rPr>
            </w:pPr>
            <w:r>
              <w:rPr>
                <w:rFonts w:ascii="Arial" w:cs="Arial" w:eastAsia="Arial" w:hAnsi="Arial"/>
                <w:sz w:val="14"/>
                <w:szCs w:val="14"/>
                <w:color w:val="auto"/>
                <w:w w:val="93"/>
              </w:rPr>
              <w:t>(2)</w:t>
            </w:r>
          </w:p>
        </w:tc>
        <w:tc>
          <w:tcPr>
            <w:tcW w:w="1340" w:type="dxa"/>
            <w:vAlign w:val="bottom"/>
            <w:tcBorders>
              <w:bottom w:val="single" w:sz="8" w:color="auto"/>
            </w:tcBorders>
          </w:tcPr>
          <w:p>
            <w:pPr>
              <w:jc w:val="center"/>
              <w:ind w:left="234"/>
              <w:spacing w:after="0" w:line="145" w:lineRule="exact"/>
              <w:rPr>
                <w:sz w:val="20"/>
                <w:szCs w:val="20"/>
                <w:color w:val="auto"/>
              </w:rPr>
            </w:pPr>
            <w:r>
              <w:rPr>
                <w:rFonts w:ascii="Arial" w:cs="Arial" w:eastAsia="Arial" w:hAnsi="Arial"/>
                <w:sz w:val="14"/>
                <w:szCs w:val="14"/>
                <w:color w:val="auto"/>
                <w:w w:val="93"/>
              </w:rPr>
              <w:t>(3)</w:t>
            </w:r>
          </w:p>
        </w:tc>
        <w:tc>
          <w:tcPr>
            <w:tcW w:w="22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Any securities registered hereunder may be sold separately or as units with other securities registered hereunder.</w:t>
      </w:r>
    </w:p>
    <w:p>
      <w:pPr>
        <w:ind w:left="340" w:right="80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Omitted pursuant to General Instructions II.E of Form S-3. An indeterminate amount of securities of each identified class is being registered as may from time to time be issued at indeterminate prices.</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of the Securities Act of 1933, as amended, the Registrant is deferring payment of all of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678"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172085</wp:posOffset>
            </wp:positionV>
            <wp:extent cx="1363345"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334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(Schlumberger Limited)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or selling securityholders may, from time to time, offer to sell senior or subordinated debt securities, common stock or guarantees of debt securities. Each time we or a selling securityholder sells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“SLB.” Our common stock is also traded on the Euronext Paris, Euronext Amsterdam, London and SIX Swiss stock exchanges.</w:t>
      </w:r>
    </w:p>
    <w:p>
      <w:pPr>
        <w:spacing w:after="0" w:line="157" w:lineRule="exact"/>
        <w:rPr>
          <w:sz w:val="20"/>
          <w:szCs w:val="20"/>
          <w:color w:val="auto"/>
        </w:rPr>
      </w:pPr>
    </w:p>
    <w:p>
      <w:pPr>
        <w:ind w:right="100" w:firstLine="456"/>
        <w:spacing w:after="0" w:line="335"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See “</w:t>
      </w:r>
      <w:hyperlink w:anchor="page7">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of this prospectus and all other information included or incorporated by reference in this prospectus before you decide whether to buy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April 17, 2014</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2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520" w:type="dxa"/>
            <w:vAlign w:val="bottom"/>
            <w:gridSpan w:val="1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65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4520" w:type="dxa"/>
            <w:vAlign w:val="bottom"/>
            <w:gridSpan w:val="13"/>
            <w:vMerge w:val="continue"/>
          </w:tcPr>
          <w:p>
            <w:pPr>
              <w:spacing w:after="0"/>
              <w:rPr>
                <w:sz w:val="13"/>
                <w:szCs w:val="13"/>
                <w:color w:val="auto"/>
              </w:rPr>
            </w:pPr>
          </w:p>
        </w:tc>
        <w:tc>
          <w:tcPr>
            <w:tcW w:w="65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40" w:type="dxa"/>
            <w:vAlign w:val="bottom"/>
            <w:tcBorders>
              <w:top w:val="single" w:sz="8" w:color="0000EE"/>
            </w:tcBorders>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the Company</w:t>
              </w:r>
            </w:hyperlink>
          </w:p>
        </w:tc>
        <w:tc>
          <w:tcPr>
            <w:tcW w:w="2880" w:type="dxa"/>
            <w:vAlign w:val="bottom"/>
            <w:gridSpan w:val="8"/>
          </w:tcPr>
          <w:p>
            <w:pPr>
              <w:spacing w:after="0"/>
              <w:rPr>
                <w:sz w:val="18"/>
                <w:szCs w:val="18"/>
                <w:color w:val="auto"/>
              </w:rPr>
            </w:pPr>
          </w:p>
        </w:tc>
        <w:tc>
          <w:tcPr>
            <w:tcW w:w="68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Cautionary Statement Regarding Forward-Looking Statements</w:t>
              </w:r>
            </w:hyperlink>
          </w:p>
        </w:tc>
        <w:tc>
          <w:tcPr>
            <w:tcW w:w="68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3600" w:type="dxa"/>
            <w:vAlign w:val="bottom"/>
            <w:gridSpan w:val="11"/>
          </w:tcPr>
          <w:p>
            <w:pPr>
              <w:spacing w:after="0"/>
              <w:rPr>
                <w:sz w:val="17"/>
                <w:szCs w:val="17"/>
                <w:color w:val="auto"/>
              </w:rPr>
            </w:pPr>
          </w:p>
        </w:tc>
        <w:tc>
          <w:tcPr>
            <w:tcW w:w="68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Use of Proceeds</w:t>
              </w:r>
            </w:hyperlink>
          </w:p>
        </w:tc>
        <w:tc>
          <w:tcPr>
            <w:tcW w:w="3340" w:type="dxa"/>
            <w:vAlign w:val="bottom"/>
            <w:gridSpan w:val="10"/>
          </w:tcPr>
          <w:p>
            <w:pPr>
              <w:spacing w:after="0"/>
              <w:rPr>
                <w:sz w:val="17"/>
                <w:szCs w:val="17"/>
                <w:color w:val="auto"/>
              </w:rPr>
            </w:pPr>
          </w:p>
        </w:tc>
        <w:tc>
          <w:tcPr>
            <w:tcW w:w="68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52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 of Earnings to Fixed Charges</w:t>
              </w:r>
            </w:hyperlink>
          </w:p>
        </w:tc>
        <w:tc>
          <w:tcPr>
            <w:tcW w:w="68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Description of Debt Securities</w:t>
              </w:r>
            </w:hyperlink>
          </w:p>
        </w:tc>
        <w:tc>
          <w:tcPr>
            <w:tcW w:w="340" w:type="dxa"/>
            <w:vAlign w:val="bottom"/>
            <w:tcBorders>
              <w:top w:val="single" w:sz="8" w:color="0000EE"/>
            </w:tcBorders>
            <w:gridSpan w:val="2"/>
          </w:tcPr>
          <w:p>
            <w:pPr>
              <w:spacing w:after="0"/>
              <w:rPr>
                <w:sz w:val="17"/>
                <w:szCs w:val="17"/>
                <w:color w:val="auto"/>
              </w:rPr>
            </w:pPr>
          </w:p>
        </w:tc>
        <w:tc>
          <w:tcPr>
            <w:tcW w:w="1980" w:type="dxa"/>
            <w:vAlign w:val="bottom"/>
            <w:gridSpan w:val="3"/>
          </w:tcPr>
          <w:p>
            <w:pPr>
              <w:spacing w:after="0"/>
              <w:rPr>
                <w:sz w:val="17"/>
                <w:szCs w:val="17"/>
                <w:color w:val="auto"/>
              </w:rPr>
            </w:pPr>
          </w:p>
        </w:tc>
        <w:tc>
          <w:tcPr>
            <w:tcW w:w="68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Description of Common Stock</w:t>
              </w:r>
            </w:hyperlink>
          </w:p>
        </w:tc>
        <w:tc>
          <w:tcPr>
            <w:tcW w:w="2300" w:type="dxa"/>
            <w:vAlign w:val="bottom"/>
            <w:gridSpan w:val="4"/>
          </w:tcPr>
          <w:p>
            <w:pPr>
              <w:spacing w:after="0"/>
              <w:rPr>
                <w:sz w:val="17"/>
                <w:szCs w:val="17"/>
                <w:color w:val="auto"/>
              </w:rPr>
            </w:pPr>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Guarantees of Debt Securities</w:t>
              </w:r>
            </w:hyperlink>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8"/>
          </w:tcPr>
          <w:p>
            <w:pPr>
              <w:spacing w:after="0"/>
              <w:rPr>
                <w:sz w:val="17"/>
                <w:szCs w:val="17"/>
                <w:color w:val="auto"/>
              </w:rPr>
            </w:pPr>
          </w:p>
        </w:tc>
        <w:tc>
          <w:tcPr>
            <w:tcW w:w="1280" w:type="dxa"/>
            <w:vAlign w:val="bottom"/>
          </w:tcPr>
          <w:p>
            <w:pPr>
              <w:spacing w:after="0"/>
              <w:rPr>
                <w:sz w:val="17"/>
                <w:szCs w:val="17"/>
                <w:color w:val="auto"/>
              </w:rPr>
            </w:pPr>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Experts</w:t>
              </w:r>
            </w:hyperlink>
          </w:p>
        </w:tc>
        <w:tc>
          <w:tcPr>
            <w:tcW w:w="3960" w:type="dxa"/>
            <w:vAlign w:val="bottom"/>
            <w:gridSpan w:val="12"/>
          </w:tcPr>
          <w:p>
            <w:pPr>
              <w:spacing w:after="0"/>
              <w:rPr>
                <w:sz w:val="17"/>
                <w:szCs w:val="17"/>
                <w:color w:val="auto"/>
              </w:rPr>
            </w:pPr>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Validity of the Securities</w:t>
              </w:r>
            </w:hyperlink>
          </w:p>
        </w:tc>
        <w:tc>
          <w:tcPr>
            <w:tcW w:w="2720" w:type="dxa"/>
            <w:vAlign w:val="bottom"/>
            <w:gridSpan w:val="7"/>
          </w:tcPr>
          <w:p>
            <w:pPr>
              <w:spacing w:after="0"/>
              <w:rPr>
                <w:sz w:val="17"/>
                <w:szCs w:val="17"/>
                <w:color w:val="auto"/>
              </w:rPr>
            </w:pPr>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Where You Can Find More Information</w:t>
              </w:r>
            </w:hyperlink>
          </w:p>
        </w:tc>
        <w:tc>
          <w:tcPr>
            <w:tcW w:w="1640" w:type="dxa"/>
            <w:vAlign w:val="bottom"/>
            <w:gridSpan w:val="2"/>
          </w:tcPr>
          <w:p>
            <w:pPr>
              <w:spacing w:after="0"/>
              <w:rPr>
                <w:sz w:val="17"/>
                <w:szCs w:val="17"/>
                <w:color w:val="auto"/>
              </w:rPr>
            </w:pPr>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Incorporation by Reference</w:t>
              </w:r>
            </w:hyperlink>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and in any accompanying prospectus supplement or in any related free writing prospectus. We have not authorized any other person to provide you with different information with respect to this offering. This document may only be used where it is legal to sell these securities. You should only assume that the information in this prospectus or in any prospectus supplement is accurate as of the date on the front of those documents. Our business, financial condition, results of operations and prospects may have changed since that date. We are not making an offer of these securities in any state where the offer is not permitted.</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This prospectus is part of an automatic shelf registration statement that we filed with the Securities and Exchange Commission, or SEC, as a “well-known seasoned issuer” as defined in Rule 405 under the Securities Act of 1933, as amended. By using an automatic shelf registration statement, we may, at any time and from time to time, sell securities under this prospectus in one or more offerings in an unlimited amount. As allowed by the SEC rules,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use this prospectus to offer securities, we will provide you with a prospectus supplement that will describe the specific amounts, prices and terms of the securities being offered. The prospectus supplement may also add, update or change information contained in this prospectus. Therefore, if there is any inconsistency between the information in this prospectus and the prospectus supplement, you should rely on the information in the prospectus supplement.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understand the terms of our securities, you should carefully read this document and the applicable prospectus supplement. Together they give the specific terms of the securities we are offering. You should also read the documents we have referred you to under “Where You Can Find More Information” below for information about us and our financial statements. You can read the registration statement and exhibits on the SEC’s website or at the SEC as described under “Where You Can Find More Information.”</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to “Registrant,” “Company,” “Schlumberger,” “we” or “our” are to Schlumberger Limited and its consolidated subsidiaries.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THE COMPANY</w:t>
      </w:r>
    </w:p>
    <w:p>
      <w:pPr>
        <w:spacing w:after="0" w:line="229"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w:t>
      </w:r>
    </w:p>
    <w:p>
      <w:pPr>
        <w:spacing w:after="0" w:line="166"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Schlumberger is incorporated under the laws of Curaçao with principal executive offices in Paris, Houston and The Hague. Our principal executive offices in the United States are located at 5599 San Felipe, 17th Floor, Houston, Texas 77056, and our telephone number is (713) 375-3400.</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8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Schlumberger in particular, and could cause those results to differ materially from those expressed in or implied by such forward-looking statements:</w:t>
      </w:r>
    </w:p>
    <w:p>
      <w:pPr>
        <w:spacing w:after="0" w:line="94"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forecasts or expectations regarding business outlook;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demand for and pricing of the products and services of Schlumberger;</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for Schlumberger as a whole and for each business segment (and for specified products or geographic areas within each business segment);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expenditures by Schlumberger and the oil and gas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business strategies of Schlumberger’s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margins;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Schlumberger’s effective tax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geopolitical and operational risks arising from the international nature of Schlumberger’s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and future global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political and business conditions in key regions of the world, including in Russia and the Ukraine;</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strategy and other plans and objectives for future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operational delays;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liabilities, including environmental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Schlumberger’s customers and changes in the level of oil and natural gas exploration and development;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erosion;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declines;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Schlumberger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Investing in our securities involves risk. You should carefully consider the risks described in the documents incorporated by reference in this prospectus, including the “Management’s Discussion and Analysis of Financial Condition and Results of Operations” and “Risk Factors” sections of our Annual Report on Form 10-K for the fiscal year ended December 31, 2013 before deciding whether to invest in our securities. These risks could cause our business, properties, assets, financial condition, results of operations, cash flows or prospects to be materially adversely affected. Additional risks and uncertainties not currently known to us or that we currently deem immaterial may also adversely affect our business and operations.</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459"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otherwise state in the applicable prospectus supplement, we will use the net proceeds from the sale of the offered securities for general corporate purposes. General corporate purposes may include repayment of debt, additions to working capital, capital expenditures, investments in our subsidiaries, possible acquisitions and the repurchase, redemption or retirement of securities, including our common stock. The net proceeds may be temporarily invested or applied to repay short-term or revolving debt prior to use.</w:t>
      </w:r>
    </w:p>
    <w:p>
      <w:pPr>
        <w:spacing w:after="0" w:line="11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240" w:top="459" w:right="7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for the periods indicated. This information should be read in conjunction with the consolidated financial statements and the accompanying notes incorporated by reference in this prospectus.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Borders>
              <w:bottom w:val="single" w:sz="8" w:color="CCEEFF"/>
            </w:tcBorders>
          </w:tcPr>
          <w:p>
            <w:pPr>
              <w:spacing w:after="0"/>
              <w:rPr>
                <w:sz w:val="12"/>
                <w:szCs w:val="12"/>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12.9x</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11.2x</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11.3x</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12.3x</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9.6x</w:t>
            </w: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Earnings available for fixed charges represent earnings before income taxes, noncontrolling interests and fixed charges excluding capitalized interest, net of amortization, reduced by undistributed earnings of our less than 50% owned affiliates. Fixed charges represent interest expense, capitalized interest, plus that portion of rental expense deemed to be the equivalent of interest. Interest expense excludes interest related to uncertain tax positions, which has been included in the provision for income taxes.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this description of the debt securities, the words “we,” “us” or “our” refer only to Schlumberger Limited and not to any of our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section have the respective meanings set forth in the applicable indenture.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debt securities that we may offer will be either senior debt securities or subordinated debt securities. Any senior debt securities will be issued under an indenture, which we refer to as the senior indenture, to be entered into between us and the trustee named in the applicable prospectus supplement.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In addition, the indentures may be supplemented or amended as necessary to set forth the terms of the debt securities issued under the indentures. You should read the indentures, including any amendments or supplements, carefully to fully understand the terms of the debt securities. The forms of the indentures have been filed as exhibits to the registration statement of which this prospectus is a part. The indentures are subject to, and are governed by, the Trust Indenture Act of 1939, as amended.</w:t>
      </w:r>
    </w:p>
    <w:p>
      <w:pPr>
        <w:spacing w:after="0" w:line="17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7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applicable indenture, except for debt securities authenticated and delivered upon registration of transfer of, or in exchange for or in lieu of, other debt securities of that series;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30"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applicable indenture may be served, and the method of such payment, if by wire transfer, mail or other means if other than as set forth in the applicable indenture;</w:t>
      </w:r>
    </w:p>
    <w:p>
      <w:pPr>
        <w:spacing w:after="0" w:line="92"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trustees, authenticating agents or paying agents with respect to such series, if different from those set forth in the applicable indenture;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or defer the payment of interest and the duration of such extension or deferral;</w:t>
      </w:r>
    </w:p>
    <w:p>
      <w:pPr>
        <w:spacing w:after="0" w:line="142"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in whole or in part, at our option;</w:t>
      </w:r>
    </w:p>
    <w:p>
      <w:pPr>
        <w:spacing w:after="0" w:line="75"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shall be issuable;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currency or currencies in which payment of the principal of, premium, if any, and interest on, debt securities of the series shall be payable;</w:t>
      </w:r>
    </w:p>
    <w:p>
      <w:pPr>
        <w:spacing w:after="0" w:line="153" w:lineRule="exact"/>
        <w:rPr>
          <w:rFonts w:ascii="Arial" w:cs="Arial" w:eastAsia="Arial" w:hAnsi="Arial"/>
          <w:sz w:val="16"/>
          <w:szCs w:val="16"/>
          <w:color w:val="auto"/>
        </w:rPr>
      </w:pPr>
    </w:p>
    <w:p>
      <w:pPr>
        <w:ind w:left="900" w:right="40" w:hanging="325"/>
        <w:spacing w:after="0" w:line="25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debt securities of the series will not be determinable as of any one or more dates prior to such stated maturity, the amount which will be deemed to be such principal amount as of any such date for any purpose, including the portion of the principal amount thereof that will be due and payable upon declaration of acceleration of the maturity thereof or upon any maturity other than the stated maturity or that will be deemed to be outstanding as of any such date, or, in any such case, the manner in which such deemed principal amount is to be determined;</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30"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debt securities of the series shall be issued in whole or in part in the form of a global security or securities, the type of global security to be issued; the terms and conditions, if different from those contained in the applicable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30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whether the debt securities of the series will be convertible into or exchangeable for other securities,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59"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whether and upon what terms debt securities of a series may be defeased if different from the provisions set forth in the applicable indenture;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guarantees on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applicable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debt securities are subordinated debt securities, the subordination terms of the debt securities; and</w:t>
      </w:r>
    </w:p>
    <w:p>
      <w:pPr>
        <w:spacing w:after="0" w:line="130"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described in a prospectus supplement relating to any debt securities, there are no covenants or provisions contained in the indentures that may afford the holders of debt securities protection in the event that we enter into a highly leveraged transaction.</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statements made hereunder relating to the indentures and any debt securities that we may issue are summaries of certain provisions thereof and are qualified in their entirety by reference to all provisions of the indentures and the debt securities and the descriptions thereof, if different, in the applicable prospectus supplement.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will set forth in the applicable prospectus supplement the terms and conditions, if any, upon which any series of subordinated debt securities is subordinated to debt securities of another series or to our other indebtedness. The terms will include a description of:</w:t>
      </w:r>
    </w:p>
    <w:p>
      <w:pPr>
        <w:spacing w:after="0" w:line="7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indebtedness ranking senior to the debt securities being offered;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restrictions, if any, on payments to the holders of the debt securities being offered while a default with respect to the senior indebtedness is continuing;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requiring holders of the debt securities being offered to remit some payments to the holders of senior indebtedness.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All payments made by us under or with respect to the debt securities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we are then incorporated or organized or any political subdivision thereof or therein (each, a “Company Tax Jurisdiction”) or (2) any jurisdiction from or through which payment is made by us or on our behalf (including the jurisdiction of any paying agent for the applicable debt securities) or any political subdivision thereof or therein (each, together with each Company Tax Jurisdiction, a “Tax Jurisdiction”) will at any time be required to be made from any payments made by us under or with respect to any debt securities, including payments of principal, redemption price, interest or premium, we will pay such additional amounts (the “Additional Amounts”) as may be necessary in order that the net amounts received with respect to such payments by each holder of the applicable debt securities after such withholding, deduction or imposition (including any such withholding, deduction or imposition from such Additional Amounts) will equal the respective amounts that would have been received with respect to such payments in the absence of such withholding or deduction;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Additional Amounts will be payable with respect to:</w:t>
      </w:r>
    </w:p>
    <w:p>
      <w:pPr>
        <w:spacing w:after="0" w:line="85" w:lineRule="exact"/>
        <w:rPr>
          <w:sz w:val="20"/>
          <w:szCs w:val="20"/>
          <w:color w:val="auto"/>
        </w:rPr>
      </w:pPr>
    </w:p>
    <w:p>
      <w:pPr>
        <w:ind w:left="900" w:hanging="446"/>
        <w:spacing w:after="0" w:line="297"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 connection between the holder or the beneficial owner of such debt securities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the receipt of any payments with respect to such debt securities;</w:t>
      </w:r>
    </w:p>
    <w:p>
      <w:pPr>
        <w:spacing w:after="0" w:line="63" w:lineRule="exact"/>
        <w:rPr>
          <w:rFonts w:ascii="Arial" w:cs="Arial" w:eastAsia="Arial" w:hAnsi="Arial"/>
          <w:sz w:val="16"/>
          <w:szCs w:val="16"/>
          <w:color w:val="auto"/>
        </w:rPr>
      </w:pPr>
    </w:p>
    <w:p>
      <w:pPr>
        <w:ind w:left="900" w:right="440" w:hanging="446"/>
        <w:spacing w:after="0" w:line="31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30"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us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any Taxes imposed by the United States, any such Taxes imposed by reason of the failure of such holder to fulfill the statement requirements of sections 871(h) or 881(c) of the Internal Revenue Code of 1986,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Taxes imposed on or with respect to a payment made to a holder or beneficial owner of such debt securities who would have been able to avoid such withholding or deduction by presenting such debt securities (where presentation is required) to another paying agent;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debt securities;</w:t>
      </w:r>
    </w:p>
    <w:p>
      <w:pPr>
        <w:spacing w:after="0" w:line="130" w:lineRule="exact"/>
        <w:rPr>
          <w:rFonts w:ascii="Arial" w:cs="Arial" w:eastAsia="Arial" w:hAnsi="Arial"/>
          <w:sz w:val="18"/>
          <w:szCs w:val="18"/>
          <w:color w:val="auto"/>
        </w:rPr>
      </w:pPr>
    </w:p>
    <w:p>
      <w:pPr>
        <w:ind w:left="900" w:right="80" w:hanging="446"/>
        <w:spacing w:after="0" w:line="273"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Taxes to the extent such Taxes are imposed or withheld by reason of the failure of the holder or beneficial owner of such debt securities, to comply with any written request by us addressed to the holder or beneficial owner to satisfy any certification, identification, information or other reporting requirements, whether required by statute, treaty, regulation or administrative practice of a relevant Tax Jurisdiction, as a precondition to exemption from, or reduction in the rate of deduction or withholding of, Taxes imposed by the relevant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to the foregoing, we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 relevant Tax Jurisdiction with respect to the execution, delivery, issuance, or registration of the debt securities, or the related indenture or any other document or instrument referred to therein.</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If we become aware that we will be obligated to pay Additional Amounts with respect to any payment under or with respect to the debt securities, we will deliver to the trustee on a date that is at least 30 days prior to the date of that payment (unless the obligation to pay Additional Amounts arises fewer than 45 days prior to that payment date, in which case we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make all withholdings and deductions required by law with respect to the debt securities, and will remit the full amount deducted or withheld to the relevant Tax authority in accordance with applicable law. We will use our reasonable efforts to obtain Tax receipts from each Tax authority evidencing the payment of any Taxes so deducted or withheld. Upon reasonable written request, we will furnish to the trustee (or to a holder or beneficial owner upon written request), within a reasonable time after the date the payment of any Taxes so deducted or withheld is made, certified copies of Tax receipts evidencing payment by us, or if, notwithstanding our efforts to obtain receipts, receipts are not obtained, other evidence of such payments (reasonably satisfactory to the trustee).</w:t>
      </w:r>
    </w:p>
    <w:p>
      <w:pPr>
        <w:spacing w:after="0" w:line="1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Whenever in the indenture, any debt securities, or in this “Description of Debt Securities” there is mentioned, in any context, the payment of amounts based upon the principal amount of the debt securities or of principal, interest or of any other amount payable under, or with respect to, any of the debt securities, such mention shall be deemed to include mention of the payment of Additional Amounts to the extent that, in such context, Additional Amounts are, were or would be payable in respect thereof.</w:t>
      </w:r>
    </w:p>
    <w:p>
      <w:pPr>
        <w:spacing w:after="0" w:line="18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 xml:space="preserve">The above obligations will survive any termination, defeasance or discharge of each indenture, any transfer by a holder or beneficial owner of the debt securities, and will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any jurisdiction in which any successor person to us is incorporated or organized, or any jurisdiction from or through which payment is made by or on behalf of such person on the applicable debt securities and any political subdivision thereof or therein.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Changes in Tax Law</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redeem the debt securities of any series, in whole but not in part, at our discretion at any time upon giving not less than 30 nor more than 60 days’ prior notice to the holders of the debt securities of such series (which notice will be irrevocable), at a redemption price equal to 100% of the aggregate principal amount thereof, together with accrued and unpaid interest, if any, to the date fixed by us for redemption (a “Tax Redemption Date”) and all Additional Amounts (if any) then due and which will become due on the Tax Redemption Date as a result of the redemption or otherwise (subject to the right of holders of the debt securities of such series on the relevant record date to receive interest due on the relevant interest payment date and Additional Amounts (if any) in respect thereof), if on the next date on which any amount would be payable with respect to the debt securities of such series, we are or would be required to pay Additional Amounts, and we cannot avoid any such payment obligation by taking reasonable measures available, and the requirement arises as a result of:</w:t>
      </w:r>
    </w:p>
    <w:p>
      <w:pPr>
        <w:spacing w:after="0" w:line="98" w:lineRule="exact"/>
        <w:rPr>
          <w:sz w:val="20"/>
          <w:szCs w:val="20"/>
          <w:color w:val="auto"/>
        </w:rPr>
      </w:pPr>
    </w:p>
    <w:p>
      <w:pPr>
        <w:jc w:val="both"/>
        <w:ind w:left="900" w:right="18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amendment to, or change in, the laws (or any regulations or rulings promulgated thereunder) of a relevant Tax Jurisdiction which change or amendment becomes effective on or after the issue date (or, if the applicable Tax Jurisdiction became a Tax Jurisdiction on a date after the issue date, such later date), or</w:t>
      </w:r>
    </w:p>
    <w:p>
      <w:pPr>
        <w:spacing w:after="0" w:line="86" w:lineRule="exact"/>
        <w:rPr>
          <w:rFonts w:ascii="Arial" w:cs="Arial" w:eastAsia="Arial" w:hAnsi="Arial"/>
          <w:sz w:val="18"/>
          <w:szCs w:val="18"/>
          <w:color w:val="auto"/>
        </w:rPr>
      </w:pPr>
    </w:p>
    <w:p>
      <w:pPr>
        <w:ind w:left="900" w:right="160" w:hanging="325"/>
        <w:spacing w:after="0" w:line="31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Tax Jurisdiction became a Tax Jurisdiction on a date after the issue date, such later date).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not give any such notice of redemption earlier than 90 days prior to the earliest date on which we would be obligated to make such payment or withholding if a payment with respect to the debt securities of such series was then due, and the obligation to pay Additional Amounts must be in effect at the time such notice is given. Prior to the publication or, where relevant, mailing of any notice of redemption of the debt securities of such series pursuant to the foregoing, we will deliver to the trustee an opinion of independent tax counsel to the effect that there has been such amendment or change which would entitle us to redeem the debt securities of such series hereunder. In addition, before we publish or mail any notice of redemption as described above, we will deliver to the trustee an officer’s certificate to the effect that we cannot avoid our obligation to pay Additional Amounts by taking reasonable measures available to us.</w:t>
      </w:r>
    </w:p>
    <w:p>
      <w:pPr>
        <w:spacing w:after="0" w:line="18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8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The foregoing will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any jurisdiction in which any successor person to us is incorporated or organized, or any jurisdiction from or through which payment is made by or on behalf of such person on the debt securities of such series and any political subdivision thereof or therein.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less than all of the debt securities of a series are to be redeemed at any time, the trustee will select the debt securities of such series for redemption on a pro rata basis (or, in the case of debt securities issued in global form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debt securities in principal amount of $2,000 or less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trustee will not be liable for selections made by it as contemplated in this section. For any debt securities which are represented by global securities held on behalf of DTC, Euroclear or Clearstream, notices may be given by delivery of the relevant notices to DTC, Euroclear or Clearstream for communication to entitled account holders in substitution for the aforesaid mailing.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So long as any debt securities are outstanding, we shall file with the trustee, within 15 days after we file with the SEC, copies of the annual reports and of the information, documents and other reports (or copies of such portions of any of the forgoing as the SEC may from time to time by rules and regulations prescribe) that we may be required to file with the SEC pursuant to Section 13 or Section 15(d) of the Exchange Act. We will be deemed to have complied with the previous sentence to the extent that such information, documents and reports are filed with the SEC via EDGAR, or any successor electronic delivery procedure. Delivery of such reports, information and documents to the trustee is for informational purposes only and the trustee’s receipt of such shall not constitute constructive notice of any information contained therein or determinable from information contained therein, including our compliance with any covenants under the indenture (as to which the trustee is entitled to rely exclusively on officer’s certificates).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will be “Events of Default” with respect to debt securities of a particular series, except to the extent provided in the supplemental indenture or resolution of our board of directors pursuant to which a series of debt securities is issued:</w:t>
      </w:r>
    </w:p>
    <w:p>
      <w:pPr>
        <w:spacing w:after="0" w:line="7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pay any interest on any of the debt securities of such series within 30 days after such interest becomes due and payable;</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pay principal of any of the debt securities of such series at maturity, or if applicable, the redemption price, when the same become due and payable;</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pay any sinking fund installment as and when the same shall become due and payable by the terms of the debt securities of such series, and continuance of such default for a period of 30 days;</w:t>
      </w:r>
    </w:p>
    <w:p>
      <w:pPr>
        <w:spacing w:after="0" w:line="75" w:lineRule="exact"/>
        <w:rPr>
          <w:rFonts w:ascii="Arial" w:cs="Arial" w:eastAsia="Arial" w:hAnsi="Arial"/>
          <w:sz w:val="18"/>
          <w:szCs w:val="18"/>
          <w:color w:val="auto"/>
        </w:rPr>
      </w:pPr>
    </w:p>
    <w:p>
      <w:pPr>
        <w:jc w:val="both"/>
        <w:ind w:left="900" w:right="60" w:hanging="325"/>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to comply with any of the covenants or agreements in any of the debt securities of such series or the indenture (other than an agreement or covenant that we included in the indenture solely for the benefit of another series of debt securities) for 90 days after written notice by the trustee or by the holders of at least 25% in principal amount of all outstanding debt securities affected by that failure;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 and</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our board of directors under which such series of debt securities is issued or in the form of security for such series.</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 default under one series of debt securities issued under the indenture will not necessarily be a default under another series of debt securities under the indenture. The trustee may withhold notice to the holders of a series of debt securities issued under such indenture of any default or event of default (except in any payment on the debt securities of such series) if the trustee considers it in the interest of the holders of the debt securities of that series to do so.</w:t>
      </w:r>
    </w:p>
    <w:p>
      <w:pPr>
        <w:spacing w:after="0" w:line="14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If an event of default for a series of debt securities occurs and is continuing, the trustee or the holders of at least 25% in principal amount of the debt securities of that series may require us to pay immediately the principal amount plus accrued and unpaid interest on all the debt securities of that series. If an event of default relating to certain events of bankruptcy, insolvency or reorganization occurs with respect to us, the principal amount plus accrued and unpaid interest on the debt securities of that series will become immediately due and payable without any action on the part of the trustee or any holder. The holders of a majority in principal amount of the debt securities of such series then outstanding may in some cases rescind this accelerated payment requirement.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holder of debt securities of any series may pursue any remedy under the indenture applicable to the debt securities of that series only if:</w:t>
      </w:r>
    </w:p>
    <w:p>
      <w:pPr>
        <w:spacing w:after="0" w:line="14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 In most cases, holders of a majority in principal amount of the debt securities of any series then outstanding may direct the time, method and place of:</w:t>
      </w:r>
    </w:p>
    <w:p>
      <w:pPr>
        <w:spacing w:after="0" w:line="87"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indenture requires us to file with the trustee each year a written statement as to our compliance with the covenants contained in the indenture.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do not contain provisions that give holders of the debt securities the right to require us to repurchase any debt securities in the event of a decline in credit rating resulting from a takeover, recapitalization or similar restructuring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Liens</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We will not, and will not permit any of our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we shall so determine, any of our other indebtedness or the indebtedness of any such restricted subsidiary then existing or thereafter created ranking on a parity with the debt securities)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our most recent consolidated quarterly financial statements;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these provisions shall not apply to:</w:t>
      </w:r>
    </w:p>
    <w:p>
      <w:pPr>
        <w:spacing w:after="0" w:line="7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our subsidiary (including a restricted subsidiary);</w:t>
      </w:r>
    </w:p>
    <w:p>
      <w:pPr>
        <w:spacing w:after="0" w:line="75"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in favor of us or any of our subsidiaries;</w:t>
      </w:r>
    </w:p>
    <w:p>
      <w:pPr>
        <w:spacing w:after="0" w:line="13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mortgage of any of our property or assets or any property or assets of any of our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mortgage of any property or assets to secure indebtedness of the pollution control, industrial revenue or other revenue bond type;</w:t>
      </w:r>
    </w:p>
    <w:p>
      <w:pPr>
        <w:spacing w:after="0" w:line="142" w:lineRule="exact"/>
        <w:rPr>
          <w:rFonts w:ascii="Arial" w:cs="Arial" w:eastAsia="Arial" w:hAnsi="Arial"/>
          <w:sz w:val="17"/>
          <w:szCs w:val="17"/>
          <w:color w:val="auto"/>
        </w:rPr>
      </w:pPr>
    </w:p>
    <w:p>
      <w:pPr>
        <w:ind w:left="900" w:right="3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30"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3"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“consolidated net worth” means the amount of total stockholders’ equity shown in our most recent quarterly consolidated statement of financial position.</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“non-recourse debt” means indebtedness as to which (a) neither we nor any of our subsidiaries (x) provides credit support of any kind or (y) is directly or indirectly liable as a guarantor or otherwise and (b) as to which the lenders have been notified in writing that they will not have any recourse to the stock or assets of Schlumberger or any of its subsidiaries.</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7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“restricted property” means any real property, manufacturing plant, warehouse, office building or other physical facility, or any item of marine, transportation or construction equipment or other like depreciable assets of Schlumberger or any of its restricted subsidiaries, whether owned on or acquired after the original issue date of the debt securities, unless, in the opinion of our board of directors, such plant or facility or other asset is not of material importance to the total business conducted by Schlumberger and its restricted subsidiaries taken as a whole.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subsidiary” means any of our subsidiaries which owns a restricted property.</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Merger or Sale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will covenant not to consolidate with or merge into any other person or transfer or lease all or substantially all of our assets to any person unless any successor or purchaser expressly assumes our obligations under the debt securities by an indenture supplemental to the indenture,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Except as provided in the next two succeeding paragraphs, the indenture or the debt securities of any series may be amended or supplemented, and waivers may be obtained, with the consent of the holders of at least a majority in aggregate principal amount of the debt securities of each series at the time outstanding that is affected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such indenture or the applicable debt securities may be waived with the consent of the holders of at least a majority in aggregate principal amount of the debt securities of each series at the time outstanding that is affected (including, without limitation, additional debt securities of such series, if any) voting as a single class (including, without limitation, consents obtained in connection with a purchase of, or tender offer or exchange offer for, such series). Without the consent of each holder of outstanding debt securities affected thereby, an amendment, supplement or waiver may not (with respect to any debt securities held by a non-consenting holder):</w:t>
      </w:r>
    </w:p>
    <w:p>
      <w:pPr>
        <w:spacing w:after="0" w:line="88"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any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 any premium payable on the redemption of any debt security or change the time at which any debt security may or must be redeemed;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payments on any debt security payable in currency other than as originally stated in such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w:t>
      </w:r>
    </w:p>
    <w:p>
      <w:pPr>
        <w:spacing w:after="0" w:line="130" w:lineRule="exact"/>
        <w:rPr>
          <w:rFonts w:ascii="Arial" w:cs="Arial" w:eastAsia="Arial" w:hAnsi="Arial"/>
          <w:sz w:val="18"/>
          <w:szCs w:val="18"/>
          <w:color w:val="auto"/>
        </w:rPr>
      </w:pPr>
    </w:p>
    <w:p>
      <w:pPr>
        <w:ind w:left="900" w:right="52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make any change in the percentage of principal amount of the debt securities necessary to waive compliance with certain provisions of the indenture such debt securities were issued under or to make any change in this provision for modification; or</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Notwithstanding the preceding, without the consent of any holder of debt securities, we and the trustee may amend or supplement the indenture or the applicable debt securities in certain circumstances, including:</w:t>
      </w:r>
    </w:p>
    <w:p>
      <w:pPr>
        <w:spacing w:after="0" w:line="76" w:lineRule="exact"/>
        <w:rPr>
          <w:sz w:val="20"/>
          <w:szCs w:val="20"/>
          <w:color w:val="auto"/>
        </w:rPr>
      </w:pPr>
    </w:p>
    <w:p>
      <w:pPr>
        <w:ind w:left="900" w:right="2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or to provide for the assumption of our obligations under the indenture by a successor upon any merger, consolidation or asset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provide for the assumption of our obligations under the indenture by a successor upon any merger, consolidation or asset transfer;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75" w:lineRule="exact"/>
        <w:rPr>
          <w:rFonts w:ascii="Arial" w:cs="Arial" w:eastAsia="Arial" w:hAnsi="Arial"/>
          <w:sz w:val="18"/>
          <w:szCs w:val="18"/>
          <w:color w:val="auto"/>
        </w:rPr>
      </w:pPr>
    </w:p>
    <w:p>
      <w:pPr>
        <w:ind w:left="5620" w:right="120" w:hanging="5045"/>
        <w:spacing w:after="0" w:line="449" w:lineRule="auto"/>
        <w:tabs>
          <w:tab w:leader="none" w:pos="8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of our rights under the indenture; 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not become effective with respect to any outstanding debt security of any series created prior to the execution of such supplemental indenture which is entitled to the benefit of such provision;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debt securities;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to issue additional debt securities of any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debt securities have the same terms as, and be deemed part of the same series as, the applicable series of debt securities to the extent required under the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outstanding debt securities in any material respect; or</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holders of a majority in principal amount of the debt securities of each series then outstanding that is affected, voting as a single class, may waive any existing or past default or event of default with respect to those debt securities. Those holders may not, however, waive any default or event of default in any payment on any debt security.</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 supplemental indenture that changes or eliminates any covenant, Event of Default or other provision of the indenture that has been expressly included solely for the benefit of one or more particular series of securities, if any, or which modifies the rights of the holders of securities of such series with respect to such covenant, Event of Default or other provision, shall be deemed not to affect the rights under the indenture of the holders of securities of any other series. It will not be necessary for the consent of the holders to approve the particular form of any proposed supplement, amendment or waiver, but it shall be sufficient if such consent approves the substance of 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If the trustee becomes a creditor of ours,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Registrar and Transfer Agent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maintain one or more paying agents (each, a “Paying Agent”) for any debt securities we issue in the Borough of Manhattan, City of New York. We, upon written notice to the trustee accompanied by an officer’s certificate, may appoint one or more paying agents, other than the trustee, for all or any series of such debt securities. If we fail to appoint or maintain another entity as paying agent, the trustee shall act as such. We or any of our subsidiaries, upon notice to the trustee, may act as paying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will also maintain one or more registrars (each, a “Registrar”) with an office in the Borough of Manhattan, City of New York. We, upon written notice to the trustee accompanied by an officer’s certificate, may appoint one or more registrars, other than the trustee, for all or any series of debt securities. If we fail to appoint or maintain another entity as registrar, the trustee shall act as such. We or any of our subsidiaries, upon notice to the trustee, may act as registrar.</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also maintain a transfer agent with an office in the Borough of Manhattan, City of New York. Each transfer agent shall perform the functions of a transfer agent. We, upon written notice to the trustee accompanied by an officer’s certificate, may appoint one or more transfer agents, other than the trustee, for all or any series of debt securities. If we fail to appoint or maintain another entity as transfer agent, the trustee shall act as such. We or any of our subsidiaries, upon notice to the trustee, may act as transfer agent.</w:t>
      </w:r>
    </w:p>
    <w:p>
      <w:pPr>
        <w:spacing w:after="0" w:line="18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Agents will make payments on and facilitate transfer of debt securities on our behalf. We may change any Paying Agents, Registrars or transfer agents without prior notice to the holders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and any debt securities issued thereunder shall be deemed to be a contract made under the internal laws of the State of New York, and for all purposes shall be construed in accordance with the laws of the State of New York without regard to conflicts of laws principles that would require the application of any other law. The indenture is subject to the provisions of the Trust Indenture Act that are required to be part of the indenture and shall, to the extent applicable, be governed by such provisions.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shall cease to be of further effect with respect to a series of debt securities when either:</w:t>
      </w:r>
    </w:p>
    <w:p>
      <w:pPr>
        <w:spacing w:after="0" w:line="131" w:lineRule="exact"/>
        <w:rPr>
          <w:sz w:val="20"/>
          <w:szCs w:val="20"/>
          <w:color w:val="auto"/>
        </w:rPr>
      </w:pPr>
    </w:p>
    <w:p>
      <w:pPr>
        <w:ind w:left="900" w:right="1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delivered to the trustee for cancellation all outstanding securities of such series, other than any securities that have been destroyed, lost or stolen and that have been replaced or paid as provided in the indenture;</w:t>
      </w:r>
    </w:p>
    <w:p>
      <w:pPr>
        <w:spacing w:after="0" w:line="75" w:lineRule="exact"/>
        <w:rPr>
          <w:rFonts w:ascii="Arial" w:cs="Arial" w:eastAsia="Arial" w:hAnsi="Arial"/>
          <w:sz w:val="18"/>
          <w:szCs w:val="18"/>
          <w:color w:val="auto"/>
        </w:rPr>
      </w:pPr>
    </w:p>
    <w:p>
      <w:pPr>
        <w:ind w:left="900" w:right="60" w:hanging="325"/>
        <w:spacing w:after="0" w:line="25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outstanding securities of such series have become due and payable or are by their terms to become due and payable within one year or are to be called for redemption within one year under arrangements satisfactory to the trustee for the giving of notice of redemption, and we shall have irrevocably deposited with the trustee as trust funds the entire amount, in funds or governmental obligations, or a combination thereof, sufficient, in the opinion of a nationally recognized firm of independent public accountants, to pay at maturity or upon redemption all securities of such series; or</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properly fulfilled any other means of satisfaction and discharge that may be set forth in the terms of the securities of such series.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we will also pay all other sums payable by us under the indenture with respect to the securities of such series.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The term defeasance means the discharge of some or all of our obligations under the indenture. If we deposit with the trustee funds or government securities sufficient to make payments on any series of debt securities on the dates those payments are due and payable, then, at our option, either of the following will occur:</w:t>
      </w:r>
    </w:p>
    <w:p>
      <w:pPr>
        <w:spacing w:after="0" w:line="87" w:lineRule="exact"/>
        <w:rPr>
          <w:sz w:val="20"/>
          <w:szCs w:val="20"/>
          <w:color w:val="auto"/>
        </w:rPr>
      </w:pPr>
    </w:p>
    <w:p>
      <w:pPr>
        <w:ind w:left="5620" w:right="2180" w:hanging="5045"/>
        <w:spacing w:after="0" w:line="449" w:lineRule="auto"/>
        <w:tabs>
          <w:tab w:leader="none" w:pos="8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such series (“legal defeasance”); or 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under the indenture, and the related events of default will no longer apply to us (“covenant defeasance”).</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we defease any series of debt securities, the holders of the defeased debt securities of such series will not be entitled to the benefits of the indenture under which such series was issued, except for our obligation to register the transfer or exchange of the debt securities of such series, replace stolen, lost or mutilated debt securities or maintain paying agencies and hold moneys for payment in trust. In the case of covenant defeasance, our obligation to pay principal, premium and interest on the debt securities of such series will also survive. We will be required to deliver to the trustee an opinion of counsel that the deposit and related defeasance would not cause the holders of the debt securities of such series to recognize income, gain or loss for federal income tax purposes. If we elect legal defeasance, that opinion of counsel must be based upon a ruling from the United States Internal Revenue Service or a change in law to that effect.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denominations of $1,000 or any integral multiple thereof and will be issued in registered form only, without coupons.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anticipate that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Investors may elect to hold their interests in the global securities through either DTC (in the United States) or (in Europe) through Clearstream or through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denominations of $1,000 and multiples of $1,000 in excess thereof. Except as set forth below, the global securities may be transferred, in whole and not in part, only to another nominee of DTC or to a successor of DTC or its nominee.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31" w:lineRule="exact"/>
        <w:rPr>
          <w:sz w:val="20"/>
          <w:szCs w:val="20"/>
          <w:color w:val="auto"/>
        </w:rPr>
      </w:pPr>
    </w:p>
    <w:p>
      <w:pPr>
        <w:ind w:left="900" w:right="4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for that global security and we do not appoint a successor depositary within 90 days after receiving that notice;</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Securities Exchange Act of 1934, as amended (the “Exchange Act”), or other applicable statute or regulation and we do not appoint a successor depositary within 90 days after becoming aware that DTC has ceased to be registered as a clearing agency;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determine that that global security will be exchangeable for definitive securities in registered form and notifies the trustee of its decision.</w:t>
      </w:r>
    </w:p>
    <w:p>
      <w:pPr>
        <w:spacing w:after="0" w:line="23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will make principal and interest payments on all debt securities represented by a global security to the paying agent which in turn will make payment to DTC or its nominee, as the case may be, as the sole registered owner and the sole holder of the debt securities represented by a global security for all purposes under the indenture. Accordingly, we, the trustee and any paying agent will have no responsibility or liability for:</w:t>
      </w:r>
    </w:p>
    <w:p>
      <w:pPr>
        <w:spacing w:after="0" w:line="71" w:lineRule="exact"/>
        <w:rPr>
          <w:sz w:val="20"/>
          <w:szCs w:val="20"/>
          <w:color w:val="auto"/>
        </w:rPr>
      </w:pPr>
    </w:p>
    <w:p>
      <w:pPr>
        <w:ind w:left="900" w:right="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75"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81" w:lineRule="exact"/>
        <w:rPr>
          <w:sz w:val="20"/>
          <w:szCs w:val="20"/>
          <w:color w:val="auto"/>
        </w:rPr>
      </w:pPr>
    </w:p>
    <w:p>
      <w:pPr>
        <w:jc w:val="both"/>
        <w:ind w:right="260" w:firstLine="456"/>
        <w:spacing w:after="0" w:line="288" w:lineRule="auto"/>
        <w:rPr>
          <w:sz w:val="20"/>
          <w:szCs w:val="20"/>
          <w:color w:val="auto"/>
        </w:rPr>
      </w:pPr>
      <w:r>
        <w:rPr>
          <w:rFonts w:ascii="Arial" w:cs="Arial" w:eastAsia="Arial" w:hAnsi="Arial"/>
          <w:sz w:val="16"/>
          <w:szCs w:val="16"/>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w:t>
      </w:r>
    </w:p>
    <w:p>
      <w:pPr>
        <w:jc w:val="both"/>
        <w:spacing w:after="0" w:line="255" w:lineRule="auto"/>
        <w:rPr>
          <w:sz w:val="20"/>
          <w:szCs w:val="20"/>
          <w:color w:val="auto"/>
        </w:rPr>
      </w:pPr>
      <w:r>
        <w:rPr>
          <w:rFonts w:ascii="Arial" w:cs="Arial" w:eastAsia="Arial" w:hAnsi="Arial"/>
          <w:sz w:val="18"/>
          <w:szCs w:val="18"/>
          <w:color w:val="auto"/>
        </w:rPr>
        <w:t>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DTC</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7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Clearstream</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6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Euroclear</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countries. The Euroclear System is owned by Euroclear Clearance System Public Limited Company (ECSplc) and operated through Euroclear Bank S.A/N.V., or the Euroclear Operator, a bank incorporated under the laws of the Kingdom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9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9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7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Neither we nor any paying agent will have any responsibility for the performance by DTC, Euroclear or Clearstream or their respective direct or indirect participants of their obligations under the rules and procedures governing their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following description of our share capital is a summary. This summary is not complete and is subject to the complete text of our Articles of Incorporation and Amended and Restated By-Laws, each as amended to date. Our Articles of Incorporation and Amended and Restated By-Laws, each as amended, are incorporated by reference as exhibits to the registration statement of which this prospectus forms a part.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Issued and Treasury Shares</w:t>
      </w:r>
    </w:p>
    <w:p>
      <w:pPr>
        <w:spacing w:after="0" w:line="121"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We may issue an aggregate of 4,500,000,000 shares of common stock, par value $0.01 per share. As of March 30, 2014, 1,434,212,164 shares of common stock were issued, of which 1,302,192,028 shares were outstanding and 132,020,136 shares were held by us as treasury stock.</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also issue an aggregate of 200,000,000 shares of preferred stock, par value $0.01 per share, which may be issued in one or more separate series. Under our Articles of Incorporation, the preferred stock (1) may be issued for not less than par value and not less than fair value taking into account the terms and conditions of such preferred stock, (2) would be subject to maximum and minimum dividend rates, (3) would be entitled to one vote per share,</w:t>
      </w:r>
    </w:p>
    <w:p>
      <w:pPr>
        <w:ind w:right="120" w:firstLine="8"/>
        <w:spacing w:after="0" w:line="323"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prospectus.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All outstanding shares of common stock (i.e.,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the common stock. The amount of dividends payable with respect to any fiscal year is determined by Schlumberger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(i.e., our net asset value) at least equals the nominal capital (i.e., the aggregate par value of our outstanding shares) and as a result of the distribution will not fall below the nominal capital.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common stock and each holder of preferred stock (if issued and outstanding) is entitled to one vote for each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in that holder’s name. Voting rights may be exercised in person or by proxy.</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Quorum. </w:t>
      </w:r>
      <w:r>
        <w:rPr>
          <w:rFonts w:ascii="Arial" w:cs="Arial" w:eastAsia="Arial" w:hAnsi="Arial"/>
          <w:sz w:val="18"/>
          <w:szCs w:val="18"/>
          <w:color w:val="auto"/>
        </w:rPr>
        <w:t>No action may be taken at any general meeting of Schlumberger stockholders unless a quorum consisting of the holders of at least one-half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 disposition of our assets or our liquidation or the amendment of our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8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In general, any action requiring the approval of Schlumberger stockholders may be authorized by a majority of the votes cast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abstentions) at any meeting at which a quorum is present (subject to the quorum exception described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66"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sale or disposition of all or substantially all of our assets must be approved by the holders of at least a majority of the shares outstanding and entitled to vote, except that under our Articles of Incorporation this requirement does not apply to a reorganization or rearrangement of us or any of our subsidiaries or any of our assets in any transaction that does not result in any diminution of the beneficial interest of Schlumberger stockholders in our assets.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Under our Articles of Incorporation, our board of directors may move our corporate seat to, or convert us into a legal entity under the laws of, another jurisdiction, and may change our corporate domicile from Curaçao to another jurisdiction to the extent allowed by applicable law. In certain cases, stockholder approval of such action may not be required under applicable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and Other Rights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shares of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may for our own account purchase shares of common stock so long as one share of common stock remains outstanding and our equity before and after such a purchase at least equals its nominal capital.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Directors are elected at a general meeting of stockholders by a majority of votes cast by stockholders entitled to vote, except that directors are to be elected by a plurality of voting power in certain elections where the number of nominees exceeds the number of directors to be elected. The number of directors constituting the whole board of directors may not be fewer than five nor more than 24, as fixed and elected by the general meeting of Schlumberger stockholders. Our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accordance with applicable law, all general meetings of Schlumberger stockholders must be held in Curaçao. The annual general meeting of Schlumberger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then outstanding and, in certain circumstances if all of the directors are prevented from or incapable of serving, by any person or persons holding in the aggregate at least 5% of the outstanding shares of common stock for the purpose of electing a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Curaçao law, stockholders may not act by written consent without a meeting, unless all stockholders entitled to vote on the matter have cast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vote.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our Articles of Incorporation, any one person, or any two or more legal entities belonging to the same group, holding shares representing at least 90% of our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event of liquidation, each share of common stock is entitled to equal rights after satisfaction of any preferred stock liquidation preference.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for trading on the NYSE, Euronext Paris, Euronext Amsterdam, the London Stock Exchange and the SIX Swiss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 Canton, Massachusetts.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DESCRIPTION OF GUARANTEES OF DEBT SECURITIES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guarantees of debt securities that may be offered pursuant to this prospectus.</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40"/>
          </w:cols>
          <w:pgMar w:left="240" w:top="459" w:right="9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3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underwriters, brokers or dealers;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to the extent this prospectus is used by any selling securityholder to resell common stock or other securities, information with respect to the selling securityholder and the plan of distribution will be contained in a supplement to this prospectus, in a post-effective amendment or in filings we make with the SEC under the Exchange Act that are incorporated by reference.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2013 have been so incorporated in reliance on the report of PricewaterhouseCoopers LLP, an independent registered public accounting firm, given on the authority of said firm as experts in auditing and accounting.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THE SECURITIES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Gibson, Dunn &amp; Crutcher LLP, New York, New York, will pass upon the validity of the debt securities and guarantees, and STvB Advocaten (Curaçao) N.V., Curaçao, will pass upon the validity of the common stock.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You may read and copy any materials we file with the SEC at the SEC’s public reference room: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For information regarding the operation of the Public Reference Room, you may call the SEC at 1-800-SEC-0330. The SEC also maintains a website at www.sec.gov that contains reports, proxy and information statements and other information regarding Schlumberger and other companies that file materials with the SEC electronically. Our filings are also available on our website at </w:t>
      </w:r>
      <w:r>
        <w:rPr>
          <w:rFonts w:ascii="Arial" w:cs="Arial" w:eastAsia="Arial" w:hAnsi="Arial"/>
          <w:sz w:val="18"/>
          <w:szCs w:val="18"/>
          <w:i w:val="1"/>
          <w:iCs w:val="1"/>
          <w:color w:val="auto"/>
        </w:rPr>
        <w:t>www.slb.com</w:t>
      </w:r>
      <w:r>
        <w:rPr>
          <w:rFonts w:ascii="Arial" w:cs="Arial" w:eastAsia="Arial" w:hAnsi="Arial"/>
          <w:sz w:val="18"/>
          <w:szCs w:val="18"/>
          <w:color w:val="auto"/>
        </w:rPr>
        <w:t>. You are encouraged to read the materials that we file with the SEC, which disclose important information about us. This information includes any filing we have made with the SEC under Section 13(a), 13(c), 14 or 15(d) of the Exchange Act.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allows us to incorporate information into this prospectus “by reference,” which means that we can disclose important information to you by referring you to another document that we filed separately with the SEC. The information incorporated by reference is deemed to be part of this prospectus, except for any information superseded by information contained directly in this prospectus. These documents contain important information about us and our financial condition, business and results.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incorporating by reference our filings listed below and any additional documents that we may file with the SEC pursuant to Section 13(a), 13(c), 14 or 15(d) of the Exchange Act on or after the date we file this prospectus and prior to the termination of any offering; except we are not incorporating by reference any information furnished (but not filed) under Item 2.02 or Item 7.01 of any Current Report on Form 8-K, unless specifically noted below or in a prospectus supplement:</w:t>
      </w:r>
    </w:p>
    <w:p>
      <w:pPr>
        <w:spacing w:after="0" w:line="92" w:lineRule="exact"/>
        <w:rPr>
          <w:sz w:val="20"/>
          <w:szCs w:val="20"/>
          <w:color w:val="auto"/>
        </w:rPr>
      </w:pPr>
    </w:p>
    <w:p>
      <w:pPr>
        <w:ind w:left="900" w:right="4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2013 (including the portions of our proxy statement for our 2013 annual meeting of stockholders incorporated by reference therein);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April 9,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description of our common stock, par value $0.01 per share, contained in our Current Report on Form 8-K filed on April 29, 2005.</w:t>
      </w:r>
    </w:p>
    <w:p>
      <w:pPr>
        <w:spacing w:after="0" w:line="23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will provide, without charge, to each person to whom a copy of this prospectus has been delivered, including any beneficial owner, a copy of any or all of the information that has been incorporated by reference into this prospectus but not delivered with the prospectus, if such person makes a written or oral request directed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 375-3535</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AND ANY ACCOMPANYING PROSPECTUS SUPPLEMENT, OR TO WHICH WE HAVE REFERRED YOU, IN MAKING YOUR DECISIONS WHETHER TO INVEST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SECURITIES. WE HAVE NOT AUTHORIZED ANYONE TO PROVIDE YOU WITH INFORMATION THAT DIFFERS FROM THAT CONTAINED IN THIS PROSPECTUS AND ANY ACCOMPANYING PROSPECTUS SUPPLEMENT. THIS PROSPECTUS IS DATED APRIL 17, 2014. YOU SHOULD NOT ASSUME THAT THE INFORMATION CONTAINED IN THIS PROSPECTUS IS ACCURATE AS ANY DATE OTHER THAN THAT DATE, UNLESS WE OTHERWISE NOTE IN THIS PROSPECTUS OR ANY ACCOMPANYING PROSPECTUS SUPPLEMENT.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sets forth the estimated expenses, other than underwriting discounts and commissions, to be paid by Schlumberger in connection with the offering of the securities registered hereby. The assumed amount has been used to demonstrate the expenses of an offering and does not represent an estimate of the amount of securities that may be registered or distributed because such amount is unknown at this time. All amounts shown are estimates, except the registration fee.</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5580" w:type="dxa"/>
            <w:vAlign w:val="bottom"/>
            <w:gridSpan w:val="2"/>
          </w:tcPr>
          <w:p>
            <w:pPr>
              <w:spacing w:after="0"/>
              <w:rPr>
                <w:sz w:val="20"/>
                <w:szCs w:val="20"/>
                <w:color w:val="auto"/>
              </w:rPr>
            </w:pPr>
            <w:r>
              <w:rPr>
                <w:rFonts w:ascii="Arial" w:cs="Arial" w:eastAsia="Arial" w:hAnsi="Arial"/>
                <w:sz w:val="14"/>
                <w:szCs w:val="14"/>
                <w:color w:val="auto"/>
              </w:rPr>
              <w:t>Item</w:t>
            </w:r>
          </w:p>
        </w:tc>
        <w:tc>
          <w:tcPr>
            <w:tcW w:w="3100" w:type="dxa"/>
            <w:vAlign w:val="bottom"/>
            <w:gridSpan w:val="3"/>
          </w:tcPr>
          <w:p>
            <w:pPr>
              <w:jc w:val="right"/>
              <w:ind w:right="170"/>
              <w:spacing w:after="0"/>
              <w:rPr>
                <w:sz w:val="20"/>
                <w:szCs w:val="20"/>
                <w:color w:val="auto"/>
              </w:rPr>
            </w:pPr>
            <w:r>
              <w:rPr>
                <w:rFonts w:ascii="Arial" w:cs="Arial" w:eastAsia="Arial" w:hAnsi="Arial"/>
                <w:sz w:val="14"/>
                <w:szCs w:val="14"/>
                <w:color w:val="auto"/>
              </w:rPr>
              <w:t>Amount</w:t>
            </w:r>
          </w:p>
        </w:tc>
      </w:tr>
      <w:tr>
        <w:trPr>
          <w:trHeight w:val="210"/>
        </w:trPr>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2"/>
              </w:rPr>
              <w:t>SEC</w:t>
            </w:r>
          </w:p>
        </w:tc>
        <w:tc>
          <w:tcPr>
            <w:tcW w:w="5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registration fee</w:t>
            </w:r>
          </w:p>
        </w:tc>
        <w:tc>
          <w:tcPr>
            <w:tcW w:w="2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(1)</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 and transfer agent fees and expenses</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60" w:type="dxa"/>
            <w:vAlign w:val="bottom"/>
            <w:shd w:val="clear" w:color="auto" w:fill="CCEEFF"/>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380" w:hanging="572"/>
        <w:spacing w:after="0" w:line="258"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Rules 456(b) and 457(r) of the Securities Act of 1933, we are deferring payment of all of the registration fee for the securities offered by this registration statement.</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estimate of the aggregate amount of these expenses will be reflected in the applicable prospectus supplement.</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Schlumberger’s Amended and Restated By-laws requires indemnification for current and former directors and officers and permits indemnification for employees and agents as described below.</w:t>
      </w:r>
    </w:p>
    <w:p>
      <w:pPr>
        <w:spacing w:after="0" w:line="178"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To the fullest extent permitted by applicable law, Schlumberger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a director of any subsidiary of Schlumberger or an officer appointed or elected by the board of directors of Schlumberger or of a subsidiary, or is or was any such officer or director of Schlumberger or of a subsidiary of Schlumberger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provided, however, that, except with respect to proceedings to enforce rights to indemnification and advancement, Schlumberger will indemnify any such person in connection with a proceeding initiated by that person (including claims and counterclaims) only if such proceeding was authorized by our board of directors. The termination of any action, suit or proceeding by judgment, order, settlement, conviction, or upon a plea of nolo contendere or its equivalent, does not, of itself, create a presumption that the person did not act in good faith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in a manner which such person reasonably believed to be in or not opposed to the best interests of Schlumberger, and, with respect to any criminal action or proceeding, had reasonable cause to believe that such person’s conduct was unlawful.</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Schlumberger is required to indemnify any current or former officer or director of Schlumberger to the fullest extent allowed by the preceding paragraphs in the event of a “Change of Control.” “Change of Control” means a change in control of Schlumberger, which will be deemed to have occurred if at any time:</w:t>
      </w:r>
    </w:p>
    <w:p>
      <w:pPr>
        <w:spacing w:after="0" w:line="87" w:lineRule="exact"/>
        <w:rPr>
          <w:sz w:val="20"/>
          <w:szCs w:val="20"/>
          <w:color w:val="auto"/>
        </w:rPr>
      </w:pPr>
    </w:p>
    <w:p>
      <w:pPr>
        <w:ind w:left="900" w:right="260" w:hanging="325"/>
        <w:spacing w:after="0" w:line="31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our board of directors in office immediately prior to such entity, person or organization attaining such percentage interest;</w:t>
      </w:r>
    </w:p>
    <w:p>
      <w:pPr>
        <w:spacing w:after="0" w:line="52" w:lineRule="exact"/>
        <w:rPr>
          <w:rFonts w:ascii="Arial" w:cs="Arial" w:eastAsia="Arial" w:hAnsi="Arial"/>
          <w:sz w:val="16"/>
          <w:szCs w:val="16"/>
          <w:color w:val="auto"/>
        </w:rPr>
      </w:pPr>
    </w:p>
    <w:p>
      <w:pPr>
        <w:ind w:left="900" w:right="6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Schlumberger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86"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any 15-month period, individuals who at the beginning of such period constituted our board of directors (including for this purpose any new director whose election or nomination for election by our stockholders was approved by a vote of at least two-thirds of the directors then still in office who were directors at the beginning of such period) cease for any reason to constitute at least a majority of our board of directors.</w:t>
      </w:r>
    </w:p>
    <w:p>
      <w:pPr>
        <w:spacing w:after="0" w:line="14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To the fullest extent permitted by applicable law, Schlumberger shall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with respect to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w:t>
      </w:r>
    </w:p>
    <w:p>
      <w:pPr>
        <w:spacing w:after="0" w:line="169"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Any indemnification under the preceding three paragraphs (unless ordered by a court) may be extended to current or former employees or agents of Schlumberger or a subsidiary of Schlumberger only as authorized by the Chief Executive Officer or by contract approved, or by-laws, resolution or other action adopted or taken, by our board of directors or by our stockholders.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Expenses (including attorneys’ fees) incurred by a present or former director or a present officer of Schlumberger or any subsidiary of Schlumberger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Schlumberger.”</w:t>
      </w:r>
    </w:p>
    <w:p>
      <w:pPr>
        <w:spacing w:after="0" w:line="15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A member of our board of directors, or a member of any committee designated by our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our board of directors, or by any other person as to matters the member reasonably believes are within such other person’s professional or expert competence and who has been selected with reasonable care by or on behalf of Schlumberger.</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Schlumberger maintains directors’ and officers’ liability insurance that insures against certain liabilities that the officers and directors of Schlumberger may incur in such capacities.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exhibits filed herewith or incorporated by reference is contained in the Exhibit Index which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right="20" w:firstLine="443"/>
        <w:spacing w:after="0" w:line="293" w:lineRule="auto"/>
        <w:tabs>
          <w:tab w:leader="none" w:pos="1163" w:val="left"/>
        </w:tabs>
        <w:numPr>
          <w:ilvl w:val="2"/>
          <w:numId w:val="3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left="460" w:right="500" w:firstLine="443"/>
        <w:spacing w:after="0" w:line="277" w:lineRule="auto"/>
        <w:tabs>
          <w:tab w:leader="none" w:pos="1213"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ind w:firstLine="464"/>
        <w:spacing w:after="0" w:line="264" w:lineRule="auto"/>
        <w:tabs>
          <w:tab w:leader="none" w:pos="7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right="120" w:firstLine="464"/>
        <w:spacing w:after="0" w:line="277" w:lineRule="auto"/>
        <w:tabs>
          <w:tab w:leader="none" w:pos="7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93"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460" w:right="160" w:firstLine="443"/>
        <w:spacing w:after="0" w:line="272" w:lineRule="auto"/>
        <w:tabs>
          <w:tab w:leader="none" w:pos="1183"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64"/>
        <w:spacing w:after="0" w:line="257" w:lineRule="auto"/>
        <w:tabs>
          <w:tab w:leader="none" w:pos="7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660" w:hanging="196"/>
        <w:spacing w:after="0"/>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0" w:firstLine="4"/>
        <w:spacing w:after="0" w:line="277" w:lineRule="auto"/>
        <w:tabs>
          <w:tab w:leader="none" w:pos="7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7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760" w:hanging="296"/>
        <w:spacing w:after="0"/>
        <w:tabs>
          <w:tab w:leader="none" w:pos="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180" w:firstLine="8"/>
        <w:spacing w:after="0" w:line="257" w:lineRule="auto"/>
        <w:tabs>
          <w:tab w:leader="none" w:pos="2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firstLine="8"/>
        <w:spacing w:after="0" w:line="291" w:lineRule="auto"/>
        <w:tabs>
          <w:tab w:leader="none" w:pos="2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sz w:val="20"/>
          <w:szCs w:val="20"/>
          <w:color w:val="auto"/>
        </w:rPr>
      </w:pPr>
    </w:p>
    <w:p>
      <w:pPr>
        <w:ind w:right="100" w:firstLine="8"/>
        <w:spacing w:after="0" w:line="261"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 section 310 of the Trust Indenture Act (“Act”) in accordance with the rules and regulations prescribed by the Commission under section 305(b)2 of the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17th day of April, 2014.</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N.V.</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Limited)</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Howard Guild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20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80" w:type="dxa"/>
            <w:vAlign w:val="bottom"/>
          </w:tcPr>
          <w:p>
            <w:pPr>
              <w:spacing w:after="0"/>
              <w:rPr>
                <w:sz w:val="16"/>
                <w:szCs w:val="16"/>
                <w:color w:val="auto"/>
              </w:rPr>
            </w:pPr>
          </w:p>
        </w:tc>
      </w:tr>
      <w:tr>
        <w:trPr>
          <w:trHeight w:val="412"/>
        </w:trPr>
        <w:tc>
          <w:tcPr>
            <w:tcW w:w="2820" w:type="dxa"/>
            <w:vAlign w:val="bottom"/>
            <w:tcBorders>
              <w:bottom w:val="single" w:sz="8" w:color="auto"/>
            </w:tcBorders>
            <w:gridSpan w:val="2"/>
          </w:tcPr>
          <w:p>
            <w:pPr>
              <w:jc w:val="center"/>
              <w:ind w:left="211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142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April 17, 2014</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0"/>
              </w:rPr>
              <w:t>(Paal Kibsgaard)</w:t>
            </w:r>
          </w:p>
        </w:tc>
        <w:tc>
          <w:tcPr>
            <w:tcW w:w="448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20" w:type="dxa"/>
            <w:vAlign w:val="bottom"/>
            <w:tcBorders>
              <w:bottom w:val="single" w:sz="8" w:color="auto"/>
            </w:tcBorders>
            <w:gridSpan w:val="2"/>
          </w:tcPr>
          <w:p>
            <w:pPr>
              <w:jc w:val="center"/>
              <w:ind w:left="211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Executive Vice President and Chief Financial Officer</w:t>
            </w:r>
          </w:p>
        </w:tc>
        <w:tc>
          <w:tcPr>
            <w:tcW w:w="142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April 17, 2014</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4"/>
              </w:rPr>
              <w:t>(Simon Ayat)</w:t>
            </w:r>
          </w:p>
        </w:tc>
        <w:tc>
          <w:tcPr>
            <w:tcW w:w="44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Howard Guild</w:t>
            </w:r>
          </w:p>
        </w:tc>
        <w:tc>
          <w:tcPr>
            <w:tcW w:w="44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142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April 17, 2014</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5"/>
              </w:rPr>
              <w:t>(Howard Guild)</w:t>
            </w:r>
          </w:p>
        </w:tc>
        <w:tc>
          <w:tcPr>
            <w:tcW w:w="448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20" w:type="dxa"/>
            <w:vAlign w:val="bottom"/>
            <w:tcBorders>
              <w:bottom w:val="single" w:sz="8" w:color="auto"/>
            </w:tcBorders>
            <w:gridSpan w:val="2"/>
          </w:tcPr>
          <w:p>
            <w:pPr>
              <w:jc w:val="center"/>
              <w:ind w:left="211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2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April 17, 2014</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1"/>
              </w:rPr>
              <w:t>(Peter L.S. Currie)</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20" w:type="dxa"/>
            <w:vAlign w:val="bottom"/>
            <w:tcBorders>
              <w:bottom w:val="single" w:sz="8" w:color="auto"/>
            </w:tcBorders>
            <w:gridSpan w:val="2"/>
          </w:tcPr>
          <w:p>
            <w:pPr>
              <w:jc w:val="center"/>
              <w:ind w:left="211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2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April 17, 2014</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0"/>
              </w:rPr>
              <w:t>(Maureen Kempston Darkes)</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20" w:type="dxa"/>
            <w:vAlign w:val="bottom"/>
            <w:tcBorders>
              <w:bottom w:val="single" w:sz="8" w:color="auto"/>
            </w:tcBorders>
            <w:gridSpan w:val="2"/>
          </w:tcPr>
          <w:p>
            <w:pPr>
              <w:jc w:val="center"/>
              <w:ind w:left="211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Chairman</w:t>
            </w:r>
          </w:p>
        </w:tc>
        <w:tc>
          <w:tcPr>
            <w:tcW w:w="142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April 17, 2014</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89"/>
              </w:rPr>
              <w:t>(Tony Isaac)</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20" w:type="dxa"/>
            <w:vAlign w:val="bottom"/>
            <w:tcBorders>
              <w:bottom w:val="single" w:sz="8" w:color="auto"/>
            </w:tcBorders>
            <w:gridSpan w:val="2"/>
          </w:tcPr>
          <w:p>
            <w:pPr>
              <w:jc w:val="center"/>
              <w:ind w:left="211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2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April 17, 2014</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2"/>
              </w:rPr>
              <w:t>(K. Vaman Kamath)</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20" w:type="dxa"/>
            <w:vAlign w:val="bottom"/>
            <w:tcBorders>
              <w:bottom w:val="single" w:sz="8" w:color="auto"/>
            </w:tcBorders>
            <w:gridSpan w:val="2"/>
          </w:tcPr>
          <w:p>
            <w:pPr>
              <w:jc w:val="center"/>
              <w:ind w:left="211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2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April 17, 2014</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4"/>
              </w:rPr>
              <w:t>(Nikolay Kudryavtsev)</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20" w:type="dxa"/>
            <w:vAlign w:val="bottom"/>
            <w:tcBorders>
              <w:bottom w:val="single" w:sz="8" w:color="auto"/>
            </w:tcBorders>
            <w:gridSpan w:val="2"/>
          </w:tcPr>
          <w:p>
            <w:pPr>
              <w:jc w:val="center"/>
              <w:ind w:left="211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2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April 17, 2014</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4"/>
              </w:rPr>
              <w:t>(Michael E. Marks)</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20" w:type="dxa"/>
            <w:vAlign w:val="bottom"/>
            <w:tcBorders>
              <w:bottom w:val="single" w:sz="8" w:color="auto"/>
            </w:tcBorders>
            <w:gridSpan w:val="2"/>
          </w:tcPr>
          <w:p>
            <w:pPr>
              <w:jc w:val="center"/>
              <w:ind w:left="211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2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April 17, 2014</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1"/>
              </w:rPr>
              <w:t>(Lubna S. Olayan)</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64"/>
        </w:trPr>
        <w:tc>
          <w:tcPr>
            <w:tcW w:w="2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80" w:type="dxa"/>
            <w:vAlign w:val="bottom"/>
            <w:gridSpan w:val="3"/>
          </w:tcPr>
          <w:p>
            <w:pPr>
              <w:ind w:left="560"/>
              <w:spacing w:after="0"/>
              <w:rPr>
                <w:sz w:val="20"/>
                <w:szCs w:val="20"/>
                <w:color w:val="auto"/>
              </w:rPr>
            </w:pPr>
            <w:r>
              <w:rPr>
                <w:rFonts w:ascii="Arial" w:cs="Arial" w:eastAsia="Arial" w:hAnsi="Arial"/>
                <w:sz w:val="18"/>
                <w:szCs w:val="18"/>
                <w:color w:val="auto"/>
              </w:rPr>
              <w:t>II-6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jc w:val="center"/>
              <w:ind w:righ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520" w:type="dxa"/>
            <w:vAlign w:val="bottom"/>
          </w:tcPr>
          <w:p>
            <w:pPr>
              <w:ind w:left="17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180"/>
              <w:spacing w:after="0"/>
              <w:rPr>
                <w:sz w:val="20"/>
                <w:szCs w:val="20"/>
                <w:color w:val="auto"/>
              </w:rPr>
            </w:pPr>
            <w:r>
              <w:rPr>
                <w:rFonts w:ascii="Arial" w:cs="Arial" w:eastAsia="Arial" w:hAnsi="Arial"/>
                <w:sz w:val="18"/>
                <w:szCs w:val="18"/>
                <w:color w:val="auto"/>
                <w:w w:val="93"/>
              </w:rPr>
              <w:t>April 17, 2014</w:t>
            </w:r>
          </w:p>
        </w:tc>
      </w:tr>
      <w:tr>
        <w:trPr>
          <w:trHeight w:val="224"/>
        </w:trPr>
        <w:tc>
          <w:tcPr>
            <w:tcW w:w="820" w:type="dxa"/>
            <w:vAlign w:val="bottom"/>
          </w:tcPr>
          <w:p>
            <w:pPr>
              <w:spacing w:after="0"/>
              <w:rPr>
                <w:sz w:val="19"/>
                <w:szCs w:val="19"/>
                <w:color w:val="auto"/>
              </w:rPr>
            </w:pPr>
          </w:p>
        </w:tc>
        <w:tc>
          <w:tcPr>
            <w:tcW w:w="4200" w:type="dxa"/>
            <w:vAlign w:val="bottom"/>
          </w:tcPr>
          <w:p>
            <w:pPr>
              <w:jc w:val="center"/>
              <w:ind w:right="730"/>
              <w:spacing w:after="0"/>
              <w:rPr>
                <w:sz w:val="20"/>
                <w:szCs w:val="20"/>
                <w:color w:val="auto"/>
              </w:rPr>
            </w:pPr>
            <w:r>
              <w:rPr>
                <w:rFonts w:ascii="Arial" w:cs="Arial" w:eastAsia="Arial" w:hAnsi="Arial"/>
                <w:sz w:val="18"/>
                <w:szCs w:val="18"/>
                <w:color w:val="auto"/>
                <w:w w:val="92"/>
              </w:rPr>
              <w:t>(Leo Rafael Reif)</w:t>
            </w:r>
          </w:p>
        </w:tc>
        <w:tc>
          <w:tcPr>
            <w:tcW w:w="1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31"/>
        </w:trPr>
        <w:tc>
          <w:tcPr>
            <w:tcW w:w="8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ind w:righ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520" w:type="dxa"/>
            <w:vAlign w:val="bottom"/>
          </w:tcPr>
          <w:p>
            <w:pPr>
              <w:ind w:left="17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180"/>
              <w:spacing w:after="0"/>
              <w:rPr>
                <w:sz w:val="20"/>
                <w:szCs w:val="20"/>
                <w:color w:val="auto"/>
              </w:rPr>
            </w:pPr>
            <w:r>
              <w:rPr>
                <w:rFonts w:ascii="Arial" w:cs="Arial" w:eastAsia="Arial" w:hAnsi="Arial"/>
                <w:sz w:val="18"/>
                <w:szCs w:val="18"/>
                <w:color w:val="auto"/>
                <w:w w:val="93"/>
              </w:rPr>
              <w:t>April 17, 2014</w:t>
            </w:r>
          </w:p>
        </w:tc>
      </w:tr>
      <w:tr>
        <w:trPr>
          <w:trHeight w:val="224"/>
        </w:trPr>
        <w:tc>
          <w:tcPr>
            <w:tcW w:w="820" w:type="dxa"/>
            <w:vAlign w:val="bottom"/>
          </w:tcPr>
          <w:p>
            <w:pPr>
              <w:spacing w:after="0"/>
              <w:rPr>
                <w:sz w:val="19"/>
                <w:szCs w:val="19"/>
                <w:color w:val="auto"/>
              </w:rPr>
            </w:pPr>
          </w:p>
        </w:tc>
        <w:tc>
          <w:tcPr>
            <w:tcW w:w="4200" w:type="dxa"/>
            <w:vAlign w:val="bottom"/>
          </w:tcPr>
          <w:p>
            <w:pPr>
              <w:jc w:val="center"/>
              <w:ind w:right="710"/>
              <w:spacing w:after="0"/>
              <w:rPr>
                <w:sz w:val="20"/>
                <w:szCs w:val="20"/>
                <w:color w:val="auto"/>
              </w:rPr>
            </w:pPr>
            <w:r>
              <w:rPr>
                <w:rFonts w:ascii="Arial" w:cs="Arial" w:eastAsia="Arial" w:hAnsi="Arial"/>
                <w:sz w:val="18"/>
                <w:szCs w:val="18"/>
                <w:color w:val="auto"/>
                <w:w w:val="91"/>
              </w:rPr>
              <w:t>(Tore I. Sandvold)</w:t>
            </w:r>
          </w:p>
        </w:tc>
        <w:tc>
          <w:tcPr>
            <w:tcW w:w="1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31"/>
        </w:trPr>
        <w:tc>
          <w:tcPr>
            <w:tcW w:w="8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ind w:righ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520" w:type="dxa"/>
            <w:vAlign w:val="bottom"/>
          </w:tcPr>
          <w:p>
            <w:pPr>
              <w:ind w:left="17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180"/>
              <w:spacing w:after="0"/>
              <w:rPr>
                <w:sz w:val="20"/>
                <w:szCs w:val="20"/>
                <w:color w:val="auto"/>
              </w:rPr>
            </w:pPr>
            <w:r>
              <w:rPr>
                <w:rFonts w:ascii="Arial" w:cs="Arial" w:eastAsia="Arial" w:hAnsi="Arial"/>
                <w:sz w:val="18"/>
                <w:szCs w:val="18"/>
                <w:color w:val="auto"/>
                <w:w w:val="93"/>
              </w:rPr>
              <w:t>April 17, 2014</w:t>
            </w:r>
          </w:p>
        </w:tc>
      </w:tr>
      <w:tr>
        <w:trPr>
          <w:trHeight w:val="224"/>
        </w:trPr>
        <w:tc>
          <w:tcPr>
            <w:tcW w:w="820" w:type="dxa"/>
            <w:vAlign w:val="bottom"/>
          </w:tcPr>
          <w:p>
            <w:pPr>
              <w:spacing w:after="0"/>
              <w:rPr>
                <w:sz w:val="19"/>
                <w:szCs w:val="19"/>
                <w:color w:val="auto"/>
              </w:rPr>
            </w:pPr>
          </w:p>
        </w:tc>
        <w:tc>
          <w:tcPr>
            <w:tcW w:w="4200" w:type="dxa"/>
            <w:vAlign w:val="bottom"/>
          </w:tcPr>
          <w:p>
            <w:pPr>
              <w:jc w:val="center"/>
              <w:ind w:right="710"/>
              <w:spacing w:after="0"/>
              <w:rPr>
                <w:sz w:val="20"/>
                <w:szCs w:val="20"/>
                <w:color w:val="auto"/>
              </w:rPr>
            </w:pPr>
            <w:r>
              <w:rPr>
                <w:rFonts w:ascii="Arial" w:cs="Arial" w:eastAsia="Arial" w:hAnsi="Arial"/>
                <w:sz w:val="18"/>
                <w:szCs w:val="18"/>
                <w:color w:val="auto"/>
                <w:w w:val="92"/>
              </w:rPr>
              <w:t>(Henri Seydoux)</w:t>
            </w:r>
          </w:p>
        </w:tc>
        <w:tc>
          <w:tcPr>
            <w:tcW w:w="1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58"/>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Howard Guild</w:t>
            </w:r>
          </w:p>
        </w:tc>
        <w:tc>
          <w:tcPr>
            <w:tcW w:w="14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Howard Guild</w:t>
            </w:r>
          </w:p>
        </w:tc>
        <w:tc>
          <w:tcPr>
            <w:tcW w:w="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Attorney-in-Fact</w:t>
            </w: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78"/>
        </w:trPr>
        <w:tc>
          <w:tcPr>
            <w:tcW w:w="8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II-7</w:t>
            </w:r>
          </w:p>
        </w:tc>
        <w:tc>
          <w:tcPr>
            <w:tcW w:w="2240" w:type="dxa"/>
            <w:vAlign w:val="bottom"/>
          </w:tcPr>
          <w:p>
            <w:pPr>
              <w:spacing w:after="0"/>
              <w:rPr>
                <w:sz w:val="24"/>
                <w:szCs w:val="24"/>
                <w:color w:val="auto"/>
              </w:rPr>
            </w:pPr>
          </w:p>
        </w:tc>
      </w:tr>
    </w:tbl>
    <w:p>
      <w:pPr>
        <w:sectPr>
          <w:pgSz w:w="11900" w:h="16838" w:orient="portrait"/>
          <w:cols w:equalWidth="0" w:num="1">
            <w:col w:w="10920"/>
          </w:cols>
          <w:pgMar w:left="240" w:top="459" w:right="7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jc w:val="right"/>
              <w:spacing w:after="0"/>
              <w:rPr>
                <w:sz w:val="20"/>
                <w:szCs w:val="20"/>
                <w:color w:val="auto"/>
              </w:rPr>
            </w:pPr>
            <w:r>
              <w:rPr>
                <w:rFonts w:ascii="Arial" w:cs="Arial" w:eastAsia="Arial" w:hAnsi="Arial"/>
                <w:sz w:val="14"/>
                <w:szCs w:val="14"/>
                <w:color w:val="auto"/>
              </w:rPr>
              <w:t>Exhibit</w:t>
            </w:r>
          </w:p>
        </w:tc>
        <w:tc>
          <w:tcPr>
            <w:tcW w:w="78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181"/>
        </w:trPr>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Number</w:t>
            </w:r>
          </w:p>
        </w:tc>
        <w:tc>
          <w:tcPr>
            <w:tcW w:w="780" w:type="dxa"/>
            <w:vAlign w:val="bottom"/>
          </w:tcPr>
          <w:p>
            <w:pPr>
              <w:spacing w:after="0"/>
              <w:rPr>
                <w:sz w:val="15"/>
                <w:szCs w:val="15"/>
                <w:color w:val="auto"/>
              </w:rPr>
            </w:pPr>
          </w:p>
        </w:tc>
        <w:tc>
          <w:tcPr>
            <w:tcW w:w="10160" w:type="dxa"/>
            <w:vAlign w:val="bottom"/>
            <w:tcBorders>
              <w:bottom w:val="single" w:sz="8" w:color="auto"/>
            </w:tcBorders>
          </w:tcPr>
          <w:p>
            <w:pPr>
              <w:ind w:left="4740"/>
              <w:spacing w:after="0"/>
              <w:rPr>
                <w:sz w:val="20"/>
                <w:szCs w:val="20"/>
                <w:color w:val="auto"/>
              </w:rPr>
            </w:pPr>
            <w:r>
              <w:rPr>
                <w:rFonts w:ascii="Arial" w:cs="Arial" w:eastAsia="Arial" w:hAnsi="Arial"/>
                <w:sz w:val="14"/>
                <w:szCs w:val="14"/>
                <w:color w:val="auto"/>
              </w:rPr>
              <w:t>Description</w:t>
            </w:r>
          </w:p>
        </w:tc>
      </w:tr>
      <w:tr>
        <w:trPr>
          <w:trHeight w:val="304"/>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w w:val="94"/>
              </w:rPr>
              <w:t>Articles of Incorporation of the Registrant (incorporated by reference to Exhibit 3 to Schlumberger’s Current Report on Form 8-K filed on</w:t>
            </w:r>
          </w:p>
        </w:tc>
      </w:tr>
      <w:tr>
        <w:trPr>
          <w:trHeight w:val="230"/>
        </w:trPr>
        <w:tc>
          <w:tcPr>
            <w:tcW w:w="480" w:type="dxa"/>
            <w:vAlign w:val="bottom"/>
          </w:tcPr>
          <w:p>
            <w:pPr>
              <w:spacing w:after="0"/>
              <w:rPr>
                <w:sz w:val="20"/>
                <w:szCs w:val="20"/>
                <w:color w:val="auto"/>
              </w:rPr>
            </w:pP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April 7, 2011).</w:t>
            </w:r>
          </w:p>
        </w:tc>
      </w:tr>
      <w:tr>
        <w:trPr>
          <w:trHeight w:val="310"/>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w w:val="91"/>
              </w:rPr>
              <w:t>Amended and Restated By-Laws of the Registrant (incorporated by reference to Exhibit 3.1 to Schlumberger’s Current Report on Form 8-K</w:t>
            </w:r>
          </w:p>
        </w:tc>
      </w:tr>
      <w:tr>
        <w:trPr>
          <w:trHeight w:val="230"/>
        </w:trPr>
        <w:tc>
          <w:tcPr>
            <w:tcW w:w="480" w:type="dxa"/>
            <w:vAlign w:val="bottom"/>
          </w:tcPr>
          <w:p>
            <w:pPr>
              <w:spacing w:after="0"/>
              <w:rPr>
                <w:sz w:val="20"/>
                <w:szCs w:val="20"/>
                <w:color w:val="auto"/>
              </w:rPr>
            </w:pP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filed on July 20, 2012).</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Form of Senior Indenture.</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Form of Debt Securities.*</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5.1</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Opinion of STvB Advocaten (Curaçao) N.V.</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Opinion of Gibson, Dunn &amp; Crutcher LLP.</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12.1</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23.1</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Consent of PricewaterhouseCoopers LLP.</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23.2</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Consent of STvB Advocaten (Curaçao) N.V. (set forth in Exhibit 5.1).</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23.3</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Consent of Gibson, Dunn &amp; Crutcher LLP (set forth in Exhibit 5.2).</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24.1</w:t>
            </w:r>
          </w:p>
        </w:tc>
        <w:tc>
          <w:tcPr>
            <w:tcW w:w="10940" w:type="dxa"/>
            <w:vAlign w:val="bottom"/>
            <w:gridSpan w:val="2"/>
          </w:tcPr>
          <w:p>
            <w:pPr>
              <w:ind w:left="780"/>
              <w:spacing w:after="0"/>
              <w:rPr>
                <w:sz w:val="20"/>
                <w:szCs w:val="20"/>
                <w:color w:val="auto"/>
              </w:rPr>
            </w:pPr>
            <w:r>
              <w:rPr>
                <w:rFonts w:ascii="Arial" w:cs="Arial" w:eastAsia="Arial" w:hAnsi="Arial"/>
                <w:sz w:val="18"/>
                <w:szCs w:val="18"/>
                <w:color w:val="auto"/>
              </w:rPr>
              <w:t>Power of Attorney.</w:t>
            </w:r>
          </w:p>
        </w:tc>
      </w:tr>
    </w:tbl>
    <w:p>
      <w:pPr>
        <w:spacing w:after="0" w:line="229" w:lineRule="exact"/>
        <w:rPr>
          <w:sz w:val="20"/>
          <w:szCs w:val="20"/>
          <w:color w:val="auto"/>
        </w:rPr>
      </w:pPr>
    </w:p>
    <w:p>
      <w:pPr>
        <w:ind w:right="7820" w:firstLine="8"/>
        <w:spacing w:after="0" w:line="277" w:lineRule="auto"/>
        <w:tabs>
          <w:tab w:leader="none" w:pos="4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by amendment or via Form 8-K. ** Previously filed.</w:t>
      </w:r>
    </w:p>
    <w:p>
      <w:pPr>
        <w:sectPr>
          <w:pgSz w:w="11900" w:h="16838" w:orient="portrait"/>
          <w:cols w:equalWidth="0" w:num="1">
            <w:col w:w="11420"/>
          </w:cols>
          <w:pgMar w:left="240" w:top="45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248920</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Dated as of [</w:t>
            </w:r>
          </w:p>
        </w:tc>
        <w:tc>
          <w:tcPr>
            <w:tcW w:w="86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222885</wp:posOffset>
            </wp:positionV>
            <wp:extent cx="15176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of Trustee]</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Unsubordinated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192405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40" w:type="dxa"/>
            <w:vAlign w:val="bottom"/>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104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1.1.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1.2. Other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1.3. Rules of Construction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II.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 Issuable in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2.2. Establishment of Terms of Series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2.3. Execution and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2.4. Registrar, Paying Agent and Transfer Agent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2.5. Paying Agent to Hold Money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2.6. Securityholder Lists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2.7. 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2.8. Mutilated, Destroyed, Lost and Stolen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2.9. Outstanding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2.10. Treasury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2.11. Temporary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2.12. 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2.13. Defaulted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2.14. Global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2.15. CUSIP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III.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3.1. Notice to Trustee; No Liability for Calculations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3.2. Selection of Securities to be Redeemed</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3.3.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3.4. Effect of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3.5. Deposit of Redemption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3.6. Securities Redeemed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3.7. Sinking Fund</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3.8. Satisfaction of Sinking Fund Payments with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3.9. Redemption of Securities for Sinking Fund</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3.10. Redemption Upon Changes in Tax Law</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IV.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4.1. Payment of Principal, Premium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4.2. Compliance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4.3. Stay, Extension and Usury Laws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4.4. Corporate 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4.5. Limitation on Liens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4.6. Additional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4.7. 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V. 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5.1. Consolidation, Merger and Sale of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VI. DEFAULTS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40" w:type="dxa"/>
            <w:vAlign w:val="bottom"/>
          </w:tcPr>
          <w:p>
            <w:pPr>
              <w:ind w:left="360"/>
              <w:spacing w:after="0"/>
              <w:rPr>
                <w:sz w:val="20"/>
                <w:szCs w:val="20"/>
                <w:color w:val="auto"/>
              </w:rPr>
            </w:pPr>
            <w:r>
              <w:rPr>
                <w:rFonts w:ascii="Arial" w:cs="Arial" w:eastAsia="Arial" w:hAnsi="Arial"/>
                <w:sz w:val="18"/>
                <w:szCs w:val="18"/>
                <w:color w:val="auto"/>
              </w:rPr>
              <w:t>Section 6.1. 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7"/>
        </w:trPr>
        <w:tc>
          <w:tcPr>
            <w:tcW w:w="11040" w:type="dxa"/>
            <w:vAlign w:val="bottom"/>
            <w:vMerge w:val="restart"/>
          </w:tcPr>
          <w:p>
            <w:pPr>
              <w:ind w:left="360"/>
              <w:spacing w:after="0"/>
              <w:rPr>
                <w:sz w:val="20"/>
                <w:szCs w:val="20"/>
                <w:color w:val="auto"/>
              </w:rPr>
            </w:pPr>
            <w:r>
              <w:rPr>
                <w:rFonts w:ascii="Arial" w:cs="Arial" w:eastAsia="Arial" w:hAnsi="Arial"/>
                <w:sz w:val="18"/>
                <w:szCs w:val="18"/>
                <w:color w:val="auto"/>
              </w:rPr>
              <w:t>Section 6.2. Acceleration of Maturity; Rescission and Annulment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1040" w:type="dxa"/>
            <w:vAlign w:val="bottom"/>
            <w:vMerge w:val="continue"/>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6.3. Collection of Indebtedness and Suits for Enforcement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6.4. Trustee May File Proofs of Claim</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6.5. Trustee May Enforce Claims Without Possession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6.6. Application of Money Collected</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6.7. Limitation on Suits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6.8. Unconditional Right of Holders to Receive Principal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6.9. Restoration of Rights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6.10. Rights and 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6.11. Delay or Omission Not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6.12. Control by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6.13. Waiver of Past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6.14. Undertaking for Costs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VII.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7.1. Duties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7.2. Rights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7.3. May Hold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7.4. Trustee’s Disclaimer</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7.5. Notice of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7.6. Compensation and Indemnity</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7.7. Replacement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7.8. Successor Trustee by Merger, etc.</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7.9. Eligibility; Disqualification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7.10. Preferential Collection of Claims Against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VIII. DISCHARGE OF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8.1. Termination of Company’s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8.2. Application of Trust Money</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8.3. Repayment to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8.4. Reinstatement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IX.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9.1. Without Consent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9.2. With Consent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9.3. 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9.4. Form of 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9.5. Revocation and Effect of Consents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9.6. Notation on or Exchange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9.7. Trustee Protected</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X. 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10.1. 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10.2. Communication by Holders with Other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10.3. Certificate and Opinion as to Conditions Precedent</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10.4. Statements Required in Certificate or Opinion</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10.5. Rules by Trustee and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10.6. Legal Holidays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11040" w:type="dxa"/>
            <w:vAlign w:val="bottom"/>
          </w:tcPr>
          <w:p>
            <w:pPr>
              <w:ind w:left="360"/>
              <w:spacing w:after="0"/>
              <w:rPr>
                <w:sz w:val="20"/>
                <w:szCs w:val="20"/>
                <w:color w:val="auto"/>
              </w:rPr>
            </w:pPr>
            <w:r>
              <w:rPr>
                <w:rFonts w:ascii="Arial" w:cs="Arial" w:eastAsia="Arial" w:hAnsi="Arial"/>
                <w:sz w:val="18"/>
                <w:szCs w:val="18"/>
                <w:color w:val="auto"/>
              </w:rPr>
              <w:t>Section 10.7. No Personal Liability of Directors, Officers, Employees and Certain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9"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7"/>
        </w:trPr>
        <w:tc>
          <w:tcPr>
            <w:tcW w:w="10680" w:type="dxa"/>
            <w:vAlign w:val="bottom"/>
            <w:vMerge w:val="restart"/>
          </w:tcPr>
          <w:p>
            <w:pPr>
              <w:spacing w:after="0"/>
              <w:rPr>
                <w:sz w:val="20"/>
                <w:szCs w:val="20"/>
                <w:color w:val="auto"/>
              </w:rPr>
            </w:pPr>
            <w:r>
              <w:rPr>
                <w:rFonts w:ascii="Arial" w:cs="Arial" w:eastAsia="Arial" w:hAnsi="Arial"/>
                <w:sz w:val="18"/>
                <w:szCs w:val="18"/>
                <w:color w:val="auto"/>
              </w:rPr>
              <w:t>Section 10.8. Counterparts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0680" w:type="dxa"/>
            <w:vAlign w:val="bottom"/>
            <w:vMerge w:val="continue"/>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10.9. Governing Laws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10.10. No Adverse Interpretation of Other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10.11. 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10.12. 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10.13. Table of Contents, Headings, Etc.</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10.14. Judgment Currency</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10.15. English Language</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10.16. Submission to Jurisdiction; Appointment of Agent</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10.17. Waiver of Immunity</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10.18. 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600" w:top="269" w:right="339" w:bottom="1440" w:gutter="0" w:footer="0" w:header="0"/>
        </w:sectPr>
      </w:pPr>
    </w:p>
    <w:bookmarkStart w:id="48" w:name="page49"/>
    <w:bookmarkEnd w:id="48"/>
    <w:p>
      <w:pPr>
        <w:ind w:left="920"/>
        <w:spacing w:after="0"/>
        <w:tabs>
          <w:tab w:leader="none" w:pos="3240" w:val="left"/>
          <w:tab w:leader="none" w:pos="8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w:t>
      </w:r>
      <w:r>
        <w:rPr>
          <w:sz w:val="20"/>
          <w:szCs w:val="20"/>
          <w:color w:val="auto"/>
        </w:rPr>
        <w:tab/>
      </w:r>
      <w:r>
        <w:rPr>
          <w:rFonts w:ascii="Arial" w:cs="Arial" w:eastAsia="Arial" w:hAnsi="Arial"/>
          <w:sz w:val="18"/>
          <w:szCs w:val="18"/>
          <w:color w:val="auto"/>
        </w:rPr>
        <w:t>], 2011 between Schlumberger N.V. (the “</w:t>
      </w:r>
      <w:r>
        <w:rPr>
          <w:rFonts w:ascii="Arial" w:cs="Arial" w:eastAsia="Arial" w:hAnsi="Arial"/>
          <w:sz w:val="18"/>
          <w:szCs w:val="18"/>
          <w:i w:val="1"/>
          <w:iCs w:val="1"/>
          <w:color w:val="auto"/>
        </w:rPr>
        <w:t>Company</w:t>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as trustee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Each party agrees as follows for the benefit of the other parties and for the equal and ratable benefit of the Holders (as defined below) of the Securities (as defined below) issued under this Indenture.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Transfer Agent or any other agent appointed pursuant to this Indenture.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for a particular Series, any day except a Saturday, Sunday or a Legal Holiday in The City of New York on which banking institutions are authorized or required by law, regulation or executive order to close.</w:t>
      </w:r>
    </w:p>
    <w:p>
      <w:pPr>
        <w:spacing w:after="0" w:line="181" w:lineRule="exact"/>
        <w:rPr>
          <w:sz w:val="20"/>
          <w:szCs w:val="20"/>
          <w:color w:val="auto"/>
        </w:rPr>
      </w:pPr>
    </w:p>
    <w:p>
      <w:pPr>
        <w:ind w:right="3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Certificated Securities</w:t>
      </w:r>
      <w:r>
        <w:rPr>
          <w:rFonts w:ascii="Arial" w:cs="Arial" w:eastAsia="Arial" w:hAnsi="Arial"/>
          <w:sz w:val="18"/>
          <w:szCs w:val="18"/>
          <w:color w:val="auto"/>
        </w:rPr>
        <w:t>” means definitive Securities in registered non-global certificated form.</w:t>
      </w:r>
    </w:p>
    <w:p>
      <w:pPr>
        <w:sectPr>
          <w:pgSz w:w="11900" w:h="16838" w:orient="portrait"/>
          <w:cols w:equalWidth="0" w:num="1">
            <w:col w:w="11420"/>
          </w:cols>
          <w:pgMar w:left="240" w:top="274" w:right="239" w:bottom="1440" w:gutter="0" w:footer="0" w:header="0"/>
        </w:sectPr>
      </w:pPr>
    </w:p>
    <w:bookmarkStart w:id="49" w:name="page50"/>
    <w:bookmarkEnd w:id="4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Company</w:t>
      </w:r>
      <w:r>
        <w:rPr>
          <w:rFonts w:ascii="Arial" w:cs="Arial" w:eastAsia="Arial" w:hAnsi="Arial"/>
          <w:sz w:val="18"/>
          <w:szCs w:val="18"/>
          <w:color w:val="auto"/>
        </w:rPr>
        <w:t>” means Schlumberger N.V. until a successor replaces it and thereafter means the successor.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Order</w:t>
      </w:r>
      <w:r>
        <w:rPr>
          <w:rFonts w:ascii="Arial" w:cs="Arial" w:eastAsia="Arial" w:hAnsi="Arial"/>
          <w:sz w:val="17"/>
          <w:szCs w:val="17"/>
          <w:color w:val="auto"/>
        </w:rPr>
        <w:t>” or “</w:t>
      </w:r>
      <w:r>
        <w:rPr>
          <w:rFonts w:ascii="Arial" w:cs="Arial" w:eastAsia="Arial" w:hAnsi="Arial"/>
          <w:sz w:val="17"/>
          <w:szCs w:val="17"/>
          <w:i w:val="1"/>
          <w:iCs w:val="1"/>
          <w:color w:val="auto"/>
        </w:rPr>
        <w:t>Company Request</w:t>
      </w:r>
      <w:r>
        <w:rPr>
          <w:rFonts w:ascii="Arial" w:cs="Arial" w:eastAsia="Arial" w:hAnsi="Arial"/>
          <w:sz w:val="17"/>
          <w:szCs w:val="17"/>
          <w:color w:val="auto"/>
        </w:rPr>
        <w:t>” means a written order signed in the name of the Company by one of the Company’s Officers.</w:t>
      </w:r>
    </w:p>
    <w:p>
      <w:pPr>
        <w:spacing w:after="0" w:line="23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the amount of total stockholders’ equity shown in the Company’s most recent quarterly consolidated statement of financial position.</w:t>
      </w:r>
    </w:p>
    <w:p>
      <w:pPr>
        <w:spacing w:after="0" w:line="170"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as of the date hereof is the address set forth in Section 10.1.</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Arial" w:cs="Arial" w:eastAsia="Arial" w:hAnsi="Arial"/>
          <w:sz w:val="18"/>
          <w:szCs w:val="18"/>
          <w:i w:val="1"/>
          <w:iCs w:val="1"/>
          <w:color w:val="auto"/>
        </w:rPr>
        <w:t>Depositary</w:t>
      </w:r>
      <w:r>
        <w:rPr>
          <w:rFonts w:ascii="Arial" w:cs="Arial" w:eastAsia="Arial" w:hAnsi="Arial"/>
          <w:sz w:val="18"/>
          <w:szCs w:val="18"/>
          <w:color w:val="auto"/>
        </w:rPr>
        <w:t>” as used with respect to the Securities of any Series shall mean the Depositary with respect to the Securities of such Series.</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7"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Obligations</w:t>
      </w:r>
      <w:r>
        <w:rPr>
          <w:rFonts w:ascii="Arial" w:cs="Arial" w:eastAsia="Arial" w:hAnsi="Arial"/>
          <w:sz w:val="18"/>
          <w:szCs w:val="18"/>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50" w:name="page51"/>
    <w:bookmarkEnd w:id="50"/>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with respect to the Government Obligation evidenced by such depository receipt.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 in the register maintained by the Registrar.</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with respect to any Security, the date of original issuance of such Security.</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and includes any mortgage, pledge, lien, security interest, conditional sale or other title retention agreement or other similar encumbrance.</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as to which (a) neither the Company, nor any of its Subsidiaries (x) provides credit support of any kind or (y) is directly or indirectly liable as a guarantor or otherwise and (b) as to which the lenders have been notified in writing that they will not have any recourse to the stock or assets of the Company or any of its Subsidiaries.</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Chief Operating Officer, Chief Financial Officer, President, any Vice-President, the Treasurer, a Director, the Chairman, the Secretary, any Assistant Treasurer or any Assistant Secretary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Company.</w:t>
      </w:r>
    </w:p>
    <w:p>
      <w:pPr>
        <w:spacing w:after="0" w:line="225"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 direct or indirect employee of or counsel to the Company.</w:t>
      </w:r>
    </w:p>
    <w:p>
      <w:pPr>
        <w:spacing w:after="0" w:line="170"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Periodic Offering</w:t>
      </w:r>
      <w:r>
        <w:rPr>
          <w:rFonts w:ascii="Arial" w:cs="Arial" w:eastAsia="Arial" w:hAnsi="Arial"/>
          <w:sz w:val="16"/>
          <w:szCs w:val="16"/>
          <w:color w:val="auto"/>
        </w:rPr>
        <w:t>” means an offering of Securities of a Series from time to time, during which any or all of the specific terms of the Securities, including the rate or rates of interest, if any, thereon, the maturity or maturities thereof and the redemption provisions, if any, with respect thereto, are to be determined by the Company or its agents upon the issuance of such Securities in accordance with the terms of the relevant supplemental indenture.</w:t>
      </w:r>
    </w:p>
    <w:p>
      <w:pPr>
        <w:spacing w:after="0" w:line="14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51" w:name="page52"/>
    <w:bookmarkEnd w:id="51"/>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with respect to, the Security.</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responsible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1"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Property</w:t>
      </w:r>
      <w:r>
        <w:rPr>
          <w:rFonts w:ascii="Arial" w:cs="Arial" w:eastAsia="Arial" w:hAnsi="Arial"/>
          <w:sz w:val="17"/>
          <w:szCs w:val="17"/>
          <w:color w:val="auto"/>
        </w:rPr>
        <w:t>” means any real property, manufacturing plant, warehouse, office building or other physical facility, or any item of marine, transportation or construction equipment or other like depreciable assets of the Company or any of its Restricted Subsidiaries, whether owned on or acquired after the Issue Date of the Securities of any Series, unless, in the opinion of the Board of Directors, such plant or facility or other asset is not of material importance to the total business conducted by the Company and its Restricted Subsidiaries taken as a whole.</w:t>
      </w:r>
    </w:p>
    <w:p>
      <w:pPr>
        <w:spacing w:after="0" w:line="17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Security</w:t>
      </w:r>
      <w:r>
        <w:rPr>
          <w:rFonts w:ascii="Arial" w:cs="Arial" w:eastAsia="Arial" w:hAnsi="Arial"/>
          <w:sz w:val="18"/>
          <w:szCs w:val="18"/>
          <w:color w:val="auto"/>
        </w:rPr>
        <w:t>”, with respect to any Series of Securities, means a Security of such Series, unless or until it has been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Company which owns a Restricted Property.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w:t>
      </w:r>
      <w:r>
        <w:rPr>
          <w:rFonts w:ascii="Arial" w:cs="Arial" w:eastAsia="Arial" w:hAnsi="Arial"/>
          <w:sz w:val="17"/>
          <w:szCs w:val="17"/>
          <w:color w:val="auto"/>
        </w:rPr>
        <w:t>” means the debentures, notes or other debt instruments of the Company of any Series authenticated and delivered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Securities of the Company created pursuant to Sections 2.1 and 2.2 hereof.</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2" w:name="page53"/>
    <w:bookmarkEnd w:id="52"/>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w:t>
      </w:r>
      <w:r>
        <w:rPr>
          <w:rFonts w:ascii="Arial" w:cs="Arial" w:eastAsia="Arial" w:hAnsi="Arial"/>
          <w:sz w:val="18"/>
          <w:szCs w:val="18"/>
          <w:i w:val="1"/>
          <w:iCs w:val="1"/>
          <w:color w:val="auto"/>
        </w:rPr>
        <w:t>Trustee</w:t>
      </w:r>
      <w:r>
        <w:rPr>
          <w:rFonts w:ascii="Arial" w:cs="Arial" w:eastAsia="Arial" w:hAnsi="Arial"/>
          <w:sz w:val="18"/>
          <w:szCs w:val="18"/>
          <w:color w:val="auto"/>
        </w:rPr>
        <w:t>” in the first paragraph of this instrument until a successor Trustee shall have become such pursuant to the applicable provisions of this Indenture, and thereafter “</w:t>
      </w:r>
      <w:r>
        <w:rPr>
          <w:rFonts w:ascii="Arial" w:cs="Arial" w:eastAsia="Arial" w:hAnsi="Arial"/>
          <w:sz w:val="18"/>
          <w:szCs w:val="18"/>
          <w:i w:val="1"/>
          <w:iCs w:val="1"/>
          <w:color w:val="auto"/>
        </w:rPr>
        <w:t>Trustee</w:t>
      </w:r>
      <w:r>
        <w:rPr>
          <w:rFonts w:ascii="Arial" w:cs="Arial" w:eastAsia="Arial" w:hAnsi="Arial"/>
          <w:sz w:val="18"/>
          <w:szCs w:val="18"/>
          <w:color w:val="auto"/>
        </w:rPr>
        <w:t>” shall mean or include each Person who is then a Trustee hereunder, and if at any time there is more than one such Person, “</w:t>
      </w:r>
      <w:r>
        <w:rPr>
          <w:rFonts w:ascii="Arial" w:cs="Arial" w:eastAsia="Arial" w:hAnsi="Arial"/>
          <w:sz w:val="18"/>
          <w:szCs w:val="18"/>
          <w:i w:val="1"/>
          <w:iCs w:val="1"/>
          <w:color w:val="auto"/>
        </w:rPr>
        <w:t>Trustee</w:t>
      </w:r>
      <w:r>
        <w:rPr>
          <w:rFonts w:ascii="Arial" w:cs="Arial" w:eastAsia="Arial" w:hAnsi="Arial"/>
          <w:sz w:val="18"/>
          <w:szCs w:val="18"/>
          <w:color w:val="auto"/>
        </w:rPr>
        <w:t>” as used with respect to the Securities of any Series shall mean the Trustee with respect to Securities of that Series.</w:t>
      </w:r>
    </w:p>
    <w:p>
      <w:pPr>
        <w:spacing w:after="0" w:line="18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Securities</w:t>
      </w:r>
      <w:r>
        <w:rPr>
          <w:rFonts w:ascii="Arial" w:cs="Arial" w:eastAsia="Arial" w:hAnsi="Arial"/>
          <w:sz w:val="18"/>
          <w:szCs w:val="18"/>
          <w:color w:val="auto"/>
        </w:rPr>
        <w:t>”, with respect to any Series of Securities, means a Security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color w:val="auto"/>
                <w:w w:val="95"/>
              </w:rPr>
              <w:t>TERM</w:t>
            </w:r>
          </w:p>
        </w:tc>
        <w:tc>
          <w:tcPr>
            <w:tcW w:w="2780" w:type="dxa"/>
            <w:vAlign w:val="bottom"/>
            <w:vMerge w:val="restart"/>
          </w:tcPr>
          <w:p>
            <w:pPr>
              <w:spacing w:after="0"/>
              <w:rPr>
                <w:sz w:val="14"/>
                <w:szCs w:val="14"/>
                <w:color w:val="auto"/>
              </w:rPr>
            </w:pPr>
          </w:p>
        </w:tc>
        <w:tc>
          <w:tcPr>
            <w:tcW w:w="5500" w:type="dxa"/>
            <w:vAlign w:val="bottom"/>
            <w:gridSpan w:val="3"/>
          </w:tcPr>
          <w:p>
            <w:pPr>
              <w:jc w:val="right"/>
              <w:ind w:right="280"/>
              <w:spacing w:after="0"/>
              <w:rPr>
                <w:sz w:val="20"/>
                <w:szCs w:val="20"/>
                <w:color w:val="auto"/>
              </w:rPr>
            </w:pPr>
            <w:r>
              <w:rPr>
                <w:rFonts w:ascii="Arial" w:cs="Arial" w:eastAsia="Arial" w:hAnsi="Arial"/>
                <w:sz w:val="14"/>
                <w:szCs w:val="14"/>
                <w:color w:val="auto"/>
              </w:rPr>
              <w:t>DEFINED IN</w:t>
            </w:r>
          </w:p>
        </w:tc>
        <w:tc>
          <w:tcPr>
            <w:tcW w:w="0" w:type="dxa"/>
            <w:vAlign w:val="bottom"/>
          </w:tcPr>
          <w:p>
            <w:pPr>
              <w:spacing w:after="0"/>
              <w:rPr>
                <w:sz w:val="1"/>
                <w:szCs w:val="1"/>
                <w:color w:val="auto"/>
              </w:rPr>
            </w:pPr>
          </w:p>
        </w:tc>
      </w:tr>
      <w:tr>
        <w:trPr>
          <w:trHeight w:val="159"/>
        </w:trPr>
        <w:tc>
          <w:tcPr>
            <w:tcW w:w="400" w:type="dxa"/>
            <w:vAlign w:val="bottom"/>
            <w:tcBorders>
              <w:bottom w:val="single" w:sz="8" w:color="auto"/>
            </w:tcBorders>
            <w:vMerge w:val="continue"/>
          </w:tcPr>
          <w:p>
            <w:pPr>
              <w:spacing w:after="0"/>
              <w:rPr>
                <w:sz w:val="13"/>
                <w:szCs w:val="13"/>
                <w:color w:val="auto"/>
              </w:rPr>
            </w:pPr>
          </w:p>
        </w:tc>
        <w:tc>
          <w:tcPr>
            <w:tcW w:w="2780" w:type="dxa"/>
            <w:vAlign w:val="bottom"/>
            <w:vMerge w:val="continue"/>
          </w:tcPr>
          <w:p>
            <w:pPr>
              <w:spacing w:after="0"/>
              <w:rPr>
                <w:sz w:val="13"/>
                <w:szCs w:val="13"/>
                <w:color w:val="auto"/>
              </w:rPr>
            </w:pPr>
          </w:p>
        </w:tc>
        <w:tc>
          <w:tcPr>
            <w:tcW w:w="4420" w:type="dxa"/>
            <w:vAlign w:val="bottom"/>
          </w:tcPr>
          <w:p>
            <w:pPr>
              <w:spacing w:after="0"/>
              <w:rPr>
                <w:sz w:val="13"/>
                <w:szCs w:val="13"/>
                <w:color w:val="auto"/>
              </w:rPr>
            </w:pPr>
          </w:p>
        </w:tc>
        <w:tc>
          <w:tcPr>
            <w:tcW w:w="108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3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44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gridSpan w:val="2"/>
            <w:vMerge w:val="continue"/>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Tax Jurisdiction</w:t>
            </w:r>
            <w:r>
              <w:rPr>
                <w:rFonts w:ascii="Arial" w:cs="Arial" w:eastAsia="Arial" w:hAnsi="Arial"/>
                <w:sz w:val="18"/>
                <w:szCs w:val="18"/>
                <w:color w:val="auto"/>
              </w:rPr>
              <w:t>”</w:t>
            </w:r>
          </w:p>
        </w:tc>
        <w:tc>
          <w:tcPr>
            <w:tcW w:w="4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4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8.1(b)</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4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8.1(c)</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Process Agent</w:t>
            </w:r>
            <w:r>
              <w:rPr>
                <w:rFonts w:ascii="Arial" w:cs="Arial" w:eastAsia="Arial" w:hAnsi="Arial"/>
                <w:sz w:val="18"/>
                <w:szCs w:val="18"/>
                <w:color w:val="auto"/>
              </w:rPr>
              <w: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Proceeding</w:t>
            </w:r>
            <w:r>
              <w:rPr>
                <w:rFonts w:ascii="Arial" w:cs="Arial" w:eastAsia="Arial" w:hAnsi="Arial"/>
                <w:sz w:val="18"/>
                <w:szCs w:val="18"/>
                <w:color w:val="auto"/>
              </w:rPr>
              <w: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4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Redemption Date</w:t>
            </w:r>
            <w:r>
              <w:rPr>
                <w:rFonts w:ascii="Arial" w:cs="Arial" w:eastAsia="Arial" w:hAnsi="Arial"/>
                <w:sz w:val="18"/>
                <w:szCs w:val="18"/>
                <w:color w:val="auto"/>
              </w:rPr>
              <w:t>”</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Jurisdiction</w:t>
            </w:r>
            <w:r>
              <w:rPr>
                <w:rFonts w:ascii="Arial" w:cs="Arial" w:eastAsia="Arial" w:hAnsi="Arial"/>
                <w:sz w:val="18"/>
                <w:szCs w:val="18"/>
                <w:color w:val="auto"/>
              </w:rPr>
              <w:t>”</w:t>
            </w:r>
          </w:p>
        </w:tc>
        <w:tc>
          <w:tcPr>
            <w:tcW w:w="4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20" w:type="dxa"/>
            <w:vAlign w:val="bottom"/>
          </w:tcPr>
          <w:p>
            <w:pPr>
              <w:jc w:val="right"/>
              <w:ind w:right="3131"/>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 and “</w:t>
      </w:r>
      <w:r>
        <w:rPr>
          <w:rFonts w:ascii="Arial" w:cs="Arial" w:eastAsia="Arial" w:hAnsi="Arial"/>
          <w:sz w:val="18"/>
          <w:szCs w:val="18"/>
          <w:i w:val="1"/>
          <w:iCs w:val="1"/>
          <w:color w:val="auto"/>
        </w:rPr>
        <w:t>including</w:t>
      </w:r>
      <w:r>
        <w:rPr>
          <w:rFonts w:ascii="Arial" w:cs="Arial" w:eastAsia="Arial" w:hAnsi="Arial"/>
          <w:sz w:val="18"/>
          <w:szCs w:val="18"/>
          <w:color w:val="auto"/>
        </w:rPr>
        <w:t>” means including without limitation;</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in, or pursuant to a Board Resolution, Officer’s Certificate or supplemental indenture establishing the terms of such Series of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2.2.28) by or pursuant to a Board Resolution, Officer’s Certificate or supplemental indenture: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2.2.1. the title of the Series of Securities (which shall distinguish the Securities of that particular Series from the Securities of any other Series);</w:t>
      </w:r>
    </w:p>
    <w:p>
      <w:pPr>
        <w:spacing w:after="0" w:line="248"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2.2.2.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2.2.3. the date or dates on which the principal and premium, if any, of the Securities of the Series is payable;</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2.2.4. 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or twelve 30-day months;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54" w:name="page55"/>
    <w:bookmarkEnd w:id="54"/>
    <w:p>
      <w:pPr>
        <w:ind w:right="1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2.2.5. the date or dates from which interest shall accrue, the dates on which such interest will be payable or the manner of determination of such dates, and the record date for the determination of holders to whom interest is payable on any such dates;</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2.2.7. the right, if any, to extend the interest payment periods or defer the payment of interest and the duration of such extension or deferral;</w:t>
      </w:r>
    </w:p>
    <w:p>
      <w:pPr>
        <w:spacing w:after="0" w:line="248"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2.2.8. if applicable, the period or periods within which, the price or prices at which and the terms and conditions upon which the Securities of the Series may be redeemed, in whole or in part, at the option of the Company if other than as set forth in this Indenture;</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2.2.9.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Securities of the Series shall be redeemed, purchased or repaid, in whole or in part, pursuant to such obligation;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2.2.10. the terms of any repurchase or remarketing rights;</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2.2.11. if other than denominations of $2,000 or integral multiples of $1,000 in excess thereof, the denominations in which the Securities of the Series shall be issuable;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2.2.12. the forms of the Securities of the Series including the form of the Trustee’s certificate of authentication for such Series;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2.2.13. any trustees, authenticating agents or paying agents with respect to the Securities of the Series, if different from those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2.2.14. if the Securities of the Series shall be issued in whole or in part in the form of a Global Security or Securities, the type of Global Security to be issued; the terms and conditions, if different from those contained in this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 referred to in Section 2.14.2;</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2.2.15. any provisions granting special rights to Holders when a specified event occurs;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5" w:name="page56"/>
    <w:bookmarkEnd w:id="55"/>
    <w:p>
      <w:pPr>
        <w:ind w:right="4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2.2.16. if the amount of principal of or any premium or interest on Securities of any Series may be determined with reference to an index or pursuant to a formula, the manner in which such amounts will be determined;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2.2.17. any special tax implications of the Securities, including provisions for original issue discount securities, if offered;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2.2.18. whether and upon what terms Securities of the Series may be defeased if different from the provisions set forth in this Indenture;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2.2.19. with regard to the Securities of any Series that do not bear interest, the dates for certain required reports to the Trustee;</w:t>
      </w:r>
    </w:p>
    <w:p>
      <w:pPr>
        <w:spacing w:after="0" w:line="22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2.2.20. whether the Securities of any Series will be issued as Unrestricted Securities or Restricted Securities, and, if issued as Restricted Securities, the rule or regulation promulgated under the Securities Act in reliance on which they will be sold;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2.2.21. any guarantees on the Securities of the Series;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2.2.22. the currency or currencies in which payment of the principal of, premium, if any, and interest on, the Securities of the Series shall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payable;</w:t>
      </w:r>
    </w:p>
    <w:p>
      <w:pPr>
        <w:spacing w:after="0" w:line="21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2.2.23. if the principal amount payable at the Stated Maturity of Securities of the Series will not be determinable as of any one or more dates prior to such Stated Maturity, the amount which will be deemed to be such principal amount as of any such date for any purpose, including the portion of the principal amount thereof that will be due and payable upon declaration of acceleration of the maturity thereof pursuant to Section 6.2 or upon any maturity other than the Stated Maturity or that will be deemed to be outstanding as of any such date, or, in any such case, the manner in which such deemed principal amount is to be determined;</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2.2.24. the provisions, if any, relating to any security provided for the Securities of the Series;</w:t>
      </w:r>
    </w:p>
    <w:p>
      <w:pPr>
        <w:spacing w:after="0" w:line="225"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2.2.25. any additional restrictive covenants or Events of Default that will apply to the Securities of the Series, or any changes to the restrictive covenants set forth in Article IV or the Events of Default set forth in Section 6.01 that will apply to the Securities of the Series, which may consist of establishing different terms or provisions from those set forth in Article IV or Section 6.01 or eliminating any such restrictive covenant or Event of Default with respect to the Securities of the Series;</w:t>
      </w:r>
    </w:p>
    <w:p>
      <w:pPr>
        <w:spacing w:after="0" w:line="18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2.2.26.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2.2.27.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6" w:name="page57"/>
    <w:bookmarkEnd w:id="56"/>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 and</w:t>
      </w:r>
    </w:p>
    <w:p>
      <w:pPr>
        <w:spacing w:after="0" w:line="124" w:lineRule="exact"/>
        <w:rPr>
          <w:sz w:val="20"/>
          <w:szCs w:val="20"/>
          <w:color w:val="auto"/>
        </w:rPr>
      </w:pPr>
    </w:p>
    <w:p>
      <w:pPr>
        <w:jc w:val="both"/>
        <w:ind w:right="540" w:firstLine="913"/>
        <w:spacing w:after="0" w:line="264" w:lineRule="auto"/>
        <w:rPr>
          <w:sz w:val="20"/>
          <w:szCs w:val="20"/>
          <w:color w:val="auto"/>
        </w:rPr>
      </w:pPr>
      <w:r>
        <w:rPr>
          <w:rFonts w:ascii="Arial" w:cs="Arial" w:eastAsia="Arial" w:hAnsi="Arial"/>
          <w:sz w:val="18"/>
          <w:szCs w:val="18"/>
          <w:color w:val="auto"/>
        </w:rPr>
        <w:t>2.2.28.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Securities of that Series.</w:t>
      </w:r>
    </w:p>
    <w:p>
      <w:pPr>
        <w:spacing w:after="0" w:line="181" w:lineRule="exact"/>
        <w:rPr>
          <w:sz w:val="20"/>
          <w:szCs w:val="20"/>
          <w:color w:val="auto"/>
        </w:rPr>
      </w:pPr>
    </w:p>
    <w:p>
      <w:pPr>
        <w:jc w:val="both"/>
        <w:ind w:right="540" w:firstLine="913"/>
        <w:spacing w:after="0" w:line="308"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Officer’s Certificate or supplemental indenture referred to above.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Officer of the Company shall sign the Securities for the Company by manual or facsimile signature.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valid.</w:t>
      </w:r>
    </w:p>
    <w:p>
      <w:pPr>
        <w:spacing w:after="0" w:line="211"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jc w:val="both"/>
        <w:ind w:right="400" w:firstLine="913"/>
        <w:spacing w:after="0" w:line="286" w:lineRule="auto"/>
        <w:rPr>
          <w:sz w:val="20"/>
          <w:szCs w:val="20"/>
          <w:color w:val="auto"/>
        </w:rPr>
      </w:pPr>
      <w:r>
        <w:rPr>
          <w:rFonts w:ascii="Arial" w:cs="Arial" w:eastAsia="Arial" w:hAnsi="Arial"/>
          <w:sz w:val="17"/>
          <w:szCs w:val="17"/>
          <w:color w:val="auto"/>
        </w:rPr>
        <w:t>The Trustee shall at any time, and from time to time, authenticate Securities for original issue in the principal amount provided in the Board Resolution, Officer’s Certificate or supplemental indenture, upon receipt by the Trustee of a Company Order. Each Security shall be dated the date of its authentication unless otherwise provided by the relevant Board Resolution, Officer’s Certificate or supplemental indenture.</w:t>
      </w:r>
    </w:p>
    <w:p>
      <w:pPr>
        <w:spacing w:after="0" w:line="166"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Notwithstanding the provisions of Section 2.2 and the preceding paragraph, in the case of Securities offered in a Periodic Offering, the Trustee shall authenticate and deliver such Securities from time to time in accordance with a Company Order or such other procedures acceptable to the Trustee as may be specified by or pursuant to a supplemental indenture or the written order of the Company delivered to the Trustee prior to the time of the first authentication of Securities of such Series.</w:t>
      </w:r>
    </w:p>
    <w:p>
      <w:pPr>
        <w:spacing w:after="0" w:line="187"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The aggregate principal amount of Securities of any Series outstanding at any time may not exceed any limit upon the maximum principal amount for such Series set forth in the Board Resolution, Officer’s Certificate or supplemental indenture delivered pursuant to Section 2.2.</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the Board Resolution,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57" w:name="page58"/>
    <w:bookmarkEnd w:id="5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Officer’s Certificate or supplemental indenture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 With respect to Securities of a Series subject to a Periodic Offering, the Trustee conclusively may rely, as to the authorization by the Company of any of such Securities, the forms and terms thereof and the legality, validity, binding effect and enforceability thereof, upon the written order of the Company, Opinion of Counsel, Officer’s Certificate and other documents delivered pursuant to this Section 2.3 at or prior to the time of the first authentication of Securities of such Series unless and until such written order, Opinion of Counsel, Officer’s Certificate or other documents have been superseded or revoked, and written notice thereof is provided to Trustee, or expire by their terms.</w:t>
      </w:r>
    </w:p>
    <w:p>
      <w:pPr>
        <w:spacing w:after="0" w:line="178"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committee of Responsible Officers shall determine that such action would expose the Trustee to personal liability.</w:t>
      </w:r>
    </w:p>
    <w:p>
      <w:pPr>
        <w:spacing w:after="0" w:line="166"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Paying Agent and Transfer Agent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Company will maintain one or more paying agents (each, a “</w:t>
      </w:r>
      <w:r>
        <w:rPr>
          <w:rFonts w:ascii="Arial" w:cs="Arial" w:eastAsia="Arial" w:hAnsi="Arial"/>
          <w:sz w:val="17"/>
          <w:szCs w:val="17"/>
          <w:i w:val="1"/>
          <w:iCs w:val="1"/>
          <w:color w:val="auto"/>
        </w:rPr>
        <w:t>Paying Agent</w:t>
      </w:r>
      <w:r>
        <w:rPr>
          <w:rFonts w:ascii="Arial" w:cs="Arial" w:eastAsia="Arial" w:hAnsi="Arial"/>
          <w:sz w:val="17"/>
          <w:szCs w:val="17"/>
          <w:color w:val="auto"/>
        </w:rPr>
        <w:t>”) for the Securities in the Borough of Manhattan, City of New</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York. The initial Paying Agents will be [ ] and thereafter “</w:t>
      </w:r>
      <w:r>
        <w:rPr>
          <w:rFonts w:ascii="Arial" w:cs="Arial" w:eastAsia="Arial" w:hAnsi="Arial"/>
          <w:sz w:val="17"/>
          <w:szCs w:val="17"/>
          <w:i w:val="1"/>
          <w:iCs w:val="1"/>
          <w:color w:val="auto"/>
        </w:rPr>
        <w:t>Paying Agent</w:t>
      </w:r>
      <w:r>
        <w:rPr>
          <w:rFonts w:ascii="Arial" w:cs="Arial" w:eastAsia="Arial" w:hAnsi="Arial"/>
          <w:sz w:val="17"/>
          <w:szCs w:val="17"/>
          <w:color w:val="auto"/>
        </w:rPr>
        <w:t>” shall mean or include each Person who is then a Paying Agent hereunder, and if at any time there is more than one such Person, “</w:t>
      </w:r>
      <w:r>
        <w:rPr>
          <w:rFonts w:ascii="Arial" w:cs="Arial" w:eastAsia="Arial" w:hAnsi="Arial"/>
          <w:sz w:val="17"/>
          <w:szCs w:val="17"/>
          <w:i w:val="1"/>
          <w:iCs w:val="1"/>
          <w:color w:val="auto"/>
        </w:rPr>
        <w:t>Paying Agent</w:t>
      </w:r>
      <w:r>
        <w:rPr>
          <w:rFonts w:ascii="Arial" w:cs="Arial" w:eastAsia="Arial" w:hAnsi="Arial"/>
          <w:sz w:val="17"/>
          <w:szCs w:val="17"/>
          <w:color w:val="auto"/>
        </w:rPr>
        <w:t>” as used with respect to the Securities of any Series shall mean the Paying Agent with respect to Securities of that Series. The Company, upon written notice to the Trustee accompanied by an Officer’s Certificate, may appoint one or more paying agents, other than the Trustee, for all or any series of the Securities. If the Company fails to appoint or maintain another entity as paying agent, the Trustee shall act as such. The Company or any of its Subsidiaries, upon notice to the Trustee, may act as paying agent.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will maintain one or more registrars (each, a “</w:t>
      </w:r>
      <w:r>
        <w:rPr>
          <w:rFonts w:ascii="Arial" w:cs="Arial" w:eastAsia="Arial" w:hAnsi="Arial"/>
          <w:sz w:val="16"/>
          <w:szCs w:val="16"/>
          <w:i w:val="1"/>
          <w:iCs w:val="1"/>
          <w:color w:val="auto"/>
        </w:rPr>
        <w:t>Registrar</w:t>
      </w:r>
      <w:r>
        <w:rPr>
          <w:rFonts w:ascii="Arial" w:cs="Arial" w:eastAsia="Arial" w:hAnsi="Arial"/>
          <w:sz w:val="16"/>
          <w:szCs w:val="16"/>
          <w:color w:val="auto"/>
        </w:rPr>
        <w:t>”) for the Securities in the Borough of Manhattan, City of New York. The</w:t>
      </w:r>
    </w:p>
    <w:p>
      <w:pPr>
        <w:spacing w:after="0" w:line="46"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initial Registrar will be [ ] and thereafter “</w:t>
      </w:r>
      <w:r>
        <w:rPr>
          <w:rFonts w:ascii="Arial" w:cs="Arial" w:eastAsia="Arial" w:hAnsi="Arial"/>
          <w:sz w:val="18"/>
          <w:szCs w:val="18"/>
          <w:i w:val="1"/>
          <w:iCs w:val="1"/>
          <w:color w:val="auto"/>
        </w:rPr>
        <w:t>Registrar</w:t>
      </w:r>
      <w:r>
        <w:rPr>
          <w:rFonts w:ascii="Arial" w:cs="Arial" w:eastAsia="Arial" w:hAnsi="Arial"/>
          <w:sz w:val="18"/>
          <w:szCs w:val="18"/>
          <w:color w:val="auto"/>
        </w:rPr>
        <w:t>” shall mean or include each Person who is then a Registrar hereunder, and if at any time there is more than one such Person, “</w:t>
      </w:r>
      <w:r>
        <w:rPr>
          <w:rFonts w:ascii="Arial" w:cs="Arial" w:eastAsia="Arial" w:hAnsi="Arial"/>
          <w:sz w:val="18"/>
          <w:szCs w:val="18"/>
          <w:i w:val="1"/>
          <w:iCs w:val="1"/>
          <w:color w:val="auto"/>
        </w:rPr>
        <w:t>Registrar</w:t>
      </w:r>
      <w:r>
        <w:rPr>
          <w:rFonts w:ascii="Arial" w:cs="Arial" w:eastAsia="Arial" w:hAnsi="Arial"/>
          <w:sz w:val="18"/>
          <w:szCs w:val="18"/>
          <w:color w:val="auto"/>
        </w:rPr>
        <w:t>” as used with respect to the Securities of any Series shall mean the Registrar with respect to Securities of that Series. The Company, upon written notice to the Trustee accompanied by an Officer’s Certificate, may appoint one or more registrars, other than the Trustee, for all or any series of the Securities. If the Company fails to appoint or maintain another entity as registrar, the Trustee shall act as such. The Company or any of its Subsidiaries, upon notice to the Trustee, may act as registrar.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58" w:name="page59"/>
    <w:bookmarkEnd w:id="5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also maintain a transfer agent (each, a “</w:t>
      </w:r>
      <w:r>
        <w:rPr>
          <w:rFonts w:ascii="Arial" w:cs="Arial" w:eastAsia="Arial" w:hAnsi="Arial"/>
          <w:sz w:val="16"/>
          <w:szCs w:val="16"/>
          <w:i w:val="1"/>
          <w:iCs w:val="1"/>
          <w:color w:val="auto"/>
        </w:rPr>
        <w:t>Transfer Agent</w:t>
      </w:r>
      <w:r>
        <w:rPr>
          <w:rFonts w:ascii="Arial" w:cs="Arial" w:eastAsia="Arial" w:hAnsi="Arial"/>
          <w:sz w:val="16"/>
          <w:szCs w:val="16"/>
          <w:color w:val="auto"/>
        </w:rPr>
        <w:t>”) for the Securities in the Borough of Manhattan, City of New York.</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initial Transfer Agent will be [ ] and thereafter “</w:t>
      </w:r>
      <w:r>
        <w:rPr>
          <w:rFonts w:ascii="Arial" w:cs="Arial" w:eastAsia="Arial" w:hAnsi="Arial"/>
          <w:sz w:val="17"/>
          <w:szCs w:val="17"/>
          <w:i w:val="1"/>
          <w:iCs w:val="1"/>
          <w:color w:val="auto"/>
        </w:rPr>
        <w:t>Transfer Agent</w:t>
      </w:r>
      <w:r>
        <w:rPr>
          <w:rFonts w:ascii="Arial" w:cs="Arial" w:eastAsia="Arial" w:hAnsi="Arial"/>
          <w:sz w:val="17"/>
          <w:szCs w:val="17"/>
          <w:color w:val="auto"/>
        </w:rPr>
        <w:t>” shall mean or include each Person who is then a Transfer Agent hereunder, and if at any time there is more than one such Person, “</w:t>
      </w:r>
      <w:r>
        <w:rPr>
          <w:rFonts w:ascii="Arial" w:cs="Arial" w:eastAsia="Arial" w:hAnsi="Arial"/>
          <w:sz w:val="17"/>
          <w:szCs w:val="17"/>
          <w:i w:val="1"/>
          <w:iCs w:val="1"/>
          <w:color w:val="auto"/>
        </w:rPr>
        <w:t>Transfer Agent</w:t>
      </w:r>
      <w:r>
        <w:rPr>
          <w:rFonts w:ascii="Arial" w:cs="Arial" w:eastAsia="Arial" w:hAnsi="Arial"/>
          <w:sz w:val="17"/>
          <w:szCs w:val="17"/>
          <w:color w:val="auto"/>
        </w:rPr>
        <w:t>” as used with respect to the Securities of any Series shall mean the Transfer Agent with respect to Securities of that Series. The Company, upon written notice to the Trustee accompanied by an Officer’s Certificate, may appoint one or more transfer agents, other than the Trustee, for all or any series of the Securities. If the Company fails to appoint or maintain another entity as transfer agent, the Trustee shall act as such. The Company or any of its Subsidiaries, upon notice to the Trustee, may act as transfer agent.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may change any Paying Agent, Registrar or Transfer Agent for its Securities without prior notice to the 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Securityholder Lists</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 To permit registrations of transfers and exchanges, the Trustee shall authenticate Securities at the Registrar’s request upon the Trustee’s receipt of a Company Order from the Company.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59" w:name="page60"/>
    <w:bookmarkEnd w:id="59"/>
    <w:p>
      <w:pPr>
        <w:ind w:right="12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225"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jc w:val="both"/>
        <w:ind w:right="20" w:firstLine="8"/>
        <w:spacing w:after="0" w:line="273" w:lineRule="auto"/>
        <w:tabs>
          <w:tab w:leader="none" w:pos="265"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Upon the issuance of any new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Every new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The provisions of this Section 2.8 are exclusive and shall preclude (to the extent lawful) all other rights and remedies with respect to the replacement or payment of mutilated, destroyed, lost or stolen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Security, if applicable, effected by the Trustee in accordance with the provisions hereof and those described in this Section 2.9 as not outstanding.</w:t>
      </w:r>
    </w:p>
    <w:p>
      <w:pPr>
        <w:spacing w:after="0" w:line="18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protected purchaser.</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Company may purchase or otherwise acquire the Securities, whether by open market purchases, negotiated transactions or otherwise. A Security does not cease to be outstanding because the Company or an Affiliate of the Company holds the Security.</w:t>
      </w:r>
    </w:p>
    <w:p>
      <w:pPr>
        <w:spacing w:after="0" w:line="17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Company may not issue new Securities to replace Securities that it has paid or delivered to the Trustee for cancellation.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2.14.1. </w:t>
      </w:r>
      <w:r>
        <w:rPr>
          <w:rFonts w:ascii="Arial" w:cs="Arial" w:eastAsia="Arial" w:hAnsi="Arial"/>
          <w:sz w:val="17"/>
          <w:szCs w:val="17"/>
          <w:u w:val="single" w:color="auto"/>
          <w:color w:val="auto"/>
        </w:rPr>
        <w:t>Transfer and Exchange</w:t>
      </w:r>
      <w:r>
        <w:rPr>
          <w:rFonts w:ascii="Arial" w:cs="Arial" w:eastAsia="Arial" w:hAnsi="Arial"/>
          <w:sz w:val="17"/>
          <w:szCs w:val="17"/>
          <w:color w:val="auto"/>
        </w:rPr>
        <w:t>. Notwithstanding any provisions to the contrary contained in Section 2.7 of this Indenture and in addition thereto, any Global Security shall be exchangeable pursuant to Section 2.7 of this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79"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Except as provided in this Section 2.14.1,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2" w:name="page63"/>
    <w:bookmarkEnd w:id="6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2.14.2. </w:t>
      </w:r>
      <w:r>
        <w:rPr>
          <w:rFonts w:ascii="Arial" w:cs="Arial" w:eastAsia="Arial" w:hAnsi="Arial"/>
          <w:sz w:val="18"/>
          <w:szCs w:val="18"/>
          <w:u w:val="single" w:color="auto"/>
          <w:color w:val="auto"/>
        </w:rPr>
        <w:t>Legend</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ind w:right="600" w:firstLine="913"/>
        <w:spacing w:after="0" w:line="308" w:lineRule="auto"/>
        <w:rPr>
          <w:sz w:val="20"/>
          <w:szCs w:val="20"/>
          <w:color w:val="auto"/>
        </w:rPr>
      </w:pPr>
      <w:r>
        <w:rPr>
          <w:rFonts w:ascii="Arial" w:cs="Arial" w:eastAsia="Arial" w:hAnsi="Arial"/>
          <w:sz w:val="17"/>
          <w:szCs w:val="17"/>
          <w:color w:val="auto"/>
        </w:rPr>
        <w:t xml:space="preserve">2.14.3.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14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2.14.4.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 which in the case of a Depositary therefore will be made in accordance with its applicable procedures.</w:t>
      </w:r>
    </w:p>
    <w:p>
      <w:pPr>
        <w:spacing w:after="0" w:line="18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Holders</w:t>
      </w:r>
      <w:r>
        <w:rPr>
          <w:rFonts w:ascii="Arial" w:cs="Arial" w:eastAsia="Arial" w:hAnsi="Arial"/>
          <w:sz w:val="18"/>
          <w:szCs w:val="18"/>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18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2.14.6. None of the Trustee or any Agent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with respect to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 No Liability for Calculations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Sections 3.9 and 3.10 hereof or, as applicable, in the Board Resolution, Officer’s Certificate or supplemental indenture relating to such Series.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at least 40 days before a redemption date (or such shorter notice as may be acceptable to the Trustee). The Trustee shall have no liability with respect to or obligation to calculate the redemption price of any Securities to be redeemed pursuant to this Indenture.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Unless otherwise indicated for a particular Series by a Board Resolution, Officer’s Certificate or a supplemental indenture, if less than all of the Securities of a Series are to be redeemed at any time, the Trustee will select the Securities of a Series to be redeemed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in the case of Securities issued in global form based on a method that most nearly approximates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selection as the Trustee deems fair and appropriate) unless otherwise required by law or applicable stock exchange or Depositary requirements. The Trustee will not be liable for selections made by it as contemplated in this section.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Securities of a Series in principal amount of $2,000 or less can be redeemed in part.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Notices of purchase or redemption will be given to each Holder pursuant to Section 3.3 and Section 10.1.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Unless otherwise indicated for a particular Series by Board Resolution, Officer’s Certificate or supplemental indenture, at least 30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notice shall identify the Securities to be redeemed and corresponding CUSIP, ISIN or Common Code numbers, as applicable, and will state:</w:t>
      </w:r>
    </w:p>
    <w:p>
      <w:pPr>
        <w:spacing w:after="0" w:line="140" w:lineRule="exact"/>
        <w:rPr>
          <w:sz w:val="20"/>
          <w:szCs w:val="20"/>
          <w:color w:val="auto"/>
        </w:rPr>
      </w:pPr>
    </w:p>
    <w:p>
      <w:pPr>
        <w:ind w:left="1140" w:hanging="237"/>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redemption price and the amount of accrued interest, if any, and Additional Amounts, if any, to be paid;</w:t>
      </w:r>
    </w:p>
    <w:p>
      <w:pPr>
        <w:spacing w:after="0" w:line="117" w:lineRule="exact"/>
        <w:rPr>
          <w:rFonts w:ascii="Arial" w:cs="Arial" w:eastAsia="Arial" w:hAnsi="Arial"/>
          <w:sz w:val="18"/>
          <w:szCs w:val="18"/>
          <w:color w:val="auto"/>
        </w:rPr>
      </w:pPr>
    </w:p>
    <w:p>
      <w:pPr>
        <w:ind w:left="460" w:firstLine="443"/>
        <w:spacing w:after="0" w:line="264" w:lineRule="auto"/>
        <w:tabs>
          <w:tab w:leader="none" w:pos="11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spacing w:after="0" w:line="73" w:lineRule="exact"/>
        <w:rPr>
          <w:rFonts w:ascii="Arial" w:cs="Arial" w:eastAsia="Arial" w:hAnsi="Arial"/>
          <w:sz w:val="18"/>
          <w:szCs w:val="18"/>
          <w:color w:val="auto"/>
        </w:rPr>
      </w:pPr>
    </w:p>
    <w:p>
      <w:pPr>
        <w:ind w:left="460" w:right="120" w:firstLine="443"/>
        <w:spacing w:after="0" w:line="286" w:lineRule="auto"/>
        <w:tabs>
          <w:tab w:leader="none" w:pos="1153"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any Certificated Security is being redeemed in part, the portion of the principal amount of such Security to be redeemed, and that, after the redemption date, upon surrender of such Security, a new Certificated Security or Certificated Securities in principal amount equal to the unredeemed portion thereof will be issued in the name of the Holder thereof upon cancellation of the original Certificated Security;</w:t>
      </w:r>
    </w:p>
    <w:p>
      <w:pPr>
        <w:spacing w:after="0" w:line="57" w:lineRule="exact"/>
        <w:rPr>
          <w:rFonts w:ascii="Arial" w:cs="Arial" w:eastAsia="Arial" w:hAnsi="Arial"/>
          <w:sz w:val="17"/>
          <w:szCs w:val="17"/>
          <w:color w:val="auto"/>
        </w:rPr>
      </w:pPr>
    </w:p>
    <w:p>
      <w:pPr>
        <w:ind w:left="1140" w:hanging="237"/>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and address of the Paying Agent(s) to which the Securities are to be surrendered for redemption;</w:t>
      </w:r>
    </w:p>
    <w:p>
      <w:pPr>
        <w:spacing w:after="0" w:line="117" w:lineRule="exact"/>
        <w:rPr>
          <w:rFonts w:ascii="Arial" w:cs="Arial" w:eastAsia="Arial" w:hAnsi="Arial"/>
          <w:sz w:val="18"/>
          <w:szCs w:val="18"/>
          <w:color w:val="auto"/>
        </w:rPr>
      </w:pPr>
    </w:p>
    <w:p>
      <w:pPr>
        <w:ind w:left="460" w:right="500" w:firstLine="443"/>
        <w:spacing w:after="0" w:line="277" w:lineRule="auto"/>
        <w:tabs>
          <w:tab w:leader="none" w:pos="112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Securities called for redemption must be surrendered to the relevant Paying Agent to collect the redemption price, plus accrued and unpaid interest, if any, and Additional Amounts, if any;</w:t>
      </w:r>
    </w:p>
    <w:p>
      <w:pPr>
        <w:spacing w:after="0" w:line="62" w:lineRule="exact"/>
        <w:rPr>
          <w:rFonts w:ascii="Arial" w:cs="Arial" w:eastAsia="Arial" w:hAnsi="Arial"/>
          <w:sz w:val="18"/>
          <w:szCs w:val="18"/>
          <w:color w:val="auto"/>
        </w:rPr>
      </w:pPr>
    </w:p>
    <w:p>
      <w:pPr>
        <w:ind w:left="460" w:right="440" w:firstLine="443"/>
        <w:spacing w:after="0" w:line="277" w:lineRule="auto"/>
        <w:tabs>
          <w:tab w:leader="none" w:pos="11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and Additional Amounts, if any, on Securities called for redemption cease to accrue on and after the redemption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5620" w:hanging="4717"/>
        <w:spacing w:after="0" w:line="449" w:lineRule="auto"/>
        <w:tabs>
          <w:tab w:leader="none" w:pos="11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paragraph of the Securities and/or Section of this Indenture pursuant to which the Securities called for redemption are being redeemed; and 17</w:t>
      </w:r>
    </w:p>
    <w:p>
      <w:pPr>
        <w:sectPr>
          <w:pgSz w:w="11900" w:h="16838" w:orient="portrait"/>
          <w:cols w:equalWidth="0" w:num="1">
            <w:col w:w="11400"/>
          </w:cols>
          <w:pgMar w:left="240" w:top="274" w:right="259" w:bottom="1440" w:gutter="0" w:footer="0" w:header="0"/>
        </w:sectPr>
      </w:pPr>
    </w:p>
    <w:bookmarkStart w:id="65" w:name="page66"/>
    <w:bookmarkEnd w:id="65"/>
    <w:p>
      <w:pPr>
        <w:ind w:left="460" w:right="60" w:firstLine="443"/>
        <w:spacing w:after="0" w:line="277" w:lineRule="auto"/>
        <w:tabs>
          <w:tab w:leader="none" w:pos="1113"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no representation is made as to the correctness or accuracy of the CUSIP, ISIN or Common Code numbers, if any, listed in such notice or printed on the Securities.</w:t>
      </w:r>
    </w:p>
    <w:p>
      <w:pPr>
        <w:spacing w:after="0" w:line="170"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 xml:space="preserve">At the Company’s written request, the Trustee shall give the notice of redemption in the Company’s name and at its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has delivered to the Trustee, at least 40 days prior to the redemption date, an Officer’s Certificate requesting that the Trustee give such notice and setting forth the information to be stated in such notice as provided in the preceding paragraph.</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Once notice of redemption is mailed or published as provided in Section 3.3, Securities of a Series called for redemption become due and payable on the redemption date and at the redemption price. Unless otherwise indicated for a particular Series by Board Resolution, Officer’s Certificate or supplemental indenture,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On or after any purchase or redemption date, unless the Company defaults in payment of the purchase or redemption price, interest shall cease to accrue on Securities or portions thereof tendered for purchase or called for redemption.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On or before 10:00 a.m., New York City time, on the redemption date, the Company shall deposit with the Paying Agent money in immediately available funds sufficient to pay the redemption price of and accrued interest, if any, on all Securities to be redeemed on that date.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Upon surrender of a Certificated Security that is redeemed in part, the Trustee shall authenticate for the Holder a new Certificated Security of the same Series and the same maturity equal in principal amount to the unredeemed portion of the Security surrendered.</w:t>
      </w:r>
    </w:p>
    <w:p>
      <w:pPr>
        <w:spacing w:after="0" w:line="170" w:lineRule="exact"/>
        <w:rPr>
          <w:sz w:val="20"/>
          <w:szCs w:val="20"/>
          <w:color w:val="auto"/>
        </w:rPr>
      </w:pPr>
    </w:p>
    <w:p>
      <w:pPr>
        <w:ind w:right="580" w:firstLine="913"/>
        <w:spacing w:after="0" w:line="308" w:lineRule="auto"/>
        <w:rPr>
          <w:sz w:val="20"/>
          <w:szCs w:val="20"/>
          <w:color w:val="auto"/>
        </w:rPr>
      </w:pPr>
      <w:r>
        <w:rPr>
          <w:rFonts w:ascii="Arial" w:cs="Arial" w:eastAsia="Arial" w:hAnsi="Arial"/>
          <w:sz w:val="17"/>
          <w:szCs w:val="17"/>
          <w:color w:val="auto"/>
        </w:rPr>
        <w:t>In relation to Certificated Securities, a new Security in principal amount equal to the unpurchased or unredeemed portion of any Security purchased or redeemed in part will be issued in the name of the Holder thereof upon cancellation of the original Certificated Security.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225"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Unless otherwise indicated for a particular Series by Board Resolution, Officer’s Certificate or supplemental indenture, the provisions of Sections 3.7, 3.8 and 3.9 shall be applicable to any sinking fund for the retirement of Securities of a Series.</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referred to as a “mandatory sinking fund payment,” and any payment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66" w:name="page67"/>
    <w:bookmarkEnd w:id="66"/>
    <w:p>
      <w:pPr>
        <w:jc w:val="both"/>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excess of such minimum amount provided for by the terms of Securities of any series is referred to as an “optional sinking fund payment.” If provided for by the terms of Securities of any Series, the cash amount of any sinking fund payment may be subject to reduction as provided in Section 3.8. Each sinking fund payment shall be applied to the redemption of Securities of any Series as provided for by the terms of Securities of such Series.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Not less than 30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Securities of that Series pursuant 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3.3 and cause notice of the redemption thereof to be given in the name of and at the expense of the Company in the manner provided in Section 3.3.</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Redemption Upon Changes in Tax Law</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The Company may redeem the Securities, in whole but not in part, at its discretion at any time upon giving notice to the Holders of such of the Securities in accordance with Section 3.3 (which notice will be irrevocable), at a redemption price equal to 100% of the aggregate principal amount thereof, together with accrued and unpaid interest, if any, to the date fixed by the Company for redemption (a “</w:t>
      </w:r>
      <w:r>
        <w:rPr>
          <w:rFonts w:ascii="Arial" w:cs="Arial" w:eastAsia="Arial" w:hAnsi="Arial"/>
          <w:sz w:val="16"/>
          <w:szCs w:val="16"/>
          <w:i w:val="1"/>
          <w:iCs w:val="1"/>
          <w:color w:val="auto"/>
        </w:rPr>
        <w:t>Tax Redemption Date</w:t>
      </w:r>
      <w:r>
        <w:rPr>
          <w:rFonts w:ascii="Arial" w:cs="Arial" w:eastAsia="Arial" w:hAnsi="Arial"/>
          <w:sz w:val="16"/>
          <w:szCs w:val="16"/>
          <w:color w:val="auto"/>
        </w:rPr>
        <w:t>”) and all Additional Amounts (if any) then due and which will become due on the Tax Redemption Date as a result of the redemption or otherwise (subject to the right of Holders of such Securities on the relevant record date to receive interest due on the relevant interest payment date and Additional Amounts (if any) in respect thereof), if on the next date on which any amount would be payable with respect to such Securities, the Company is or would be required to pay Additional Amounts, and the Company cannot avoid any such payment obligation by taking reasonable measures available, and the requirement arises as a result 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67" w:name="page68"/>
    <w:bookmarkEnd w:id="67"/>
    <w:p>
      <w:pPr>
        <w:ind w:left="460" w:right="120" w:firstLine="443"/>
        <w:spacing w:after="0" w:line="264" w:lineRule="auto"/>
        <w:tabs>
          <w:tab w:leader="none" w:pos="1143"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amendment to, or change in, the laws (or any regulations or rulings promulgated thereunder) of a relevant Tax Jurisdiction which change or amendment becomes effective on or after the Issue Date (or, if the applicable Tax Jurisdiction became a Tax Jurisdiction on a date after the Issue Date, such later date), or</w:t>
      </w:r>
    </w:p>
    <w:p>
      <w:pPr>
        <w:spacing w:after="0" w:line="73" w:lineRule="exact"/>
        <w:rPr>
          <w:rFonts w:ascii="Arial" w:cs="Arial" w:eastAsia="Arial" w:hAnsi="Arial"/>
          <w:sz w:val="18"/>
          <w:szCs w:val="18"/>
          <w:color w:val="auto"/>
        </w:rPr>
      </w:pPr>
    </w:p>
    <w:p>
      <w:pPr>
        <w:ind w:left="460" w:right="60" w:firstLine="443"/>
        <w:spacing w:after="0" w:line="312" w:lineRule="auto"/>
        <w:tabs>
          <w:tab w:leader="none" w:pos="115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Tax Jurisdiction became a Tax Jurisdiction on a date after the Issue Date, such later date).</w:t>
      </w:r>
    </w:p>
    <w:p>
      <w:pPr>
        <w:spacing w:after="0" w:line="147" w:lineRule="exact"/>
        <w:rPr>
          <w:sz w:val="20"/>
          <w:szCs w:val="20"/>
          <w:color w:val="auto"/>
        </w:rPr>
      </w:pPr>
    </w:p>
    <w:p>
      <w:pPr>
        <w:ind w:right="180" w:firstLine="913"/>
        <w:spacing w:after="0" w:line="272" w:lineRule="auto"/>
        <w:rPr>
          <w:sz w:val="20"/>
          <w:szCs w:val="20"/>
          <w:color w:val="auto"/>
        </w:rPr>
      </w:pPr>
      <w:r>
        <w:rPr>
          <w:rFonts w:ascii="Arial" w:cs="Arial" w:eastAsia="Arial" w:hAnsi="Arial"/>
          <w:sz w:val="17"/>
          <w:szCs w:val="17"/>
          <w:color w:val="auto"/>
        </w:rPr>
        <w:t>The Company, as applicable, will not give any such notice of redemption earlier than 90 days prior to the earliest date on which the Company would be obligated to make such payment or withholding if a payment with respect to the applicable Securities was then due, and the obligation to pay Additional Amounts must be in effect at the time such notice is given. Prior to the publication or, where relevant, mailing of any notice of redemption of the Securities pursuant to the foregoing, the Company will deliver to the Trustee an opinion of independent tax counsel to the effect that there has been such amendment or change which would entitle the Company to redeem such Securities hereunder. In addition, before the Company publishes or mails notice of redemption of such Securities as described above, it will deliver to the Trustee an Officer’s Certificate to the effect that it cannot avoid its obligation to pay Additional Amounts by taking reasonable measures available to the Company.</w:t>
      </w:r>
    </w:p>
    <w:p>
      <w:pPr>
        <w:spacing w:after="0" w:line="178"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Securities.</w:t>
      </w:r>
    </w:p>
    <w:p>
      <w:pPr>
        <w:spacing w:after="0" w:line="124"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 xml:space="preserve">The foregoing will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any jurisdiction in which any successor Person to the Company is incorporated or organized, or any jurisdiction from or through which payment is made by or on behalf of such Person on the Securities and any political subdivision thereof or therein.</w:t>
      </w:r>
    </w:p>
    <w:p>
      <w:pPr>
        <w:spacing w:after="0" w:line="34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 Unless otherwise provided by Board Resolution, Officer’s Certificate or supplemental indenture for a particular Series, on or before 10:00 a.m., New York City time, on the applicable payment date, the Company shall deposit with the Paying Agent money sufficient to pay the principal of, premium, if any, and interest on the Securities of each such Series in accordance with the terms of such Securities and this Indenture.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his/her knowledge the Company is not in default in the performance or observance of any of the terms, provisions and conditions hereof (or, if a Default or Event of Default shall have occurred, describing all such Defaults or Events of Default of which he may have knowledge). Such Officer’s Certificate need not include a reference to any non-compliance that has been fully cured prior to the date as of which such certificate speaks.</w:t>
      </w:r>
    </w:p>
    <w:p>
      <w:pPr>
        <w:spacing w:after="0" w:line="166"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Company will, so long as any of the Securities are outstanding, deliver to the Trustee, within 30 days upon becoming aware of any Default or Event of Default, an Officer’s Certificate specifying such Default or Event of Default and what action the Company is taking or proposes to take with respect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Subject to Article V, the Company will do or cause to be done all things necessary to preserve and keep in full force and effect its corporate existence and rights (charter and statutory);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Company will not, and will not permit any of its respective Subsidiaries to, incur, issue, assume or guarantee any notes, bonds, debentures or other similar evidences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69" w:name="page70"/>
    <w:bookmarkEnd w:id="6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Securities (together with, if the Company shall so determine, any of its other indebtedness or the indebtedness of any such Restricted Subsidiary then existing or thereafter created ranking on a parity with the Securities)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Company’s most recent consolidated quarterly financial statements;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these provisions shall not apply to:</w:t>
      </w:r>
    </w:p>
    <w:p>
      <w:pPr>
        <w:spacing w:after="0" w:line="59" w:lineRule="exact"/>
        <w:rPr>
          <w:sz w:val="20"/>
          <w:szCs w:val="20"/>
          <w:color w:val="auto"/>
        </w:rPr>
      </w:pPr>
    </w:p>
    <w:p>
      <w:pPr>
        <w:ind w:left="1140" w:hanging="237"/>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Securities;</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w:t>
      </w:r>
    </w:p>
    <w:p>
      <w:pPr>
        <w:spacing w:after="0" w:line="62"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Mortgages in favor of the Company or any of its Subsidiaries;</w:t>
      </w:r>
    </w:p>
    <w:p>
      <w:pPr>
        <w:spacing w:after="0" w:line="117" w:lineRule="exact"/>
        <w:rPr>
          <w:rFonts w:ascii="Arial" w:cs="Arial" w:eastAsia="Arial" w:hAnsi="Arial"/>
          <w:sz w:val="18"/>
          <w:szCs w:val="18"/>
          <w:color w:val="auto"/>
        </w:rPr>
      </w:pPr>
    </w:p>
    <w:p>
      <w:pPr>
        <w:ind w:left="460" w:right="120" w:firstLine="443"/>
        <w:spacing w:after="0" w:line="259" w:lineRule="auto"/>
        <w:tabs>
          <w:tab w:leader="none" w:pos="11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Mortgage of any of the Company’s property or assets or any property or assets of any of its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Mortgage of any property or assets to secure indebtedness of the pollution control, industrial revenue or other revenue bond type;</w:t>
      </w:r>
    </w:p>
    <w:p>
      <w:pPr>
        <w:spacing w:after="0" w:line="128" w:lineRule="exact"/>
        <w:rPr>
          <w:rFonts w:ascii="Arial" w:cs="Arial" w:eastAsia="Arial" w:hAnsi="Arial"/>
          <w:sz w:val="17"/>
          <w:szCs w:val="17"/>
          <w:color w:val="auto"/>
        </w:rPr>
      </w:pPr>
    </w:p>
    <w:p>
      <w:pPr>
        <w:jc w:val="both"/>
        <w:ind w:left="460" w:firstLine="443"/>
        <w:spacing w:after="0" w:line="259"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70" w:name="page71"/>
    <w:bookmarkEnd w:id="70"/>
    <w:p>
      <w:pPr>
        <w:ind w:right="20" w:firstLine="443"/>
        <w:spacing w:after="0" w:line="277" w:lineRule="auto"/>
        <w:tabs>
          <w:tab w:leader="none" w:pos="693"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Mortgages arising by operation of law, including but not limited to Mortgages for taxes, assessments or similar charges that are not yet due or the validity of which is being contested in good faith by appropriate proceedings;</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17" w:lineRule="exact"/>
        <w:rPr>
          <w:rFonts w:ascii="Arial" w:cs="Arial" w:eastAsia="Arial" w:hAnsi="Arial"/>
          <w:sz w:val="18"/>
          <w:szCs w:val="18"/>
          <w:color w:val="auto"/>
        </w:rPr>
      </w:pPr>
    </w:p>
    <w:p>
      <w:pPr>
        <w:jc w:val="both"/>
        <w:ind w:firstLine="443"/>
        <w:spacing w:after="0" w:line="286" w:lineRule="auto"/>
        <w:tabs>
          <w:tab w:leader="none" w:pos="653"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225" w:lineRule="exact"/>
        <w:rPr>
          <w:sz w:val="20"/>
          <w:szCs w:val="20"/>
          <w:color w:val="auto"/>
        </w:rPr>
      </w:pPr>
    </w:p>
    <w:p>
      <w:pPr>
        <w:ind w:right="80" w:firstLine="443"/>
        <w:spacing w:after="0" w:line="287" w:lineRule="auto"/>
        <w:tabs>
          <w:tab w:leader="none" w:pos="6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payments made by the Company under or with respect to the Securities will be made free and clear of and without withholding or deduction for, or on account of, any present or future tax, duty, levy, assessment or other governmental charge, including any related interest, penalties or additions to tax (“</w:t>
      </w:r>
      <w:r>
        <w:rPr>
          <w:rFonts w:ascii="Arial" w:cs="Arial" w:eastAsia="Arial" w:hAnsi="Arial"/>
          <w:sz w:val="16"/>
          <w:szCs w:val="16"/>
          <w:i w:val="1"/>
          <w:iCs w:val="1"/>
          <w:color w:val="auto"/>
        </w:rPr>
        <w:t>Taxes</w:t>
      </w:r>
      <w:r>
        <w:rPr>
          <w:rFonts w:ascii="Arial" w:cs="Arial" w:eastAsia="Arial" w:hAnsi="Arial"/>
          <w:sz w:val="16"/>
          <w:szCs w:val="16"/>
          <w:color w:val="auto"/>
        </w:rPr>
        <w:t>”) unless the withholding or deduction of such Taxes is then required by law or by interpretation or administration of law. If any deduction or withholding for, or on account of, any Taxes imposed or levied by or on behalf of (1) any jurisdiction in which the Company is then incorporated or organized or any political subdivision thereof or therein (each, a “</w:t>
      </w:r>
      <w:r>
        <w:rPr>
          <w:rFonts w:ascii="Arial" w:cs="Arial" w:eastAsia="Arial" w:hAnsi="Arial"/>
          <w:sz w:val="16"/>
          <w:szCs w:val="16"/>
          <w:i w:val="1"/>
          <w:iCs w:val="1"/>
          <w:color w:val="auto"/>
        </w:rPr>
        <w:t>Company Tax Jurisdiction</w:t>
      </w:r>
      <w:r>
        <w:rPr>
          <w:rFonts w:ascii="Arial" w:cs="Arial" w:eastAsia="Arial" w:hAnsi="Arial"/>
          <w:sz w:val="16"/>
          <w:szCs w:val="16"/>
          <w:color w:val="auto"/>
        </w:rPr>
        <w:t>”) or (2) any jurisdiction from or through which payment is made by or on behalf of the Company (including the jurisdiction of any Paying Agent for the applicable Securities) or any political subdivision thereof or therein (each, together with each Company Tax Jurisdiction, a “</w:t>
      </w:r>
      <w:r>
        <w:rPr>
          <w:rFonts w:ascii="Arial" w:cs="Arial" w:eastAsia="Arial" w:hAnsi="Arial"/>
          <w:sz w:val="16"/>
          <w:szCs w:val="16"/>
          <w:i w:val="1"/>
          <w:iCs w:val="1"/>
          <w:color w:val="auto"/>
        </w:rPr>
        <w:t>Tax Jurisdiction</w:t>
      </w:r>
      <w:r>
        <w:rPr>
          <w:rFonts w:ascii="Arial" w:cs="Arial" w:eastAsia="Arial" w:hAnsi="Arial"/>
          <w:sz w:val="16"/>
          <w:szCs w:val="16"/>
          <w:color w:val="auto"/>
        </w:rPr>
        <w:t>”) will at any time be required to be made from any payments made by the Company under or with respect to the Securities, including payments of principal, redemption price, interest or premium, the Company will pay such additional amounts (the “</w:t>
      </w:r>
      <w:r>
        <w:rPr>
          <w:rFonts w:ascii="Arial" w:cs="Arial" w:eastAsia="Arial" w:hAnsi="Arial"/>
          <w:sz w:val="16"/>
          <w:szCs w:val="16"/>
          <w:i w:val="1"/>
          <w:iCs w:val="1"/>
          <w:color w:val="auto"/>
        </w:rPr>
        <w:t>Additional Amounts</w:t>
      </w:r>
      <w:r>
        <w:rPr>
          <w:rFonts w:ascii="Arial" w:cs="Arial" w:eastAsia="Arial" w:hAnsi="Arial"/>
          <w:sz w:val="16"/>
          <w:szCs w:val="16"/>
          <w:color w:val="auto"/>
        </w:rPr>
        <w:t xml:space="preserve">”) as may be necessary in order that the net amounts received with respect to such payments by each holder of the applicable Securities after such withholding, deduction or imposition (including any such withholding, deduction or imposition from such Additional Amounts) will equal the respective amounts that would have been received with respect to such payments in the absence of such withholding or deduction;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Additional Amounts will be payable with respect to:</w:t>
      </w:r>
    </w:p>
    <w:p>
      <w:pPr>
        <w:spacing w:after="0" w:line="60" w:lineRule="exact"/>
        <w:rPr>
          <w:rFonts w:ascii="Arial" w:cs="Arial" w:eastAsia="Arial" w:hAnsi="Arial"/>
          <w:sz w:val="16"/>
          <w:szCs w:val="16"/>
          <w:color w:val="auto"/>
        </w:rPr>
      </w:pPr>
    </w:p>
    <w:p>
      <w:pPr>
        <w:ind w:left="460" w:right="140" w:firstLine="421"/>
        <w:spacing w:after="0" w:line="276" w:lineRule="auto"/>
        <w:tabs>
          <w:tab w:leader="none" w:pos="1135"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Taxes, to the extent such Taxes would not have been imposed but for the existence of any actual or deemed present or former connection between the Holder or the beneficial owner of such Securities and the relevant Tax Jurisdiction (including being or having been a national, resident or citizen of, being or having been engaged in a trade or business in, being or having been physically present in, or having or having had a permanent establishment in, such jurisdiction for Tax purposes), other than the holding of such Security, the enforcement of rights under such Security or the receipt of any payments with respect to such Security;</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700" w:top="274" w:right="279" w:bottom="1440" w:gutter="0" w:footer="0" w:header="0"/>
        </w:sectPr>
      </w:pPr>
    </w:p>
    <w:bookmarkStart w:id="71" w:name="page72"/>
    <w:bookmarkEnd w:id="71"/>
    <w:p>
      <w:pPr>
        <w:ind w:left="460" w:right="320" w:firstLine="421"/>
        <w:spacing w:after="0" w:line="312" w:lineRule="auto"/>
        <w:tabs>
          <w:tab w:leader="none" w:pos="1135" w:val="left"/>
        </w:tabs>
        <w:numPr>
          <w:ilvl w:val="1"/>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Taxes, to the extent such Taxes were imposed as a result of the presentation of such Security for payment (where presentation is required) more than 30 days after the relevant payment is first made available for payment to the holder (except to the extent that the holder would have been entitled to Additional Amounts had the applicable Security been presented on the last day of such 30 day period);</w:t>
      </w:r>
    </w:p>
    <w:p>
      <w:pPr>
        <w:spacing w:after="0" w:line="38" w:lineRule="exact"/>
        <w:rPr>
          <w:rFonts w:ascii="Arial" w:cs="Arial" w:eastAsia="Arial" w:hAnsi="Arial"/>
          <w:sz w:val="16"/>
          <w:szCs w:val="16"/>
          <w:color w:val="auto"/>
        </w:rPr>
      </w:pPr>
    </w:p>
    <w:p>
      <w:pPr>
        <w:ind w:left="1140" w:hanging="259"/>
        <w:spacing w:after="0"/>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460" w:right="100" w:firstLine="421"/>
        <w:spacing w:after="0" w:line="264" w:lineRule="auto"/>
        <w:tabs>
          <w:tab w:leader="none" w:pos="11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the Company to the Holder if such Holder is a fiduciary, partnership, limited liability company or other Person other than the sole beneficial owner of such payment to the extent that Taxes would not have been imposed on such payment had such Holder been the sole beneficial owner of such Security;</w:t>
      </w:r>
    </w:p>
    <w:p>
      <w:pPr>
        <w:spacing w:after="0" w:line="73" w:lineRule="exact"/>
        <w:rPr>
          <w:rFonts w:ascii="Arial" w:cs="Arial" w:eastAsia="Arial" w:hAnsi="Arial"/>
          <w:sz w:val="18"/>
          <w:szCs w:val="18"/>
          <w:color w:val="auto"/>
        </w:rPr>
      </w:pPr>
    </w:p>
    <w:p>
      <w:pPr>
        <w:ind w:left="460" w:right="260" w:firstLine="421"/>
        <w:spacing w:after="0" w:line="277" w:lineRule="auto"/>
        <w:tabs>
          <w:tab w:leader="none" w:pos="11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with respect to any Taxes imposed by the United States, any such Taxes imposed by reason of the failure of such Holder to fulfill the statement requirements of Sections 871(h) or 881(c) of the Internal Revenue Code of 1986, as amended;</w:t>
      </w:r>
    </w:p>
    <w:p>
      <w:pPr>
        <w:spacing w:after="0" w:line="62" w:lineRule="exact"/>
        <w:rPr>
          <w:rFonts w:ascii="Arial" w:cs="Arial" w:eastAsia="Arial" w:hAnsi="Arial"/>
          <w:sz w:val="18"/>
          <w:szCs w:val="18"/>
          <w:color w:val="auto"/>
        </w:rPr>
      </w:pPr>
    </w:p>
    <w:p>
      <w:pPr>
        <w:ind w:left="460" w:right="340" w:firstLine="421"/>
        <w:spacing w:after="0" w:line="308" w:lineRule="auto"/>
        <w:tabs>
          <w:tab w:leader="none" w:pos="1135" w:val="left"/>
        </w:tabs>
        <w:numPr>
          <w:ilvl w:val="1"/>
          <w:numId w:val="45"/>
        </w:numPr>
        <w:rPr>
          <w:rFonts w:ascii="Arial" w:cs="Arial" w:eastAsia="Arial" w:hAnsi="Arial"/>
          <w:sz w:val="17"/>
          <w:szCs w:val="17"/>
          <w:color w:val="auto"/>
        </w:rPr>
      </w:pPr>
      <w:r>
        <w:rPr>
          <w:rFonts w:ascii="Arial" w:cs="Arial" w:eastAsia="Arial" w:hAnsi="Arial"/>
          <w:sz w:val="17"/>
          <w:szCs w:val="17"/>
          <w:color w:val="auto"/>
        </w:rPr>
        <w:t>Taxes imposed on or with respect to a payment made to a Holder or beneficial owner of such Security who would have been able to avoid such withholding or deduction by presenting such Security (where presentation is required) to another Paying Agent;</w:t>
      </w:r>
    </w:p>
    <w:p>
      <w:pPr>
        <w:spacing w:after="0" w:line="38" w:lineRule="exact"/>
        <w:rPr>
          <w:rFonts w:ascii="Arial" w:cs="Arial" w:eastAsia="Arial" w:hAnsi="Arial"/>
          <w:sz w:val="17"/>
          <w:szCs w:val="17"/>
          <w:color w:val="auto"/>
        </w:rPr>
      </w:pPr>
    </w:p>
    <w:p>
      <w:pPr>
        <w:ind w:left="1140" w:hanging="259"/>
        <w:spacing w:after="0"/>
        <w:tabs>
          <w:tab w:leader="none" w:pos="11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Securities or the Guarantee;</w:t>
      </w:r>
    </w:p>
    <w:p>
      <w:pPr>
        <w:spacing w:after="0" w:line="140" w:lineRule="exact"/>
        <w:rPr>
          <w:rFonts w:ascii="Arial" w:cs="Arial" w:eastAsia="Arial" w:hAnsi="Arial"/>
          <w:sz w:val="16"/>
          <w:szCs w:val="16"/>
          <w:color w:val="auto"/>
        </w:rPr>
      </w:pPr>
    </w:p>
    <w:p>
      <w:pPr>
        <w:ind w:left="460" w:right="120" w:firstLine="421"/>
        <w:spacing w:after="0" w:line="273" w:lineRule="auto"/>
        <w:tabs>
          <w:tab w:leader="none" w:pos="1135"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Taxes to the extent such Taxes are imposed or withheld by reason of the failure of the Holder or beneficial owner of such Security, to comply with any written request of the Company addressed to the Holder or beneficial owner to satisfy any certification, identification, information or other reporting requirements, whether required by statute, treaty, regulation or administrative practice of a relevant Tax Jurisdiction, as a precondition to exemption from, or reduction in the rate of deduction or withholding of, Taxes imposed by the relevant Tax Jurisdiction (including a certification that the Holder or beneficial owner is not resident in such Tax Jurisdiction), but in each case, only to the extent the Holder or beneficial owner is legally entitled to provide such certification or documentation; or</w:t>
      </w:r>
    </w:p>
    <w:p>
      <w:pPr>
        <w:spacing w:after="0" w:line="70" w:lineRule="exact"/>
        <w:rPr>
          <w:rFonts w:ascii="Arial" w:cs="Arial" w:eastAsia="Arial" w:hAnsi="Arial"/>
          <w:sz w:val="17"/>
          <w:szCs w:val="17"/>
          <w:color w:val="auto"/>
        </w:rPr>
      </w:pPr>
    </w:p>
    <w:p>
      <w:pPr>
        <w:ind w:left="1140" w:hanging="259"/>
        <w:spacing w:after="0"/>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combination of items (1) through (8) of this Section 4.6(a).</w:t>
      </w:r>
    </w:p>
    <w:p>
      <w:pPr>
        <w:spacing w:after="0" w:line="225" w:lineRule="exact"/>
        <w:rPr>
          <w:rFonts w:ascii="Arial" w:cs="Arial" w:eastAsia="Arial" w:hAnsi="Arial"/>
          <w:sz w:val="18"/>
          <w:szCs w:val="18"/>
          <w:color w:val="auto"/>
        </w:rPr>
      </w:pPr>
    </w:p>
    <w:p>
      <w:pPr>
        <w:ind w:firstLine="443"/>
        <w:spacing w:after="0" w:line="257" w:lineRule="auto"/>
        <w:tabs>
          <w:tab w:leader="none" w:pos="6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addition to the foregoing, the Company will also pay and indemnify the Holders for any present or future stamp, issue, registration, court or documentary Taxes, or any other excise or property Taxes, charges or similar levies (including penalties, interest and any other reasonable expenses related thereto) which are levied by a relevant Tax Jurisdiction on the execution, delivery, issuance, or registration of the Securities, or the related Indenture, or any other document or instrument referred to therein in connection with a transfer of such Securities at the time of the initial resale by the initial purchasers.</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72" w:name="page73"/>
    <w:bookmarkEnd w:id="72"/>
    <w:p>
      <w:pPr>
        <w:ind w:left="460" w:right="80" w:firstLine="443"/>
        <w:spacing w:after="0" w:line="293" w:lineRule="auto"/>
        <w:tabs>
          <w:tab w:leader="none" w:pos="1143"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becomes aware that it will be obligated to pay Additional Amounts with respect to any payment under or with respect to the Securities, the Company will deliver to the Trustee on a date that is at least 30 days prior to the date of that payment (unless the obligation to pay Additional Amounts arises fewer than 45 days prior to that payment date, in which case the Company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64" w:lineRule="exact"/>
        <w:rPr>
          <w:rFonts w:ascii="Arial" w:cs="Arial" w:eastAsia="Arial" w:hAnsi="Arial"/>
          <w:sz w:val="16"/>
          <w:szCs w:val="16"/>
          <w:color w:val="auto"/>
        </w:rPr>
      </w:pPr>
    </w:p>
    <w:p>
      <w:pPr>
        <w:ind w:left="460" w:firstLine="443"/>
        <w:spacing w:after="0" w:line="273" w:lineRule="auto"/>
        <w:tabs>
          <w:tab w:leader="none" w:pos="115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will make all withholdings and deductions required by law with respect to the Securities, and will remit the full amount deducted or withheld to the relevant Tax authority in accordance with applicable law. The Company will use its reasonable efforts to obtain Tax receipts from each Tax authority evidencing the payment of any Taxes so deducted or withheld. Upon reasonable written request, the Company will furnish to the Trustee (or to a Holder or beneficial owner upon written request), within a reasonable time after the date the payment of any Taxes so deducted or withheld is made, certified copies of Tax receipts evidencing payment by the Company or if, notwithstanding the Company’s efforts to obtain receipts, receipts are not obtained, other evidence of payments (reasonably satisfactory to the Trustee).</w:t>
      </w:r>
    </w:p>
    <w:p>
      <w:pPr>
        <w:spacing w:after="0" w:line="178" w:lineRule="exact"/>
        <w:rPr>
          <w:rFonts w:ascii="Arial" w:cs="Arial" w:eastAsia="Arial" w:hAnsi="Arial"/>
          <w:sz w:val="17"/>
          <w:szCs w:val="17"/>
          <w:color w:val="auto"/>
        </w:rPr>
      </w:pPr>
    </w:p>
    <w:p>
      <w:pPr>
        <w:ind w:left="460" w:firstLine="443"/>
        <w:spacing w:after="0" w:line="312" w:lineRule="auto"/>
        <w:tabs>
          <w:tab w:leader="none" w:pos="1143"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Whenever in this Indenture there is mentioned, in any context, the payment of amounts based upon the principal amount of the Securities or of principal, interest or of any other amount payable under, or with respect to, any of the Securities, such mention shall be deemed to include mention of the payment of Additional Amounts to the extent that, in such context, Additional Amounts are, were or would be payable in respect thereof.</w:t>
      </w:r>
    </w:p>
    <w:p>
      <w:pPr>
        <w:spacing w:after="0" w:line="147"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The obligations in this Section 4.6 will survive any termination, defeasance or discharge of this Indenture, any transfer by a Holder or beneficial owner of its Securities, and will apply, mutatis mutandis, to any jurisdiction in which any successor Person to the Company is incorporated or organized, or any jurisdiction from or through which payment is made by or on behalf of such Person on the Securities and any political subdivision thereof or therein.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225" w:lineRule="exact"/>
        <w:rPr>
          <w:sz w:val="20"/>
          <w:szCs w:val="20"/>
          <w:color w:val="auto"/>
        </w:rPr>
      </w:pPr>
    </w:p>
    <w:p>
      <w:pPr>
        <w:ind w:left="460" w:right="80" w:firstLine="443"/>
        <w:spacing w:after="0" w:line="276" w:lineRule="auto"/>
        <w:tabs>
          <w:tab w:leader="none" w:pos="1143" w:val="left"/>
        </w:tabs>
        <w:numPr>
          <w:ilvl w:val="0"/>
          <w:numId w:val="48"/>
        </w:numPr>
        <w:rPr>
          <w:rFonts w:ascii="Arial" w:cs="Arial" w:eastAsia="Arial" w:hAnsi="Arial"/>
          <w:sz w:val="17"/>
          <w:szCs w:val="17"/>
          <w:color w:val="auto"/>
        </w:rPr>
      </w:pPr>
      <w:r>
        <w:rPr>
          <w:rFonts w:ascii="Arial" w:cs="Arial" w:eastAsia="Arial" w:hAnsi="Arial"/>
          <w:sz w:val="17"/>
          <w:szCs w:val="17"/>
          <w:color w:val="auto"/>
        </w:rPr>
        <w:t>So long as any Securities are outstanding, the Company shall file with the Trustee, within 15 days after the Company files with the SEC, copies of the annual reports and of the information, documents and other reports (or copies of such portions of any of the foregoing as the SEC may from time to time by rules and regulations prescribe) that the Company may be required to file with the SEC pursuant to Section 13 or Section 15(d) of the Exchange Act. The Company shall be deemed to have complied with the previous sentence to the extent that such information, documents and reports are filed with the SEC via EDGAR (or any successor electronic delivery procedure).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73" w:name="page74"/>
    <w:bookmarkEnd w:id="73"/>
    <w:p>
      <w:pPr>
        <w:jc w:val="both"/>
        <w:ind w:left="460" w:right="60" w:firstLine="443"/>
        <w:spacing w:after="0" w:line="286" w:lineRule="auto"/>
        <w:tabs>
          <w:tab w:leader="none" w:pos="1153" w:val="left"/>
        </w:tabs>
        <w:numPr>
          <w:ilvl w:val="0"/>
          <w:numId w:val="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Consolidation, Merger and Sale of Assets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The Company may not consolidate with or merge into any other Person or transfer or lease all or substantially all of its assets to any Person unless any successor or purchaser expressly assumes its obligations under this Indenture and the Securities, by an indenture supplemental to this Indenture to which the Company is a party to, and immediately after which, no Default or Event of Default, shall have happened and be continuing. An Officer’s Certificate and an Opinion of Counsel will be delivered to the Trustee, which will serve as conclusive evidence of compliance with this Section 5.1.</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right="600" w:firstLine="913"/>
        <w:spacing w:after="0" w:line="308" w:lineRule="auto"/>
        <w:rPr>
          <w:sz w:val="20"/>
          <w:szCs w:val="20"/>
          <w:color w:val="auto"/>
        </w:rPr>
      </w:pPr>
      <w:r>
        <w:rPr>
          <w:rFonts w:ascii="Arial" w:cs="Arial" w:eastAsia="Arial" w:hAnsi="Arial"/>
          <w:sz w:val="17"/>
          <w:szCs w:val="17"/>
          <w:color w:val="auto"/>
        </w:rPr>
        <w:t>The following are “</w:t>
      </w:r>
      <w:r>
        <w:rPr>
          <w:rFonts w:ascii="Arial" w:cs="Arial" w:eastAsia="Arial" w:hAnsi="Arial"/>
          <w:sz w:val="17"/>
          <w:szCs w:val="17"/>
          <w:i w:val="1"/>
          <w:iCs w:val="1"/>
          <w:color w:val="auto"/>
        </w:rPr>
        <w:t>Events of Default</w:t>
      </w:r>
      <w:r>
        <w:rPr>
          <w:rFonts w:ascii="Arial" w:cs="Arial" w:eastAsia="Arial" w:hAnsi="Arial"/>
          <w:sz w:val="17"/>
          <w:szCs w:val="17"/>
          <w:color w:val="auto"/>
        </w:rPr>
        <w:t>” with respect to the Securities of any Series, unless in the establishing Board Resolution, Officer’s Certificate or supplemental indenture, it is provided that such Series shall not have the benefit of said Event of Default:</w:t>
      </w:r>
    </w:p>
    <w:p>
      <w:pPr>
        <w:spacing w:after="0" w:line="38" w:lineRule="exact"/>
        <w:rPr>
          <w:sz w:val="20"/>
          <w:szCs w:val="20"/>
          <w:color w:val="auto"/>
        </w:rPr>
      </w:pPr>
    </w:p>
    <w:p>
      <w:pPr>
        <w:ind w:left="1140" w:hanging="237"/>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pay any interest on the Securities within 30 days after such interest becomes due and payable;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failure to pay principal of the Securities at maturity, or if applicable, the redemption price, when the same become due and payable;</w:t>
      </w:r>
    </w:p>
    <w:p>
      <w:pPr>
        <w:spacing w:after="0" w:line="128" w:lineRule="exact"/>
        <w:rPr>
          <w:rFonts w:ascii="Arial" w:cs="Arial" w:eastAsia="Arial" w:hAnsi="Arial"/>
          <w:sz w:val="17"/>
          <w:szCs w:val="17"/>
          <w:color w:val="auto"/>
        </w:rPr>
      </w:pPr>
    </w:p>
    <w:p>
      <w:pPr>
        <w:ind w:left="460" w:right="800" w:firstLine="443"/>
        <w:spacing w:after="0" w:line="277" w:lineRule="auto"/>
        <w:tabs>
          <w:tab w:leader="none" w:pos="11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pay any sinking fund installment as and when the same shall become due and payable by the terms of the Securities, and continuance of such default for a period of 30 days;</w:t>
      </w:r>
    </w:p>
    <w:p>
      <w:pPr>
        <w:spacing w:after="0" w:line="62" w:lineRule="exact"/>
        <w:rPr>
          <w:rFonts w:ascii="Arial" w:cs="Arial" w:eastAsia="Arial" w:hAnsi="Arial"/>
          <w:sz w:val="18"/>
          <w:szCs w:val="18"/>
          <w:color w:val="auto"/>
        </w:rPr>
      </w:pPr>
    </w:p>
    <w:p>
      <w:pPr>
        <w:ind w:left="460" w:right="140" w:firstLine="443"/>
        <w:spacing w:after="0" w:line="264" w:lineRule="auto"/>
        <w:tabs>
          <w:tab w:leader="none" w:pos="11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comply with any of the covenants or agreements in the Securities or this Indenture (other than an agreement or covenant that the Company has included in this Indenture solely for the benefit of another Series of Securities) for 90 days after written notice by the Trustee or by the Holders of at least 25% in principal amount of all outstanding debt securities affected by that failure;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274" w:right="339" w:bottom="1440" w:gutter="0" w:footer="0" w:header="0"/>
        </w:sectPr>
      </w:pPr>
    </w:p>
    <w:bookmarkStart w:id="74" w:name="page75"/>
    <w:bookmarkEnd w:id="74"/>
    <w:p>
      <w:pPr>
        <w:ind w:left="1140" w:hanging="237"/>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pursuant to or within the meaning of any Bankruptcy Law:</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rFonts w:ascii="Arial" w:cs="Arial" w:eastAsia="Arial" w:hAnsi="Arial"/>
          <w:sz w:val="18"/>
          <w:szCs w:val="18"/>
          <w:color w:val="auto"/>
        </w:rPr>
      </w:pPr>
    </w:p>
    <w:p>
      <w:pPr>
        <w:ind w:left="1120" w:hanging="217"/>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the order or decree remains unstayed and in effect for 60 days; and</w:t>
      </w:r>
    </w:p>
    <w:p>
      <w:pPr>
        <w:spacing w:after="0" w:line="225" w:lineRule="exact"/>
        <w:rPr>
          <w:sz w:val="20"/>
          <w:szCs w:val="20"/>
          <w:color w:val="auto"/>
        </w:rPr>
      </w:pPr>
    </w:p>
    <w:p>
      <w:pPr>
        <w:ind w:left="460" w:right="140" w:firstLine="443"/>
        <w:spacing w:after="0" w:line="277"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Board Resolution under which such Series of Securities is issued or in the form of Security for such Series.</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Default under one Series of Securities issued under this Indenture will not necessarily be a default under another Series of Securities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If an Event of Default for a Series of Securities occurs and is continuing (other than an Event of Default referred to in Section 6.1(e) or (f)), the Trustee or the Holders of at least 25% in principal amount of such Series of Securities may require the Company to pay immediately the principal amount plus accrued and unpaid interest on such Securities. If an Event of Default referred to in Section 6.1(e) or (f) occurs, the principal amount plus accrued and unpaid interest on such Series of Securities will become immediately due and payable without any action on the part of the Trustee or any Holder.</w:t>
      </w:r>
    </w:p>
    <w:p>
      <w:pPr>
        <w:spacing w:after="0" w:line="154"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At any time after such a declaration of acceleration with respect to any Series has been made and before a judgment or decree for payment of the money due has been obtained by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75" w:name="page76"/>
    <w:bookmarkEnd w:id="7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as hereinafter in this Article VI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60" w:right="180" w:firstLine="443"/>
        <w:spacing w:after="0" w:line="277" w:lineRule="auto"/>
        <w:tabs>
          <w:tab w:leader="none" w:pos="11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then, </w:t>
      </w:r>
      <w:r>
        <w:rPr>
          <w:rFonts w:ascii="Arial" w:cs="Arial" w:eastAsia="Arial" w:hAnsi="Arial"/>
          <w:sz w:val="16"/>
          <w:szCs w:val="16"/>
          <w:color w:val="auto"/>
        </w:rPr>
        <w:t>the Company will, upon demand of the Trustee, pay to it, for the benefit of the Holders of such Securities, the whole amount then due and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54"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80" w:lineRule="exact"/>
        <w:rPr>
          <w:sz w:val="20"/>
          <w:szCs w:val="20"/>
          <w:color w:val="auto"/>
        </w:rPr>
      </w:pPr>
    </w:p>
    <w:p>
      <w:pPr>
        <w:ind w:left="460" w:right="80" w:firstLine="443"/>
        <w:spacing w:after="0" w:line="312" w:lineRule="auto"/>
        <w:tabs>
          <w:tab w:leader="none" w:pos="11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with respect to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7.6.</w:t>
      </w:r>
    </w:p>
    <w:p>
      <w:pPr>
        <w:spacing w:after="0" w:line="18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with respect to the claim of any Holder in any such proceeding.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with respect to which such judgment has been recovered.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Any money collected by the Trustee pursuant to this Article VI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77" w:name="page78"/>
    <w:bookmarkEnd w:id="7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To the payment of all amounts due the Trustee under Section 7.6;</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premium, if any, and interest on the Securities with respect to which or for the benefit of which such money has been collected, ratably, without preference or priority of any kind, according to the amounts due and payable on such Securities for principal and interest, respectively; and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Holder of Securities of any Series may pursue any remedy under this Indenture applicable to such Securities only if:</w:t>
      </w:r>
    </w:p>
    <w:p>
      <w:pPr>
        <w:spacing w:after="0" w:line="117" w:lineRule="exact"/>
        <w:rPr>
          <w:sz w:val="20"/>
          <w:szCs w:val="20"/>
          <w:color w:val="auto"/>
        </w:rPr>
      </w:pPr>
    </w:p>
    <w:p>
      <w:pPr>
        <w:ind w:left="1140" w:hanging="237"/>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Series of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such outstanding Series of Securities make a written request to the Trustee to pursue the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remedy;</w:t>
      </w:r>
    </w:p>
    <w:p>
      <w:pPr>
        <w:spacing w:after="0" w:line="102" w:lineRule="exact"/>
        <w:rPr>
          <w:rFonts w:ascii="Arial" w:cs="Arial" w:eastAsia="Arial" w:hAnsi="Arial"/>
          <w:sz w:val="16"/>
          <w:szCs w:val="16"/>
          <w:color w:val="auto"/>
        </w:rPr>
      </w:pPr>
    </w:p>
    <w:p>
      <w:pPr>
        <w:ind w:left="460" w:right="180" w:firstLine="443"/>
        <w:spacing w:after="0" w:line="277" w:lineRule="auto"/>
        <w:tabs>
          <w:tab w:leader="none" w:pos="11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Holders furnish to the Trustee indemnity reasonably satisfactory to the Trustee against the costs, expenses and liabilities which might be incurred by it in compliance with such request;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17" w:lineRule="exact"/>
        <w:rPr>
          <w:rFonts w:ascii="Arial" w:cs="Arial" w:eastAsia="Arial" w:hAnsi="Arial"/>
          <w:sz w:val="18"/>
          <w:szCs w:val="18"/>
          <w:color w:val="auto"/>
        </w:rPr>
      </w:pPr>
    </w:p>
    <w:p>
      <w:pPr>
        <w:ind w:left="460" w:right="320" w:firstLine="443"/>
        <w:spacing w:after="0" w:line="277" w:lineRule="auto"/>
        <w:tabs>
          <w:tab w:leader="none" w:pos="11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such Securities do not give the Trustee a direction inconsistent with the request.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provision does not, however, affect the right of a Holder of Securities to sue for enforcement of any overdue payment with respect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3" w:lineRule="exact"/>
        <w:rPr>
          <w:sz w:val="20"/>
          <w:szCs w:val="20"/>
          <w:color w:val="auto"/>
        </w:rPr>
      </w:pPr>
    </w:p>
    <w:p>
      <w:pPr>
        <w:ind w:left="1140" w:hanging="237"/>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left="460" w:right="180" w:firstLine="443"/>
        <w:spacing w:after="0" w:line="264" w:lineRule="auto"/>
        <w:tabs>
          <w:tab w:leader="none" w:pos="11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in good faith shall, by a Responsible Officer of the Trustee, determine that the proceeding so directed would involve the Trustee in personal liability or that it will not be adequately indemnified against the costs, expenses and liabilities which might be incurred by it in complying with such direction.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225" w:lineRule="exact"/>
        <w:rPr>
          <w:sz w:val="20"/>
          <w:szCs w:val="20"/>
          <w:color w:val="auto"/>
        </w:rPr>
      </w:pPr>
    </w:p>
    <w:p>
      <w:pPr>
        <w:jc w:val="both"/>
        <w:ind w:left="460" w:right="180" w:firstLine="443"/>
        <w:spacing w:after="0" w:line="264" w:lineRule="auto"/>
        <w:tabs>
          <w:tab w:leader="none" w:pos="11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such exercise, as a prudent man would exercise or use under the circumstances in the conduct of his own affairs.</w:t>
      </w:r>
    </w:p>
    <w:p>
      <w:pPr>
        <w:spacing w:after="0" w:line="181" w:lineRule="exact"/>
        <w:rPr>
          <w:rFonts w:ascii="Arial" w:cs="Arial" w:eastAsia="Arial" w:hAnsi="Arial"/>
          <w:sz w:val="18"/>
          <w:szCs w:val="18"/>
          <w:color w:val="auto"/>
        </w:rPr>
      </w:pPr>
    </w:p>
    <w:p>
      <w:pPr>
        <w:ind w:left="1160" w:hanging="257"/>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with respect to the Securities of any Series:</w:t>
      </w:r>
    </w:p>
    <w:p>
      <w:pPr>
        <w:spacing w:after="0" w:line="130" w:lineRule="exact"/>
        <w:rPr>
          <w:rFonts w:ascii="Arial" w:cs="Arial" w:eastAsia="Arial" w:hAnsi="Arial"/>
          <w:sz w:val="18"/>
          <w:szCs w:val="18"/>
          <w:color w:val="auto"/>
        </w:rPr>
      </w:pPr>
    </w:p>
    <w:p>
      <w:pPr>
        <w:ind w:left="1700" w:right="120" w:hanging="558"/>
        <w:spacing w:after="0" w:line="277" w:lineRule="auto"/>
        <w:tabs>
          <w:tab w:leader="none" w:pos="1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 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80" w:name="page81"/>
    <w:bookmarkEnd w:id="80"/>
    <w:p>
      <w:pPr>
        <w:ind w:left="1240" w:right="220" w:hanging="558"/>
        <w:spacing w:after="0" w:line="259" w:lineRule="auto"/>
        <w:tabs>
          <w:tab w:leader="none" w:pos="1240" w:val="left"/>
        </w:tabs>
        <w:numPr>
          <w:ilvl w:val="1"/>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186" w:lineRule="exact"/>
        <w:rPr>
          <w:rFonts w:ascii="Arial" w:cs="Arial" w:eastAsia="Arial" w:hAnsi="Arial"/>
          <w:sz w:val="18"/>
          <w:szCs w:val="18"/>
          <w:color w:val="auto"/>
        </w:rPr>
      </w:pPr>
    </w:p>
    <w:p>
      <w:pPr>
        <w:ind w:firstLine="443"/>
        <w:spacing w:after="0" w:line="277" w:lineRule="auto"/>
        <w:tabs>
          <w:tab w:leader="none" w:pos="68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grossly negligent action, its own grossly negligent failure to act or its own willful misconduct, except that:</w:t>
      </w:r>
    </w:p>
    <w:p>
      <w:pPr>
        <w:spacing w:after="0" w:line="75" w:lineRule="exact"/>
        <w:rPr>
          <w:rFonts w:ascii="Arial" w:cs="Arial" w:eastAsia="Arial" w:hAnsi="Arial"/>
          <w:sz w:val="18"/>
          <w:szCs w:val="18"/>
          <w:color w:val="auto"/>
        </w:rPr>
      </w:pPr>
    </w:p>
    <w:p>
      <w:pPr>
        <w:ind w:left="1240" w:hanging="558"/>
        <w:spacing w:after="0"/>
        <w:tabs>
          <w:tab w:leader="none" w:pos="12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7.1; and</w:t>
      </w:r>
    </w:p>
    <w:p>
      <w:pPr>
        <w:spacing w:after="0" w:line="130" w:lineRule="exact"/>
        <w:rPr>
          <w:rFonts w:ascii="Arial" w:cs="Arial" w:eastAsia="Arial" w:hAnsi="Arial"/>
          <w:sz w:val="18"/>
          <w:szCs w:val="18"/>
          <w:color w:val="auto"/>
        </w:rPr>
      </w:pPr>
    </w:p>
    <w:p>
      <w:pPr>
        <w:ind w:left="1240" w:right="420" w:hanging="558"/>
        <w:spacing w:after="0" w:line="277" w:lineRule="auto"/>
        <w:tabs>
          <w:tab w:leader="none" w:pos="12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grossly negligent in ascertaining the pertinent facts.</w:t>
      </w:r>
    </w:p>
    <w:p>
      <w:pPr>
        <w:spacing w:after="0" w:line="170" w:lineRule="exact"/>
        <w:rPr>
          <w:rFonts w:ascii="Arial" w:cs="Arial" w:eastAsia="Arial" w:hAnsi="Arial"/>
          <w:sz w:val="18"/>
          <w:szCs w:val="18"/>
          <w:color w:val="auto"/>
        </w:rPr>
      </w:pPr>
    </w:p>
    <w:p>
      <w:pPr>
        <w:ind w:right="600" w:firstLine="443"/>
        <w:spacing w:after="0" w:line="277" w:lineRule="auto"/>
        <w:tabs>
          <w:tab w:leader="none" w:pos="6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the provisions of this Article VII.</w:t>
      </w:r>
    </w:p>
    <w:p>
      <w:pPr>
        <w:spacing w:after="0" w:line="170" w:lineRule="exact"/>
        <w:rPr>
          <w:rFonts w:ascii="Arial" w:cs="Arial" w:eastAsia="Arial" w:hAnsi="Arial"/>
          <w:sz w:val="18"/>
          <w:szCs w:val="18"/>
          <w:color w:val="auto"/>
        </w:rPr>
      </w:pPr>
    </w:p>
    <w:p>
      <w:pPr>
        <w:ind w:right="460" w:firstLine="443"/>
        <w:spacing w:after="0" w:line="342" w:lineRule="auto"/>
        <w:tabs>
          <w:tab w:leader="none" w:pos="683"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123" w:lineRule="exact"/>
        <w:rPr>
          <w:rFonts w:ascii="Arial" w:cs="Arial" w:eastAsia="Arial" w:hAnsi="Arial"/>
          <w:sz w:val="16"/>
          <w:szCs w:val="16"/>
          <w:color w:val="auto"/>
        </w:rPr>
      </w:pPr>
    </w:p>
    <w:p>
      <w:pPr>
        <w:ind w:right="40" w:firstLine="443"/>
        <w:spacing w:after="0" w:line="259" w:lineRule="auto"/>
        <w:tabs>
          <w:tab w:leader="none" w:pos="6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225" w:lineRule="exact"/>
        <w:rPr>
          <w:sz w:val="20"/>
          <w:szCs w:val="20"/>
          <w:color w:val="auto"/>
        </w:rPr>
      </w:pPr>
    </w:p>
    <w:p>
      <w:pPr>
        <w:ind w:right="20" w:firstLine="443"/>
        <w:spacing w:after="0" w:line="302" w:lineRule="auto"/>
        <w:tabs>
          <w:tab w:leader="none" w:pos="6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154" w:lineRule="exact"/>
        <w:rPr>
          <w:rFonts w:ascii="Arial" w:cs="Arial" w:eastAsia="Arial" w:hAnsi="Arial"/>
          <w:sz w:val="16"/>
          <w:szCs w:val="16"/>
          <w:color w:val="auto"/>
        </w:rPr>
      </w:pPr>
    </w:p>
    <w:p>
      <w:pPr>
        <w:ind w:right="340" w:firstLine="443"/>
        <w:spacing w:after="0" w:line="277" w:lineRule="auto"/>
        <w:tabs>
          <w:tab w:leader="none" w:pos="693"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instruction, an Officer’s Certificate or an Opinion of Counsel or both to be provided. The Trustee</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60"/>
          </w:cols>
          <w:pgMar w:left="700" w:top="274" w:right="339" w:bottom="1440" w:gutter="0" w:footer="0" w:header="0"/>
        </w:sectPr>
      </w:pPr>
    </w:p>
    <w:bookmarkStart w:id="81" w:name="page82"/>
    <w:bookmarkEnd w:id="81"/>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be liable for any action it takes or omits to take in good faith in reliance on such instruction, Officer’s Certificate or Opinion of Counsel. The Trustee may consult with counsel and the written advice of such counsel or any Opinion of Counsel shall be full and complete authorization and protection with respect to any action taken, suffered or omitted by it hereunder in good faith and in reliance thereon.</w:t>
      </w:r>
    </w:p>
    <w:p>
      <w:pPr>
        <w:spacing w:after="0" w:line="166" w:lineRule="exact"/>
        <w:rPr>
          <w:sz w:val="20"/>
          <w:szCs w:val="20"/>
          <w:color w:val="auto"/>
        </w:rPr>
      </w:pPr>
    </w:p>
    <w:p>
      <w:pPr>
        <w:ind w:right="200" w:firstLine="443"/>
        <w:spacing w:after="0" w:line="277" w:lineRule="auto"/>
        <w:tabs>
          <w:tab w:leader="none" w:pos="6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act through agents, attorneys, custodians or nominees and shall not be responsible for the misconduct or negligence of any agent, attorney, custodian or nominee appointed with due care.</w:t>
      </w:r>
    </w:p>
    <w:p>
      <w:pPr>
        <w:spacing w:after="0" w:line="170" w:lineRule="exact"/>
        <w:rPr>
          <w:rFonts w:ascii="Arial" w:cs="Arial" w:eastAsia="Arial" w:hAnsi="Arial"/>
          <w:sz w:val="18"/>
          <w:szCs w:val="18"/>
          <w:color w:val="auto"/>
        </w:rPr>
      </w:pPr>
    </w:p>
    <w:p>
      <w:pPr>
        <w:ind w:firstLine="443"/>
        <w:spacing w:after="0" w:line="264" w:lineRule="auto"/>
        <w:tabs>
          <w:tab w:leader="none" w:pos="6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w:t>
      </w:r>
    </w:p>
    <w:p>
      <w:pPr>
        <w:spacing w:after="0" w:line="181" w:lineRule="exact"/>
        <w:rPr>
          <w:rFonts w:ascii="Arial" w:cs="Arial" w:eastAsia="Arial" w:hAnsi="Arial"/>
          <w:sz w:val="18"/>
          <w:szCs w:val="18"/>
          <w:color w:val="auto"/>
        </w:rPr>
      </w:pPr>
    </w:p>
    <w:p>
      <w:pPr>
        <w:ind w:right="380" w:firstLine="443"/>
        <w:spacing w:after="0" w:line="277" w:lineRule="auto"/>
        <w:tabs>
          <w:tab w:leader="none" w:pos="6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shall be sufficient if signed by an Officer of the Company.</w:t>
      </w:r>
    </w:p>
    <w:p>
      <w:pPr>
        <w:spacing w:after="0" w:line="170" w:lineRule="exact"/>
        <w:rPr>
          <w:rFonts w:ascii="Arial" w:cs="Arial" w:eastAsia="Arial" w:hAnsi="Arial"/>
          <w:sz w:val="18"/>
          <w:szCs w:val="18"/>
          <w:color w:val="auto"/>
        </w:rPr>
      </w:pPr>
    </w:p>
    <w:p>
      <w:pPr>
        <w:ind w:right="40" w:firstLine="443"/>
        <w:spacing w:after="0" w:line="312" w:lineRule="auto"/>
        <w:tabs>
          <w:tab w:leader="none" w:pos="66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spacing w:after="0" w:line="146" w:lineRule="exact"/>
        <w:rPr>
          <w:rFonts w:ascii="Arial" w:cs="Arial" w:eastAsia="Arial" w:hAnsi="Arial"/>
          <w:sz w:val="16"/>
          <w:szCs w:val="16"/>
          <w:color w:val="auto"/>
        </w:rPr>
      </w:pPr>
    </w:p>
    <w:p>
      <w:pPr>
        <w:ind w:right="120" w:firstLine="443"/>
        <w:spacing w:after="0" w:line="312" w:lineRule="auto"/>
        <w:tabs>
          <w:tab w:leader="none" w:pos="69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146" w:lineRule="exact"/>
        <w:rPr>
          <w:rFonts w:ascii="Arial" w:cs="Arial" w:eastAsia="Arial" w:hAnsi="Arial"/>
          <w:sz w:val="16"/>
          <w:szCs w:val="16"/>
          <w:color w:val="auto"/>
        </w:rPr>
      </w:pPr>
    </w:p>
    <w:p>
      <w:pPr>
        <w:ind w:right="320" w:firstLine="443"/>
        <w:spacing w:after="0" w:line="264" w:lineRule="auto"/>
        <w:tabs>
          <w:tab w:leader="none" w:pos="6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81" w:lineRule="exact"/>
        <w:rPr>
          <w:rFonts w:ascii="Arial" w:cs="Arial" w:eastAsia="Arial" w:hAnsi="Arial"/>
          <w:sz w:val="18"/>
          <w:szCs w:val="18"/>
          <w:color w:val="auto"/>
        </w:rPr>
      </w:pPr>
    </w:p>
    <w:p>
      <w:pPr>
        <w:ind w:right="320" w:firstLine="443"/>
        <w:spacing w:after="0" w:line="259" w:lineRule="auto"/>
        <w:tabs>
          <w:tab w:leader="none" w:pos="6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at any time request, and the Company shall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700" w:top="274" w:right="239" w:bottom="1440" w:gutter="0" w:footer="0" w:header="0"/>
        </w:sectPr>
      </w:pPr>
    </w:p>
    <w:bookmarkStart w:id="82" w:name="page83"/>
    <w:bookmarkEnd w:id="82"/>
    <w:p>
      <w:pPr>
        <w:ind w:left="460" w:right="40" w:firstLine="443"/>
        <w:spacing w:after="0" w:line="273" w:lineRule="auto"/>
        <w:tabs>
          <w:tab w:leader="none" w:pos="1113" w:val="left"/>
        </w:tabs>
        <w:numPr>
          <w:ilvl w:val="0"/>
          <w:numId w:val="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herein to the contrary, in no event shall the Trustee be liable for any failure or delay in the performance of its obligations under this Indenture because of circumstances beyond its control, including, but not limited to,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its control whether or not of the same class or kind as specifically named above.</w:t>
      </w:r>
    </w:p>
    <w:p>
      <w:pPr>
        <w:spacing w:after="0" w:line="178" w:lineRule="exact"/>
        <w:rPr>
          <w:rFonts w:ascii="Arial" w:cs="Arial" w:eastAsia="Arial" w:hAnsi="Arial"/>
          <w:sz w:val="17"/>
          <w:szCs w:val="17"/>
          <w:color w:val="auto"/>
        </w:rPr>
      </w:pPr>
    </w:p>
    <w:p>
      <w:pPr>
        <w:ind w:left="460" w:right="200" w:firstLine="443"/>
        <w:spacing w:after="0" w:line="264"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its right to be indemnified, are extended to, and shall be enforceable by, the Trustee in each of its capacities hereunder, each Agent, and each other agent, custodian and other Person employed to act 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225"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7.9 and 7.10.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Trustee makes no representation as to the validity, sufficiency or adequacy of any offering materials, this Indenture or the Securities, it shall not be accountable for the Company’s use of the proceeds from the Securities or any money paid to the Company or upon the Company’s direction under any provision hereof, it shall not be responsible for any statement or recital herein or any statement in any offering materials or the Securities other than its certificate of authentication.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If a Default or Event of Default with respect to the Securities of any Series occurs and is continuing and it is actually known to the Trustee, the Trustee shall mail to Holders of Securities of such Series a notice of the Default or Event of Default within 90 days after it occurs. Except in the case of a Default or Event of Default in payment of principal of, premium (if any) and interest on and Additional Amounts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Company agrees to pay to the Trustee for its acceptance of this Indenture and services hereunder such compensation as the Company and the Trustee shall from time to time agree in writing. The Trustee’s compensation shall not be limited by any law on compensation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83" w:name="page84"/>
    <w:bookmarkEnd w:id="83"/>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 trustee of an express trust. The Company agrees to reimburse the Trustee upon request for all reasonable disbursements, advances and expenses incurred by it. Such expenses shall include the reasonable compensation, disbursements and expenses of the Trustee’s agents and counsel.</w:t>
      </w:r>
    </w:p>
    <w:p>
      <w:pPr>
        <w:spacing w:after="0" w:line="124"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 Company hereby indemnifies the Trustee from, and hold it harmless against any damage, cost, claim, loss, liability or expense (including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the reasonable costs and expenses of defending itself against any claim, except as set forth in the next following paragraph. The Trustee shall notify the Company promptly of any claim for which it may seek indemnity. The Company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Company shall pay the reasonable fees and expenses of such counsel. The Company need not pay for any settlement made without its consent.</w:t>
      </w:r>
    </w:p>
    <w:p>
      <w:pPr>
        <w:spacing w:after="0" w:line="179"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The Company shall not be obligated to reimburse any expense or indemnify against any loss or liability incurred by the Trustee through the Trustee’s own gross negligence or bad faith.</w:t>
      </w:r>
    </w:p>
    <w:p>
      <w:pPr>
        <w:spacing w:after="0" w:line="170"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To secure the payment obligations of the Company in this Section 7.6, the Trustee shall have a lien prior to the Securities on all money or property held or collected by the Trustee, except that held in trust to pay principal of, premium (if any) and interest on and any Additional Amounts with respect to Securities of any Series. Such lien and the obligations of the Company under this Section 7.6 shall survive the satisfaction and discharge of this Indenture, the payment of the Securities and/or the resignation or removal of the Trustee.</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7.7.</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Trustee fails to comply with Section 7.9;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84" w:name="page85"/>
    <w:bookmarkEnd w:id="84"/>
    <w:p>
      <w:pPr>
        <w:ind w:left="1160" w:hanging="257"/>
        <w:spacing w:after="0"/>
        <w:tabs>
          <w:tab w:leader="none" w:pos="1160"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40" w:hanging="237"/>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173"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66"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If the Trustee with respect to the Securities of a Series fails to comply with Section 7.9, any Holder of Securities of such Series may petition any court of competent jurisdiction for the removal of the Trustee and the appointment of a successor Trustee with respect to the Securities of such Series.</w:t>
      </w:r>
    </w:p>
    <w:p>
      <w:pPr>
        <w:spacing w:after="0" w:line="12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10.2. The retiring Trustee shall promptly transfer all property held by it as Trustee to the successor Trustee, subject to the lien provided for in Section 7.6.</w:t>
      </w:r>
    </w:p>
    <w:p>
      <w:pPr>
        <w:spacing w:after="0" w:line="18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4" w:right="299" w:bottom="1440" w:gutter="0" w:footer="0" w:header="0"/>
        </w:sectPr>
      </w:pPr>
    </w:p>
    <w:bookmarkStart w:id="85" w:name="page86"/>
    <w:bookmarkEnd w:id="8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Notwithstanding replacement of the Trustee or Trustees pursuant to this Section 7.7, the obligations of the Company under Section 7.6 shall continue for the benefit of the retiring Trustee or Trustees.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225"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Subject to Section 7.9, if the Trustee consolidates, merges or converts into, or transfers all or substantially all of its corporate trust business (including this transaction) to, another corporation, the successor corporation without any further act shall be the successor Trustee.</w:t>
      </w:r>
    </w:p>
    <w:p>
      <w:pPr>
        <w:spacing w:after="0" w:line="14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There shall at all times be a Trustee hereunder which shall be a corporation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225"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The Trustee is subject to and shall comply with the provisions of the Trust Indenture Act of 1933, as amended (the “</w:t>
      </w:r>
      <w:r>
        <w:rPr>
          <w:rFonts w:ascii="Arial" w:cs="Arial" w:eastAsia="Arial" w:hAnsi="Arial"/>
          <w:sz w:val="18"/>
          <w:szCs w:val="18"/>
          <w:i w:val="1"/>
          <w:iCs w:val="1"/>
          <w:color w:val="auto"/>
        </w:rPr>
        <w:t>TIA</w:t>
      </w:r>
      <w:r>
        <w:rPr>
          <w:rFonts w:ascii="Arial" w:cs="Arial" w:eastAsia="Arial" w:hAnsi="Arial"/>
          <w:sz w:val="18"/>
          <w:szCs w:val="18"/>
          <w:color w:val="auto"/>
        </w:rPr>
        <w:t>”) § 311(a), as if such section applied hereto, excluding any creditor relationship listed in TIA § 311(b). A Trustee who has resigned or been removed shall be subject to TIA § 311(a), as if such section applied hereto, to the extent indicated therein.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DISCHARGE OF INDENTURE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 of Company’s Obligations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59" w:lineRule="auto"/>
        <w:tabs>
          <w:tab w:leader="none" w:pos="69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Indenture shall cease to be of further effect with respect to the Securities of a Series (except that all obligations of the Company under Section 7.6,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500" w:right="60" w:hanging="8"/>
        <w:spacing w:after="0" w:line="277" w:lineRule="auto"/>
        <w:tabs>
          <w:tab w:leader="none" w:pos="1795" w:val="left"/>
        </w:tabs>
        <w:numPr>
          <w:ilvl w:val="2"/>
          <w:numId w:val="64"/>
        </w:numPr>
        <w:rPr>
          <w:rFonts w:ascii="Arial" w:cs="Arial" w:eastAsia="Arial" w:hAnsi="Arial"/>
          <w:sz w:val="18"/>
          <w:szCs w:val="18"/>
          <w:color w:val="auto"/>
        </w:rPr>
      </w:pPr>
      <w:r>
        <w:rPr>
          <w:rFonts w:ascii="Arial" w:cs="Arial" w:eastAsia="Arial" w:hAnsi="Arial"/>
          <w:sz w:val="18"/>
          <w:szCs w:val="18"/>
          <w:color w:val="auto"/>
        </w:rPr>
        <w:t>all outstanding Securities of such Series theretofore authenticated and issued (other than destroyed, lost or stolen Securities that have been replaced or paid) have been delivered to the Trustee for cancellation; or</w:t>
      </w:r>
    </w:p>
    <w:p>
      <w:pPr>
        <w:spacing w:after="0" w:line="62" w:lineRule="exact"/>
        <w:rPr>
          <w:rFonts w:ascii="Arial" w:cs="Arial" w:eastAsia="Arial" w:hAnsi="Arial"/>
          <w:sz w:val="18"/>
          <w:szCs w:val="18"/>
          <w:color w:val="auto"/>
        </w:rPr>
      </w:pPr>
    </w:p>
    <w:p>
      <w:pPr>
        <w:ind w:left="1780" w:hanging="288"/>
        <w:spacing w:after="0"/>
        <w:tabs>
          <w:tab w:leader="none" w:pos="17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all outstanding Securities of such Series not theretofore delivered to the Trustee for cancellation:</w:t>
      </w:r>
    </w:p>
    <w:p>
      <w:pPr>
        <w:spacing w:after="0" w:line="117" w:lineRule="exact"/>
        <w:rPr>
          <w:rFonts w:ascii="Arial" w:cs="Arial" w:eastAsia="Arial" w:hAnsi="Arial"/>
          <w:sz w:val="18"/>
          <w:szCs w:val="18"/>
          <w:color w:val="auto"/>
        </w:rPr>
      </w:pPr>
    </w:p>
    <w:p>
      <w:pPr>
        <w:ind w:left="2160" w:hanging="212"/>
        <w:spacing w:after="0"/>
        <w:tabs>
          <w:tab w:leader="none" w:pos="2160" w:val="left"/>
        </w:tabs>
        <w:numPr>
          <w:ilvl w:val="3"/>
          <w:numId w:val="64"/>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220" w:hanging="272"/>
        <w:spacing w:after="0"/>
        <w:tabs>
          <w:tab w:leader="none" w:pos="2220" w:val="left"/>
        </w:tabs>
        <w:numPr>
          <w:ilvl w:val="3"/>
          <w:numId w:val="64"/>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940" w:right="480" w:firstLine="8"/>
        <w:spacing w:after="0" w:line="277" w:lineRule="auto"/>
        <w:tabs>
          <w:tab w:leader="none" w:pos="2255" w:val="left"/>
        </w:tabs>
        <w:numPr>
          <w:ilvl w:val="3"/>
          <w:numId w:val="64"/>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in the case of clause (i), (ii) or (iii) above, the Company has irrevocably deposited or caused to be deposited with the Trustee as funds (immediately available to the Holders in the case of clause (i)) in trust for such purpose (x) cash in an amount, or (y) Government Obligations, maturing as to principal and interest at such times and in such amounts as will ensure the availability of cash in an amount or (z) a combination thereof which will be sufficient, in the opinion (in the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87" w:name="page88"/>
    <w:bookmarkEnd w:id="87"/>
    <w:p>
      <w:pPr>
        <w:ind w:left="1480" w:right="20" w:hanging="8"/>
        <w:spacing w:after="0" w:line="277" w:lineRule="auto"/>
        <w:tabs>
          <w:tab w:leader="none" w:pos="1765" w:val="left"/>
        </w:tabs>
        <w:numPr>
          <w:ilvl w:val="2"/>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properly fulfilled such other means of satisfaction and discharge, as contemplated by Section 2.2 to be applicable to the Securities of such Series:</w:t>
      </w:r>
    </w:p>
    <w:p>
      <w:pPr>
        <w:spacing w:after="0" w:line="62" w:lineRule="exact"/>
        <w:rPr>
          <w:rFonts w:ascii="Arial" w:cs="Arial" w:eastAsia="Arial" w:hAnsi="Arial"/>
          <w:sz w:val="18"/>
          <w:szCs w:val="18"/>
          <w:color w:val="auto"/>
        </w:rPr>
      </w:pPr>
    </w:p>
    <w:p>
      <w:pPr>
        <w:ind w:left="1140" w:hanging="257"/>
        <w:spacing w:after="0"/>
        <w:tabs>
          <w:tab w:leader="none" w:pos="11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Company has paid or caused to be paid all other sums payable by it hereunder with respect to the Securities of such Series; and</w:t>
      </w:r>
    </w:p>
    <w:p>
      <w:pPr>
        <w:spacing w:after="0" w:line="128" w:lineRule="exact"/>
        <w:rPr>
          <w:rFonts w:ascii="Arial" w:cs="Arial" w:eastAsia="Arial" w:hAnsi="Arial"/>
          <w:sz w:val="17"/>
          <w:szCs w:val="17"/>
          <w:color w:val="auto"/>
        </w:rPr>
      </w:pPr>
    </w:p>
    <w:p>
      <w:pPr>
        <w:ind w:left="440" w:right="380" w:firstLine="443"/>
        <w:spacing w:after="0" w:line="342" w:lineRule="auto"/>
        <w:tabs>
          <w:tab w:leader="none" w:pos="1133"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123" w:lineRule="exact"/>
        <w:rPr>
          <w:rFonts w:ascii="Arial" w:cs="Arial" w:eastAsia="Arial" w:hAnsi="Arial"/>
          <w:sz w:val="16"/>
          <w:szCs w:val="16"/>
          <w:color w:val="auto"/>
        </w:rPr>
      </w:pPr>
    </w:p>
    <w:p>
      <w:pPr>
        <w:ind w:left="-20" w:right="120" w:firstLine="464"/>
        <w:spacing w:after="0" w:line="277" w:lineRule="auto"/>
        <w:tabs>
          <w:tab w:leader="none" w:pos="6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this Section 8.1(b) is specified as not being applicable to Securities of a Series as contemplated by Section 2.2, the Company may terminate certain of its obligations under this Indenture (“</w:t>
      </w:r>
      <w:r>
        <w:rPr>
          <w:rFonts w:ascii="Arial" w:cs="Arial" w:eastAsia="Arial" w:hAnsi="Arial"/>
          <w:sz w:val="18"/>
          <w:szCs w:val="18"/>
          <w:i w:val="1"/>
          <w:iCs w:val="1"/>
          <w:color w:val="auto"/>
        </w:rPr>
        <w:t>covenant defeasance</w:t>
      </w:r>
      <w:r>
        <w:rPr>
          <w:rFonts w:ascii="Arial" w:cs="Arial" w:eastAsia="Arial" w:hAnsi="Arial"/>
          <w:sz w:val="18"/>
          <w:szCs w:val="18"/>
          <w:color w:val="auto"/>
        </w:rPr>
        <w:t>”) with respect to the Securities of a Series if:</w:t>
      </w:r>
    </w:p>
    <w:p>
      <w:pPr>
        <w:spacing w:after="0" w:line="62" w:lineRule="exact"/>
        <w:rPr>
          <w:rFonts w:ascii="Arial" w:cs="Arial" w:eastAsia="Arial" w:hAnsi="Arial"/>
          <w:sz w:val="18"/>
          <w:szCs w:val="18"/>
          <w:color w:val="auto"/>
        </w:rPr>
      </w:pPr>
    </w:p>
    <w:p>
      <w:pPr>
        <w:jc w:val="both"/>
        <w:ind w:left="440" w:firstLine="443"/>
        <w:spacing w:after="0" w:line="291" w:lineRule="auto"/>
        <w:tabs>
          <w:tab w:leader="none" w:pos="1133"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w:t>
      </w:r>
    </w:p>
    <w:p>
      <w:pPr>
        <w:ind w:left="440" w:right="40" w:firstLine="4"/>
        <w:spacing w:after="0" w:line="252"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8.1(e))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83" w:lineRule="exact"/>
        <w:rPr>
          <w:rFonts w:ascii="Arial" w:cs="Arial" w:eastAsia="Arial" w:hAnsi="Arial"/>
          <w:sz w:val="18"/>
          <w:szCs w:val="18"/>
          <w:color w:val="auto"/>
        </w:rPr>
      </w:pPr>
    </w:p>
    <w:p>
      <w:pPr>
        <w:ind w:left="440" w:right="380" w:firstLine="443"/>
        <w:spacing w:after="0" w:line="308" w:lineRule="auto"/>
        <w:tabs>
          <w:tab w:leader="none" w:pos="1133"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stating that all conditions precedent to satisfaction and discharge of this Indenture with respect to the Securities of such Series have been complied with, and an Opinion of Counsel to the same effect;</w:t>
      </w:r>
    </w:p>
    <w:p>
      <w:pPr>
        <w:spacing w:after="0" w:line="38" w:lineRule="exact"/>
        <w:rPr>
          <w:rFonts w:ascii="Arial" w:cs="Arial" w:eastAsia="Arial" w:hAnsi="Arial"/>
          <w:sz w:val="17"/>
          <w:szCs w:val="17"/>
          <w:color w:val="auto"/>
        </w:rPr>
      </w:pPr>
    </w:p>
    <w:p>
      <w:pPr>
        <w:ind w:left="440" w:right="140" w:firstLine="443"/>
        <w:spacing w:after="0" w:line="264" w:lineRule="auto"/>
        <w:tabs>
          <w:tab w:leader="none" w:pos="1133"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(other than a Default or Event of Default resulting from the borrowing of funds to be applied to such deposit and the grant of any lien securing such borrowings);</w:t>
      </w:r>
    </w:p>
    <w:p>
      <w:pPr>
        <w:spacing w:after="0" w:line="73" w:lineRule="exact"/>
        <w:rPr>
          <w:rFonts w:ascii="Arial" w:cs="Arial" w:eastAsia="Arial" w:hAnsi="Arial"/>
          <w:sz w:val="18"/>
          <w:szCs w:val="18"/>
          <w:color w:val="auto"/>
        </w:rPr>
      </w:pPr>
    </w:p>
    <w:p>
      <w:pPr>
        <w:ind w:left="1140" w:hanging="257"/>
        <w:spacing w:after="0"/>
        <w:tabs>
          <w:tab w:leader="none" w:pos="11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from a nationally recognized counsel acceptable to the Trustee or a</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tax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60" w:top="274" w:right="239" w:bottom="1440" w:gutter="0" w:footer="0" w:header="0"/>
        </w:sectPr>
      </w:pPr>
    </w:p>
    <w:bookmarkStart w:id="88" w:name="page89"/>
    <w:bookmarkEnd w:id="88"/>
    <w:p>
      <w:pPr>
        <w:ind w:left="460"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ruling to the effect that the Holders will not recognize income, gain or loss for Federal income tax purposes as a result of such Company’s exercise of its option under this Section 8.1(b) and will be subject to Federal income tax on the same amount and in the same manner and at the same times as would have been the case if such option had not been exercised; and</w:t>
      </w:r>
    </w:p>
    <w:p>
      <w:pPr>
        <w:spacing w:after="0" w:line="73" w:lineRule="exact"/>
        <w:rPr>
          <w:sz w:val="20"/>
          <w:szCs w:val="20"/>
          <w:color w:val="auto"/>
        </w:rPr>
      </w:pPr>
    </w:p>
    <w:p>
      <w:pPr>
        <w:ind w:left="460" w:right="160" w:firstLine="443"/>
        <w:spacing w:after="0" w:line="277"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has complied with any additional conditions specified pursuant to Section 2.2 to be applicable to the discharge of Securities of such Series pursuant to this Section 8.1.</w:t>
      </w:r>
    </w:p>
    <w:p>
      <w:pPr>
        <w:spacing w:after="0" w:line="170"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such event, this Indenture shall cease to be of further effect (except as set forth in this paragraph), and the Trustee, on written demand of the Company, shall execute instruments acknowledging satisfaction and discharge under this Indenture. However, the Company’s obligations in Sections 2.4, 2.5, 2.6, 2.7, 2.8, 4.1, 5.1, 7.6 and 7.7, the Trustee’s and Paying Agent’s obligations in Section 8.3 and the rights, powers, protections and privileges accorded the Trustee under Article VII shall survive until all Securities of such Series are no longer outstanding. Thereafter, only the obligations of the Company in Section 7.6 and the Trustee’s and Paying Agent’s obligations in Section 8.3 shall survive with respect to Securities of such Series.</w:t>
      </w:r>
    </w:p>
    <w:p>
      <w:pPr>
        <w:spacing w:after="0" w:line="158"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181" w:lineRule="exact"/>
        <w:rPr>
          <w:sz w:val="20"/>
          <w:szCs w:val="20"/>
          <w:color w:val="auto"/>
        </w:rPr>
      </w:pPr>
    </w:p>
    <w:p>
      <w:pPr>
        <w:ind w:right="180" w:firstLine="464"/>
        <w:spacing w:after="0" w:line="279" w:lineRule="auto"/>
        <w:tabs>
          <w:tab w:leader="none" w:pos="701"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the Company has previously complied or is concurrently complying with the conditions set forth in Section 8.1(b) (other than any additional conditions specified pursuant to Section 2.2 that are expressly applicable only to covenant defeasance) with respect to Securities of a Series, then unless this Section 8.1(c) is specified as not being applicable to Securities of such Series as contemplated by Section 2.2, the Company may elect to be discharged (“</w:t>
      </w:r>
      <w:r>
        <w:rPr>
          <w:rFonts w:ascii="Arial" w:cs="Arial" w:eastAsia="Arial" w:hAnsi="Arial"/>
          <w:sz w:val="17"/>
          <w:szCs w:val="17"/>
          <w:i w:val="1"/>
          <w:iCs w:val="1"/>
          <w:color w:val="auto"/>
        </w:rPr>
        <w:t>legal defeasance</w:t>
      </w:r>
      <w:r>
        <w:rPr>
          <w:rFonts w:ascii="Arial" w:cs="Arial" w:eastAsia="Arial" w:hAnsi="Arial"/>
          <w:sz w:val="17"/>
          <w:szCs w:val="17"/>
          <w:color w:val="auto"/>
        </w:rPr>
        <w:t>”) from its obligations to make payments with respect to Securities of such Series, if:</w:t>
      </w:r>
    </w:p>
    <w:p>
      <w:pPr>
        <w:spacing w:after="0" w:line="63" w:lineRule="exact"/>
        <w:rPr>
          <w:rFonts w:ascii="Arial" w:cs="Arial" w:eastAsia="Arial" w:hAnsi="Arial"/>
          <w:sz w:val="17"/>
          <w:szCs w:val="17"/>
          <w:color w:val="auto"/>
        </w:rPr>
      </w:pPr>
    </w:p>
    <w:p>
      <w:pPr>
        <w:jc w:val="both"/>
        <w:ind w:left="460" w:firstLine="443"/>
        <w:spacing w:after="0" w:line="255" w:lineRule="auto"/>
        <w:tabs>
          <w:tab w:leader="none" w:pos="1153" w:val="left"/>
        </w:tabs>
        <w:numPr>
          <w:ilvl w:val="1"/>
          <w:numId w:val="70"/>
        </w:numPr>
        <w:rPr>
          <w:rFonts w:ascii="Arial" w:cs="Arial" w:eastAsia="Arial" w:hAnsi="Arial"/>
          <w:sz w:val="18"/>
          <w:szCs w:val="18"/>
          <w:color w:val="auto"/>
        </w:rPr>
      </w:pPr>
      <w:r>
        <w:rPr>
          <w:rFonts w:ascii="Arial" w:cs="Arial" w:eastAsia="Arial" w:hAnsi="Arial"/>
          <w:sz w:val="18"/>
          <w:szCs w:val="18"/>
          <w:color w:val="auto"/>
        </w:rPr>
        <w:t>unless otherwise specified with respect to Securities of such Series as contemplated by Section 2.2, the Company has delivered to the Trustee an Opinion of Counsel from a nationally recognized counsel acceptable to the Trustee to the effect referred to in Section 8.1(b)(4) with respect to such legal defeasance, which opinion is based on (i) a private ruling of the Internal Revenue Service addressed to the Company, (ii) a published ruling of the Internal Revenue Service or (iii) a change in the applicable federal income tax law (including regulations) after the date of this Indenture; the Company has complied with any other conditions specified pursuant to Section 2.2 to be applicable to the legal defeasance of Securities of such Series pursuant to this Section 8.1(c); and</w:t>
      </w:r>
    </w:p>
    <w:p>
      <w:pPr>
        <w:spacing w:after="0" w:line="85" w:lineRule="exact"/>
        <w:rPr>
          <w:rFonts w:ascii="Arial" w:cs="Arial" w:eastAsia="Arial" w:hAnsi="Arial"/>
          <w:sz w:val="18"/>
          <w:szCs w:val="18"/>
          <w:color w:val="auto"/>
        </w:rPr>
      </w:pPr>
    </w:p>
    <w:p>
      <w:pPr>
        <w:ind w:left="460" w:right="40" w:firstLine="443"/>
        <w:spacing w:after="0" w:line="264" w:lineRule="auto"/>
        <w:tabs>
          <w:tab w:leader="none" w:pos="115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89" w:name="page90"/>
    <w:bookmarkEnd w:id="89"/>
    <w:p>
      <w:pPr>
        <w:ind w:right="2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such event, the Company will be discharged from its obligations under this Indenture and the Securities of such Series to pay principal of, premium (if any) and interest on, and any Additional Amounts with respect to, Securities of such Series, the Company’s obligations under Sections 4.1 and 5.1 shall terminate with respect to such Securities, and the entire indebtedness of the Company evidenced by such Securities shall be deemed paid and discharged.</w:t>
      </w:r>
    </w:p>
    <w:p>
      <w:pPr>
        <w:spacing w:after="0" w:line="187" w:lineRule="exact"/>
        <w:rPr>
          <w:sz w:val="20"/>
          <w:szCs w:val="20"/>
          <w:color w:val="auto"/>
        </w:rPr>
      </w:pPr>
    </w:p>
    <w:p>
      <w:pPr>
        <w:ind w:firstLine="464"/>
        <w:spacing w:after="0" w:line="259" w:lineRule="auto"/>
        <w:tabs>
          <w:tab w:leader="none" w:pos="7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and to the extent additional or alternative means of satisfaction, discharge or defeasance of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spacing w:after="0" w:line="186" w:lineRule="exact"/>
        <w:rPr>
          <w:rFonts w:ascii="Arial" w:cs="Arial" w:eastAsia="Arial" w:hAnsi="Arial"/>
          <w:sz w:val="18"/>
          <w:szCs w:val="18"/>
          <w:color w:val="auto"/>
        </w:rPr>
      </w:pPr>
    </w:p>
    <w:p>
      <w:pPr>
        <w:jc w:val="both"/>
        <w:ind w:right="20" w:firstLine="464"/>
        <w:spacing w:after="0" w:line="259" w:lineRule="auto"/>
        <w:tabs>
          <w:tab w:leader="none" w:pos="7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Securities of any Series subject to subsections (a), (b), (c) or (d)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8.4.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 xml:space="preserve">If the Trustee or the Paying Agent is unable to apply any money or Government Obligations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Without the consent of any Holder of Securities of a Series, the Company and the Trustee may amend or supplement this Indenture or the Series of Securities in the following circumstances:</w:t>
      </w:r>
    </w:p>
    <w:p>
      <w:pPr>
        <w:spacing w:after="0" w:line="62" w:lineRule="exact"/>
        <w:rPr>
          <w:sz w:val="20"/>
          <w:szCs w:val="20"/>
          <w:color w:val="auto"/>
        </w:rPr>
      </w:pPr>
    </w:p>
    <w:p>
      <w:pPr>
        <w:ind w:left="1600" w:hanging="259"/>
        <w:spacing w:after="0"/>
        <w:tabs>
          <w:tab w:leader="none" w:pos="1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provide for the assumption of the Company’s obligations under this Indenture by a successor upon any merger, consolidation or asset</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transfer;</w:t>
      </w:r>
    </w:p>
    <w:p>
      <w:pPr>
        <w:spacing w:after="0" w:line="102" w:lineRule="exact"/>
        <w:rPr>
          <w:rFonts w:ascii="Arial" w:cs="Arial" w:eastAsia="Arial" w:hAnsi="Arial"/>
          <w:sz w:val="16"/>
          <w:szCs w:val="16"/>
          <w:color w:val="auto"/>
        </w:rPr>
      </w:pPr>
    </w:p>
    <w:p>
      <w:pPr>
        <w:ind w:left="1600" w:hanging="259"/>
        <w:spacing w:after="0"/>
        <w:tabs>
          <w:tab w:leader="none" w:pos="1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provide any security for or guarantees of its Securities or for the addition of an additional obligor on its Securities;</w:t>
      </w:r>
    </w:p>
    <w:p>
      <w:pPr>
        <w:spacing w:after="0" w:line="117" w:lineRule="exact"/>
        <w:rPr>
          <w:rFonts w:ascii="Arial" w:cs="Arial" w:eastAsia="Arial" w:hAnsi="Arial"/>
          <w:sz w:val="18"/>
          <w:szCs w:val="18"/>
          <w:color w:val="auto"/>
        </w:rPr>
      </w:pPr>
    </w:p>
    <w:p>
      <w:pPr>
        <w:ind w:left="920" w:right="480" w:firstLine="421"/>
        <w:spacing w:after="0" w:line="277" w:lineRule="auto"/>
        <w:tabs>
          <w:tab w:leader="none" w:pos="15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this Indenture under the Trust Indenture Act of 1939, as amended, if applicable;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add covenants that would benefit the Holders of its Securities or to surrender any rights the Company has under this Indenture;</w:t>
      </w:r>
    </w:p>
    <w:p>
      <w:pPr>
        <w:spacing w:after="0" w:line="128" w:lineRule="exact"/>
        <w:rPr>
          <w:rFonts w:ascii="Arial" w:cs="Arial" w:eastAsia="Arial" w:hAnsi="Arial"/>
          <w:sz w:val="17"/>
          <w:szCs w:val="17"/>
          <w:color w:val="auto"/>
        </w:rPr>
      </w:pPr>
    </w:p>
    <w:p>
      <w:pPr>
        <w:ind w:left="920" w:right="100" w:firstLine="421"/>
        <w:spacing w:after="0" w:line="264" w:lineRule="auto"/>
        <w:tabs>
          <w:tab w:leader="none" w:pos="15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74" w:right="299" w:bottom="1440" w:gutter="0" w:footer="0" w:header="0"/>
        </w:sectPr>
      </w:pPr>
    </w:p>
    <w:bookmarkStart w:id="91" w:name="page92"/>
    <w:bookmarkEnd w:id="91"/>
    <w:p>
      <w:pPr>
        <w:ind w:left="1600" w:hanging="259"/>
        <w:spacing w:after="0"/>
        <w:tabs>
          <w:tab w:leader="none" w:pos="1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provide for the issuance of and establish forms and terms and conditions of a new series of Securities;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Securities;</w:t>
      </w:r>
    </w:p>
    <w:p>
      <w:pPr>
        <w:spacing w:after="0" w:line="117" w:lineRule="exact"/>
        <w:rPr>
          <w:rFonts w:ascii="Arial" w:cs="Arial" w:eastAsia="Arial" w:hAnsi="Arial"/>
          <w:sz w:val="18"/>
          <w:szCs w:val="18"/>
          <w:color w:val="auto"/>
        </w:rPr>
      </w:pPr>
    </w:p>
    <w:p>
      <w:pPr>
        <w:ind w:left="920" w:right="80" w:firstLine="421"/>
        <w:spacing w:after="0" w:line="277" w:lineRule="auto"/>
        <w:tabs>
          <w:tab w:leader="none" w:pos="16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to issue additional Securities of any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Securities have the same terms as, and be deemed part of the same Series as, the applicable Series of Securities to the extent required under this Indenture;</w:t>
      </w:r>
    </w:p>
    <w:p>
      <w:pPr>
        <w:spacing w:after="0" w:line="62" w:lineRule="exact"/>
        <w:rPr>
          <w:rFonts w:ascii="Arial" w:cs="Arial" w:eastAsia="Arial" w:hAnsi="Arial"/>
          <w:sz w:val="18"/>
          <w:szCs w:val="18"/>
          <w:color w:val="auto"/>
        </w:rPr>
      </w:pPr>
    </w:p>
    <w:p>
      <w:pPr>
        <w:ind w:left="920" w:right="260" w:firstLine="421"/>
        <w:spacing w:after="0" w:line="264" w:lineRule="auto"/>
        <w:tabs>
          <w:tab w:leader="none" w:pos="167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evidence and provide for the acceptance of and appointment by a successor trustee with respect to the Securities of one or more Series and to add to or change any of the provisions of this Indenture as shall be necessary to provide for or facilitate the administration of the trust by more than one trustee;</w:t>
      </w:r>
    </w:p>
    <w:p>
      <w:pPr>
        <w:spacing w:after="0" w:line="73" w:lineRule="exact"/>
        <w:rPr>
          <w:rFonts w:ascii="Arial" w:cs="Arial" w:eastAsia="Arial" w:hAnsi="Arial"/>
          <w:sz w:val="18"/>
          <w:szCs w:val="18"/>
          <w:color w:val="auto"/>
        </w:rPr>
      </w:pPr>
    </w:p>
    <w:p>
      <w:pPr>
        <w:ind w:left="1680" w:hanging="339"/>
        <w:spacing w:after="0"/>
        <w:tabs>
          <w:tab w:leader="none" w:pos="1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Securities; and</w:t>
      </w:r>
    </w:p>
    <w:p>
      <w:pPr>
        <w:spacing w:after="0" w:line="117" w:lineRule="exact"/>
        <w:rPr>
          <w:rFonts w:ascii="Arial" w:cs="Arial" w:eastAsia="Arial" w:hAnsi="Arial"/>
          <w:sz w:val="18"/>
          <w:szCs w:val="18"/>
          <w:color w:val="auto"/>
        </w:rPr>
      </w:pPr>
    </w:p>
    <w:p>
      <w:pPr>
        <w:ind w:left="1680" w:hanging="339"/>
        <w:spacing w:after="0"/>
        <w:tabs>
          <w:tab w:leader="none" w:pos="1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Securities in any material respect.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This Indenture or the Securities of a Series may be amended or supplemented, and waivers may be obtained, with the consent of the Holders of at least a majority in aggregate principal amount of the then outstanding Securities of such Series voting as a single class (including consents obtained in connection with a tender offer or exchange offer for, or purchase of, such Securities of a Series), and any existing Default or Event of Default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may be waived with the consent of the Holders of a majority in aggregate principal amount of the then outstanding Securities of such Series voting as a single class (including consents obtained in connection with a purchase of, or tender offer or exchange offer for, such Securities of a Series).</w:t>
      </w:r>
    </w:p>
    <w:p>
      <w:pPr>
        <w:spacing w:after="0" w:line="16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 Series issued by the Company may waive any existing or past Default or Event of Default with respect to those Securities. Those Holders may not, however, waive any Default or Event of Default in any payment on any Security.</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Without the consent of each Holder of Securities of a Series affected thereby, an amendment, supplement or waiver may not (with respect to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of such Series held by a non-consenting Holder):</w:t>
      </w:r>
    </w:p>
    <w:p>
      <w:pPr>
        <w:spacing w:after="0" w:line="103" w:lineRule="exact"/>
        <w:rPr>
          <w:sz w:val="20"/>
          <w:szCs w:val="20"/>
          <w:color w:val="auto"/>
        </w:rPr>
      </w:pPr>
    </w:p>
    <w:p>
      <w:pPr>
        <w:ind w:left="1600" w:hanging="259"/>
        <w:spacing w:after="0"/>
        <w:tabs>
          <w:tab w:leader="none" w:pos="1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amount of the Securities of such Series whose Holders must consent to an amendment, supplement or waiver;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Securities of such Series;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principal of the Securities of such Series or change the Stated Maturity of the Securities of such Series;</w:t>
      </w:r>
    </w:p>
    <w:p>
      <w:pPr>
        <w:spacing w:after="0" w:line="117" w:lineRule="exact"/>
        <w:rPr>
          <w:rFonts w:ascii="Arial" w:cs="Arial" w:eastAsia="Arial" w:hAnsi="Arial"/>
          <w:sz w:val="18"/>
          <w:szCs w:val="18"/>
          <w:color w:val="auto"/>
        </w:rPr>
      </w:pPr>
    </w:p>
    <w:p>
      <w:pPr>
        <w:ind w:left="920" w:firstLine="421"/>
        <w:spacing w:after="0" w:line="277" w:lineRule="auto"/>
        <w:tabs>
          <w:tab w:leader="none" w:pos="15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Securities of such Series or change the time at which the Securities of such Series may or must be redeemed;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Securities of such Series;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make payments on the Security of such Series payable in currency other than as originally stated in such Security;</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the Security of such Series;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make any change in the percentage of principal amount of the Securities of such Series necessary to waive compliance with</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Sections 6.8 and 6.13 of this Indenture or to make any change in this Section 9.3(8); or</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(9) waive a continuing Default or Event of Default regarding any payment on Securities of such Series.</w:t>
      </w:r>
    </w:p>
    <w:p>
      <w:pPr>
        <w:spacing w:after="0" w:line="225" w:lineRule="exact"/>
        <w:rPr>
          <w:sz w:val="20"/>
          <w:szCs w:val="20"/>
          <w:color w:val="auto"/>
        </w:rPr>
      </w:pPr>
    </w:p>
    <w:p>
      <w:pPr>
        <w:ind w:right="400" w:firstLine="913"/>
        <w:spacing w:after="0" w:line="312" w:lineRule="auto"/>
        <w:rPr>
          <w:sz w:val="20"/>
          <w:szCs w:val="20"/>
          <w:color w:val="auto"/>
        </w:rPr>
      </w:pPr>
      <w:r>
        <w:rPr>
          <w:rFonts w:ascii="Arial" w:cs="Arial" w:eastAsia="Arial" w:hAnsi="Arial"/>
          <w:sz w:val="16"/>
          <w:szCs w:val="16"/>
          <w:color w:val="auto"/>
        </w:rPr>
        <w:t>In the event that consent is obtained from some of the Holders but not from all of the Holders with respect to any amendments or waivers pursuant to clauses (1) through (9) of this Section 9.3, new Securities of such Series with such amendments or waivers will be issued to those consenting Holders. Such new Securities shall have separate CUSIP numbers and ISINs from those Securities of such Series held by non-consenting Holders.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Form of Amendments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188"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(1) through (9)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IX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may, but shall not be obligated to, enter into any supplemental indentures which affect the Trustee’s own rights, duties, immunities, or indemnities under this Indenture, the Securities or otherwise.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Any request, direction, instruction, demand, document, notice or communication by the Company or the Trustee to the other, or by a Holder to the Company or the Trustee, shall be in English and in writing and delivered in person, mailed by first-class mail, delivered via facsimile or delivered by overnight courier as follows: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4" w:right="29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(713) 513-2006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Vice President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10166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(212) 351-4035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Andrew L. Fabens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520" w:hanging="599"/>
        <w:spacing w:after="0"/>
        <w:tabs>
          <w:tab w:leader="none" w:pos="1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1520" w:hanging="599"/>
        <w:spacing w:after="0"/>
        <w:tabs>
          <w:tab w:leader="none" w:pos="1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20" w:hanging="599"/>
        <w:spacing w:after="0"/>
        <w:tabs>
          <w:tab w:leader="none" w:pos="1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920"/>
        <w:spacing w:after="0"/>
        <w:tabs>
          <w:tab w:leader="none" w:pos="228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520" w:hanging="599"/>
        <w:spacing w:after="0"/>
        <w:tabs>
          <w:tab w:leader="none" w:pos="1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1520" w:hanging="599"/>
        <w:spacing w:after="0"/>
        <w:tabs>
          <w:tab w:leader="none" w:pos="1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20" w:hanging="599"/>
        <w:spacing w:after="0"/>
        <w:tabs>
          <w:tab w:leader="none" w:pos="1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920"/>
        <w:spacing w:after="0"/>
        <w:tabs>
          <w:tab w:leader="none" w:pos="228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Notices shall be effective upon the recipient’s actual receipt thereof. Any party by notice to the other parties may designate additional or different addresses for subsequent notices or communications.</w:t>
      </w:r>
    </w:p>
    <w:p>
      <w:pPr>
        <w:spacing w:after="0" w:line="170"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Any notice or communication to (i) a Securityholder of a Certificated Security shall be mailed by first-class mail to his address shown on the register kept by the Registrar (ii) a Securityholder of a Global Security shall be delivered to the Depositary in accordance with its applicable procedures. Failure to mail a notice or communication to a Securityholder of any Series or any defect in it shall not affect its sufficiency with respect to other Securityholders of that or any other Series.</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If a notice or communication to any Securityholder is mailed or published in the manner provided above, within the time prescribed, it is duly given, whether or not the Securityholder receives it.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95" w:name="page96"/>
    <w:bookmarkEnd w:id="95"/>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mails a notice or communication to Securityholders, it shall mail a copy to the Trustee and each Agent at the same time.</w:t>
      </w:r>
    </w:p>
    <w:p>
      <w:pPr>
        <w:spacing w:after="0" w:line="23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With respect to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the risk of the Trustee acting on unauthorized instructions, notices, reports or other communications or information, and the risk of interception and misuse by third parties.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225"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Securityholders of a Series may communicate pursuant to TIA § 312(b), as if such section applied hereto, with other Securityholders of such Series with respect to their rights under this Indenture or the Securities.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40" w:lineRule="exact"/>
        <w:rPr>
          <w:sz w:val="20"/>
          <w:szCs w:val="20"/>
          <w:color w:val="auto"/>
        </w:rPr>
      </w:pPr>
    </w:p>
    <w:p>
      <w:pPr>
        <w:ind w:left="920" w:right="80" w:firstLine="421"/>
        <w:spacing w:after="0" w:line="277" w:lineRule="auto"/>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left="1520" w:hanging="17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shall include:</w:t>
      </w:r>
    </w:p>
    <w:p>
      <w:pPr>
        <w:spacing w:after="0" w:line="23" w:lineRule="exact"/>
        <w:rPr>
          <w:sz w:val="20"/>
          <w:szCs w:val="20"/>
          <w:color w:val="auto"/>
        </w:rPr>
      </w:pPr>
    </w:p>
    <w:p>
      <w:pPr>
        <w:ind w:left="1520" w:hanging="17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02" w:lineRule="exact"/>
        <w:rPr>
          <w:rFonts w:ascii="Arial" w:cs="Arial" w:eastAsia="Arial" w:hAnsi="Arial"/>
          <w:sz w:val="18"/>
          <w:szCs w:val="18"/>
          <w:color w:val="auto"/>
        </w:rPr>
      </w:pPr>
    </w:p>
    <w:p>
      <w:pPr>
        <w:ind w:left="920" w:right="120" w:firstLine="421"/>
        <w:spacing w:after="0" w:line="277" w:lineRule="auto"/>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920" w:firstLine="421"/>
        <w:spacing w:after="0" w:line="277" w:lineRule="auto"/>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96" w:name="page97"/>
    <w:bookmarkEnd w:id="96"/>
    <w:p>
      <w:pPr>
        <w:ind w:left="460" w:right="2000" w:firstLine="443"/>
        <w:spacing w:after="0" w:line="501" w:lineRule="auto"/>
        <w:tabs>
          <w:tab w:leader="none" w:pos="1078"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statement as to whether or not, in the opinion of such Person, such condition or covenant has been complied with. Section 10.5.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ind w:right="260" w:firstLine="913"/>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Unless otherwise provided by Board Resolution, Officer’s Certificate or supplemental indenture for a particular Series, a “</w:t>
      </w:r>
      <w:r>
        <w:rPr>
          <w:rFonts w:ascii="Arial" w:cs="Arial" w:eastAsia="Arial" w:hAnsi="Arial"/>
          <w:sz w:val="18"/>
          <w:szCs w:val="18"/>
          <w:i w:val="1"/>
          <w:iCs w:val="1"/>
          <w:color w:val="auto"/>
        </w:rPr>
        <w:t>Legal Holiday</w:t>
      </w:r>
      <w:r>
        <w:rPr>
          <w:rFonts w:ascii="Arial" w:cs="Arial" w:eastAsia="Arial" w:hAnsi="Arial"/>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No Personal Liability of Directors, Officers, Employees and Certain Others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No director, officer, employee, incorporator or similar founder, stockholder or member of the Company will have any liability for or any obligations of the Company under this Indenture or the Securities or for any claim based on, with respect to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right="640" w:firstLine="913"/>
        <w:spacing w:after="0" w:line="308" w:lineRule="auto"/>
        <w:rPr>
          <w:sz w:val="20"/>
          <w:szCs w:val="20"/>
          <w:color w:val="auto"/>
        </w:rPr>
      </w:pPr>
      <w:r>
        <w:rPr>
          <w:rFonts w:ascii="Arial" w:cs="Arial" w:eastAsia="Arial" w:hAnsi="Arial"/>
          <w:sz w:val="17"/>
          <w:szCs w:val="17"/>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Governing Laws</w:t>
      </w:r>
      <w:r>
        <w:rPr>
          <w:rFonts w:ascii="Arial" w:cs="Arial" w:eastAsia="Arial" w:hAnsi="Arial"/>
          <w:sz w:val="18"/>
          <w:szCs w:val="18"/>
          <w:color w:val="auto"/>
        </w:rPr>
        <w:t>.</w:t>
      </w:r>
    </w:p>
    <w:p>
      <w:pPr>
        <w:spacing w:after="0" w:line="221" w:lineRule="exact"/>
        <w:rPr>
          <w:sz w:val="20"/>
          <w:szCs w:val="20"/>
          <w:color w:val="auto"/>
        </w:rPr>
      </w:pPr>
    </w:p>
    <w:p>
      <w:pPr>
        <w:ind w:right="80" w:firstLine="913"/>
        <w:spacing w:after="0" w:line="261"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THIS INDENTURE OR THE SECURITIES, SHALL BE GOVERNED BY THE LAWS OF THE STATE OF NEW YORK WITHOUT REGARD TO CONFLICT OF LAW PRINCIPLES THAT WOULD RESULT IN THE APPLICATION OF ANY LAW OTHER THAN THE LAW OF THE STATE OF NEW YORK.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any Subsidiary of the Company. Any such indenture, loan or debt agreement may not be used to interpret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respective successors. All agreements of the Trustee in this Indenture shall bind its successor.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Table of Contents, Headings, Etc.</w:t>
      </w:r>
    </w:p>
    <w:p>
      <w:pPr>
        <w:spacing w:after="0" w:line="225"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with respect to the principal of or interest or other amount on the Securities of any Series (the “</w:t>
      </w:r>
      <w:r>
        <w:rPr>
          <w:rFonts w:ascii="Arial" w:cs="Arial" w:eastAsia="Arial" w:hAnsi="Arial"/>
          <w:sz w:val="16"/>
          <w:szCs w:val="16"/>
          <w:i w:val="1"/>
          <w:iCs w:val="1"/>
          <w:color w:val="auto"/>
        </w:rPr>
        <w:t>Required</w:t>
      </w:r>
      <w:r>
        <w:rPr>
          <w:rFonts w:ascii="Arial" w:cs="Arial" w:eastAsia="Arial" w:hAnsi="Arial"/>
          <w:sz w:val="16"/>
          <w:szCs w:val="16"/>
          <w:color w:val="auto"/>
        </w:rPr>
        <w:t xml:space="preserve"> </w:t>
      </w:r>
      <w:r>
        <w:rPr>
          <w:rFonts w:ascii="Arial" w:cs="Arial" w:eastAsia="Arial" w:hAnsi="Arial"/>
          <w:sz w:val="16"/>
          <w:szCs w:val="16"/>
          <w:i w:val="1"/>
          <w:iCs w:val="1"/>
          <w:color w:val="auto"/>
        </w:rPr>
        <w:t>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with respect to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Saturday, Sunday or a Legal Holiday in The City of New York on which banking institutions are authorized or required by law, regulation or executive order to close.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10.15. </w:t>
      </w:r>
      <w:r>
        <w:rPr>
          <w:rFonts w:ascii="Arial" w:cs="Arial" w:eastAsia="Arial" w:hAnsi="Arial"/>
          <w:sz w:val="18"/>
          <w:szCs w:val="18"/>
          <w:u w:val="single" w:color="auto"/>
          <w:color w:val="auto"/>
        </w:rPr>
        <w:t>English Language</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Submission to Jurisdiction; Appointment of Agent</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Any suit, action or proceeding against the Company or its respective properties, assets or revenues with respect to this Indenture or the Securities (a “</w:t>
      </w:r>
      <w:r>
        <w:rPr>
          <w:rFonts w:ascii="Arial" w:cs="Arial" w:eastAsia="Arial" w:hAnsi="Arial"/>
          <w:sz w:val="16"/>
          <w:szCs w:val="16"/>
          <w:i w:val="1"/>
          <w:iCs w:val="1"/>
          <w:color w:val="auto"/>
        </w:rPr>
        <w:t>Related Proceeding</w:t>
      </w:r>
      <w:r>
        <w:rPr>
          <w:rFonts w:ascii="Arial" w:cs="Arial" w:eastAsia="Arial" w:hAnsi="Arial"/>
          <w:sz w:val="16"/>
          <w:szCs w:val="16"/>
          <w:color w:val="auto"/>
        </w:rPr>
        <w:t>”) may be brought in any state or Federal court in the Borough of Manhattan in The City of New York, New York, as the Person bringing such Related Proceeding may elect in its sole discretion. The Company hereby consents to the non-exclusive jurisdiction of each such court for the purpose of any Related Proceeding and has irrevocably waived any objection to the laying of venue of any Related Proceeding brought in any such court and to the fullest extent it may effectively do so and the defense of an inconvenient forum to the maintenance of any Related Proceeding or any such suit, action or proceeding in any such court. The Company hereby agrees that service of all writs, claims, process and summonses in any Related Proceeding brought against it in the State of New York may be made upon Schlumberger Limited, 5599 San Felipe Street, 17</w:t>
      </w:r>
      <w:r>
        <w:rPr>
          <w:rFonts w:ascii="Arial" w:cs="Arial" w:eastAsia="Arial" w:hAnsi="Arial"/>
          <w:sz w:val="13"/>
          <w:szCs w:val="13"/>
          <w:color w:val="auto"/>
        </w:rPr>
        <w:t>th</w:t>
      </w:r>
      <w:r>
        <w:rPr>
          <w:rFonts w:ascii="Arial" w:cs="Arial" w:eastAsia="Arial" w:hAnsi="Arial"/>
          <w:sz w:val="16"/>
          <w:szCs w:val="16"/>
          <w:color w:val="auto"/>
        </w:rPr>
        <w:t xml:space="preserve"> Floor, Houston, Texas 77057 Attention: Vice President Treasurer (the “</w:t>
      </w:r>
      <w:r>
        <w:rPr>
          <w:rFonts w:ascii="Arial" w:cs="Arial" w:eastAsia="Arial" w:hAnsi="Arial"/>
          <w:sz w:val="16"/>
          <w:szCs w:val="16"/>
          <w:i w:val="1"/>
          <w:iCs w:val="1"/>
          <w:color w:val="auto"/>
        </w:rPr>
        <w:t>Process Agent</w:t>
      </w:r>
      <w:r>
        <w:rPr>
          <w:rFonts w:ascii="Arial" w:cs="Arial" w:eastAsia="Arial" w:hAnsi="Arial"/>
          <w:sz w:val="16"/>
          <w:szCs w:val="16"/>
          <w:color w:val="auto"/>
        </w:rPr>
        <w:t>”). The Company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 The Company hereby agrees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Waiver of Immunity</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To the extent that the Company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with respect to its obligations under this Indenture, and,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EACH OF THE COMPANY AND THE TRUSTEE HERETO HEREBY IRREVOCABLY WAIVE ALL RIGHTS TO TRIAL BY JURY IN ANY ACTION, PROCEEDING OR COUNTERCLAIM (WHETHER BASED ON CONTRACT, TORT OR OTHERWISE) ARISING OUT OF OR RELATING TO THIS INDENTURE, THE SECURITIES, OR THE TRANSACTIONS CONTEMPLATED HEREBY OR THEREBY.</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240" w:top="274" w:right="57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Schlumberger N.V.</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4034790</wp:posOffset>
            </wp:positionH>
            <wp:positionV relativeFrom="paragraph">
              <wp:posOffset>14605</wp:posOffset>
            </wp:positionV>
            <wp:extent cx="26327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Its:</w:t>
      </w: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Base Indenture</w:t>
      </w:r>
    </w:p>
    <w:p>
      <w:pPr>
        <w:sectPr>
          <w:pgSz w:w="11900" w:h="16838" w:orient="portrait"/>
          <w:cols w:equalWidth="0" w:num="1">
            <w:col w:w="9680"/>
          </w:cols>
          <w:pgMar w:left="1160" w:top="274" w:right="1059" w:bottom="1440" w:gutter="0" w:footer="0" w:header="0"/>
        </w:sectPr>
      </w:pPr>
    </w:p>
    <w:bookmarkStart w:id="101" w:name="page102"/>
    <w:bookmarkEnd w:id="10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26327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Base Indenture</w:t>
      </w:r>
    </w:p>
    <w:p>
      <w:pPr>
        <w:sectPr>
          <w:pgSz w:w="11900" w:h="16838" w:orient="portrait"/>
          <w:cols w:equalWidth="0" w:num="1">
            <w:col w:w="9019"/>
          </w:cols>
          <w:pgMar w:left="1440" w:top="274"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51435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163195</wp:posOffset>
            </wp:positionV>
            <wp:extent cx="15176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tbl>
      <w:tblPr>
        <w:tblLayout w:type="fixed"/>
        <w:tblInd w:w="354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Dated as of [</w:t>
            </w:r>
          </w:p>
        </w:tc>
        <w:tc>
          <w:tcPr>
            <w:tcW w:w="78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154305</wp:posOffset>
            </wp:positionV>
            <wp:extent cx="15176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of Trustee]</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3" w:name="page104"/>
    <w:bookmarkEnd w:id="10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40" w:type="dxa"/>
            <w:vAlign w:val="bottom"/>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104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1.1.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1.2. Other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1.3. Rules of Construction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II.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 Issuable in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2.2. Establishment of Terms of Series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2.3. Execution and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2.4. Registrar, Paying Agent and Transfer Agent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2.5. Paying Agent to Hold Money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2.6. Securityholder Lists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2.7. 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2.8. Mutilated, Destroyed, Lost and Stolen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2.9. Outstanding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2.10. Treasury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2.11. Temporary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2.12. 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2.13. Defaulted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2.14. Global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2.15. CUSIP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III.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3.1. Notice to Trustee; No Liability for Calculations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3.2. Selection of Securities to be Redeemed</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3.3.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3.4. Effect of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3.5. Deposit of Redemption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3.6. Securities Redeemed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3.7. Sinking Fund</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3.8. Satisfaction of Sinking Fund Payments with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3.9. Redemption of Securities for Sinking Fund</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3.10. Redemption Upon Changes in Tax Law</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IV.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4.1. Payment of Principal, Premium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4.2. Compliance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4.3. Stay, Extension and Usury Laws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4.4. Corporate 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4.5. Limitation on Liens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4.6. Additional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4.7. 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V. 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5.1. Consolidation, Merger and Sale of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VI. DEFAULTS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40" w:type="dxa"/>
            <w:vAlign w:val="bottom"/>
          </w:tcPr>
          <w:p>
            <w:pPr>
              <w:ind w:left="360"/>
              <w:spacing w:after="0"/>
              <w:rPr>
                <w:sz w:val="20"/>
                <w:szCs w:val="20"/>
                <w:color w:val="auto"/>
              </w:rPr>
            </w:pPr>
            <w:r>
              <w:rPr>
                <w:rFonts w:ascii="Arial" w:cs="Arial" w:eastAsia="Arial" w:hAnsi="Arial"/>
                <w:sz w:val="18"/>
                <w:szCs w:val="18"/>
                <w:color w:val="auto"/>
              </w:rPr>
              <w:t>Section 6.1. 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7"/>
        </w:trPr>
        <w:tc>
          <w:tcPr>
            <w:tcW w:w="11040" w:type="dxa"/>
            <w:vAlign w:val="bottom"/>
            <w:vMerge w:val="restart"/>
          </w:tcPr>
          <w:p>
            <w:pPr>
              <w:ind w:left="360"/>
              <w:spacing w:after="0"/>
              <w:rPr>
                <w:sz w:val="20"/>
                <w:szCs w:val="20"/>
                <w:color w:val="auto"/>
              </w:rPr>
            </w:pPr>
            <w:r>
              <w:rPr>
                <w:rFonts w:ascii="Arial" w:cs="Arial" w:eastAsia="Arial" w:hAnsi="Arial"/>
                <w:sz w:val="18"/>
                <w:szCs w:val="18"/>
                <w:color w:val="auto"/>
              </w:rPr>
              <w:t>Section 6.2. Acceleration of Maturity; Rescission and Annulment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1040" w:type="dxa"/>
            <w:vAlign w:val="bottom"/>
            <w:vMerge w:val="continue"/>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6.3. Collection of Indebtedness and Suits for Enforcement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6.4. Trustee May File Proofs of Claim</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6.5. Trustee May Enforce Claims Without Possession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6.6. Application of Money Collected</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6.7. Limitation on Suits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6.8. Unconditional Right of Holders to Receive Principal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6.9. Restoration of Rights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6.10. Rights and 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6.11. Delay or Omission Not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6.12. Control by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6.13. Waiver of Past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6.14. Undertaking for Costs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VII.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7.1. Duties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7.2. Rights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7.3. May Hold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7.4. Trustee’s Disclaimer</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7.5. Notice of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7.6. Compensation and Indemnity</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7.7. Replacement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7.8. Successor Trustee by Merger, etc.</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7.9. Eligibility; Disqualification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7.10. Preferential Collection of Claims Against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VIII. DISCHARGE OF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8.1. Termination of Company’s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8.2. Application of Trust Money</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8.3. Repayment to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8.4. Reinstatement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IX.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9.1. Without Consent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9.2. With Consent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9.3. 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9.4. Form of 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9.5. Revocation and Effect of Consents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9.6. Notation on or Exchange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9.7. Trustee Protected</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X. 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10.1. 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10.2. Communication by Holders with Other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10.3. Certificate and Opinion as to Conditions Precedent</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10.4. Statements Required in Certificate or Opinion</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10.5. Rules by Trustee and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10.6. Legal Holidays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11040" w:type="dxa"/>
            <w:vAlign w:val="bottom"/>
          </w:tcPr>
          <w:p>
            <w:pPr>
              <w:ind w:left="360"/>
              <w:spacing w:after="0"/>
              <w:rPr>
                <w:sz w:val="20"/>
                <w:szCs w:val="20"/>
                <w:color w:val="auto"/>
              </w:rPr>
            </w:pPr>
            <w:r>
              <w:rPr>
                <w:rFonts w:ascii="Arial" w:cs="Arial" w:eastAsia="Arial" w:hAnsi="Arial"/>
                <w:sz w:val="18"/>
                <w:szCs w:val="18"/>
                <w:color w:val="auto"/>
              </w:rPr>
              <w:t>Section 10.7. No Personal Liability of Directors, Officers, Employees and Certain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9"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7"/>
        </w:trPr>
        <w:tc>
          <w:tcPr>
            <w:tcW w:w="11040" w:type="dxa"/>
            <w:vAlign w:val="bottom"/>
            <w:vMerge w:val="restart"/>
          </w:tcPr>
          <w:p>
            <w:pPr>
              <w:ind w:left="360"/>
              <w:spacing w:after="0"/>
              <w:rPr>
                <w:sz w:val="20"/>
                <w:szCs w:val="20"/>
                <w:color w:val="auto"/>
              </w:rPr>
            </w:pPr>
            <w:r>
              <w:rPr>
                <w:rFonts w:ascii="Arial" w:cs="Arial" w:eastAsia="Arial" w:hAnsi="Arial"/>
                <w:sz w:val="18"/>
                <w:szCs w:val="18"/>
                <w:color w:val="auto"/>
              </w:rPr>
              <w:t>Section 10.8. Counterparts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1040" w:type="dxa"/>
            <w:vAlign w:val="bottom"/>
            <w:vMerge w:val="continue"/>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10.9. Governing Laws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10.10. No Adverse Interpretation of Other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10.11. 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10.12. 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10.13. Table of Contents, Headings, Etc.</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10.14. Judgment Currency</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10.15. English Language</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10.16. Submission to Jurisdiction; Appointment of Agent</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10.17. Waiver of Immunity</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Section 10.18. 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ARTICLE XI. SUBORDINATION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11040" w:type="dxa"/>
            <w:vAlign w:val="bottom"/>
          </w:tcPr>
          <w:p>
            <w:pPr>
              <w:ind w:left="360"/>
              <w:spacing w:after="0"/>
              <w:rPr>
                <w:sz w:val="20"/>
                <w:szCs w:val="20"/>
                <w:color w:val="auto"/>
              </w:rPr>
            </w:pPr>
            <w:r>
              <w:rPr>
                <w:rFonts w:ascii="Arial" w:cs="Arial" w:eastAsia="Arial" w:hAnsi="Arial"/>
                <w:sz w:val="18"/>
                <w:szCs w:val="18"/>
                <w:color w:val="auto"/>
              </w:rPr>
              <w:t>Section 11.1. Subordination Terms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106" w:name="page107"/>
    <w:bookmarkEnd w:id="106"/>
    <w:p>
      <w:pPr>
        <w:ind w:left="920"/>
        <w:spacing w:after="0"/>
        <w:tabs>
          <w:tab w:leader="none" w:pos="3240" w:val="left"/>
          <w:tab w:leader="none" w:pos="8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 dated as of [</w:t>
      </w:r>
      <w:r>
        <w:rPr>
          <w:sz w:val="20"/>
          <w:szCs w:val="20"/>
          <w:color w:val="auto"/>
        </w:rPr>
        <w:tab/>
      </w:r>
      <w:r>
        <w:rPr>
          <w:rFonts w:ascii="Arial" w:cs="Arial" w:eastAsia="Arial" w:hAnsi="Arial"/>
          <w:sz w:val="18"/>
          <w:szCs w:val="18"/>
          <w:color w:val="auto"/>
        </w:rPr>
        <w:t>], 2011 between Schlumberger N.V. (the “</w:t>
      </w:r>
      <w:r>
        <w:rPr>
          <w:rFonts w:ascii="Arial" w:cs="Arial" w:eastAsia="Arial" w:hAnsi="Arial"/>
          <w:sz w:val="18"/>
          <w:szCs w:val="18"/>
          <w:i w:val="1"/>
          <w:iCs w:val="1"/>
          <w:color w:val="auto"/>
        </w:rPr>
        <w:t>Company</w:t>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as trustee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Each party agrees as follows for the benefit of the other parties and for the equal and ratable benefit of the Holders (as defined below) of the Securities (as defined below) issued under this Indenture.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Transfer Agent or any other agent appointed pursuant to this Indenture.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for a particular Series, any day except a Saturday, Sunday or a Legal Holiday in The City of New York on which banking institutions are authorized or required by law, regulation or executive order to close.</w:t>
      </w:r>
    </w:p>
    <w:p>
      <w:pPr>
        <w:spacing w:after="0" w:line="181" w:lineRule="exact"/>
        <w:rPr>
          <w:sz w:val="20"/>
          <w:szCs w:val="20"/>
          <w:color w:val="auto"/>
        </w:rPr>
      </w:pPr>
    </w:p>
    <w:p>
      <w:pPr>
        <w:ind w:right="3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Certificated Securities</w:t>
      </w:r>
      <w:r>
        <w:rPr>
          <w:rFonts w:ascii="Arial" w:cs="Arial" w:eastAsia="Arial" w:hAnsi="Arial"/>
          <w:sz w:val="18"/>
          <w:szCs w:val="18"/>
          <w:color w:val="auto"/>
        </w:rPr>
        <w:t>” means definitive Securities in registered non-global certificated form.</w:t>
      </w:r>
    </w:p>
    <w:p>
      <w:pPr>
        <w:sectPr>
          <w:pgSz w:w="11900" w:h="16838" w:orient="portrait"/>
          <w:cols w:equalWidth="0" w:num="1">
            <w:col w:w="11420"/>
          </w:cols>
          <w:pgMar w:left="240" w:top="274" w:right="239" w:bottom="1440" w:gutter="0" w:footer="0" w:header="0"/>
        </w:sectPr>
      </w:pPr>
    </w:p>
    <w:bookmarkStart w:id="107" w:name="page108"/>
    <w:bookmarkEnd w:id="10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Company</w:t>
      </w:r>
      <w:r>
        <w:rPr>
          <w:rFonts w:ascii="Arial" w:cs="Arial" w:eastAsia="Arial" w:hAnsi="Arial"/>
          <w:sz w:val="18"/>
          <w:szCs w:val="18"/>
          <w:color w:val="auto"/>
        </w:rPr>
        <w:t>” means Schlumberger N.V. until a successor replaces it and thereafter means the successor.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Order</w:t>
      </w:r>
      <w:r>
        <w:rPr>
          <w:rFonts w:ascii="Arial" w:cs="Arial" w:eastAsia="Arial" w:hAnsi="Arial"/>
          <w:sz w:val="17"/>
          <w:szCs w:val="17"/>
          <w:color w:val="auto"/>
        </w:rPr>
        <w:t>” or “</w:t>
      </w:r>
      <w:r>
        <w:rPr>
          <w:rFonts w:ascii="Arial" w:cs="Arial" w:eastAsia="Arial" w:hAnsi="Arial"/>
          <w:sz w:val="17"/>
          <w:szCs w:val="17"/>
          <w:i w:val="1"/>
          <w:iCs w:val="1"/>
          <w:color w:val="auto"/>
        </w:rPr>
        <w:t>Company Request</w:t>
      </w:r>
      <w:r>
        <w:rPr>
          <w:rFonts w:ascii="Arial" w:cs="Arial" w:eastAsia="Arial" w:hAnsi="Arial"/>
          <w:sz w:val="17"/>
          <w:szCs w:val="17"/>
          <w:color w:val="auto"/>
        </w:rPr>
        <w:t>” means a written order signed in the name of the Company by one of the Company’s Officers.</w:t>
      </w:r>
    </w:p>
    <w:p>
      <w:pPr>
        <w:spacing w:after="0" w:line="23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the amount of total stockholders’ equity shown in the Company’s most recent quarterly consolidated statement of financial position.</w:t>
      </w:r>
    </w:p>
    <w:p>
      <w:pPr>
        <w:spacing w:after="0" w:line="170"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as of the date hereof is the address set forth in Section 10.1.</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Arial" w:cs="Arial" w:eastAsia="Arial" w:hAnsi="Arial"/>
          <w:sz w:val="18"/>
          <w:szCs w:val="18"/>
          <w:i w:val="1"/>
          <w:iCs w:val="1"/>
          <w:color w:val="auto"/>
        </w:rPr>
        <w:t>Depositary</w:t>
      </w:r>
      <w:r>
        <w:rPr>
          <w:rFonts w:ascii="Arial" w:cs="Arial" w:eastAsia="Arial" w:hAnsi="Arial"/>
          <w:sz w:val="18"/>
          <w:szCs w:val="18"/>
          <w:color w:val="auto"/>
        </w:rPr>
        <w:t>” as used with respect to the Securities of any Series shall mean the Depositary with respect to the Securities of such Series.</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7"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Obligations</w:t>
      </w:r>
      <w:r>
        <w:rPr>
          <w:rFonts w:ascii="Arial" w:cs="Arial" w:eastAsia="Arial" w:hAnsi="Arial"/>
          <w:sz w:val="18"/>
          <w:szCs w:val="18"/>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108" w:name="page109"/>
    <w:bookmarkEnd w:id="108"/>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with respect to the Government Obligation evidenced by such depository receipt.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 in the register maintained by the Registrar.</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with respect to any Security, the date of original issuance of such Security.</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and includes any mortgage, pledge, lien, security interest, conditional sale or other title retention agreement or other similar encumbrance.</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as to which (a) neither the Company, nor any of its Subsidiaries (x) provides credit support of any kind or (y) is directly or indirectly liable as a guarantor or otherwise and (b) as to which the lenders have been notified in writing that they will not have any recourse to the stock or assets of the Company or any of its Subsidiaries.</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Chief Operating Officer, Chief Financial Officer, President, any Vice-President, the Treasurer, a Director, the Chairman, the Secretary, any Assistant Treasurer or any Assistant Secretary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Company.</w:t>
      </w:r>
    </w:p>
    <w:p>
      <w:pPr>
        <w:spacing w:after="0" w:line="225"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 direct or indirect employee of or counsel to the Company.</w:t>
      </w:r>
    </w:p>
    <w:p>
      <w:pPr>
        <w:spacing w:after="0" w:line="170"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Periodic Offering</w:t>
      </w:r>
      <w:r>
        <w:rPr>
          <w:rFonts w:ascii="Arial" w:cs="Arial" w:eastAsia="Arial" w:hAnsi="Arial"/>
          <w:sz w:val="16"/>
          <w:szCs w:val="16"/>
          <w:color w:val="auto"/>
        </w:rPr>
        <w:t>” means an offering of Securities of a Series from time to time, during which any or all of the specific terms of the Securities, including the rate or rates of interest, if any, thereon, the maturity or maturities thereof and the redemption provisions, if any, with respect thereto, are to be determined by the Company or its agents upon the issuance of such Securities in accordance with the terms of the relevant supplemental indenture.</w:t>
      </w:r>
    </w:p>
    <w:p>
      <w:pPr>
        <w:spacing w:after="0" w:line="14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09" w:name="page110"/>
    <w:bookmarkEnd w:id="109"/>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with respect to, the Security.</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responsible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1"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Property</w:t>
      </w:r>
      <w:r>
        <w:rPr>
          <w:rFonts w:ascii="Arial" w:cs="Arial" w:eastAsia="Arial" w:hAnsi="Arial"/>
          <w:sz w:val="17"/>
          <w:szCs w:val="17"/>
          <w:color w:val="auto"/>
        </w:rPr>
        <w:t>” means any real property, manufacturing plant, warehouse, office building or other physical facility, or any item of marine, transportation or construction equipment or other like depreciable assets of the Company or any of its Restricted Subsidiaries, whether owned on or acquired after the Issue Date of the Securities of any Series, unless, in the opinion of the Board of Directors, such plant or facility or other asset is not of material importance to the total business conducted by the Company and its Restricted Subsidiaries taken as a whole.</w:t>
      </w:r>
    </w:p>
    <w:p>
      <w:pPr>
        <w:spacing w:after="0" w:line="17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Security</w:t>
      </w:r>
      <w:r>
        <w:rPr>
          <w:rFonts w:ascii="Arial" w:cs="Arial" w:eastAsia="Arial" w:hAnsi="Arial"/>
          <w:sz w:val="18"/>
          <w:szCs w:val="18"/>
          <w:color w:val="auto"/>
        </w:rPr>
        <w:t>”, with respect to any Series of Securities, means a Security of such Series, unless or until it has been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Company which owns a Restricted Property.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w:t>
      </w:r>
      <w:r>
        <w:rPr>
          <w:rFonts w:ascii="Arial" w:cs="Arial" w:eastAsia="Arial" w:hAnsi="Arial"/>
          <w:sz w:val="17"/>
          <w:szCs w:val="17"/>
          <w:color w:val="auto"/>
        </w:rPr>
        <w:t>” means the debentures, notes or other debt instruments of the Company of any Series authenticated and delivered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Securities of the Company created pursuant to Sections 2.1 and 2.2 hereof.</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0" w:name="page111"/>
    <w:bookmarkEnd w:id="110"/>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w:t>
      </w:r>
      <w:r>
        <w:rPr>
          <w:rFonts w:ascii="Arial" w:cs="Arial" w:eastAsia="Arial" w:hAnsi="Arial"/>
          <w:sz w:val="18"/>
          <w:szCs w:val="18"/>
          <w:i w:val="1"/>
          <w:iCs w:val="1"/>
          <w:color w:val="auto"/>
        </w:rPr>
        <w:t>Trustee</w:t>
      </w:r>
      <w:r>
        <w:rPr>
          <w:rFonts w:ascii="Arial" w:cs="Arial" w:eastAsia="Arial" w:hAnsi="Arial"/>
          <w:sz w:val="18"/>
          <w:szCs w:val="18"/>
          <w:color w:val="auto"/>
        </w:rPr>
        <w:t>” in the first paragraph of this instrument until a successor Trustee shall have become such pursuant to the applicable provisions of this Indenture, and thereafter “</w:t>
      </w:r>
      <w:r>
        <w:rPr>
          <w:rFonts w:ascii="Arial" w:cs="Arial" w:eastAsia="Arial" w:hAnsi="Arial"/>
          <w:sz w:val="18"/>
          <w:szCs w:val="18"/>
          <w:i w:val="1"/>
          <w:iCs w:val="1"/>
          <w:color w:val="auto"/>
        </w:rPr>
        <w:t>Trustee</w:t>
      </w:r>
      <w:r>
        <w:rPr>
          <w:rFonts w:ascii="Arial" w:cs="Arial" w:eastAsia="Arial" w:hAnsi="Arial"/>
          <w:sz w:val="18"/>
          <w:szCs w:val="18"/>
          <w:color w:val="auto"/>
        </w:rPr>
        <w:t>” shall mean or include each Person who is then a Trustee hereunder, and if at any time there is more than one such Person, “</w:t>
      </w:r>
      <w:r>
        <w:rPr>
          <w:rFonts w:ascii="Arial" w:cs="Arial" w:eastAsia="Arial" w:hAnsi="Arial"/>
          <w:sz w:val="18"/>
          <w:szCs w:val="18"/>
          <w:i w:val="1"/>
          <w:iCs w:val="1"/>
          <w:color w:val="auto"/>
        </w:rPr>
        <w:t>Trustee</w:t>
      </w:r>
      <w:r>
        <w:rPr>
          <w:rFonts w:ascii="Arial" w:cs="Arial" w:eastAsia="Arial" w:hAnsi="Arial"/>
          <w:sz w:val="18"/>
          <w:szCs w:val="18"/>
          <w:color w:val="auto"/>
        </w:rPr>
        <w:t>” as used with respect to the Securities of any Series shall mean the Trustee with respect to Securities of that Series.</w:t>
      </w:r>
    </w:p>
    <w:p>
      <w:pPr>
        <w:spacing w:after="0" w:line="18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Securities</w:t>
      </w:r>
      <w:r>
        <w:rPr>
          <w:rFonts w:ascii="Arial" w:cs="Arial" w:eastAsia="Arial" w:hAnsi="Arial"/>
          <w:sz w:val="18"/>
          <w:szCs w:val="18"/>
          <w:color w:val="auto"/>
        </w:rPr>
        <w:t>”, with respect to any Series of Securities, means a Security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color w:val="auto"/>
                <w:w w:val="95"/>
              </w:rPr>
              <w:t>TERM</w:t>
            </w:r>
          </w:p>
        </w:tc>
        <w:tc>
          <w:tcPr>
            <w:tcW w:w="2540" w:type="dxa"/>
            <w:vAlign w:val="bottom"/>
            <w:vMerge w:val="restart"/>
          </w:tcPr>
          <w:p>
            <w:pPr>
              <w:spacing w:after="0"/>
              <w:rPr>
                <w:sz w:val="14"/>
                <w:szCs w:val="14"/>
                <w:color w:val="auto"/>
              </w:rPr>
            </w:pPr>
          </w:p>
        </w:tc>
        <w:tc>
          <w:tcPr>
            <w:tcW w:w="4820" w:type="dxa"/>
            <w:vAlign w:val="bottom"/>
            <w:gridSpan w:val="3"/>
          </w:tcPr>
          <w:p>
            <w:pPr>
              <w:jc w:val="right"/>
              <w:ind w:right="280"/>
              <w:spacing w:after="0"/>
              <w:rPr>
                <w:sz w:val="20"/>
                <w:szCs w:val="20"/>
                <w:color w:val="auto"/>
              </w:rPr>
            </w:pPr>
            <w:r>
              <w:rPr>
                <w:rFonts w:ascii="Arial" w:cs="Arial" w:eastAsia="Arial" w:hAnsi="Arial"/>
                <w:sz w:val="14"/>
                <w:szCs w:val="14"/>
                <w:color w:val="auto"/>
              </w:rPr>
              <w:t>DEFINED IN</w:t>
            </w:r>
          </w:p>
        </w:tc>
        <w:tc>
          <w:tcPr>
            <w:tcW w:w="0" w:type="dxa"/>
            <w:vAlign w:val="bottom"/>
          </w:tcPr>
          <w:p>
            <w:pPr>
              <w:spacing w:after="0"/>
              <w:rPr>
                <w:sz w:val="1"/>
                <w:szCs w:val="1"/>
                <w:color w:val="auto"/>
              </w:rPr>
            </w:pPr>
          </w:p>
        </w:tc>
      </w:tr>
      <w:tr>
        <w:trPr>
          <w:trHeight w:val="159"/>
        </w:trPr>
        <w:tc>
          <w:tcPr>
            <w:tcW w:w="400" w:type="dxa"/>
            <w:vAlign w:val="bottom"/>
            <w:tcBorders>
              <w:bottom w:val="single" w:sz="8" w:color="auto"/>
            </w:tcBorders>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108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2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37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40" w:type="dxa"/>
            <w:vAlign w:val="bottom"/>
            <w:gridSpan w:val="2"/>
            <w:vMerge w:val="continue"/>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Tax Jurisdiction</w:t>
            </w:r>
            <w:r>
              <w:rPr>
                <w:rFonts w:ascii="Arial" w:cs="Arial" w:eastAsia="Arial" w:hAnsi="Arial"/>
                <w:sz w:val="18"/>
                <w:szCs w:val="18"/>
                <w:color w:val="auto"/>
              </w:rPr>
              <w:t>”</w:t>
            </w:r>
          </w:p>
        </w:tc>
        <w:tc>
          <w:tcPr>
            <w:tcW w:w="37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37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8.1(b)</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37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8.1(c)</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Process Agent</w:t>
            </w:r>
            <w:r>
              <w:rPr>
                <w:rFonts w:ascii="Arial" w:cs="Arial" w:eastAsia="Arial" w:hAnsi="Arial"/>
                <w:sz w:val="18"/>
                <w:szCs w:val="18"/>
                <w:color w:val="auto"/>
              </w:rPr>
              <w: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Proceeding</w:t>
            </w:r>
            <w:r>
              <w:rPr>
                <w:rFonts w:ascii="Arial" w:cs="Arial" w:eastAsia="Arial" w:hAnsi="Arial"/>
                <w:sz w:val="18"/>
                <w:szCs w:val="18"/>
                <w:color w:val="auto"/>
              </w:rPr>
              <w: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37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Redemption Date</w:t>
            </w:r>
            <w:r>
              <w:rPr>
                <w:rFonts w:ascii="Arial" w:cs="Arial" w:eastAsia="Arial" w:hAnsi="Arial"/>
                <w:sz w:val="18"/>
                <w:szCs w:val="18"/>
                <w:color w:val="auto"/>
              </w:rPr>
              <w: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Jurisdiction</w:t>
            </w:r>
            <w:r>
              <w:rPr>
                <w:rFonts w:ascii="Arial" w:cs="Arial" w:eastAsia="Arial" w:hAnsi="Arial"/>
                <w:sz w:val="18"/>
                <w:szCs w:val="18"/>
                <w:color w:val="auto"/>
              </w:rPr>
              <w:t>”</w:t>
            </w:r>
          </w:p>
        </w:tc>
        <w:tc>
          <w:tcPr>
            <w:tcW w:w="37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740" w:type="dxa"/>
            <w:vAlign w:val="bottom"/>
          </w:tcPr>
          <w:p>
            <w:pPr>
              <w:jc w:val="right"/>
              <w:ind w:right="2671"/>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111" w:name="page112"/>
    <w:bookmarkEnd w:id="1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60" w:hanging="23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 and “</w:t>
      </w:r>
      <w:r>
        <w:rPr>
          <w:rFonts w:ascii="Arial" w:cs="Arial" w:eastAsia="Arial" w:hAnsi="Arial"/>
          <w:sz w:val="18"/>
          <w:szCs w:val="18"/>
          <w:i w:val="1"/>
          <w:iCs w:val="1"/>
          <w:color w:val="auto"/>
        </w:rPr>
        <w:t>including</w:t>
      </w:r>
      <w:r>
        <w:rPr>
          <w:rFonts w:ascii="Arial" w:cs="Arial" w:eastAsia="Arial" w:hAnsi="Arial"/>
          <w:sz w:val="18"/>
          <w:szCs w:val="18"/>
          <w:color w:val="auto"/>
        </w:rPr>
        <w:t>” means including without limitation;</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in, or pursuant to a Board Resolution, Officer’s Certificate or supplemental indenture establishing the terms of such Series of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2.2.29) by or pursuant to a Board Resolution, Officer’s Certificate or supplemental indenture: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2.2.1. the title of the Series of Securities (which shall distinguish the Securities of that particular Series from the Securities of any other Series);</w:t>
      </w:r>
    </w:p>
    <w:p>
      <w:pPr>
        <w:spacing w:after="0" w:line="248"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2.2.2.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2.2.3. the date or dates on which the principal and premium, if any, of the Securities of the Series is payable;</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2.2.4. 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or twelve 30-day months;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2" w:name="page113"/>
    <w:bookmarkEnd w:id="112"/>
    <w:p>
      <w:pPr>
        <w:ind w:right="1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2.2.5. the date or dates from which interest shall accrue, the dates on which such interest will be payable or the manner of determination of such dates, and the record date for the determination of holders to whom interest is payable on any such dates;</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2.2.7. the right, if any, to extend the interest payment periods or defer the payment of interest and the duration of such extension or deferral;</w:t>
      </w:r>
    </w:p>
    <w:p>
      <w:pPr>
        <w:spacing w:after="0" w:line="248"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2.2.8. if applicable, the period or periods within which, the price or prices at which and the terms and conditions upon which the Securities of the Series may be redeemed, in whole or in part, at the option of the Company if other than as set forth in this Indenture;</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2.2.9.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Securities of the Series shall be redeemed, purchased or repaid, in whole or in part, pursuant to such obligation;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2.2.10. the terms of any repurchase or remarketing rights;</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2.2.11. if other than denominations of $2,000 or integral multiples of $1,000 in excess thereof, the denominations in which the Securities of the Series shall be issuable;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2.2.12. the forms of the Securities of the Series including the form of the Trustee’s certificate of authentication for such Series;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2.2.13. any trustees, authenticating agents or paying agents with respect to the Securities of the Series, if different from those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2.2.14. if the Securities of the Series shall be issued in whole or in part in the form of a Global Security or Securities, the type of Global Security to be issued; the terms and conditions, if different from those contained in this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 referred to in Section 2.14.2;</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2.2.15. any provisions granting special rights to Holders when a specified event occurs;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13" w:name="page114"/>
    <w:bookmarkEnd w:id="113"/>
    <w:p>
      <w:pPr>
        <w:ind w:right="4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2.2.16. if the amount of principal of or any premium or interest on Securities of any Series may be determined with reference to an index or pursuant to a formula, the manner in which such amounts will be determined;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2.2.17. any special tax implications of the Securities, including provisions for original issue discount securities, if offered;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2.2.18. whether and upon what terms Securities of the Series may be defeased if different from the provisions set forth in this Indenture;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2.2.19. with regard to the Securities of any Series that do not bear interest, the dates for certain required reports to the Trustee;</w:t>
      </w:r>
    </w:p>
    <w:p>
      <w:pPr>
        <w:spacing w:after="0" w:line="22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2.2.20. whether the Securities of any Series will be issued as Unrestricted Securities or Restricted Securities, and, if issued as Restricted Securities, the rule or regulation promulgated under the Securities Act in reliance on which they will be sold;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2.2.21. any guarantees on the Securities of the Series;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2.2.22. the currency or currencies in which payment of the principal of, premium, if any, and interest on, the Securities of the Series shall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payable;</w:t>
      </w:r>
    </w:p>
    <w:p>
      <w:pPr>
        <w:spacing w:after="0" w:line="21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2.2.23. if the principal amount payable at the Stated Maturity of Securities of the Series will not be determinable as of any one or more dates prior to such Stated Maturity, the amount which will be deemed to be such principal amount as of any such date for any purpose, including the portion of the principal amount thereof that will be due and payable upon declaration of acceleration of the maturity thereof pursuant to Section 6.2 or upon any maturity other than the Stated Maturity or that will be deemed to be outstanding as of any such date, or, in any such case, the manner in which such deemed principal amount is to be determined;</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2.2.24. the provisions, if any, relating to any security provided for the Securities of the Series;</w:t>
      </w:r>
    </w:p>
    <w:p>
      <w:pPr>
        <w:spacing w:after="0" w:line="225"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2.2.25. any additional restrictive covenants or Events of Default that will apply to the Securities of the Series, or any changes to the restrictive covenants set forth in Article IV or the Events of Default set forth in Section 6.01 that will apply to the Securities of the Series, which may consist of establishing different terms or provisions from those set forth in Article IV or Section 6.01 or eliminating any such restrictive covenant or Event of Default with respect to the Securities of the Series;</w:t>
      </w:r>
    </w:p>
    <w:p>
      <w:pPr>
        <w:spacing w:after="0" w:line="18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2.2.26.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2.2.27.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4" w:name="page115"/>
    <w:bookmarkEnd w:id="11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2.2.28. the subordination terms of the Securities of the Series; and</w:t>
      </w:r>
    </w:p>
    <w:p>
      <w:pPr>
        <w:spacing w:after="0" w:line="225" w:lineRule="exact"/>
        <w:rPr>
          <w:sz w:val="20"/>
          <w:szCs w:val="20"/>
          <w:color w:val="auto"/>
        </w:rPr>
      </w:pPr>
    </w:p>
    <w:p>
      <w:pPr>
        <w:jc w:val="both"/>
        <w:ind w:right="540" w:firstLine="913"/>
        <w:spacing w:after="0" w:line="264" w:lineRule="auto"/>
        <w:rPr>
          <w:sz w:val="20"/>
          <w:szCs w:val="20"/>
          <w:color w:val="auto"/>
        </w:rPr>
      </w:pPr>
      <w:r>
        <w:rPr>
          <w:rFonts w:ascii="Arial" w:cs="Arial" w:eastAsia="Arial" w:hAnsi="Arial"/>
          <w:sz w:val="18"/>
          <w:szCs w:val="18"/>
          <w:color w:val="auto"/>
        </w:rPr>
        <w:t>2.2.29.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Securities of that Series.</w:t>
      </w:r>
    </w:p>
    <w:p>
      <w:pPr>
        <w:spacing w:after="0" w:line="181" w:lineRule="exact"/>
        <w:rPr>
          <w:sz w:val="20"/>
          <w:szCs w:val="20"/>
          <w:color w:val="auto"/>
        </w:rPr>
      </w:pPr>
    </w:p>
    <w:p>
      <w:pPr>
        <w:jc w:val="both"/>
        <w:ind w:right="540" w:firstLine="913"/>
        <w:spacing w:after="0" w:line="308"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Officer’s Certificate or supplemental indenture referred to above.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Officer of the Company shall sign the Securities for the Company by manual or facsimile signature.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valid.</w:t>
      </w:r>
    </w:p>
    <w:p>
      <w:pPr>
        <w:spacing w:after="0" w:line="211"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jc w:val="both"/>
        <w:ind w:right="400" w:firstLine="913"/>
        <w:spacing w:after="0" w:line="286" w:lineRule="auto"/>
        <w:rPr>
          <w:sz w:val="20"/>
          <w:szCs w:val="20"/>
          <w:color w:val="auto"/>
        </w:rPr>
      </w:pPr>
      <w:r>
        <w:rPr>
          <w:rFonts w:ascii="Arial" w:cs="Arial" w:eastAsia="Arial" w:hAnsi="Arial"/>
          <w:sz w:val="17"/>
          <w:szCs w:val="17"/>
          <w:color w:val="auto"/>
        </w:rPr>
        <w:t>The Trustee shall at any time, and from time to time, authenticate Securities for original issue in the principal amount provided in the Board Resolution, Officer’s Certificate or supplemental indenture, upon receipt by the Trustee of a Company Order. Each Security shall be dated the date of its authentication unless otherwise provided by the relevant Board Resolution, Officer’s Certificate or supplemental indenture.</w:t>
      </w:r>
    </w:p>
    <w:p>
      <w:pPr>
        <w:spacing w:after="0" w:line="166"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Notwithstanding the provisions of Section 2.2 and the preceding paragraph, in the case of Securities offered in a Periodic Offering, the Trustee shall authenticate and deliver such Securities from time to time in accordance with a Company Order or such other procedures acceptable to the Trustee as may be specified by or pursuant to a supplemental indenture or the written order of the Company delivered to the Trustee prior to the time of the first authentication of Securities of such Series.</w:t>
      </w:r>
    </w:p>
    <w:p>
      <w:pPr>
        <w:spacing w:after="0" w:line="187"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The aggregate principal amount of Securities of any Series outstanding at any time may not exceed any limit upon the maximum principal amount for such Series set forth in the Board Resolution, Officer’s Certificate or supplemental indenture delivered pursuant to Section 2.2.</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15" w:name="page116"/>
    <w:bookmarkEnd w:id="11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the issuance of Securities of any Series, the Trustee shall have received and (subject to Section 7.2) shall be fully protected in relying on:</w:t>
      </w:r>
    </w:p>
    <w:p>
      <w:pPr>
        <w:spacing w:after="0" w:line="46" w:lineRule="exact"/>
        <w:rPr>
          <w:sz w:val="20"/>
          <w:szCs w:val="20"/>
          <w:color w:val="auto"/>
        </w:rPr>
      </w:pPr>
    </w:p>
    <w:p>
      <w:pPr>
        <w:ind w:firstLine="8"/>
        <w:spacing w:after="0" w:line="269" w:lineRule="auto"/>
        <w:tabs>
          <w:tab w:leader="none" w:pos="24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Board Resolution, Officer’s Certificate or supplemental indenture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 With respect to Securities of a Series subject to a Periodic Offering, the Trustee conclusively may rely, as to the authorization by the Company of any of such Securities, the forms and terms thereof and the legality, validity, binding effect and enforceability thereof, upon the written order of the Company, Opinion of Counsel, Officer’s Certificate and other documents delivered pursuant to this Section 2.3 at or prior to the time of the first authentication of Securities of such Series unless and until such written order, Opinion of Counsel, Officer’s Certificate or other documents have been superseded or revoked, and written notice thereof is provided to Trustee, or expire by their terms.</w:t>
      </w:r>
    </w:p>
    <w:p>
      <w:pPr>
        <w:spacing w:after="0" w:line="181"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committee of Responsible Officers shall determine that such action would expose the Trustee to personal liability.</w:t>
      </w:r>
    </w:p>
    <w:p>
      <w:pPr>
        <w:spacing w:after="0" w:line="166"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Paying Agent and Transfer Agent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Company will maintain one or more paying agents (each, a “</w:t>
      </w:r>
      <w:r>
        <w:rPr>
          <w:rFonts w:ascii="Arial" w:cs="Arial" w:eastAsia="Arial" w:hAnsi="Arial"/>
          <w:sz w:val="17"/>
          <w:szCs w:val="17"/>
          <w:i w:val="1"/>
          <w:iCs w:val="1"/>
          <w:color w:val="auto"/>
        </w:rPr>
        <w:t>Paying Agent</w:t>
      </w:r>
      <w:r>
        <w:rPr>
          <w:rFonts w:ascii="Arial" w:cs="Arial" w:eastAsia="Arial" w:hAnsi="Arial"/>
          <w:sz w:val="17"/>
          <w:szCs w:val="17"/>
          <w:color w:val="auto"/>
        </w:rPr>
        <w:t>”) for the Securities in the Borough of Manhattan, City of New</w:t>
      </w:r>
    </w:p>
    <w:p>
      <w:pPr>
        <w:spacing w:after="0" w:line="3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York. The initial Paying Agents will be [ ] and thereafter “</w:t>
      </w:r>
      <w:r>
        <w:rPr>
          <w:rFonts w:ascii="Arial" w:cs="Arial" w:eastAsia="Arial" w:hAnsi="Arial"/>
          <w:sz w:val="17"/>
          <w:szCs w:val="17"/>
          <w:i w:val="1"/>
          <w:iCs w:val="1"/>
          <w:color w:val="auto"/>
        </w:rPr>
        <w:t>Paying Agent</w:t>
      </w:r>
      <w:r>
        <w:rPr>
          <w:rFonts w:ascii="Arial" w:cs="Arial" w:eastAsia="Arial" w:hAnsi="Arial"/>
          <w:sz w:val="17"/>
          <w:szCs w:val="17"/>
          <w:color w:val="auto"/>
        </w:rPr>
        <w:t>” shall mean or include each Person who is then a Paying Agent hereunder, and if at any time there is more than one such Person, “</w:t>
      </w:r>
      <w:r>
        <w:rPr>
          <w:rFonts w:ascii="Arial" w:cs="Arial" w:eastAsia="Arial" w:hAnsi="Arial"/>
          <w:sz w:val="17"/>
          <w:szCs w:val="17"/>
          <w:i w:val="1"/>
          <w:iCs w:val="1"/>
          <w:color w:val="auto"/>
        </w:rPr>
        <w:t>Paying Agent</w:t>
      </w:r>
      <w:r>
        <w:rPr>
          <w:rFonts w:ascii="Arial" w:cs="Arial" w:eastAsia="Arial" w:hAnsi="Arial"/>
          <w:sz w:val="17"/>
          <w:szCs w:val="17"/>
          <w:color w:val="auto"/>
        </w:rPr>
        <w:t>” as used with respect to the Securities of any Series shall mean the Paying Agent with respect to Securities of that Series. The Company, upon written notice to the Trustee accompanied by an Officer’s Certificate, may appoint one or more paying agents, other than the Trustee, for all or any series of the Securities. If the Company fails to appoint or maintain another entity as paying agent, the Trustee shall act as such. The Company or any of its Subsidiaries, upon notice to the Trustee, may act as paying agent.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will maintain one or more registrars (each, a “</w:t>
      </w:r>
      <w:r>
        <w:rPr>
          <w:rFonts w:ascii="Arial" w:cs="Arial" w:eastAsia="Arial" w:hAnsi="Arial"/>
          <w:sz w:val="16"/>
          <w:szCs w:val="16"/>
          <w:i w:val="1"/>
          <w:iCs w:val="1"/>
          <w:color w:val="auto"/>
        </w:rPr>
        <w:t>Registrar</w:t>
      </w:r>
      <w:r>
        <w:rPr>
          <w:rFonts w:ascii="Arial" w:cs="Arial" w:eastAsia="Arial" w:hAnsi="Arial"/>
          <w:sz w:val="16"/>
          <w:szCs w:val="16"/>
          <w:color w:val="auto"/>
        </w:rPr>
        <w:t>”) for the Securities in the Borough of Manhattan, City of New York. The</w:t>
      </w:r>
    </w:p>
    <w:p>
      <w:pPr>
        <w:spacing w:after="0" w:line="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initial Registrar will be [ ] and thereafter “</w:t>
      </w:r>
      <w:r>
        <w:rPr>
          <w:rFonts w:ascii="Arial" w:cs="Arial" w:eastAsia="Arial" w:hAnsi="Arial"/>
          <w:sz w:val="18"/>
          <w:szCs w:val="18"/>
          <w:i w:val="1"/>
          <w:iCs w:val="1"/>
          <w:color w:val="auto"/>
        </w:rPr>
        <w:t>Registrar</w:t>
      </w:r>
      <w:r>
        <w:rPr>
          <w:rFonts w:ascii="Arial" w:cs="Arial" w:eastAsia="Arial" w:hAnsi="Arial"/>
          <w:sz w:val="18"/>
          <w:szCs w:val="18"/>
          <w:color w:val="auto"/>
        </w:rPr>
        <w:t>” shall mean or include each Person who is then a Registrar hereunder, and if at any time there is more than one such Person, “</w:t>
      </w:r>
      <w:r>
        <w:rPr>
          <w:rFonts w:ascii="Arial" w:cs="Arial" w:eastAsia="Arial" w:hAnsi="Arial"/>
          <w:sz w:val="18"/>
          <w:szCs w:val="18"/>
          <w:i w:val="1"/>
          <w:iCs w:val="1"/>
          <w:color w:val="auto"/>
        </w:rPr>
        <w:t>Registrar</w:t>
      </w:r>
      <w:r>
        <w:rPr>
          <w:rFonts w:ascii="Arial" w:cs="Arial" w:eastAsia="Arial" w:hAnsi="Arial"/>
          <w:sz w:val="18"/>
          <w:szCs w:val="18"/>
          <w:color w:val="auto"/>
        </w:rPr>
        <w:t>” as used with respect to the Securities of any Series shall mean the Registrar with respect to Securities of that Series. The Company, upon written notice to the Trustee accompanied by an Officer’s Certificate, may appoint one or more registrars, other than the Trustee, for all or any series of the Securities. If the Company fails to appoint or maintain another entity as registrar, the Trustee shall act as such. The Company or any of its Subsidiaries, upon notice to the Trustee, may act as registrar.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16" w:name="page117"/>
    <w:bookmarkEnd w:id="11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also maintain a transfer agent (each, a “</w:t>
      </w:r>
      <w:r>
        <w:rPr>
          <w:rFonts w:ascii="Arial" w:cs="Arial" w:eastAsia="Arial" w:hAnsi="Arial"/>
          <w:sz w:val="16"/>
          <w:szCs w:val="16"/>
          <w:i w:val="1"/>
          <w:iCs w:val="1"/>
          <w:color w:val="auto"/>
        </w:rPr>
        <w:t>Transfer Agent</w:t>
      </w:r>
      <w:r>
        <w:rPr>
          <w:rFonts w:ascii="Arial" w:cs="Arial" w:eastAsia="Arial" w:hAnsi="Arial"/>
          <w:sz w:val="16"/>
          <w:szCs w:val="16"/>
          <w:color w:val="auto"/>
        </w:rPr>
        <w:t>”) for the Securities in the Borough of Manhattan, City of New York.</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initial Transfer Agent will be [ ] and thereafter “</w:t>
      </w:r>
      <w:r>
        <w:rPr>
          <w:rFonts w:ascii="Arial" w:cs="Arial" w:eastAsia="Arial" w:hAnsi="Arial"/>
          <w:sz w:val="17"/>
          <w:szCs w:val="17"/>
          <w:i w:val="1"/>
          <w:iCs w:val="1"/>
          <w:color w:val="auto"/>
        </w:rPr>
        <w:t>Transfer Agent</w:t>
      </w:r>
      <w:r>
        <w:rPr>
          <w:rFonts w:ascii="Arial" w:cs="Arial" w:eastAsia="Arial" w:hAnsi="Arial"/>
          <w:sz w:val="17"/>
          <w:szCs w:val="17"/>
          <w:color w:val="auto"/>
        </w:rPr>
        <w:t>” shall mean or include each Person who is then a Transfer Agent hereunder, and if at any time there is more than one such Person, “</w:t>
      </w:r>
      <w:r>
        <w:rPr>
          <w:rFonts w:ascii="Arial" w:cs="Arial" w:eastAsia="Arial" w:hAnsi="Arial"/>
          <w:sz w:val="17"/>
          <w:szCs w:val="17"/>
          <w:i w:val="1"/>
          <w:iCs w:val="1"/>
          <w:color w:val="auto"/>
        </w:rPr>
        <w:t>Transfer Agent</w:t>
      </w:r>
      <w:r>
        <w:rPr>
          <w:rFonts w:ascii="Arial" w:cs="Arial" w:eastAsia="Arial" w:hAnsi="Arial"/>
          <w:sz w:val="17"/>
          <w:szCs w:val="17"/>
          <w:color w:val="auto"/>
        </w:rPr>
        <w:t>” as used with respect to the Securities of any Series shall mean the Transfer Agent with respect to Securities of that Series. The Company, upon written notice to the Trustee accompanied by an Officer’s Certificate, may appoint one or more transfer agents, other than the Trustee, for all or any series of the Securities. If the Company fails to appoint or maintain another entity as transfer agent, the Trustee shall act as such. The Company or any of its Subsidiaries, upon notice to the Trustee, may act as transfer agent.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may change any Paying Agent, Registrar or Transfer Agent for its Securities without prior notice to the 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Securityholder Lists</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 To permit registrations of transfers and exchanges, the Trustee shall authenticate Securities at the Registrar’s request upon the Trustee’s receipt of a Company Order from the Company. No service charge shall be made for any</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17" w:name="page118"/>
    <w:bookmarkEnd w:id="117"/>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81"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225"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jc w:val="both"/>
        <w:ind w:right="20" w:firstLine="8"/>
        <w:spacing w:after="0" w:line="273" w:lineRule="auto"/>
        <w:tabs>
          <w:tab w:leader="none" w:pos="265" w:val="left"/>
        </w:tabs>
        <w:numPr>
          <w:ilvl w:val="0"/>
          <w:numId w:val="84"/>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Upon the issuance of any new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Every new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The provisions of this Section 2.8 are exclusive and shall preclude (to the extent lawful) all other rights and remedies with respect to the replacement or payment of mutilated, destroyed, lost or stolen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Security, if applicable, effected by the Trustee in accordance with the provisions hereof and those described in this Section 2.9 as not outstanding.</w:t>
      </w:r>
    </w:p>
    <w:p>
      <w:pPr>
        <w:spacing w:after="0" w:line="18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protected purchaser.</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Company may purchase or otherwise acquire the Securities, whether by open market purchases, negotiated transactions or otherwise. A Security does not cease to be outstanding because the Company or an Affiliate of the Company holds the Security.</w:t>
      </w:r>
    </w:p>
    <w:p>
      <w:pPr>
        <w:spacing w:after="0" w:line="17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Company may not issue new Securities to replace Securities that it has paid or delivered to the Trustee for cancellation.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2.14.1. </w:t>
      </w:r>
      <w:r>
        <w:rPr>
          <w:rFonts w:ascii="Arial" w:cs="Arial" w:eastAsia="Arial" w:hAnsi="Arial"/>
          <w:sz w:val="17"/>
          <w:szCs w:val="17"/>
          <w:u w:val="single" w:color="auto"/>
          <w:color w:val="auto"/>
        </w:rPr>
        <w:t>Transfer and Exchange</w:t>
      </w:r>
      <w:r>
        <w:rPr>
          <w:rFonts w:ascii="Arial" w:cs="Arial" w:eastAsia="Arial" w:hAnsi="Arial"/>
          <w:sz w:val="17"/>
          <w:szCs w:val="17"/>
          <w:color w:val="auto"/>
        </w:rPr>
        <w:t>. Notwithstanding any provisions to the contrary contained in Section 2.7 of this Indenture and in addition thereto, any Global Security shall be exchangeable pursuant to Section 2.7 of this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79"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Except as provided in this Section 2.14.1,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20" w:name="page121"/>
    <w:bookmarkEnd w:id="12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2.14.2. </w:t>
      </w:r>
      <w:r>
        <w:rPr>
          <w:rFonts w:ascii="Arial" w:cs="Arial" w:eastAsia="Arial" w:hAnsi="Arial"/>
          <w:sz w:val="18"/>
          <w:szCs w:val="18"/>
          <w:u w:val="single" w:color="auto"/>
          <w:color w:val="auto"/>
        </w:rPr>
        <w:t>Legend</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ind w:right="600" w:firstLine="913"/>
        <w:spacing w:after="0" w:line="308" w:lineRule="auto"/>
        <w:rPr>
          <w:sz w:val="20"/>
          <w:szCs w:val="20"/>
          <w:color w:val="auto"/>
        </w:rPr>
      </w:pPr>
      <w:r>
        <w:rPr>
          <w:rFonts w:ascii="Arial" w:cs="Arial" w:eastAsia="Arial" w:hAnsi="Arial"/>
          <w:sz w:val="17"/>
          <w:szCs w:val="17"/>
          <w:color w:val="auto"/>
        </w:rPr>
        <w:t xml:space="preserve">2.14.3.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14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2.14.4.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 which in the case of a Depositary therefore will be made in accordance with its applicable procedures.</w:t>
      </w:r>
    </w:p>
    <w:p>
      <w:pPr>
        <w:spacing w:after="0" w:line="18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Holders</w:t>
      </w:r>
      <w:r>
        <w:rPr>
          <w:rFonts w:ascii="Arial" w:cs="Arial" w:eastAsia="Arial" w:hAnsi="Arial"/>
          <w:sz w:val="18"/>
          <w:szCs w:val="18"/>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18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2.14.6. None of the Trustee or any Agent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with respect to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 No Liability for Calculations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Sections 3.9 and 3.10 hereof or, as applicable, in the Board Resolution, Officer’s Certificate or supplemental indenture relating to such Series.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at least 40 days before a redemption date (or such shorter notice as may be acceptable to the Trustee). The Trustee shall have no liability with respect to or obligation to calculate the redemption price of any Securities to be redeemed pursuant to this Indenture.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Unless otherwise indicated for a particular Series by a Board Resolution, Officer’s Certificate or a supplemental indenture, if less than all of the Securities of a Series are to be redeemed at any time, the Trustee will select the Securities of a Series to be redeemed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in the case of Securities issued in global form based on a method that most nearly approximates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selection as the Trustee deems fair and appropriate) unless otherwise required by law or applicable stock exchange or Depositary requirements. The Trustee will not be liable for selections made by it as contemplated in this section.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Securities of a Series in principal amount of $2,000 or less can be redeemed in part.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Notices of purchase or redemption will be given to each Holder pursuant to Section 3.3 and Section 10.1.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Unless otherwise indicated for a particular Series by Board Resolution, Officer’s Certificate or supplemental indenture, at least 30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notice shall identify the Securities to be redeemed and corresponding CUSIP, ISIN or Common Code numbers, as applicable, and will state:</w:t>
      </w:r>
    </w:p>
    <w:p>
      <w:pPr>
        <w:spacing w:after="0" w:line="140" w:lineRule="exact"/>
        <w:rPr>
          <w:sz w:val="20"/>
          <w:szCs w:val="20"/>
          <w:color w:val="auto"/>
        </w:rPr>
      </w:pPr>
    </w:p>
    <w:p>
      <w:pPr>
        <w:ind w:left="1580" w:hanging="239"/>
        <w:spacing w:after="0"/>
        <w:tabs>
          <w:tab w:leader="none" w:pos="1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redemption price and the amount of accrued interest, if any, and Additional Amounts, if any, to be paid;</w:t>
      </w:r>
    </w:p>
    <w:p>
      <w:pPr>
        <w:spacing w:after="0" w:line="117" w:lineRule="exact"/>
        <w:rPr>
          <w:rFonts w:ascii="Arial" w:cs="Arial" w:eastAsia="Arial" w:hAnsi="Arial"/>
          <w:sz w:val="18"/>
          <w:szCs w:val="18"/>
          <w:color w:val="auto"/>
        </w:rPr>
      </w:pPr>
    </w:p>
    <w:p>
      <w:pPr>
        <w:ind w:left="920" w:right="20" w:firstLine="421"/>
        <w:spacing w:after="0" w:line="264" w:lineRule="auto"/>
        <w:tabs>
          <w:tab w:leader="none" w:pos="15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spacing w:after="0" w:line="73" w:lineRule="exact"/>
        <w:rPr>
          <w:rFonts w:ascii="Arial" w:cs="Arial" w:eastAsia="Arial" w:hAnsi="Arial"/>
          <w:sz w:val="18"/>
          <w:szCs w:val="18"/>
          <w:color w:val="auto"/>
        </w:rPr>
      </w:pPr>
    </w:p>
    <w:p>
      <w:pPr>
        <w:ind w:left="920" w:right="60" w:firstLine="421"/>
        <w:spacing w:after="0" w:line="312" w:lineRule="auto"/>
        <w:tabs>
          <w:tab w:leader="none" w:pos="15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any Certificated Security is being redeemed in part, the portion of the principal amount of such Security to be redeemed, and that, after the redemption date, upon surrender of such Security, a new Certificated Security or Certificated Securities in principal amount equal to the unredeemed portion thereof will be issued in the name of the Holder thereof upon cancellation of the original Certificated Security;</w:t>
      </w:r>
    </w:p>
    <w:p>
      <w:pPr>
        <w:spacing w:after="0" w:line="38" w:lineRule="exact"/>
        <w:rPr>
          <w:rFonts w:ascii="Arial" w:cs="Arial" w:eastAsia="Arial" w:hAnsi="Arial"/>
          <w:sz w:val="16"/>
          <w:szCs w:val="16"/>
          <w:color w:val="auto"/>
        </w:rPr>
      </w:pPr>
    </w:p>
    <w:p>
      <w:pPr>
        <w:ind w:left="1580" w:hanging="239"/>
        <w:spacing w:after="0"/>
        <w:tabs>
          <w:tab w:leader="none" w:pos="1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name and address of the Paying Agent(s) to which the Securities are to be surrendered for redemption;</w:t>
      </w:r>
    </w:p>
    <w:p>
      <w:pPr>
        <w:spacing w:after="0" w:line="117" w:lineRule="exact"/>
        <w:rPr>
          <w:rFonts w:ascii="Arial" w:cs="Arial" w:eastAsia="Arial" w:hAnsi="Arial"/>
          <w:sz w:val="18"/>
          <w:szCs w:val="18"/>
          <w:color w:val="auto"/>
        </w:rPr>
      </w:pPr>
    </w:p>
    <w:p>
      <w:pPr>
        <w:ind w:left="920" w:right="60" w:firstLine="421"/>
        <w:spacing w:after="0" w:line="277" w:lineRule="auto"/>
        <w:tabs>
          <w:tab w:leader="none" w:pos="15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Securities called for redemption must be surrendered to the relevant Paying Agent to collect the redemption price, plus accrued and unpaid interest, if any, and Additional Amounts, if any;</w:t>
      </w:r>
    </w:p>
    <w:p>
      <w:pPr>
        <w:spacing w:after="0" w:line="62" w:lineRule="exact"/>
        <w:rPr>
          <w:rFonts w:ascii="Arial" w:cs="Arial" w:eastAsia="Arial" w:hAnsi="Arial"/>
          <w:sz w:val="18"/>
          <w:szCs w:val="18"/>
          <w:color w:val="auto"/>
        </w:rPr>
      </w:pPr>
    </w:p>
    <w:p>
      <w:pPr>
        <w:ind w:left="920" w:firstLine="421"/>
        <w:spacing w:after="0" w:line="277" w:lineRule="auto"/>
        <w:tabs>
          <w:tab w:leader="none" w:pos="15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and Additional Amounts, if any, on Securities called for redemption cease to accrue on and after the redemption date;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920" w:right="660" w:firstLine="421"/>
        <w:spacing w:after="0" w:line="277" w:lineRule="auto"/>
        <w:tabs>
          <w:tab w:leader="none" w:pos="15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paragraph of the Securities and/or Section of this Indenture pursuant to which the Securities called for redemption are being redeemed;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23" w:name="page124"/>
    <w:bookmarkEnd w:id="123"/>
    <w:p>
      <w:pPr>
        <w:ind w:left="920" w:right="300" w:firstLine="421"/>
        <w:spacing w:after="0" w:line="277" w:lineRule="auto"/>
        <w:tabs>
          <w:tab w:leader="none" w:pos="1555"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no representation is made as to the correctness or accuracy of the CUSIP, ISIN or Common Code numbers, if any, listed in such notice or printed on the Securities.</w:t>
      </w:r>
    </w:p>
    <w:p>
      <w:pPr>
        <w:spacing w:after="0" w:line="170"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 xml:space="preserve">At the Company’s written request, the Trustee shall give the notice of redemption in the Company’s name and at its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has delivered to the Trustee, at least 40 days prior to the redemption date, an Officer’s Certificate requesting that the Trustee give such notice and setting forth the information to be stated in such notice as provided in the preceding paragraph.</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Once notice of redemption is mailed or published as provided in Section 3.3, Securities of a Series called for redemption become due and payable on the redemption date and at the redemption price. Unless otherwise indicated for a particular Series by Board Resolution, Officer’s Certificate or supplemental indenture,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On or after any purchase or redemption date, unless the Company defaults in payment of the purchase or redemption price, interest shall cease to accrue on Securities or portions thereof tendered for purchase or called for redemption.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On or before 10:00 a.m., New York City time, on the redemption date, the Company shall deposit with the Paying Agent money in immediately available funds sufficient to pay the redemption price of and accrued interest, if any, on all Securities to be redeemed on that date.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Upon surrender of a Certificated Security that is redeemed in part, the Trustee shall authenticate for the Holder a new Certificated Security of the same Series and the same maturity equal in principal amount to the unredeemed portion of the Security surrendered.</w:t>
      </w:r>
    </w:p>
    <w:p>
      <w:pPr>
        <w:spacing w:after="0" w:line="170" w:lineRule="exact"/>
        <w:rPr>
          <w:sz w:val="20"/>
          <w:szCs w:val="20"/>
          <w:color w:val="auto"/>
        </w:rPr>
      </w:pPr>
    </w:p>
    <w:p>
      <w:pPr>
        <w:ind w:right="580" w:firstLine="913"/>
        <w:spacing w:after="0" w:line="308" w:lineRule="auto"/>
        <w:rPr>
          <w:sz w:val="20"/>
          <w:szCs w:val="20"/>
          <w:color w:val="auto"/>
        </w:rPr>
      </w:pPr>
      <w:r>
        <w:rPr>
          <w:rFonts w:ascii="Arial" w:cs="Arial" w:eastAsia="Arial" w:hAnsi="Arial"/>
          <w:sz w:val="17"/>
          <w:szCs w:val="17"/>
          <w:color w:val="auto"/>
        </w:rPr>
        <w:t>In relation to Certificated Securities, a new Security in principal amount equal to the unpurchased or unredeemed portion of any Security purchased or redeemed in part will be issued in the name of the Holder thereof upon cancellation of the original Certificated Security.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225"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Unless otherwise indicated for a particular Series by Board Resolution, Officer’s Certificate or supplemental indenture, the provisions of Sections 3.7, 3.8 and 3.9 shall be applicable to any sinking fund for the retirement of Securities of a Series.</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referred to as a “mandatory sinking fund payment,” and any payment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124" w:name="page125"/>
    <w:bookmarkEnd w:id="124"/>
    <w:p>
      <w:pPr>
        <w:jc w:val="both"/>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excess of such minimum amount provided for by the terms of Securities of any series is referred to as an “optional sinking fund payment.” If provided for by the terms of Securities of any Series, the cash amount of any sinking fund payment may be subject to reduction as provided in Section 3.8. Each sinking fund payment shall be applied to the redemption of Securities of any Series as provided for by the terms of Securities of such Series.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Not less than 30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Securities of that Series pursuant 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3.3 and cause notice of the redemption thereof to be given in the name of and at the expense of the Company in the manner provided in Section 3.3.</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Redemption Upon Changes in Tax Law</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The Company may redeem the Securities, in whole but not in part, at its discretion at any time upon giving notice to the Holders of such of the Securities in accordance with Section 3.3 (which notice will be irrevocable), at a redemption price equal to 100% of the aggregate principal amount thereof, together with accrued and unpaid interest, if any, to the date fixed by the Company for redemption (a “</w:t>
      </w:r>
      <w:r>
        <w:rPr>
          <w:rFonts w:ascii="Arial" w:cs="Arial" w:eastAsia="Arial" w:hAnsi="Arial"/>
          <w:sz w:val="16"/>
          <w:szCs w:val="16"/>
          <w:i w:val="1"/>
          <w:iCs w:val="1"/>
          <w:color w:val="auto"/>
        </w:rPr>
        <w:t>Tax Redemption Date</w:t>
      </w:r>
      <w:r>
        <w:rPr>
          <w:rFonts w:ascii="Arial" w:cs="Arial" w:eastAsia="Arial" w:hAnsi="Arial"/>
          <w:sz w:val="16"/>
          <w:szCs w:val="16"/>
          <w:color w:val="auto"/>
        </w:rPr>
        <w:t>”) and all Additional Amounts (if any) then due and which will become due on the Tax Redemption Date as a result of the redemption or otherwise (subject to the right of Holders of such Securities on the relevant record date to receive interest due on the relevant interest payment date and Additional Amounts (if any) in respect thereof), if on the next date on which any amount would be payable with respect to such Securities, the Company is or would be required to pay Additional Amounts, and the Company cannot avoid any such payment obligation by taking reasonable measures available, and the requirement arises as a result 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25" w:name="page126"/>
    <w:bookmarkEnd w:id="125"/>
    <w:p>
      <w:pPr>
        <w:ind w:left="460" w:right="120" w:firstLine="443"/>
        <w:spacing w:after="0" w:line="264" w:lineRule="auto"/>
        <w:tabs>
          <w:tab w:leader="none" w:pos="1143"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amendment to, or change in, the laws (or any regulations or rulings promulgated thereunder) of a relevant Tax Jurisdiction which change or amendment becomes effective on or after the Issue Date (or, if the applicable Tax Jurisdiction became a Tax Jurisdiction on a date after the Issue Date, such later date), or</w:t>
      </w:r>
    </w:p>
    <w:p>
      <w:pPr>
        <w:spacing w:after="0" w:line="73" w:lineRule="exact"/>
        <w:rPr>
          <w:rFonts w:ascii="Arial" w:cs="Arial" w:eastAsia="Arial" w:hAnsi="Arial"/>
          <w:sz w:val="18"/>
          <w:szCs w:val="18"/>
          <w:color w:val="auto"/>
        </w:rPr>
      </w:pPr>
    </w:p>
    <w:p>
      <w:pPr>
        <w:ind w:left="460" w:right="60" w:firstLine="443"/>
        <w:spacing w:after="0" w:line="312" w:lineRule="auto"/>
        <w:tabs>
          <w:tab w:leader="none" w:pos="1153"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Tax Jurisdiction became a Tax Jurisdiction on a date after the Issue Date, such later date).</w:t>
      </w:r>
    </w:p>
    <w:p>
      <w:pPr>
        <w:spacing w:after="0" w:line="147" w:lineRule="exact"/>
        <w:rPr>
          <w:sz w:val="20"/>
          <w:szCs w:val="20"/>
          <w:color w:val="auto"/>
        </w:rPr>
      </w:pPr>
    </w:p>
    <w:p>
      <w:pPr>
        <w:ind w:right="180" w:firstLine="913"/>
        <w:spacing w:after="0" w:line="272" w:lineRule="auto"/>
        <w:rPr>
          <w:sz w:val="20"/>
          <w:szCs w:val="20"/>
          <w:color w:val="auto"/>
        </w:rPr>
      </w:pPr>
      <w:r>
        <w:rPr>
          <w:rFonts w:ascii="Arial" w:cs="Arial" w:eastAsia="Arial" w:hAnsi="Arial"/>
          <w:sz w:val="17"/>
          <w:szCs w:val="17"/>
          <w:color w:val="auto"/>
        </w:rPr>
        <w:t>The Company, as applicable, will not give any such notice of redemption earlier than 90 days prior to the earliest date on which the Company would be obligated to make such payment or withholding if a payment with respect to the applicable Securities was then due, and the obligation to pay Additional Amounts must be in effect at the time such notice is given. Prior to the publication or, where relevant, mailing of any notice of redemption of the Securities pursuant to the foregoing, the Company will deliver to the Trustee an opinion of independent tax counsel to the effect that there has been such amendment or change which would entitle the Company to redeem such Securities hereunder. In addition, before the Company publishes or mails notice of redemption of such Securities as described above, it will deliver to the Trustee an Officer’s Certificate to the effect that it cannot avoid its obligation to pay Additional Amounts by taking reasonable measures available to the Company.</w:t>
      </w:r>
    </w:p>
    <w:p>
      <w:pPr>
        <w:spacing w:after="0" w:line="178"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Securities.</w:t>
      </w:r>
    </w:p>
    <w:p>
      <w:pPr>
        <w:spacing w:after="0" w:line="124"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 xml:space="preserve">The foregoing will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any jurisdiction in which any successor Person to the Company is incorporated or organized, or any jurisdiction from or through which payment is made by or on behalf of such Person on the Securities and any political subdivision thereof or therein.</w:t>
      </w:r>
    </w:p>
    <w:p>
      <w:pPr>
        <w:spacing w:after="0" w:line="34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 Unless otherwise provided by Board Resolution, Officer’s Certificate or supplemental indenture for a particular Series, on or before 10:00 a.m., New York City time, on the applicable payment date, the Company shall deposit with the Paying Agent money sufficient to pay the principal of, premium, if any, and interest on the Securities of each such Series in accordance with the terms of such Securities and this Indenture.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4.2.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his/her knowledge the Company is not in default in the performance or observance of any of the terms, provisions and conditions hereof (or, if a Default or Event of Default shall have occurred, describing all such Defaults or Events of Default of which he may have knowledge). Such Officer’s Certificate need not include a reference to any non-compliance that has been fully cured prior to the date as of which such certificate speaks.</w:t>
      </w:r>
    </w:p>
    <w:p>
      <w:pPr>
        <w:spacing w:after="0" w:line="166"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Company will, so long as any of the Securities are outstanding, deliver to the Trustee, within 30 days upon becoming aware of any Default or Event of Default, an Officer’s Certificate specifying such Default or Event of Default and what action the Company is taking or proposes to take with respect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Subject to Article V, the Company will do or cause to be done all things necessary to preserve and keep in full force and effect its corporate existence and rights (charter and statutory);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Company will not, and will not permit any of its respective Subsidiaries to, incur, issue, assume or guarantee any notes, bonds, debentures or other similar evidences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127" w:name="page128"/>
    <w:bookmarkEnd w:id="12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Securities (together with, if the Company shall so determine, any of its other indebtedness or the indebtedness of any such Restricted Subsidiary then existing or thereafter created ranking on a parity with the Securities)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Company’s most recent consolidated quarterly financial statements;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these provisions shall not apply to:</w:t>
      </w:r>
    </w:p>
    <w:p>
      <w:pPr>
        <w:spacing w:after="0" w:line="59" w:lineRule="exact"/>
        <w:rPr>
          <w:sz w:val="20"/>
          <w:szCs w:val="20"/>
          <w:color w:val="auto"/>
        </w:rPr>
      </w:pPr>
    </w:p>
    <w:p>
      <w:pPr>
        <w:ind w:left="1140" w:hanging="237"/>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Securities;</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w:t>
      </w:r>
    </w:p>
    <w:p>
      <w:pPr>
        <w:spacing w:after="0" w:line="62"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Mortgages in favor of the Company or any of its Subsidiaries;</w:t>
      </w:r>
    </w:p>
    <w:p>
      <w:pPr>
        <w:spacing w:after="0" w:line="117" w:lineRule="exact"/>
        <w:rPr>
          <w:rFonts w:ascii="Arial" w:cs="Arial" w:eastAsia="Arial" w:hAnsi="Arial"/>
          <w:sz w:val="18"/>
          <w:szCs w:val="18"/>
          <w:color w:val="auto"/>
        </w:rPr>
      </w:pPr>
    </w:p>
    <w:p>
      <w:pPr>
        <w:ind w:left="460" w:right="120" w:firstLine="443"/>
        <w:spacing w:after="0" w:line="259" w:lineRule="auto"/>
        <w:tabs>
          <w:tab w:leader="none" w:pos="11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Mortgage of any of the Company’s property or assets or any property or assets of any of its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Mortgage of any property or assets to secure indebtedness of the pollution control, industrial revenue or other revenue bond type;</w:t>
      </w:r>
    </w:p>
    <w:p>
      <w:pPr>
        <w:spacing w:after="0" w:line="128" w:lineRule="exact"/>
        <w:rPr>
          <w:rFonts w:ascii="Arial" w:cs="Arial" w:eastAsia="Arial" w:hAnsi="Arial"/>
          <w:sz w:val="17"/>
          <w:szCs w:val="17"/>
          <w:color w:val="auto"/>
        </w:rPr>
      </w:pPr>
    </w:p>
    <w:p>
      <w:pPr>
        <w:jc w:val="both"/>
        <w:ind w:left="460" w:firstLine="443"/>
        <w:spacing w:after="0" w:line="259" w:lineRule="auto"/>
        <w:tabs>
          <w:tab w:leader="none" w:pos="11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28" w:name="page129"/>
    <w:bookmarkEnd w:id="128"/>
    <w:p>
      <w:pPr>
        <w:ind w:right="20" w:firstLine="443"/>
        <w:spacing w:after="0" w:line="277" w:lineRule="auto"/>
        <w:tabs>
          <w:tab w:leader="none" w:pos="693"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Mortgages arising by operation of law, including but not limited to Mortgages for taxes, assessments or similar charges that are not yet due or the validity of which is being contested in good faith by appropriate proceedings;</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17" w:lineRule="exact"/>
        <w:rPr>
          <w:rFonts w:ascii="Arial" w:cs="Arial" w:eastAsia="Arial" w:hAnsi="Arial"/>
          <w:sz w:val="18"/>
          <w:szCs w:val="18"/>
          <w:color w:val="auto"/>
        </w:rPr>
      </w:pPr>
    </w:p>
    <w:p>
      <w:pPr>
        <w:jc w:val="both"/>
        <w:ind w:firstLine="443"/>
        <w:spacing w:after="0" w:line="286" w:lineRule="auto"/>
        <w:tabs>
          <w:tab w:leader="none" w:pos="653"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225" w:lineRule="exact"/>
        <w:rPr>
          <w:sz w:val="20"/>
          <w:szCs w:val="20"/>
          <w:color w:val="auto"/>
        </w:rPr>
      </w:pPr>
    </w:p>
    <w:p>
      <w:pPr>
        <w:ind w:right="80" w:firstLine="443"/>
        <w:spacing w:after="0" w:line="287" w:lineRule="auto"/>
        <w:tabs>
          <w:tab w:leader="none" w:pos="683"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payments made by the Company under or with respect to the Securities will be made free and clear of and without withholding or deduction for, or on account of, any present or future tax, duty, levy, assessment or other governmental charge, including any related interest, penalties or additions to tax (“</w:t>
      </w:r>
      <w:r>
        <w:rPr>
          <w:rFonts w:ascii="Arial" w:cs="Arial" w:eastAsia="Arial" w:hAnsi="Arial"/>
          <w:sz w:val="16"/>
          <w:szCs w:val="16"/>
          <w:i w:val="1"/>
          <w:iCs w:val="1"/>
          <w:color w:val="auto"/>
        </w:rPr>
        <w:t>Taxes</w:t>
      </w:r>
      <w:r>
        <w:rPr>
          <w:rFonts w:ascii="Arial" w:cs="Arial" w:eastAsia="Arial" w:hAnsi="Arial"/>
          <w:sz w:val="16"/>
          <w:szCs w:val="16"/>
          <w:color w:val="auto"/>
        </w:rPr>
        <w:t>”) unless the withholding or deduction of such Taxes is then required by law or by interpretation or administration of law. If any deduction or withholding for, or on account of, any Taxes imposed or levied by or on behalf of (1) any jurisdiction in which the Company is then incorporated or organized or any political subdivision thereof or therein (each, a “</w:t>
      </w:r>
      <w:r>
        <w:rPr>
          <w:rFonts w:ascii="Arial" w:cs="Arial" w:eastAsia="Arial" w:hAnsi="Arial"/>
          <w:sz w:val="16"/>
          <w:szCs w:val="16"/>
          <w:i w:val="1"/>
          <w:iCs w:val="1"/>
          <w:color w:val="auto"/>
        </w:rPr>
        <w:t>Company Tax Jurisdiction</w:t>
      </w:r>
      <w:r>
        <w:rPr>
          <w:rFonts w:ascii="Arial" w:cs="Arial" w:eastAsia="Arial" w:hAnsi="Arial"/>
          <w:sz w:val="16"/>
          <w:szCs w:val="16"/>
          <w:color w:val="auto"/>
        </w:rPr>
        <w:t>”) or (2) any jurisdiction from or through which payment is made by or on behalf of the Company (including the jurisdiction of any Paying Agent for the applicable Securities) or any political subdivision thereof or therein (each, together with each Company Tax Jurisdiction, a “</w:t>
      </w:r>
      <w:r>
        <w:rPr>
          <w:rFonts w:ascii="Arial" w:cs="Arial" w:eastAsia="Arial" w:hAnsi="Arial"/>
          <w:sz w:val="16"/>
          <w:szCs w:val="16"/>
          <w:i w:val="1"/>
          <w:iCs w:val="1"/>
          <w:color w:val="auto"/>
        </w:rPr>
        <w:t>Tax Jurisdiction</w:t>
      </w:r>
      <w:r>
        <w:rPr>
          <w:rFonts w:ascii="Arial" w:cs="Arial" w:eastAsia="Arial" w:hAnsi="Arial"/>
          <w:sz w:val="16"/>
          <w:szCs w:val="16"/>
          <w:color w:val="auto"/>
        </w:rPr>
        <w:t>”) will at any time be required to be made from any payments made by the Company under or with respect to the Securities, including payments of principal, redemption price, interest or premium, the Company will pay such additional amounts (the “</w:t>
      </w:r>
      <w:r>
        <w:rPr>
          <w:rFonts w:ascii="Arial" w:cs="Arial" w:eastAsia="Arial" w:hAnsi="Arial"/>
          <w:sz w:val="16"/>
          <w:szCs w:val="16"/>
          <w:i w:val="1"/>
          <w:iCs w:val="1"/>
          <w:color w:val="auto"/>
        </w:rPr>
        <w:t>Additional Amounts</w:t>
      </w:r>
      <w:r>
        <w:rPr>
          <w:rFonts w:ascii="Arial" w:cs="Arial" w:eastAsia="Arial" w:hAnsi="Arial"/>
          <w:sz w:val="16"/>
          <w:szCs w:val="16"/>
          <w:color w:val="auto"/>
        </w:rPr>
        <w:t xml:space="preserve">”) as may be necessary in order that the net amounts received with respect to such payments by each holder of the applicable Securities after such withholding, deduction or imposition (including any such withholding, deduction or imposition from such Additional Amounts) will equal the respective amounts that would have been received with respect to such payments in the absence of such withholding or deduction;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Additional Amounts will be payable with respect to:</w:t>
      </w:r>
    </w:p>
    <w:p>
      <w:pPr>
        <w:spacing w:after="0" w:line="60" w:lineRule="exact"/>
        <w:rPr>
          <w:rFonts w:ascii="Arial" w:cs="Arial" w:eastAsia="Arial" w:hAnsi="Arial"/>
          <w:sz w:val="16"/>
          <w:szCs w:val="16"/>
          <w:color w:val="auto"/>
        </w:rPr>
      </w:pPr>
    </w:p>
    <w:p>
      <w:pPr>
        <w:ind w:left="460" w:right="140" w:firstLine="421"/>
        <w:spacing w:after="0" w:line="276" w:lineRule="auto"/>
        <w:tabs>
          <w:tab w:leader="none" w:pos="1135" w:val="left"/>
        </w:tabs>
        <w:numPr>
          <w:ilvl w:val="1"/>
          <w:numId w:val="90"/>
        </w:numPr>
        <w:rPr>
          <w:rFonts w:ascii="Arial" w:cs="Arial" w:eastAsia="Arial" w:hAnsi="Arial"/>
          <w:sz w:val="17"/>
          <w:szCs w:val="17"/>
          <w:color w:val="auto"/>
        </w:rPr>
      </w:pPr>
      <w:r>
        <w:rPr>
          <w:rFonts w:ascii="Arial" w:cs="Arial" w:eastAsia="Arial" w:hAnsi="Arial"/>
          <w:sz w:val="17"/>
          <w:szCs w:val="17"/>
          <w:color w:val="auto"/>
        </w:rPr>
        <w:t>any Taxes, to the extent such Taxes would not have been imposed but for the existence of any actual or deemed present or former connection between the Holder or the beneficial owner of such Securities and the relevant Tax Jurisdiction (including being or having been a national, resident or citizen of, being or having been engaged in a trade or business in, being or having been physically present in, or having or having had a permanent establishment in, such jurisdiction for Tax purposes), other than the holding of such Security, the enforcement of rights under such Security or the receipt of any payments with respect to such Security;</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700" w:top="274" w:right="279" w:bottom="1440" w:gutter="0" w:footer="0" w:header="0"/>
        </w:sectPr>
      </w:pPr>
    </w:p>
    <w:bookmarkStart w:id="129" w:name="page130"/>
    <w:bookmarkEnd w:id="129"/>
    <w:p>
      <w:pPr>
        <w:ind w:left="460" w:right="320" w:firstLine="421"/>
        <w:spacing w:after="0" w:line="312" w:lineRule="auto"/>
        <w:tabs>
          <w:tab w:leader="none" w:pos="1135" w:val="left"/>
        </w:tabs>
        <w:numPr>
          <w:ilvl w:val="1"/>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Taxes, to the extent such Taxes were imposed as a result of the presentation of such Security for payment (where presentation is required) more than 30 days after the relevant payment is first made available for payment to the holder (except to the extent that the holder would have been entitled to Additional Amounts had the applicable Security been presented on the last day of such 30 day period);</w:t>
      </w:r>
    </w:p>
    <w:p>
      <w:pPr>
        <w:spacing w:after="0" w:line="38" w:lineRule="exact"/>
        <w:rPr>
          <w:rFonts w:ascii="Arial" w:cs="Arial" w:eastAsia="Arial" w:hAnsi="Arial"/>
          <w:sz w:val="16"/>
          <w:szCs w:val="16"/>
          <w:color w:val="auto"/>
        </w:rPr>
      </w:pPr>
    </w:p>
    <w:p>
      <w:pPr>
        <w:ind w:left="1140" w:hanging="259"/>
        <w:spacing w:after="0"/>
        <w:tabs>
          <w:tab w:leader="none" w:pos="11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460" w:right="100" w:firstLine="421"/>
        <w:spacing w:after="0" w:line="264" w:lineRule="auto"/>
        <w:tabs>
          <w:tab w:leader="none" w:pos="113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the Company to the Holder if such Holder is a fiduciary, partnership, limited liability company or other Person other than the sole beneficial owner of such payment to the extent that Taxes would not have been imposed on such payment had such Holder been the sole beneficial owner of such Security;</w:t>
      </w:r>
    </w:p>
    <w:p>
      <w:pPr>
        <w:spacing w:after="0" w:line="73" w:lineRule="exact"/>
        <w:rPr>
          <w:rFonts w:ascii="Arial" w:cs="Arial" w:eastAsia="Arial" w:hAnsi="Arial"/>
          <w:sz w:val="18"/>
          <w:szCs w:val="18"/>
          <w:color w:val="auto"/>
        </w:rPr>
      </w:pPr>
    </w:p>
    <w:p>
      <w:pPr>
        <w:ind w:left="460" w:right="260" w:firstLine="421"/>
        <w:spacing w:after="0" w:line="277" w:lineRule="auto"/>
        <w:tabs>
          <w:tab w:leader="none" w:pos="1135" w:val="left"/>
        </w:tabs>
        <w:numPr>
          <w:ilvl w:val="1"/>
          <w:numId w:val="91"/>
        </w:numPr>
        <w:rPr>
          <w:rFonts w:ascii="Arial" w:cs="Arial" w:eastAsia="Arial" w:hAnsi="Arial"/>
          <w:sz w:val="18"/>
          <w:szCs w:val="18"/>
          <w:color w:val="auto"/>
        </w:rPr>
      </w:pPr>
      <w:r>
        <w:rPr>
          <w:rFonts w:ascii="Arial" w:cs="Arial" w:eastAsia="Arial" w:hAnsi="Arial"/>
          <w:sz w:val="18"/>
          <w:szCs w:val="18"/>
          <w:color w:val="auto"/>
        </w:rPr>
        <w:t>with respect to any Taxes imposed by the United States, any such Taxes imposed by reason of the failure of such Holder to fulfill the statement requirements of Sections 871(h) or 881(c) of the Internal Revenue Code of 1986, as amended;</w:t>
      </w:r>
    </w:p>
    <w:p>
      <w:pPr>
        <w:spacing w:after="0" w:line="62" w:lineRule="exact"/>
        <w:rPr>
          <w:rFonts w:ascii="Arial" w:cs="Arial" w:eastAsia="Arial" w:hAnsi="Arial"/>
          <w:sz w:val="18"/>
          <w:szCs w:val="18"/>
          <w:color w:val="auto"/>
        </w:rPr>
      </w:pPr>
    </w:p>
    <w:p>
      <w:pPr>
        <w:ind w:left="460" w:right="340" w:firstLine="421"/>
        <w:spacing w:after="0" w:line="308" w:lineRule="auto"/>
        <w:tabs>
          <w:tab w:leader="none" w:pos="1135" w:val="left"/>
        </w:tabs>
        <w:numPr>
          <w:ilvl w:val="1"/>
          <w:numId w:val="91"/>
        </w:numPr>
        <w:rPr>
          <w:rFonts w:ascii="Arial" w:cs="Arial" w:eastAsia="Arial" w:hAnsi="Arial"/>
          <w:sz w:val="17"/>
          <w:szCs w:val="17"/>
          <w:color w:val="auto"/>
        </w:rPr>
      </w:pPr>
      <w:r>
        <w:rPr>
          <w:rFonts w:ascii="Arial" w:cs="Arial" w:eastAsia="Arial" w:hAnsi="Arial"/>
          <w:sz w:val="17"/>
          <w:szCs w:val="17"/>
          <w:color w:val="auto"/>
        </w:rPr>
        <w:t>Taxes imposed on or with respect to a payment made to a Holder or beneficial owner of such Security who would have been able to avoid such withholding or deduction by presenting such Security (where presentation is required) to another Paying Agent;</w:t>
      </w:r>
    </w:p>
    <w:p>
      <w:pPr>
        <w:spacing w:after="0" w:line="38" w:lineRule="exact"/>
        <w:rPr>
          <w:rFonts w:ascii="Arial" w:cs="Arial" w:eastAsia="Arial" w:hAnsi="Arial"/>
          <w:sz w:val="17"/>
          <w:szCs w:val="17"/>
          <w:color w:val="auto"/>
        </w:rPr>
      </w:pPr>
    </w:p>
    <w:p>
      <w:pPr>
        <w:ind w:left="1140" w:hanging="259"/>
        <w:spacing w:after="0"/>
        <w:tabs>
          <w:tab w:leader="none" w:pos="11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Securities or the Guarantee;</w:t>
      </w:r>
    </w:p>
    <w:p>
      <w:pPr>
        <w:spacing w:after="0" w:line="140" w:lineRule="exact"/>
        <w:rPr>
          <w:rFonts w:ascii="Arial" w:cs="Arial" w:eastAsia="Arial" w:hAnsi="Arial"/>
          <w:sz w:val="16"/>
          <w:szCs w:val="16"/>
          <w:color w:val="auto"/>
        </w:rPr>
      </w:pPr>
    </w:p>
    <w:p>
      <w:pPr>
        <w:ind w:left="460" w:right="120" w:firstLine="421"/>
        <w:spacing w:after="0" w:line="273" w:lineRule="auto"/>
        <w:tabs>
          <w:tab w:leader="none" w:pos="1135" w:val="left"/>
        </w:tabs>
        <w:numPr>
          <w:ilvl w:val="1"/>
          <w:numId w:val="91"/>
        </w:numPr>
        <w:rPr>
          <w:rFonts w:ascii="Arial" w:cs="Arial" w:eastAsia="Arial" w:hAnsi="Arial"/>
          <w:sz w:val="17"/>
          <w:szCs w:val="17"/>
          <w:color w:val="auto"/>
        </w:rPr>
      </w:pPr>
      <w:r>
        <w:rPr>
          <w:rFonts w:ascii="Arial" w:cs="Arial" w:eastAsia="Arial" w:hAnsi="Arial"/>
          <w:sz w:val="17"/>
          <w:szCs w:val="17"/>
          <w:color w:val="auto"/>
        </w:rPr>
        <w:t>any Taxes to the extent such Taxes are imposed or withheld by reason of the failure of the Holder or beneficial owner of such Security, to comply with any written request of the Company addressed to the Holder or beneficial owner to satisfy any certification, identification, information or other reporting requirements, whether required by statute, treaty, regulation or administrative practice of a relevant Tax Jurisdiction, as a precondition to exemption from, or reduction in the rate of deduction or withholding of, Taxes imposed by the relevant Tax Jurisdiction (including a certification that the Holder or beneficial owner is not resident in such Tax Jurisdiction), but in each case, only to the extent the Holder or beneficial owner is legally entitled to provide such certification or documentation; or</w:t>
      </w:r>
    </w:p>
    <w:p>
      <w:pPr>
        <w:spacing w:after="0" w:line="70" w:lineRule="exact"/>
        <w:rPr>
          <w:rFonts w:ascii="Arial" w:cs="Arial" w:eastAsia="Arial" w:hAnsi="Arial"/>
          <w:sz w:val="17"/>
          <w:szCs w:val="17"/>
          <w:color w:val="auto"/>
        </w:rPr>
      </w:pPr>
    </w:p>
    <w:p>
      <w:pPr>
        <w:ind w:left="1140" w:hanging="259"/>
        <w:spacing w:after="0"/>
        <w:tabs>
          <w:tab w:leader="none" w:pos="11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combination of items (1) through (8) of this Section 4.6(a).</w:t>
      </w:r>
    </w:p>
    <w:p>
      <w:pPr>
        <w:spacing w:after="0" w:line="225" w:lineRule="exact"/>
        <w:rPr>
          <w:rFonts w:ascii="Arial" w:cs="Arial" w:eastAsia="Arial" w:hAnsi="Arial"/>
          <w:sz w:val="18"/>
          <w:szCs w:val="18"/>
          <w:color w:val="auto"/>
        </w:rPr>
      </w:pPr>
    </w:p>
    <w:p>
      <w:pPr>
        <w:ind w:firstLine="443"/>
        <w:spacing w:after="0" w:line="257" w:lineRule="auto"/>
        <w:tabs>
          <w:tab w:leader="none" w:pos="69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addition to the foregoing, the Company will also pay and indemnify the Holders for any present or future stamp, issue, registration, court or documentary Taxes, or any other excise or property Taxes, charges or similar levies (including penalties, interest and any other reasonable expenses related thereto) which are levied by a relevant Tax Jurisdiction on the execution, delivery, issuance, or registration of the Securities, or the related Indenture, or any other document or instrument referred to therein in connection with a transfer of such Securities at the time of the initial resale by the initial purchasers.</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130" w:name="page131"/>
    <w:bookmarkEnd w:id="130"/>
    <w:p>
      <w:pPr>
        <w:ind w:left="460" w:right="80" w:firstLine="443"/>
        <w:spacing w:after="0" w:line="293" w:lineRule="auto"/>
        <w:tabs>
          <w:tab w:leader="none" w:pos="1143" w:val="left"/>
        </w:tabs>
        <w:numPr>
          <w:ilvl w:val="0"/>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becomes aware that it will be obligated to pay Additional Amounts with respect to any payment under or with respect to the Securities, the Company will deliver to the Trustee on a date that is at least 30 days prior to the date of that payment (unless the obligation to pay Additional Amounts arises fewer than 45 days prior to that payment date, in which case the Company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64" w:lineRule="exact"/>
        <w:rPr>
          <w:rFonts w:ascii="Arial" w:cs="Arial" w:eastAsia="Arial" w:hAnsi="Arial"/>
          <w:sz w:val="16"/>
          <w:szCs w:val="16"/>
          <w:color w:val="auto"/>
        </w:rPr>
      </w:pPr>
    </w:p>
    <w:p>
      <w:pPr>
        <w:ind w:left="460" w:firstLine="443"/>
        <w:spacing w:after="0" w:line="273" w:lineRule="auto"/>
        <w:tabs>
          <w:tab w:leader="none" w:pos="1153"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will make all withholdings and deductions required by law with respect to the Securities, and will remit the full amount deducted or withheld to the relevant Tax authority in accordance with applicable law. The Company will use its reasonable efforts to obtain Tax receipts from each Tax authority evidencing the payment of any Taxes so deducted or withheld. Upon reasonable written request, the Company will furnish to the Trustee (or to a Holder or beneficial owner upon written request), within a reasonable time after the date the payment of any Taxes so deducted or withheld is made, certified copies of Tax receipts evidencing payment by the Company or if, notwithstanding the Company’s efforts to obtain receipts, receipts are not obtained, other evidence of payments (reasonably satisfactory to the Trustee).</w:t>
      </w:r>
    </w:p>
    <w:p>
      <w:pPr>
        <w:spacing w:after="0" w:line="178" w:lineRule="exact"/>
        <w:rPr>
          <w:rFonts w:ascii="Arial" w:cs="Arial" w:eastAsia="Arial" w:hAnsi="Arial"/>
          <w:sz w:val="17"/>
          <w:szCs w:val="17"/>
          <w:color w:val="auto"/>
        </w:rPr>
      </w:pPr>
    </w:p>
    <w:p>
      <w:pPr>
        <w:ind w:left="460" w:firstLine="443"/>
        <w:spacing w:after="0" w:line="312" w:lineRule="auto"/>
        <w:tabs>
          <w:tab w:leader="none" w:pos="1143" w:val="left"/>
        </w:tabs>
        <w:numPr>
          <w:ilvl w:val="0"/>
          <w:numId w:val="93"/>
        </w:numPr>
        <w:rPr>
          <w:rFonts w:ascii="Arial" w:cs="Arial" w:eastAsia="Arial" w:hAnsi="Arial"/>
          <w:sz w:val="16"/>
          <w:szCs w:val="16"/>
          <w:color w:val="auto"/>
        </w:rPr>
      </w:pPr>
      <w:r>
        <w:rPr>
          <w:rFonts w:ascii="Arial" w:cs="Arial" w:eastAsia="Arial" w:hAnsi="Arial"/>
          <w:sz w:val="16"/>
          <w:szCs w:val="16"/>
          <w:color w:val="auto"/>
        </w:rPr>
        <w:t>Whenever in this Indenture there is mentioned, in any context, the payment of amounts based upon the principal amount of the Securities or of principal, interest or of any other amount payable under, or with respect to, any of the Securities, such mention shall be deemed to include mention of the payment of Additional Amounts to the extent that, in such context, Additional Amounts are, were or would be payable in respect thereof.</w:t>
      </w:r>
    </w:p>
    <w:p>
      <w:pPr>
        <w:spacing w:after="0" w:line="147"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The obligations in this Section 4.6 will survive any termination, defeasance or discharge of this Indenture, any transfer by a Holder or beneficial owner of its Securities, and will apply, mutatis mutandis, to any jurisdiction in which any successor Person to the Company is incorporated or organized, or any jurisdiction from or through which payment is made by or on behalf of such Person on the Securities and any political subdivision thereof or therein.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225" w:lineRule="exact"/>
        <w:rPr>
          <w:sz w:val="20"/>
          <w:szCs w:val="20"/>
          <w:color w:val="auto"/>
        </w:rPr>
      </w:pPr>
    </w:p>
    <w:p>
      <w:pPr>
        <w:ind w:left="460" w:right="80" w:firstLine="443"/>
        <w:spacing w:after="0" w:line="276" w:lineRule="auto"/>
        <w:tabs>
          <w:tab w:leader="none" w:pos="1143" w:val="left"/>
        </w:tabs>
        <w:numPr>
          <w:ilvl w:val="0"/>
          <w:numId w:val="94"/>
        </w:numPr>
        <w:rPr>
          <w:rFonts w:ascii="Arial" w:cs="Arial" w:eastAsia="Arial" w:hAnsi="Arial"/>
          <w:sz w:val="17"/>
          <w:szCs w:val="17"/>
          <w:color w:val="auto"/>
        </w:rPr>
      </w:pPr>
      <w:r>
        <w:rPr>
          <w:rFonts w:ascii="Arial" w:cs="Arial" w:eastAsia="Arial" w:hAnsi="Arial"/>
          <w:sz w:val="17"/>
          <w:szCs w:val="17"/>
          <w:color w:val="auto"/>
        </w:rPr>
        <w:t>So long as any Securities are outstanding, the Company shall file with the Trustee, within 15 days after the Company files with the SEC, copies of the annual reports and of the information, documents and other reports (or copies of such portions of any of the foregoing as the SEC may from time to time by rules and regulations prescribe) that the Company may be required to file with the SEC pursuant to Section 13 or Section 15(d) of the Exchange Act. The Company shall be deemed to have complied with the previous sentence to the extent that such information, documents and reports are filed with the SEC via EDGAR (or any successor electronic delivery procedure).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31" w:name="page132"/>
    <w:bookmarkEnd w:id="131"/>
    <w:p>
      <w:pPr>
        <w:jc w:val="both"/>
        <w:ind w:left="460" w:right="60" w:firstLine="443"/>
        <w:spacing w:after="0" w:line="286" w:lineRule="auto"/>
        <w:tabs>
          <w:tab w:leader="none" w:pos="1153" w:val="left"/>
        </w:tabs>
        <w:numPr>
          <w:ilvl w:val="0"/>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Consolidation, Merger and Sale of Assets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The Company may not consolidate with or merge into any other Person or transfer or lease all or substantially all of its assets to any Person unless any successor or purchaser expressly assumes its obligations under this Indenture and the Securities, by an indenture supplemental to this Indenture to which the Company is a party to, and immediately after which, no Default or Event of Default, shall have happened and be continuing. An Officer’s Certificate and an Opinion of Counsel will be delivered to the Trustee, which will serve as conclusive evidence of compliance with this Section 5.1.</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right="600" w:firstLine="913"/>
        <w:spacing w:after="0" w:line="308" w:lineRule="auto"/>
        <w:rPr>
          <w:sz w:val="20"/>
          <w:szCs w:val="20"/>
          <w:color w:val="auto"/>
        </w:rPr>
      </w:pPr>
      <w:r>
        <w:rPr>
          <w:rFonts w:ascii="Arial" w:cs="Arial" w:eastAsia="Arial" w:hAnsi="Arial"/>
          <w:sz w:val="17"/>
          <w:szCs w:val="17"/>
          <w:color w:val="auto"/>
        </w:rPr>
        <w:t>The following are “</w:t>
      </w:r>
      <w:r>
        <w:rPr>
          <w:rFonts w:ascii="Arial" w:cs="Arial" w:eastAsia="Arial" w:hAnsi="Arial"/>
          <w:sz w:val="17"/>
          <w:szCs w:val="17"/>
          <w:i w:val="1"/>
          <w:iCs w:val="1"/>
          <w:color w:val="auto"/>
        </w:rPr>
        <w:t>Events of Default</w:t>
      </w:r>
      <w:r>
        <w:rPr>
          <w:rFonts w:ascii="Arial" w:cs="Arial" w:eastAsia="Arial" w:hAnsi="Arial"/>
          <w:sz w:val="17"/>
          <w:szCs w:val="17"/>
          <w:color w:val="auto"/>
        </w:rPr>
        <w:t>” with respect to the Securities of any Series, unless in the establishing Board Resolution, Officer’s Certificate or supplemental indenture, it is provided that such Series shall not have the benefit of said Event of Default:</w:t>
      </w:r>
    </w:p>
    <w:p>
      <w:pPr>
        <w:spacing w:after="0" w:line="38" w:lineRule="exact"/>
        <w:rPr>
          <w:sz w:val="20"/>
          <w:szCs w:val="20"/>
          <w:color w:val="auto"/>
        </w:rPr>
      </w:pPr>
    </w:p>
    <w:p>
      <w:pPr>
        <w:ind w:left="1140" w:hanging="237"/>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failure to pay any interest on the Securities within 30 days after such interest becomes due and payable;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failure to pay principal of the Securities at maturity, or if applicable, the redemption price, when the same become due and payable;</w:t>
      </w:r>
    </w:p>
    <w:p>
      <w:pPr>
        <w:spacing w:after="0" w:line="128" w:lineRule="exact"/>
        <w:rPr>
          <w:rFonts w:ascii="Arial" w:cs="Arial" w:eastAsia="Arial" w:hAnsi="Arial"/>
          <w:sz w:val="17"/>
          <w:szCs w:val="17"/>
          <w:color w:val="auto"/>
        </w:rPr>
      </w:pPr>
    </w:p>
    <w:p>
      <w:pPr>
        <w:ind w:left="460" w:right="800" w:firstLine="443"/>
        <w:spacing w:after="0" w:line="277" w:lineRule="auto"/>
        <w:tabs>
          <w:tab w:leader="none" w:pos="1143"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failure to pay any sinking fund installment as and when the same shall become due and payable by the terms of the Securities, and continuance of such default for a period of 30 days;</w:t>
      </w:r>
    </w:p>
    <w:p>
      <w:pPr>
        <w:spacing w:after="0" w:line="62" w:lineRule="exact"/>
        <w:rPr>
          <w:rFonts w:ascii="Arial" w:cs="Arial" w:eastAsia="Arial" w:hAnsi="Arial"/>
          <w:sz w:val="18"/>
          <w:szCs w:val="18"/>
          <w:color w:val="auto"/>
        </w:rPr>
      </w:pPr>
    </w:p>
    <w:p>
      <w:pPr>
        <w:ind w:left="460" w:right="140" w:firstLine="443"/>
        <w:spacing w:after="0" w:line="264" w:lineRule="auto"/>
        <w:tabs>
          <w:tab w:leader="none" w:pos="11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failure to comply with any of the covenants or agreements in the Securities or this Indenture (other than an agreement or covenant that the Company has included in this Indenture solely for the benefit of another Series of Securities) for 90 days after written notice by the Trustee or by the Holders of at least 25% in principal amount of all outstanding debt securities affected by that failure;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274" w:right="339" w:bottom="1440" w:gutter="0" w:footer="0" w:header="0"/>
        </w:sectPr>
      </w:pPr>
    </w:p>
    <w:bookmarkStart w:id="132" w:name="page133"/>
    <w:bookmarkEnd w:id="132"/>
    <w:p>
      <w:pPr>
        <w:ind w:left="1140" w:hanging="237"/>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pursuant to or within the meaning of any Bankruptcy Law:</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 the order or decree remains unstayed and in effect for 60 days; and</w:t>
      </w:r>
    </w:p>
    <w:p>
      <w:pPr>
        <w:spacing w:after="0" w:line="117" w:lineRule="exact"/>
        <w:rPr>
          <w:sz w:val="20"/>
          <w:szCs w:val="20"/>
          <w:color w:val="auto"/>
        </w:rPr>
      </w:pPr>
    </w:p>
    <w:p>
      <w:pPr>
        <w:ind w:left="460" w:right="140" w:firstLine="443"/>
        <w:spacing w:after="0" w:line="277"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Board Resolution under which such Series of Securities is issued or in the form of Security for such Series.</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Default under one Series of Securities issued under this Indenture will not necessarily be a default under another Series of Securities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If an Event of Default for a Series of Securities occurs and is continuing (other than an Event of Default referred to in Section 6.1(e) or (f)), the Trustee or the Holders of at least 25% in principal amount of such Series of Securities may require the Company to pay immediately the principal amount plus accrued and unpaid interest on such Securities. If an Event of Default referred to in Section 6.1(e) or (f) occurs, the principal amount plus accrued and unpaid interest on such Series of Securities will become immediately due and payable without any action on the part of the Trustee or any Holder.</w:t>
      </w:r>
    </w:p>
    <w:p>
      <w:pPr>
        <w:spacing w:after="0" w:line="154"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At any time after such a declaration of acceleration with respect to any Series has been made and before a judgment or decree for payment of the money due has been obtained by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133" w:name="page134"/>
    <w:bookmarkEnd w:id="13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as hereinafter in this Article VI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60" w:right="180" w:firstLine="443"/>
        <w:spacing w:after="0" w:line="277" w:lineRule="auto"/>
        <w:tabs>
          <w:tab w:leader="none" w:pos="1143"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then, </w:t>
      </w:r>
      <w:r>
        <w:rPr>
          <w:rFonts w:ascii="Arial" w:cs="Arial" w:eastAsia="Arial" w:hAnsi="Arial"/>
          <w:sz w:val="16"/>
          <w:szCs w:val="16"/>
          <w:color w:val="auto"/>
        </w:rPr>
        <w:t>the Company will, upon demand of the Trustee, pay to it, for the benefit of the Holders of such Securities, the whole amount then due and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54"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80" w:lineRule="exact"/>
        <w:rPr>
          <w:sz w:val="20"/>
          <w:szCs w:val="20"/>
          <w:color w:val="auto"/>
        </w:rPr>
      </w:pPr>
    </w:p>
    <w:p>
      <w:pPr>
        <w:ind w:left="460" w:right="80" w:firstLine="443"/>
        <w:spacing w:after="0" w:line="312" w:lineRule="auto"/>
        <w:tabs>
          <w:tab w:leader="none" w:pos="114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with respect to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7.6.</w:t>
      </w:r>
    </w:p>
    <w:p>
      <w:pPr>
        <w:spacing w:after="0" w:line="18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with respect to the claim of any Holder in any such proceeding.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with respect to which such judgment has been recovered.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Any money collected by the Trustee pursuant to this Article VI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135" w:name="page136"/>
    <w:bookmarkEnd w:id="13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To the payment of all amounts due the Trustee under Section 7.6;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Second: To the payment of all senior indebtedness of the Company if and to the extent required by Article XI;</w:t>
      </w:r>
    </w:p>
    <w:p>
      <w:pPr>
        <w:spacing w:after="0" w:line="225"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Third: To the payment of the amounts then due and unpaid for principal of, premium, if any, and interest on the Securities with respect to which or for the benefit of which such money has been collected, ratably, without preference or priority of any kind, according to the amounts due and payable on such Securities for principal and interest, respectively; and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Fourth: To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Holder of Securities of any Series may pursue any remedy under this Indenture applicable to such Securities only if:</w:t>
      </w:r>
    </w:p>
    <w:p>
      <w:pPr>
        <w:spacing w:after="0" w:line="117" w:lineRule="exact"/>
        <w:rPr>
          <w:sz w:val="20"/>
          <w:szCs w:val="20"/>
          <w:color w:val="auto"/>
        </w:rPr>
      </w:pPr>
    </w:p>
    <w:p>
      <w:pPr>
        <w:ind w:left="1140" w:hanging="237"/>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Series of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such outstanding Series of Securities make a written request to the Trustee to pursue the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remedy;</w:t>
      </w:r>
    </w:p>
    <w:p>
      <w:pPr>
        <w:spacing w:after="0" w:line="102" w:lineRule="exact"/>
        <w:rPr>
          <w:rFonts w:ascii="Arial" w:cs="Arial" w:eastAsia="Arial" w:hAnsi="Arial"/>
          <w:sz w:val="16"/>
          <w:szCs w:val="16"/>
          <w:color w:val="auto"/>
        </w:rPr>
      </w:pPr>
    </w:p>
    <w:p>
      <w:pPr>
        <w:ind w:left="460" w:right="160" w:firstLine="443"/>
        <w:spacing w:after="0" w:line="277" w:lineRule="auto"/>
        <w:tabs>
          <w:tab w:leader="none" w:pos="11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Holders furnish to the Trustee indemnity reasonably satisfactory to the Trustee against the costs, expenses and liabilities which might be incurred by it in compliance with such request;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17" w:lineRule="exact"/>
        <w:rPr>
          <w:rFonts w:ascii="Arial" w:cs="Arial" w:eastAsia="Arial" w:hAnsi="Arial"/>
          <w:sz w:val="18"/>
          <w:szCs w:val="18"/>
          <w:color w:val="auto"/>
        </w:rPr>
      </w:pPr>
    </w:p>
    <w:p>
      <w:pPr>
        <w:ind w:left="460" w:right="300" w:firstLine="443"/>
        <w:spacing w:after="0" w:line="277" w:lineRule="auto"/>
        <w:tabs>
          <w:tab w:leader="none" w:pos="11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such Securities do not give the Trustee a direction inconsistent with the request.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provision does not, however, affect the right of a Holder of Securities to sue for enforcement of any overdue payment with respect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3" w:lineRule="exact"/>
        <w:rPr>
          <w:sz w:val="20"/>
          <w:szCs w:val="20"/>
          <w:color w:val="auto"/>
        </w:rPr>
      </w:pPr>
    </w:p>
    <w:p>
      <w:pPr>
        <w:ind w:left="1140" w:hanging="237"/>
        <w:spacing w:after="0"/>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left="460" w:right="180" w:firstLine="443"/>
        <w:spacing w:after="0" w:line="264" w:lineRule="auto"/>
        <w:tabs>
          <w:tab w:leader="none" w:pos="114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in good faith shall, by a Responsible Officer of the Trustee, determine that the proceeding so directed would involve the Trustee in personal liability or that it will not be adequately indemnified against the costs, expenses and liabilities which might be incurred by it in complying with such direction.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jc w:val="both"/>
        <w:ind w:left="460" w:right="180" w:firstLine="443"/>
        <w:spacing w:after="0" w:line="264" w:lineRule="auto"/>
        <w:tabs>
          <w:tab w:leader="none" w:pos="114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such exercise, as a prudent man would exercise or use under the circumstances in the conduct of his own affairs.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with respect to the Securities of any Series:</w:t>
      </w:r>
    </w:p>
    <w:p>
      <w:pPr>
        <w:spacing w:after="0" w:line="130" w:lineRule="exact"/>
        <w:rPr>
          <w:rFonts w:ascii="Arial" w:cs="Arial" w:eastAsia="Arial" w:hAnsi="Arial"/>
          <w:sz w:val="18"/>
          <w:szCs w:val="18"/>
          <w:color w:val="auto"/>
        </w:rPr>
      </w:pPr>
    </w:p>
    <w:p>
      <w:pPr>
        <w:ind w:left="1700" w:right="120" w:hanging="558"/>
        <w:spacing w:after="0" w:line="277" w:lineRule="auto"/>
        <w:tabs>
          <w:tab w:leader="none" w:pos="17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 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138" w:name="page139"/>
    <w:bookmarkEnd w:id="138"/>
    <w:p>
      <w:pPr>
        <w:ind w:left="1240" w:right="220" w:hanging="558"/>
        <w:spacing w:after="0" w:line="259" w:lineRule="auto"/>
        <w:tabs>
          <w:tab w:leader="none" w:pos="12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78" w:lineRule="exact"/>
        <w:rPr>
          <w:rFonts w:ascii="Arial" w:cs="Arial" w:eastAsia="Arial" w:hAnsi="Arial"/>
          <w:sz w:val="18"/>
          <w:szCs w:val="18"/>
          <w:color w:val="auto"/>
        </w:rPr>
      </w:pPr>
    </w:p>
    <w:p>
      <w:pPr>
        <w:ind w:firstLine="443"/>
        <w:spacing w:after="0" w:line="277" w:lineRule="auto"/>
        <w:tabs>
          <w:tab w:leader="none" w:pos="68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grossly negligent action, its own grossly negligent failure to act or its own willful misconduct, except that:</w:t>
      </w:r>
    </w:p>
    <w:p>
      <w:pPr>
        <w:spacing w:after="0" w:line="75" w:lineRule="exact"/>
        <w:rPr>
          <w:rFonts w:ascii="Arial" w:cs="Arial" w:eastAsia="Arial" w:hAnsi="Arial"/>
          <w:sz w:val="18"/>
          <w:szCs w:val="18"/>
          <w:color w:val="auto"/>
        </w:rPr>
      </w:pPr>
    </w:p>
    <w:p>
      <w:pPr>
        <w:ind w:left="1240" w:hanging="558"/>
        <w:spacing w:after="0"/>
        <w:tabs>
          <w:tab w:leader="none" w:pos="12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7.1; and</w:t>
      </w:r>
    </w:p>
    <w:p>
      <w:pPr>
        <w:spacing w:after="0" w:line="130" w:lineRule="exact"/>
        <w:rPr>
          <w:rFonts w:ascii="Arial" w:cs="Arial" w:eastAsia="Arial" w:hAnsi="Arial"/>
          <w:sz w:val="18"/>
          <w:szCs w:val="18"/>
          <w:color w:val="auto"/>
        </w:rPr>
      </w:pPr>
    </w:p>
    <w:p>
      <w:pPr>
        <w:ind w:left="1240" w:right="420" w:hanging="558"/>
        <w:spacing w:after="0" w:line="277" w:lineRule="auto"/>
        <w:tabs>
          <w:tab w:leader="none" w:pos="12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grossly negligent in ascertaining the pertinent facts.</w:t>
      </w:r>
    </w:p>
    <w:p>
      <w:pPr>
        <w:spacing w:after="0" w:line="62" w:lineRule="exact"/>
        <w:rPr>
          <w:rFonts w:ascii="Arial" w:cs="Arial" w:eastAsia="Arial" w:hAnsi="Arial"/>
          <w:sz w:val="18"/>
          <w:szCs w:val="18"/>
          <w:color w:val="auto"/>
        </w:rPr>
      </w:pPr>
    </w:p>
    <w:p>
      <w:pPr>
        <w:ind w:right="600" w:firstLine="443"/>
        <w:spacing w:after="0" w:line="277" w:lineRule="auto"/>
        <w:tabs>
          <w:tab w:leader="none" w:pos="69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the provisions of this Article VII.</w:t>
      </w:r>
    </w:p>
    <w:p>
      <w:pPr>
        <w:spacing w:after="0" w:line="62" w:lineRule="exact"/>
        <w:rPr>
          <w:rFonts w:ascii="Arial" w:cs="Arial" w:eastAsia="Arial" w:hAnsi="Arial"/>
          <w:sz w:val="18"/>
          <w:szCs w:val="18"/>
          <w:color w:val="auto"/>
        </w:rPr>
      </w:pPr>
    </w:p>
    <w:p>
      <w:pPr>
        <w:ind w:right="460" w:firstLine="443"/>
        <w:spacing w:after="0" w:line="342" w:lineRule="auto"/>
        <w:tabs>
          <w:tab w:leader="none" w:pos="6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15" w:lineRule="exact"/>
        <w:rPr>
          <w:rFonts w:ascii="Arial" w:cs="Arial" w:eastAsia="Arial" w:hAnsi="Arial"/>
          <w:sz w:val="16"/>
          <w:szCs w:val="16"/>
          <w:color w:val="auto"/>
        </w:rPr>
      </w:pPr>
    </w:p>
    <w:p>
      <w:pPr>
        <w:ind w:right="40" w:firstLine="443"/>
        <w:spacing w:after="0" w:line="259" w:lineRule="auto"/>
        <w:tabs>
          <w:tab w:leader="none" w:pos="6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right="20" w:firstLine="443"/>
        <w:spacing w:after="0" w:line="302" w:lineRule="auto"/>
        <w:tabs>
          <w:tab w:leader="none" w:pos="68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46" w:lineRule="exact"/>
        <w:rPr>
          <w:rFonts w:ascii="Arial" w:cs="Arial" w:eastAsia="Arial" w:hAnsi="Arial"/>
          <w:sz w:val="16"/>
          <w:szCs w:val="16"/>
          <w:color w:val="auto"/>
        </w:rPr>
      </w:pPr>
    </w:p>
    <w:p>
      <w:pPr>
        <w:ind w:right="340" w:firstLine="443"/>
        <w:spacing w:after="0" w:line="277" w:lineRule="auto"/>
        <w:tabs>
          <w:tab w:leader="none" w:pos="69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instruction, an Officer’s Certificate or an Opinion of Counsel or both to be provided. The Trustee</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60"/>
          </w:cols>
          <w:pgMar w:left="700" w:top="274" w:right="339" w:bottom="1440" w:gutter="0" w:footer="0" w:header="0"/>
        </w:sectPr>
      </w:pPr>
    </w:p>
    <w:bookmarkStart w:id="139" w:name="page140"/>
    <w:bookmarkEnd w:id="139"/>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be liable for any action it takes or omits to take in good faith in reliance on such instruction, Officer’s Certificate or Opinion of Counsel. The Trustee may consult with counsel and the written advice of such counsel or any Opinion of Counsel shall be full and complete authorization and protection with respect to any action taken, suffered or omitted by it hereunder in good faith and in reliance thereon.</w:t>
      </w:r>
    </w:p>
    <w:p>
      <w:pPr>
        <w:spacing w:after="0" w:line="57" w:lineRule="exact"/>
        <w:rPr>
          <w:sz w:val="20"/>
          <w:szCs w:val="20"/>
          <w:color w:val="auto"/>
        </w:rPr>
      </w:pPr>
    </w:p>
    <w:p>
      <w:pPr>
        <w:ind w:right="200" w:firstLine="443"/>
        <w:spacing w:after="0" w:line="277" w:lineRule="auto"/>
        <w:tabs>
          <w:tab w:leader="none" w:pos="68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may act through agents, attorneys, custodians or nominees and shall not be responsible for the misconduct or negligence of any agent, attorney, custodian or nominee appointed with due care.</w:t>
      </w:r>
    </w:p>
    <w:p>
      <w:pPr>
        <w:spacing w:after="0" w:line="62" w:lineRule="exact"/>
        <w:rPr>
          <w:rFonts w:ascii="Arial" w:cs="Arial" w:eastAsia="Arial" w:hAnsi="Arial"/>
          <w:sz w:val="18"/>
          <w:szCs w:val="18"/>
          <w:color w:val="auto"/>
        </w:rPr>
      </w:pPr>
    </w:p>
    <w:p>
      <w:pPr>
        <w:ind w:firstLine="443"/>
        <w:spacing w:after="0" w:line="264" w:lineRule="auto"/>
        <w:tabs>
          <w:tab w:leader="none" w:pos="69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w:t>
      </w:r>
    </w:p>
    <w:p>
      <w:pPr>
        <w:spacing w:after="0" w:line="73" w:lineRule="exact"/>
        <w:rPr>
          <w:rFonts w:ascii="Arial" w:cs="Arial" w:eastAsia="Arial" w:hAnsi="Arial"/>
          <w:sz w:val="18"/>
          <w:szCs w:val="18"/>
          <w:color w:val="auto"/>
        </w:rPr>
      </w:pPr>
    </w:p>
    <w:p>
      <w:pPr>
        <w:ind w:right="380" w:firstLine="443"/>
        <w:spacing w:after="0" w:line="277" w:lineRule="auto"/>
        <w:tabs>
          <w:tab w:leader="none" w:pos="68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shall be sufficient if signed by an Officer of the Company.</w:t>
      </w:r>
    </w:p>
    <w:p>
      <w:pPr>
        <w:spacing w:after="0" w:line="62" w:lineRule="exact"/>
        <w:rPr>
          <w:rFonts w:ascii="Arial" w:cs="Arial" w:eastAsia="Arial" w:hAnsi="Arial"/>
          <w:sz w:val="18"/>
          <w:szCs w:val="18"/>
          <w:color w:val="auto"/>
        </w:rPr>
      </w:pPr>
    </w:p>
    <w:p>
      <w:pPr>
        <w:ind w:right="40" w:firstLine="443"/>
        <w:spacing w:after="0" w:line="312" w:lineRule="auto"/>
        <w:tabs>
          <w:tab w:leader="none" w:pos="66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spacing w:after="0" w:line="38" w:lineRule="exact"/>
        <w:rPr>
          <w:rFonts w:ascii="Arial" w:cs="Arial" w:eastAsia="Arial" w:hAnsi="Arial"/>
          <w:sz w:val="16"/>
          <w:szCs w:val="16"/>
          <w:color w:val="auto"/>
        </w:rPr>
      </w:pPr>
    </w:p>
    <w:p>
      <w:pPr>
        <w:ind w:right="120" w:firstLine="443"/>
        <w:spacing w:after="0" w:line="312" w:lineRule="auto"/>
        <w:tabs>
          <w:tab w:leader="none" w:pos="69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38" w:lineRule="exact"/>
        <w:rPr>
          <w:rFonts w:ascii="Arial" w:cs="Arial" w:eastAsia="Arial" w:hAnsi="Arial"/>
          <w:sz w:val="16"/>
          <w:szCs w:val="16"/>
          <w:color w:val="auto"/>
        </w:rPr>
      </w:pPr>
    </w:p>
    <w:p>
      <w:pPr>
        <w:ind w:right="320" w:firstLine="443"/>
        <w:spacing w:after="0" w:line="264" w:lineRule="auto"/>
        <w:tabs>
          <w:tab w:leader="none" w:pos="69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73" w:lineRule="exact"/>
        <w:rPr>
          <w:rFonts w:ascii="Arial" w:cs="Arial" w:eastAsia="Arial" w:hAnsi="Arial"/>
          <w:sz w:val="18"/>
          <w:szCs w:val="18"/>
          <w:color w:val="auto"/>
        </w:rPr>
      </w:pPr>
    </w:p>
    <w:p>
      <w:pPr>
        <w:ind w:right="320" w:firstLine="443"/>
        <w:spacing w:after="0" w:line="259" w:lineRule="auto"/>
        <w:tabs>
          <w:tab w:leader="none" w:pos="65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may at any time request, and the Company shall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700" w:top="274" w:right="239" w:bottom="1440" w:gutter="0" w:footer="0" w:header="0"/>
        </w:sectPr>
      </w:pPr>
    </w:p>
    <w:bookmarkStart w:id="140" w:name="page141"/>
    <w:bookmarkEnd w:id="140"/>
    <w:p>
      <w:pPr>
        <w:ind w:left="460" w:right="40" w:firstLine="443"/>
        <w:spacing w:after="0" w:line="273" w:lineRule="auto"/>
        <w:tabs>
          <w:tab w:leader="none" w:pos="1113" w:val="left"/>
        </w:tabs>
        <w:numPr>
          <w:ilvl w:val="0"/>
          <w:numId w:val="10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herein to the contrary, in no event shall the Trustee be liable for any failure or delay in the performance of its obligations under this Indenture because of circumstances beyond its control, including, but not limited to,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its control whether or not of the same class or kind as specifically named above.</w:t>
      </w:r>
    </w:p>
    <w:p>
      <w:pPr>
        <w:spacing w:after="0" w:line="70" w:lineRule="exact"/>
        <w:rPr>
          <w:rFonts w:ascii="Arial" w:cs="Arial" w:eastAsia="Arial" w:hAnsi="Arial"/>
          <w:sz w:val="17"/>
          <w:szCs w:val="17"/>
          <w:color w:val="auto"/>
        </w:rPr>
      </w:pPr>
    </w:p>
    <w:p>
      <w:pPr>
        <w:ind w:left="460" w:right="200" w:firstLine="443"/>
        <w:spacing w:after="0" w:line="264" w:lineRule="auto"/>
        <w:tabs>
          <w:tab w:leader="none" w:pos="11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its right to be indemnified, are extended to, and shall be enforceable by, the Trustee in each of its capacities hereunder, each Agent, and each other agent, custodian and other Person employed to act 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225"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7.9 and 7.10.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Trustee makes no representation as to the validity, sufficiency or adequacy of any offering materials, this Indenture or the Securities, it shall not be accountable for the Company’s use of the proceeds from the Securities or any money paid to the Company or upon the Company’s direction under any provision hereof, it shall not be responsible for any statement or recital herein or any statement in any offering materials or the Securities other than its certificate of authentication.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If a Default or Event of Default with respect to the Securities of any Series occurs and is continuing and it is actually known to the Trustee, the Trustee shall mail to Holders of Securities of such Series a notice of the Default or Event of Default within 90 days after it occurs. Except in the case of a Default or Event of Default in payment of principal of, premium (if any) and interest on and Additional Amounts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Company agrees to pay to the Trustee for its acceptance of this Indenture and services hereunder such compensation as the Company and the Trustee shall from time to time agree in writing. The Trustee’s compensation shall not be limited by any law on compensation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141" w:name="page142"/>
    <w:bookmarkEnd w:id="141"/>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 trustee of an express trust. The Company agrees to reimburse the Trustee upon request for all reasonable disbursements, advances and expenses incurred by it. Such expenses shall include the reasonable compensation, disbursements and expenses of the Trustee’s agents and counsel.</w:t>
      </w:r>
    </w:p>
    <w:p>
      <w:pPr>
        <w:spacing w:after="0" w:line="124"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 Company hereby indemnifies the Trustee from, and hold it harmless against any damage, cost, claim, loss, liability or expense (including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the reasonable costs and expenses of defending itself against any claim, except as set forth in the next following paragraph. The Trustee shall notify the Company promptly of any claim for which it may seek indemnity. The Company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Company shall pay the reasonable fees and expenses of such counsel. The Company need not pay for any settlement made without its consent.</w:t>
      </w:r>
    </w:p>
    <w:p>
      <w:pPr>
        <w:spacing w:after="0" w:line="179"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The Company shall not be obligated to reimburse any expense or indemnify against any loss or liability incurred by the Trustee through the Trustee’s own gross negligence or bad faith.</w:t>
      </w:r>
    </w:p>
    <w:p>
      <w:pPr>
        <w:spacing w:after="0" w:line="170"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To secure the payment obligations of the Company in this Section 7.6, the Trustee shall have a lien prior to the Securities on all money or property held or collected by the Trustee, except that held in trust to pay principal of, premium (if any) and interest on and any Additional Amounts with respect to Securities of any Series. Such lien and the obligations of the Company under this Section 7.6 shall survive the satisfaction and discharge of this Indenture, the payment of the Securities and/or the resignation or removal of the Trustee.</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7.7.</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Trustee fails to comply with Section 7.9;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142" w:name="page143"/>
    <w:bookmarkEnd w:id="142"/>
    <w:p>
      <w:pPr>
        <w:ind w:left="1160" w:hanging="257"/>
        <w:spacing w:after="0"/>
        <w:tabs>
          <w:tab w:leader="none" w:pos="11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40" w:hanging="237"/>
        <w:spacing w:after="0"/>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173"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66"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If the Trustee with respect to the Securities of a Series fails to comply with Section 7.9, any Holder of Securities of such Series may petition any court of competent jurisdiction for the removal of the Trustee and the appointment of a successor Trustee with respect to the Securities of such Series.</w:t>
      </w:r>
    </w:p>
    <w:p>
      <w:pPr>
        <w:spacing w:after="0" w:line="12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10.2. The retiring Trustee shall promptly transfer all property held by it as Trustee to the successor Trustee, subject to the lien provided for in Section 7.6.</w:t>
      </w:r>
    </w:p>
    <w:p>
      <w:pPr>
        <w:spacing w:after="0" w:line="18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4" w:right="299" w:bottom="1440" w:gutter="0" w:footer="0" w:header="0"/>
        </w:sectPr>
      </w:pPr>
    </w:p>
    <w:bookmarkStart w:id="143" w:name="page144"/>
    <w:bookmarkEnd w:id="14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178"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Notwithstanding replacement of the Trustee or Trustees pursuant to this Section 7.7, the obligations of the Company under Section 7.6 shall continue for the benefit of the retiring Trustee or Trustees.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225"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Subject to Section 7.9, if the Trustee consolidates, merges or converts into, or transfers all or substantially all of its corporate trust business (including this transaction) to, another corporation, the successor corporation without any further act shall be the successor Trustee.</w:t>
      </w:r>
    </w:p>
    <w:p>
      <w:pPr>
        <w:spacing w:after="0" w:line="14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There shall at all times be a Trustee hereunder which shall be a corporation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225"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The Trustee is subject to and shall comply with the provisions of the Trust Indenture Act of 1933, as amended (the “</w:t>
      </w:r>
      <w:r>
        <w:rPr>
          <w:rFonts w:ascii="Arial" w:cs="Arial" w:eastAsia="Arial" w:hAnsi="Arial"/>
          <w:sz w:val="18"/>
          <w:szCs w:val="18"/>
          <w:i w:val="1"/>
          <w:iCs w:val="1"/>
          <w:color w:val="auto"/>
        </w:rPr>
        <w:t>TIA</w:t>
      </w:r>
      <w:r>
        <w:rPr>
          <w:rFonts w:ascii="Arial" w:cs="Arial" w:eastAsia="Arial" w:hAnsi="Arial"/>
          <w:sz w:val="18"/>
          <w:szCs w:val="18"/>
          <w:color w:val="auto"/>
        </w:rPr>
        <w:t>”) § 311(a), as if such section applied hereto, excluding any creditor relationship listed in TIA § 311(b). A Trustee who has resigned or been removed shall be subject to TIA § 311(a), as if such section applied hereto, to the extent indicated therein.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DISCHARGE OF INDENTURE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 of Company’s Obligations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59" w:lineRule="auto"/>
        <w:tabs>
          <w:tab w:leader="none" w:pos="69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Indenture shall cease to be of further effect with respect to the Securities of a Series (except that all obligations of the Company under Section 7.6,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500" w:right="60" w:hanging="8"/>
        <w:spacing w:after="0" w:line="277" w:lineRule="auto"/>
        <w:tabs>
          <w:tab w:leader="none" w:pos="1795"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all outstanding Securities of such Series theretofore authenticated and issued (other than destroyed, lost or stolen Securities that have been replaced or paid) have been delivered to the Trustee for cancellation; or</w:t>
      </w:r>
    </w:p>
    <w:p>
      <w:pPr>
        <w:spacing w:after="0" w:line="62" w:lineRule="exact"/>
        <w:rPr>
          <w:rFonts w:ascii="Arial" w:cs="Arial" w:eastAsia="Arial" w:hAnsi="Arial"/>
          <w:sz w:val="18"/>
          <w:szCs w:val="18"/>
          <w:color w:val="auto"/>
        </w:rPr>
      </w:pPr>
    </w:p>
    <w:p>
      <w:pPr>
        <w:ind w:left="1780" w:hanging="288"/>
        <w:spacing w:after="0"/>
        <w:tabs>
          <w:tab w:leader="none" w:pos="178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all outstanding Securities of such Series not theretofore delivered to the Trustee for cancellation:</w:t>
      </w:r>
    </w:p>
    <w:p>
      <w:pPr>
        <w:spacing w:after="0" w:line="117" w:lineRule="exact"/>
        <w:rPr>
          <w:rFonts w:ascii="Arial" w:cs="Arial" w:eastAsia="Arial" w:hAnsi="Arial"/>
          <w:sz w:val="18"/>
          <w:szCs w:val="18"/>
          <w:color w:val="auto"/>
        </w:rPr>
      </w:pPr>
    </w:p>
    <w:p>
      <w:pPr>
        <w:ind w:left="2160" w:hanging="212"/>
        <w:spacing w:after="0"/>
        <w:tabs>
          <w:tab w:leader="none" w:pos="2160" w:val="left"/>
        </w:tabs>
        <w:numPr>
          <w:ilvl w:val="3"/>
          <w:numId w:val="110"/>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220" w:hanging="272"/>
        <w:spacing w:after="0"/>
        <w:tabs>
          <w:tab w:leader="none" w:pos="2220" w:val="left"/>
        </w:tabs>
        <w:numPr>
          <w:ilvl w:val="3"/>
          <w:numId w:val="110"/>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940" w:right="480" w:firstLine="8"/>
        <w:spacing w:after="0" w:line="277" w:lineRule="auto"/>
        <w:tabs>
          <w:tab w:leader="none" w:pos="2255" w:val="left"/>
        </w:tabs>
        <w:numPr>
          <w:ilvl w:val="3"/>
          <w:numId w:val="110"/>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in the case of clause (i), (ii) or (iii) above, the Company has irrevocably deposited or caused to be deposited with the Trustee as funds (immediately available to the Holders in the case of clause (i)) in trust for such purpose (x) cash in an amount, or (y) Government Obligations, maturing as to principal and interest at such times and in such amounts as will ensure the availability of cash in an amount or (z) a combination thereof which will be sufficient, in the opinion (in the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145" w:name="page146"/>
    <w:bookmarkEnd w:id="145"/>
    <w:p>
      <w:pPr>
        <w:ind w:left="1480" w:right="20" w:hanging="8"/>
        <w:spacing w:after="0" w:line="277" w:lineRule="auto"/>
        <w:tabs>
          <w:tab w:leader="none" w:pos="1765" w:val="left"/>
        </w:tabs>
        <w:numPr>
          <w:ilvl w:val="3"/>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properly fulfilled such other means of satisfaction and discharge, as contemplated by Section 2.2 to be applicable to the Securities of such Series:</w:t>
      </w:r>
    </w:p>
    <w:p>
      <w:pPr>
        <w:spacing w:after="0" w:line="170" w:lineRule="exact"/>
        <w:rPr>
          <w:rFonts w:ascii="Arial" w:cs="Arial" w:eastAsia="Arial" w:hAnsi="Arial"/>
          <w:sz w:val="18"/>
          <w:szCs w:val="18"/>
          <w:color w:val="auto"/>
        </w:rPr>
      </w:pPr>
    </w:p>
    <w:p>
      <w:pPr>
        <w:ind w:left="1160" w:hanging="259"/>
        <w:spacing w:after="0"/>
        <w:tabs>
          <w:tab w:leader="none" w:pos="1160" w:val="left"/>
        </w:tabs>
        <w:numPr>
          <w:ilvl w:val="2"/>
          <w:numId w:val="112"/>
        </w:numPr>
        <w:rPr>
          <w:rFonts w:ascii="Arial" w:cs="Arial" w:eastAsia="Arial" w:hAnsi="Arial"/>
          <w:sz w:val="17"/>
          <w:szCs w:val="17"/>
          <w:color w:val="auto"/>
        </w:rPr>
      </w:pPr>
      <w:r>
        <w:rPr>
          <w:rFonts w:ascii="Arial" w:cs="Arial" w:eastAsia="Arial" w:hAnsi="Arial"/>
          <w:sz w:val="17"/>
          <w:szCs w:val="17"/>
          <w:color w:val="auto"/>
        </w:rPr>
        <w:t>the Company has paid or caused to be paid all other sums payable by it hereunder with respect to the Securities of such Series; and</w:t>
      </w:r>
    </w:p>
    <w:p>
      <w:pPr>
        <w:spacing w:after="0" w:line="236" w:lineRule="exact"/>
        <w:rPr>
          <w:rFonts w:ascii="Arial" w:cs="Arial" w:eastAsia="Arial" w:hAnsi="Arial"/>
          <w:sz w:val="17"/>
          <w:szCs w:val="17"/>
          <w:color w:val="auto"/>
        </w:rPr>
      </w:pPr>
    </w:p>
    <w:p>
      <w:pPr>
        <w:ind w:left="-20" w:right="360" w:firstLine="921"/>
        <w:spacing w:after="0" w:line="308" w:lineRule="auto"/>
        <w:tabs>
          <w:tab w:leader="none" w:pos="1148" w:val="left"/>
        </w:tabs>
        <w:numPr>
          <w:ilvl w:val="2"/>
          <w:numId w:val="112"/>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146" w:lineRule="exact"/>
        <w:rPr>
          <w:rFonts w:ascii="Arial" w:cs="Arial" w:eastAsia="Arial" w:hAnsi="Arial"/>
          <w:sz w:val="17"/>
          <w:szCs w:val="17"/>
          <w:color w:val="auto"/>
        </w:rPr>
      </w:pPr>
    </w:p>
    <w:p>
      <w:pPr>
        <w:ind w:left="-20" w:right="120" w:firstLine="464"/>
        <w:spacing w:after="0" w:line="277" w:lineRule="auto"/>
        <w:tabs>
          <w:tab w:leader="none" w:pos="69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Unless this Section 8.1(b) is specified as not being applicable to Securities of a Series as contemplated by Section 2.2, the Company may terminate certain of its obligations under this Indenture (“</w:t>
      </w:r>
      <w:r>
        <w:rPr>
          <w:rFonts w:ascii="Arial" w:cs="Arial" w:eastAsia="Arial" w:hAnsi="Arial"/>
          <w:sz w:val="18"/>
          <w:szCs w:val="18"/>
          <w:i w:val="1"/>
          <w:iCs w:val="1"/>
          <w:color w:val="auto"/>
        </w:rPr>
        <w:t>covenant defeasance</w:t>
      </w:r>
      <w:r>
        <w:rPr>
          <w:rFonts w:ascii="Arial" w:cs="Arial" w:eastAsia="Arial" w:hAnsi="Arial"/>
          <w:sz w:val="18"/>
          <w:szCs w:val="18"/>
          <w:color w:val="auto"/>
        </w:rPr>
        <w:t>”) with respect to the Securities of a Series if:</w:t>
      </w:r>
    </w:p>
    <w:p>
      <w:pPr>
        <w:spacing w:after="0" w:line="62" w:lineRule="exact"/>
        <w:rPr>
          <w:rFonts w:ascii="Arial" w:cs="Arial" w:eastAsia="Arial" w:hAnsi="Arial"/>
          <w:sz w:val="18"/>
          <w:szCs w:val="18"/>
          <w:color w:val="auto"/>
        </w:rPr>
      </w:pPr>
    </w:p>
    <w:p>
      <w:pPr>
        <w:jc w:val="both"/>
        <w:ind w:left="440" w:firstLine="443"/>
        <w:spacing w:after="0" w:line="291" w:lineRule="auto"/>
        <w:tabs>
          <w:tab w:leader="none" w:pos="113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w:t>
      </w:r>
    </w:p>
    <w:p>
      <w:pPr>
        <w:ind w:left="440" w:right="40" w:firstLine="4"/>
        <w:spacing w:after="0" w:line="252"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8.1(e))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83" w:lineRule="exact"/>
        <w:rPr>
          <w:rFonts w:ascii="Arial" w:cs="Arial" w:eastAsia="Arial" w:hAnsi="Arial"/>
          <w:sz w:val="18"/>
          <w:szCs w:val="18"/>
          <w:color w:val="auto"/>
        </w:rPr>
      </w:pPr>
    </w:p>
    <w:p>
      <w:pPr>
        <w:ind w:left="440" w:right="380" w:firstLine="443"/>
        <w:spacing w:after="0" w:line="308" w:lineRule="auto"/>
        <w:tabs>
          <w:tab w:leader="none" w:pos="113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stating that all conditions precedent to satisfaction and discharge of this Indenture with respect to the Securities of such Series have been complied with, and an Opinion of Counsel to the same effect;</w:t>
      </w:r>
    </w:p>
    <w:p>
      <w:pPr>
        <w:spacing w:after="0" w:line="38" w:lineRule="exact"/>
        <w:rPr>
          <w:rFonts w:ascii="Arial" w:cs="Arial" w:eastAsia="Arial" w:hAnsi="Arial"/>
          <w:sz w:val="17"/>
          <w:szCs w:val="17"/>
          <w:color w:val="auto"/>
        </w:rPr>
      </w:pPr>
    </w:p>
    <w:p>
      <w:pPr>
        <w:ind w:left="440" w:right="140" w:firstLine="443"/>
        <w:spacing w:after="0" w:line="264" w:lineRule="auto"/>
        <w:tabs>
          <w:tab w:leader="none" w:pos="113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(other than a Default or Event of Default resulting from the borrowing of funds to be applied to such deposit and the grant of any lien securing such borrowings);</w:t>
      </w:r>
    </w:p>
    <w:p>
      <w:pPr>
        <w:spacing w:after="0" w:line="73" w:lineRule="exact"/>
        <w:rPr>
          <w:rFonts w:ascii="Arial" w:cs="Arial" w:eastAsia="Arial" w:hAnsi="Arial"/>
          <w:sz w:val="18"/>
          <w:szCs w:val="18"/>
          <w:color w:val="auto"/>
        </w:rPr>
      </w:pPr>
    </w:p>
    <w:p>
      <w:pPr>
        <w:ind w:left="1140" w:hanging="257"/>
        <w:spacing w:after="0"/>
        <w:tabs>
          <w:tab w:leader="none" w:pos="114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from a nationally recognized counsel acceptable to the Trustee or a</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tax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60" w:top="274" w:right="239" w:bottom="1440" w:gutter="0" w:footer="0" w:header="0"/>
        </w:sectPr>
      </w:pPr>
    </w:p>
    <w:bookmarkStart w:id="146" w:name="page147"/>
    <w:bookmarkEnd w:id="146"/>
    <w:p>
      <w:pPr>
        <w:ind w:left="460"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ruling to the effect that the Holders will not recognize income, gain or loss for Federal income tax purposes as a result of such Company’s exercise of its option under this Section 8.1(b) and will be subject to Federal income tax on the same amount and in the same manner and at the same times as would have been the case if such option had not been exercised; and</w:t>
      </w:r>
    </w:p>
    <w:p>
      <w:pPr>
        <w:spacing w:after="0" w:line="73" w:lineRule="exact"/>
        <w:rPr>
          <w:sz w:val="20"/>
          <w:szCs w:val="20"/>
          <w:color w:val="auto"/>
        </w:rPr>
      </w:pPr>
    </w:p>
    <w:p>
      <w:pPr>
        <w:ind w:left="460" w:right="160" w:firstLine="443"/>
        <w:spacing w:after="0" w:line="277" w:lineRule="auto"/>
        <w:tabs>
          <w:tab w:leader="none" w:pos="115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has complied with any additional conditions specified pursuant to Section 2.2 to be applicable to the discharge of Securities of such Series pursuant to this Section 8.1.</w:t>
      </w:r>
    </w:p>
    <w:p>
      <w:pPr>
        <w:spacing w:after="0" w:line="170"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such event, this Indenture shall cease to be of further effect (except as set forth in this paragraph), and the Trustee, on written demand of the Company, shall execute instruments acknowledging satisfaction and discharge under this Indenture. However, the Company’s obligations in Sections 2.4, 2.5, 2.6, 2.7, 2.8, 4.1, 5.1, 7.6 and 7.7, the Trustee’s and Paying Agent’s obligations in Section 8.3 and the rights, powers, protections and privileges accorded the Trustee under Article VII shall survive until all Securities of such Series are no longer outstanding. Thereafter, only the obligations of the Company in Section 7.6 and the Trustee’s and Paying Agent’s obligations in Section 8.3 shall survive with respect to Securities of such Series.</w:t>
      </w:r>
    </w:p>
    <w:p>
      <w:pPr>
        <w:spacing w:after="0" w:line="158"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181" w:lineRule="exact"/>
        <w:rPr>
          <w:sz w:val="20"/>
          <w:szCs w:val="20"/>
          <w:color w:val="auto"/>
        </w:rPr>
      </w:pPr>
    </w:p>
    <w:p>
      <w:pPr>
        <w:ind w:right="180" w:firstLine="464"/>
        <w:spacing w:after="0" w:line="279" w:lineRule="auto"/>
        <w:tabs>
          <w:tab w:leader="none" w:pos="70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the Company has previously complied or is concurrently complying with the conditions set forth in Section 8.1(b) (other than any additional conditions specified pursuant to Section 2.2 that are expressly applicable only to covenant defeasance) with respect to Securities of a Series, then unless this Section 8.1(c) is specified as not being applicable to Securities of such Series as contemplated by Section 2.2, the Company may elect to be discharged (“</w:t>
      </w:r>
      <w:r>
        <w:rPr>
          <w:rFonts w:ascii="Arial" w:cs="Arial" w:eastAsia="Arial" w:hAnsi="Arial"/>
          <w:sz w:val="17"/>
          <w:szCs w:val="17"/>
          <w:i w:val="1"/>
          <w:iCs w:val="1"/>
          <w:color w:val="auto"/>
        </w:rPr>
        <w:t>legal defeasance</w:t>
      </w:r>
      <w:r>
        <w:rPr>
          <w:rFonts w:ascii="Arial" w:cs="Arial" w:eastAsia="Arial" w:hAnsi="Arial"/>
          <w:sz w:val="17"/>
          <w:szCs w:val="17"/>
          <w:color w:val="auto"/>
        </w:rPr>
        <w:t>”) from its obligations to make payments with respect to Securities of such Series, if:</w:t>
      </w:r>
    </w:p>
    <w:p>
      <w:pPr>
        <w:spacing w:after="0" w:line="63" w:lineRule="exact"/>
        <w:rPr>
          <w:rFonts w:ascii="Arial" w:cs="Arial" w:eastAsia="Arial" w:hAnsi="Arial"/>
          <w:sz w:val="17"/>
          <w:szCs w:val="17"/>
          <w:color w:val="auto"/>
        </w:rPr>
      </w:pPr>
    </w:p>
    <w:p>
      <w:pPr>
        <w:jc w:val="both"/>
        <w:ind w:left="460" w:firstLine="443"/>
        <w:spacing w:after="0" w:line="255" w:lineRule="auto"/>
        <w:tabs>
          <w:tab w:leader="none" w:pos="115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unless otherwise specified with respect to Securities of such Series as contemplated by Section 2.2, the Company has delivered to the Trustee an Opinion of Counsel from a nationally recognized counsel acceptable to the Trustee to the effect referred to in Section 8.1(b)(4) with respect to such legal defeasance, which opinion is based on (i) a private ruling of the Internal Revenue Service addressed to the Company, (ii) a published ruling of the Internal Revenue Service or (iii) a change in the applicable federal income tax law (including regulations) after the date of this Indenture; the Company has complied with any other conditions specified pursuant to Section 2.2 to be applicable to the legal defeasance of Securities of such Series pursuant to this Section 8.1(c); and</w:t>
      </w:r>
    </w:p>
    <w:p>
      <w:pPr>
        <w:spacing w:after="0" w:line="85" w:lineRule="exact"/>
        <w:rPr>
          <w:rFonts w:ascii="Arial" w:cs="Arial" w:eastAsia="Arial" w:hAnsi="Arial"/>
          <w:sz w:val="18"/>
          <w:szCs w:val="18"/>
          <w:color w:val="auto"/>
        </w:rPr>
      </w:pPr>
    </w:p>
    <w:p>
      <w:pPr>
        <w:ind w:left="460" w:right="40" w:firstLine="443"/>
        <w:spacing w:after="0" w:line="264" w:lineRule="auto"/>
        <w:tabs>
          <w:tab w:leader="none" w:pos="115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147" w:name="page148"/>
    <w:bookmarkEnd w:id="147"/>
    <w:p>
      <w:pPr>
        <w:ind w:right="2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such event, the Company will be discharged from its obligations under this Indenture and the Securities of such Series to pay principal of, premium (if any) and interest on, and any Additional Amounts with respect to, Securities of such Series, the Company’s obligations under Sections 4.1 and 5.1 shall terminate with respect to such Securities, and the entire indebtedness of the Company evidenced by such Securities shall be deemed paid and discharged.</w:t>
      </w:r>
    </w:p>
    <w:p>
      <w:pPr>
        <w:spacing w:after="0" w:line="187" w:lineRule="exact"/>
        <w:rPr>
          <w:sz w:val="20"/>
          <w:szCs w:val="20"/>
          <w:color w:val="auto"/>
        </w:rPr>
      </w:pPr>
    </w:p>
    <w:p>
      <w:pPr>
        <w:ind w:firstLine="464"/>
        <w:spacing w:after="0" w:line="259" w:lineRule="auto"/>
        <w:tabs>
          <w:tab w:leader="none" w:pos="7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and to the extent additional or alternative means of satisfaction, discharge or defeasance of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spacing w:after="0" w:line="186" w:lineRule="exact"/>
        <w:rPr>
          <w:rFonts w:ascii="Arial" w:cs="Arial" w:eastAsia="Arial" w:hAnsi="Arial"/>
          <w:sz w:val="18"/>
          <w:szCs w:val="18"/>
          <w:color w:val="auto"/>
        </w:rPr>
      </w:pPr>
    </w:p>
    <w:p>
      <w:pPr>
        <w:jc w:val="both"/>
        <w:ind w:right="20" w:firstLine="464"/>
        <w:spacing w:after="0" w:line="259" w:lineRule="auto"/>
        <w:tabs>
          <w:tab w:leader="none" w:pos="7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Securities of any Series subject to subsections (a), (b), (c) or (d)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8.4.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If the Trustee or the Paying Agent is unable to apply any money or Government Obligations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Without the consent of any Holder of Securities of a Series, the Company and the Trustee may amend or supplement this Indenture or the Series of Securities in the following circumstances:</w:t>
      </w:r>
    </w:p>
    <w:p>
      <w:pPr>
        <w:spacing w:after="0" w:line="62" w:lineRule="exact"/>
        <w:rPr>
          <w:sz w:val="20"/>
          <w:szCs w:val="20"/>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provide for the assumption of the Company’s obligations under this Indenture by a successor upon any merger, consolidation or asset</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transfer;</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provide any security for or guarantees of its Securities or for the addition of an additional obligor on its Securities;</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this Indenture under the Trust Indenture Act of 1939, as amended, if applicable;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add covenants that would benefit the Holders of its Securities or to surrender any rights the Company has under this Indenture;</w:t>
      </w:r>
    </w:p>
    <w:p>
      <w:pPr>
        <w:spacing w:after="0" w:line="128" w:lineRule="exact"/>
        <w:rPr>
          <w:rFonts w:ascii="Arial" w:cs="Arial" w:eastAsia="Arial" w:hAnsi="Arial"/>
          <w:sz w:val="17"/>
          <w:szCs w:val="17"/>
          <w:color w:val="auto"/>
        </w:rPr>
      </w:pPr>
    </w:p>
    <w:p>
      <w:pPr>
        <w:ind w:left="460" w:firstLine="443"/>
        <w:spacing w:after="0" w:line="264" w:lineRule="auto"/>
        <w:tabs>
          <w:tab w:leader="none" w:pos="115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274" w:right="319" w:bottom="1440" w:gutter="0" w:footer="0" w:header="0"/>
        </w:sectPr>
      </w:pPr>
    </w:p>
    <w:bookmarkStart w:id="149" w:name="page150"/>
    <w:bookmarkEnd w:id="149"/>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provide for the issuance of and establish forms and terms and conditions of a new series of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Securities;</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24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to issue additional Securities of any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Securities have the same terms as, and be deemed part of the same Series as, the applicable Series of Securities to the extent required under this Indenture;</w:t>
      </w:r>
    </w:p>
    <w:p>
      <w:pPr>
        <w:spacing w:after="0" w:line="62" w:lineRule="exact"/>
        <w:rPr>
          <w:rFonts w:ascii="Arial" w:cs="Arial" w:eastAsia="Arial" w:hAnsi="Arial"/>
          <w:sz w:val="18"/>
          <w:szCs w:val="18"/>
          <w:color w:val="auto"/>
        </w:rPr>
      </w:pPr>
    </w:p>
    <w:p>
      <w:pPr>
        <w:ind w:left="460" w:firstLine="443"/>
        <w:spacing w:after="0" w:line="264" w:lineRule="auto"/>
        <w:tabs>
          <w:tab w:leader="none" w:pos="123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evidence and provide for the acceptance of and appointment by a successor trustee with respect to the Securities of one or more Series and to add to or change any of the provisions of this Indenture as shall be necessary to provide for or facilitate the administration of the trust by more than one trustee;</w:t>
      </w:r>
    </w:p>
    <w:p>
      <w:pPr>
        <w:spacing w:after="0" w:line="73" w:lineRule="exact"/>
        <w:rPr>
          <w:rFonts w:ascii="Arial" w:cs="Arial" w:eastAsia="Arial" w:hAnsi="Arial"/>
          <w:sz w:val="18"/>
          <w:szCs w:val="18"/>
          <w:color w:val="auto"/>
        </w:rPr>
      </w:pPr>
    </w:p>
    <w:p>
      <w:pPr>
        <w:ind w:left="1240" w:hanging="337"/>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Securities; and</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Securities in any material respect.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This Indenture or the Securities of a Series may be amended or supplemented, and waivers may be obtained, with the consent of the Holders of at least a majority in aggregate principal amount of the then outstanding Securities of such Series voting as a single class (including consents obtained in connection with a tender offer or exchange offer for, or purchase of, such Securities of a Series), and any existing Default or Event of Default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may be waived with the consent of the Holders of a majority in aggregate principal amount of the then outstanding Securities of such Series voting as a single class (including consents obtained in connection with a purchase of, or tender offer or exchange offer for, such Securities of a Series).</w:t>
      </w:r>
    </w:p>
    <w:p>
      <w:pPr>
        <w:spacing w:after="0" w:line="16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 Series issued by the Company may waive any existing or past Default or Event of Default with respect to those Securities. Those Holders may not, however, waive any Default or Event of Default in any payment on any Security.</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150" w:name="page151"/>
    <w:bookmarkEnd w:id="1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Without the consent of each Holder of Securities of a Series affected thereby, an amendment, supplement or waiver may not (with respect to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of such Series held by a non-consenting Holder):</w:t>
      </w:r>
    </w:p>
    <w:p>
      <w:pPr>
        <w:spacing w:after="0" w:line="103" w:lineRule="exact"/>
        <w:rPr>
          <w:sz w:val="20"/>
          <w:szCs w:val="20"/>
          <w:color w:val="auto"/>
        </w:rPr>
      </w:pPr>
    </w:p>
    <w:p>
      <w:pPr>
        <w:ind w:left="1380" w:hanging="258"/>
        <w:spacing w:after="0"/>
        <w:tabs>
          <w:tab w:leader="none" w:pos="1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 the amount of the Securities of such Series whose Holders must consent to an amendment, supplement or waiver;</w:t>
      </w:r>
    </w:p>
    <w:p>
      <w:pPr>
        <w:spacing w:after="0" w:line="117" w:lineRule="exact"/>
        <w:rPr>
          <w:rFonts w:ascii="Arial" w:cs="Arial" w:eastAsia="Arial" w:hAnsi="Arial"/>
          <w:sz w:val="18"/>
          <w:szCs w:val="18"/>
          <w:color w:val="auto"/>
        </w:rPr>
      </w:pPr>
    </w:p>
    <w:p>
      <w:pPr>
        <w:ind w:left="1380" w:hanging="258"/>
        <w:spacing w:after="0"/>
        <w:tabs>
          <w:tab w:leader="none" w:pos="1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Securities of such Series;</w:t>
      </w:r>
    </w:p>
    <w:p>
      <w:pPr>
        <w:spacing w:after="0" w:line="117" w:lineRule="exact"/>
        <w:rPr>
          <w:rFonts w:ascii="Arial" w:cs="Arial" w:eastAsia="Arial" w:hAnsi="Arial"/>
          <w:sz w:val="18"/>
          <w:szCs w:val="18"/>
          <w:color w:val="auto"/>
        </w:rPr>
      </w:pPr>
    </w:p>
    <w:p>
      <w:pPr>
        <w:ind w:left="1380" w:hanging="258"/>
        <w:spacing w:after="0"/>
        <w:tabs>
          <w:tab w:leader="none" w:pos="1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 the principal of the Securities of such Series or change the Stated Maturity of the Securities of such Series;</w:t>
      </w:r>
    </w:p>
    <w:p>
      <w:pPr>
        <w:spacing w:after="0" w:line="117" w:lineRule="exact"/>
        <w:rPr>
          <w:rFonts w:ascii="Arial" w:cs="Arial" w:eastAsia="Arial" w:hAnsi="Arial"/>
          <w:sz w:val="18"/>
          <w:szCs w:val="18"/>
          <w:color w:val="auto"/>
        </w:rPr>
      </w:pPr>
    </w:p>
    <w:p>
      <w:pPr>
        <w:ind w:left="700" w:right="120" w:firstLine="422"/>
        <w:spacing w:after="0" w:line="277" w:lineRule="auto"/>
        <w:tabs>
          <w:tab w:leader="none" w:pos="13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Securities of such Series or change the time at which the Securities of such Series may or must be redeemed;</w:t>
      </w:r>
    </w:p>
    <w:p>
      <w:pPr>
        <w:spacing w:after="0" w:line="62" w:lineRule="exact"/>
        <w:rPr>
          <w:rFonts w:ascii="Arial" w:cs="Arial" w:eastAsia="Arial" w:hAnsi="Arial"/>
          <w:sz w:val="18"/>
          <w:szCs w:val="18"/>
          <w:color w:val="auto"/>
        </w:rPr>
      </w:pPr>
    </w:p>
    <w:p>
      <w:pPr>
        <w:ind w:left="1380" w:hanging="258"/>
        <w:spacing w:after="0"/>
        <w:tabs>
          <w:tab w:leader="none" w:pos="1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Securities of such Series;</w:t>
      </w:r>
    </w:p>
    <w:p>
      <w:pPr>
        <w:spacing w:after="0" w:line="117" w:lineRule="exact"/>
        <w:rPr>
          <w:rFonts w:ascii="Arial" w:cs="Arial" w:eastAsia="Arial" w:hAnsi="Arial"/>
          <w:sz w:val="18"/>
          <w:szCs w:val="18"/>
          <w:color w:val="auto"/>
        </w:rPr>
      </w:pPr>
    </w:p>
    <w:p>
      <w:pPr>
        <w:ind w:left="1380" w:hanging="258"/>
        <w:spacing w:after="0"/>
        <w:tabs>
          <w:tab w:leader="none" w:pos="1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payments on the Security of such Series payable in currency other than as originally stated in such Security;</w:t>
      </w:r>
    </w:p>
    <w:p>
      <w:pPr>
        <w:spacing w:after="0" w:line="117" w:lineRule="exact"/>
        <w:rPr>
          <w:rFonts w:ascii="Arial" w:cs="Arial" w:eastAsia="Arial" w:hAnsi="Arial"/>
          <w:sz w:val="18"/>
          <w:szCs w:val="18"/>
          <w:color w:val="auto"/>
        </w:rPr>
      </w:pPr>
    </w:p>
    <w:p>
      <w:pPr>
        <w:ind w:left="1380" w:hanging="258"/>
        <w:spacing w:after="0"/>
        <w:tabs>
          <w:tab w:leader="none" w:pos="13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modify the subordination provisions of the Security of such Series in a manner adverse in any material respect to the Holder thereof;</w:t>
      </w:r>
    </w:p>
    <w:p>
      <w:pPr>
        <w:spacing w:after="0" w:line="128" w:lineRule="exact"/>
        <w:rPr>
          <w:rFonts w:ascii="Arial" w:cs="Arial" w:eastAsia="Arial" w:hAnsi="Arial"/>
          <w:sz w:val="17"/>
          <w:szCs w:val="17"/>
          <w:color w:val="auto"/>
        </w:rPr>
      </w:pPr>
    </w:p>
    <w:p>
      <w:pPr>
        <w:ind w:left="1380" w:hanging="258"/>
        <w:spacing w:after="0"/>
        <w:tabs>
          <w:tab w:leader="none" w:pos="1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the Security of such Series;</w:t>
      </w:r>
    </w:p>
    <w:p>
      <w:pPr>
        <w:spacing w:after="0" w:line="117" w:lineRule="exact"/>
        <w:rPr>
          <w:rFonts w:ascii="Arial" w:cs="Arial" w:eastAsia="Arial" w:hAnsi="Arial"/>
          <w:sz w:val="18"/>
          <w:szCs w:val="18"/>
          <w:color w:val="auto"/>
        </w:rPr>
      </w:pPr>
    </w:p>
    <w:p>
      <w:pPr>
        <w:ind w:left="700" w:right="120" w:firstLine="422"/>
        <w:spacing w:after="0" w:line="277" w:lineRule="auto"/>
        <w:tabs>
          <w:tab w:leader="none" w:pos="13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the Securities of such Series necessary to waive compliance with Sections 6.8 and 6.13 of this Indenture or to make any change in this Section 9.3(9); or</w:t>
      </w:r>
    </w:p>
    <w:p>
      <w:pPr>
        <w:spacing w:after="0" w:line="62" w:lineRule="exact"/>
        <w:rPr>
          <w:rFonts w:ascii="Arial" w:cs="Arial" w:eastAsia="Arial" w:hAnsi="Arial"/>
          <w:sz w:val="18"/>
          <w:szCs w:val="18"/>
          <w:color w:val="auto"/>
        </w:rPr>
      </w:pPr>
    </w:p>
    <w:p>
      <w:pPr>
        <w:ind w:left="1460" w:hanging="338"/>
        <w:spacing w:after="0"/>
        <w:tabs>
          <w:tab w:leader="none" w:pos="1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Securities of such Series.</w:t>
      </w:r>
    </w:p>
    <w:p>
      <w:pPr>
        <w:spacing w:after="0" w:line="225"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In the event that consent is obtained from some of the Holders but not from all of the Holders with respect to any amendments or waivers pursuant to clauses (1) through (10) of this Section 9.3, new Securities of such Series with such amendments or waivers will be issued to those consenting Holders. Such new Securities shall have separate CUSIP numbers and ISINs from those Securities of such Series held by non-consenting Holders.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Form of Amendments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274" w:right="339"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188"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(1) through (10)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IX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may, but shall not be obligated to, enter into any supplemental indentures which affect the Trustee’s own rights, duties, immunities, or indemnities under this Indenture, the Securities or otherwise.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Any request, direction, instruction, demand, document, notice or communication by the Company or the Trustee to the other, or by a Holder to the Company or the Trustee, shall be in English and in writing and delivered in person, mailed by first-class mail, delivered via facsimile or delivered by overnight courier as follows:</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4" w:right="29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Company:</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Fax: (713) 513-2006</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Vice President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New York, New York 10166</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Fax: (212) 351-4035</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Andrew L. Fabens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2080" w:hanging="958"/>
        <w:spacing w:after="0"/>
        <w:tabs>
          <w:tab w:leader="none" w:pos="2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2080" w:hanging="958"/>
        <w:spacing w:after="0"/>
        <w:tabs>
          <w:tab w:leader="none" w:pos="2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080" w:hanging="958"/>
        <w:spacing w:after="0"/>
        <w:tabs>
          <w:tab w:leader="none" w:pos="2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1120"/>
        <w:spacing w:after="0"/>
        <w:tabs>
          <w:tab w:leader="none" w:pos="284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2080" w:hanging="958"/>
        <w:spacing w:after="0"/>
        <w:tabs>
          <w:tab w:leader="none" w:pos="2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2080" w:hanging="958"/>
        <w:spacing w:after="0"/>
        <w:tabs>
          <w:tab w:leader="none" w:pos="2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080" w:hanging="958"/>
        <w:spacing w:after="0"/>
        <w:tabs>
          <w:tab w:leader="none" w:pos="2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1120"/>
        <w:spacing w:after="0"/>
        <w:tabs>
          <w:tab w:leader="none" w:pos="284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Notices shall be effective upon the recipient’s actual receipt thereof. Any party by notice to the other parties may designate additional or different addresses for subsequent notices or communications.</w:t>
      </w:r>
    </w:p>
    <w:p>
      <w:pPr>
        <w:spacing w:after="0" w:line="170"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Any notice or communication to (i) a Securityholder of a Certificated Security shall be mailed by first-class mail to his address shown on the register kept by the Registrar (ii) a Securityholder of a Global Security shall be delivered to the Depositary in accordance with its applicable procedures. Failure to mail a notice or communication to a Securityholder of any Series or any defect in it shall not affect its sufficiency with respect to other Securityholders of that or any other Series.</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If a notice or communication to any Securityholder is mailed or published in the manner provided above, within the time prescribed, it is duly given, whether or not the Securityholder receives it.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153" w:name="page154"/>
    <w:bookmarkEnd w:id="153"/>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mails a notice or communication to Securityholders, it shall mail a copy to the Trustee and each Agent at the same time.</w:t>
      </w:r>
    </w:p>
    <w:p>
      <w:pPr>
        <w:spacing w:after="0" w:line="237"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With respect to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the risk of the Trustee acting on unauthorized instructions, notices, reports or other communications or information, and the risk of interception and misuse by third parties.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Securityholders of a Series may communicate pursuant to TIA § 312(b), as if such section applied hereto, with other Securityholders of such Series with respect to their rights under this Indenture or the Securities.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54" w:lineRule="exact"/>
        <w:rPr>
          <w:sz w:val="20"/>
          <w:szCs w:val="20"/>
          <w:color w:val="auto"/>
        </w:rPr>
      </w:pPr>
    </w:p>
    <w:p>
      <w:pPr>
        <w:ind w:left="1480" w:right="80" w:hanging="567"/>
        <w:spacing w:after="0" w:line="277" w:lineRule="auto"/>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 all conditions precedent, if any, provided for in this Indenture relating to the proposed action have been complied with;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shall include:</w:t>
      </w:r>
    </w:p>
    <w:p>
      <w:pPr>
        <w:spacing w:after="0" w:line="131" w:lineRule="exact"/>
        <w:rPr>
          <w:sz w:val="20"/>
          <w:szCs w:val="20"/>
          <w:color w:val="auto"/>
        </w:rPr>
      </w:pPr>
    </w:p>
    <w:p>
      <w:pPr>
        <w:ind w:left="1480" w:hanging="567"/>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30" w:lineRule="exact"/>
        <w:rPr>
          <w:rFonts w:ascii="Arial" w:cs="Arial" w:eastAsia="Arial" w:hAnsi="Arial"/>
          <w:sz w:val="18"/>
          <w:szCs w:val="18"/>
          <w:color w:val="auto"/>
        </w:rPr>
      </w:pPr>
    </w:p>
    <w:p>
      <w:pPr>
        <w:ind w:left="1480" w:right="120" w:hanging="567"/>
        <w:spacing w:after="0" w:line="277" w:lineRule="auto"/>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154" w:name="page155"/>
    <w:bookmarkEnd w:id="154"/>
    <w:p>
      <w:pPr>
        <w:ind w:left="460" w:right="1600" w:firstLine="453"/>
        <w:spacing w:after="0" w:line="501" w:lineRule="auto"/>
        <w:tabs>
          <w:tab w:leader="none" w:pos="1476"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statement as to whether or not, in the opinion of such Person, such condition or covenant has been complied with. Section 10.5.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ind w:right="260" w:firstLine="913"/>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Unless otherwise provided by Board Resolution, Officer’s Certificate or supplemental indenture for a particular Series, a “</w:t>
      </w:r>
      <w:r>
        <w:rPr>
          <w:rFonts w:ascii="Arial" w:cs="Arial" w:eastAsia="Arial" w:hAnsi="Arial"/>
          <w:sz w:val="18"/>
          <w:szCs w:val="18"/>
          <w:i w:val="1"/>
          <w:iCs w:val="1"/>
          <w:color w:val="auto"/>
        </w:rPr>
        <w:t>Legal Holiday</w:t>
      </w:r>
      <w:r>
        <w:rPr>
          <w:rFonts w:ascii="Arial" w:cs="Arial" w:eastAsia="Arial" w:hAnsi="Arial"/>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No Personal Liability of Directors, Officers, Employees and Certain Others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No director, officer, employee, incorporator or similar founder, stockholder or member of the Company will have any liability for or any obligations of the Company under this Indenture or the Securities or for any claim based on, with respect to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right="640" w:firstLine="913"/>
        <w:spacing w:after="0" w:line="308" w:lineRule="auto"/>
        <w:rPr>
          <w:sz w:val="20"/>
          <w:szCs w:val="20"/>
          <w:color w:val="auto"/>
        </w:rPr>
      </w:pPr>
      <w:r>
        <w:rPr>
          <w:rFonts w:ascii="Arial" w:cs="Arial" w:eastAsia="Arial" w:hAnsi="Arial"/>
          <w:sz w:val="17"/>
          <w:szCs w:val="17"/>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Governing Laws</w:t>
      </w:r>
      <w:r>
        <w:rPr>
          <w:rFonts w:ascii="Arial" w:cs="Arial" w:eastAsia="Arial" w:hAnsi="Arial"/>
          <w:sz w:val="18"/>
          <w:szCs w:val="18"/>
          <w:color w:val="auto"/>
        </w:rPr>
        <w:t>.</w:t>
      </w:r>
    </w:p>
    <w:p>
      <w:pPr>
        <w:spacing w:after="0" w:line="221" w:lineRule="exact"/>
        <w:rPr>
          <w:sz w:val="20"/>
          <w:szCs w:val="20"/>
          <w:color w:val="auto"/>
        </w:rPr>
      </w:pPr>
    </w:p>
    <w:p>
      <w:pPr>
        <w:ind w:right="80" w:firstLine="913"/>
        <w:spacing w:after="0" w:line="261"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THIS INDENTURE OR THE SECURITIES, SHALL BE GOVERNED BY THE LAWS OF THE STATE OF NEW YORK WITHOUT REGARD TO CONFLICT OF LAW PRINCIPLES THAT WOULD RESULT IN THE APPLICATION OF ANY LAW OTHER THAN THE LAW OF THE STATE OF NEW YORK.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any Subsidiary of the Company. Any such indenture, loan or debt agreement may not be used to interpret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respective successors. All agreements of the Trustee in this Indenture shall bind its successor.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Table of Contents, Headings, Etc.</w:t>
      </w:r>
    </w:p>
    <w:p>
      <w:pPr>
        <w:spacing w:after="0" w:line="225"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with respect to the principal of or interest or other amount on the Securities of any Series (the “</w:t>
      </w:r>
      <w:r>
        <w:rPr>
          <w:rFonts w:ascii="Arial" w:cs="Arial" w:eastAsia="Arial" w:hAnsi="Arial"/>
          <w:sz w:val="16"/>
          <w:szCs w:val="16"/>
          <w:i w:val="1"/>
          <w:iCs w:val="1"/>
          <w:color w:val="auto"/>
        </w:rPr>
        <w:t>Required</w:t>
      </w:r>
      <w:r>
        <w:rPr>
          <w:rFonts w:ascii="Arial" w:cs="Arial" w:eastAsia="Arial" w:hAnsi="Arial"/>
          <w:sz w:val="16"/>
          <w:szCs w:val="16"/>
          <w:color w:val="auto"/>
        </w:rPr>
        <w:t xml:space="preserve"> </w:t>
      </w:r>
      <w:r>
        <w:rPr>
          <w:rFonts w:ascii="Arial" w:cs="Arial" w:eastAsia="Arial" w:hAnsi="Arial"/>
          <w:sz w:val="16"/>
          <w:szCs w:val="16"/>
          <w:i w:val="1"/>
          <w:iCs w:val="1"/>
          <w:color w:val="auto"/>
        </w:rPr>
        <w:t>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with respect to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Saturday, Sunday or a Legal Holiday in The City of New York on which banking institutions are authorized or required by law, regulation or executive order to close.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10.15. </w:t>
      </w:r>
      <w:r>
        <w:rPr>
          <w:rFonts w:ascii="Arial" w:cs="Arial" w:eastAsia="Arial" w:hAnsi="Arial"/>
          <w:sz w:val="18"/>
          <w:szCs w:val="18"/>
          <w:u w:val="single" w:color="auto"/>
          <w:color w:val="auto"/>
        </w:rPr>
        <w:t>English Language</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Submission to Jurisdiction; Appointment of Agent</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Any suit, action or proceeding against the Company or its respective properties, assets or revenues with respect to this Indenture or the Securities (a “</w:t>
      </w:r>
      <w:r>
        <w:rPr>
          <w:rFonts w:ascii="Arial" w:cs="Arial" w:eastAsia="Arial" w:hAnsi="Arial"/>
          <w:sz w:val="16"/>
          <w:szCs w:val="16"/>
          <w:i w:val="1"/>
          <w:iCs w:val="1"/>
          <w:color w:val="auto"/>
        </w:rPr>
        <w:t>Related Proceeding</w:t>
      </w:r>
      <w:r>
        <w:rPr>
          <w:rFonts w:ascii="Arial" w:cs="Arial" w:eastAsia="Arial" w:hAnsi="Arial"/>
          <w:sz w:val="16"/>
          <w:szCs w:val="16"/>
          <w:color w:val="auto"/>
        </w:rPr>
        <w:t>”) may be brought in any state or Federal court in the Borough of Manhattan in The City of New York, New York, as the Person bringing such Related Proceeding may elect in its sole discretion. The Company hereby consents to the non-exclusive jurisdiction of each such court for the purpose of any Related Proceeding and has irrevocably waived any objection to the laying of venue of any Related Proceeding brought in any such court and to the fullest extent it may effectively do so and the defense of an inconvenient forum to the maintenance of any Related Proceeding or any such suit, action or proceeding in any such court. The Company hereby agrees that service of all writs, claims, process and summonses in any Related Proceeding brought against it in the State of New York may be made upon Schlumberger Limited, 5599 San Felipe Street, 17</w:t>
      </w:r>
      <w:r>
        <w:rPr>
          <w:rFonts w:ascii="Arial" w:cs="Arial" w:eastAsia="Arial" w:hAnsi="Arial"/>
          <w:sz w:val="13"/>
          <w:szCs w:val="13"/>
          <w:color w:val="auto"/>
        </w:rPr>
        <w:t>th</w:t>
      </w:r>
      <w:r>
        <w:rPr>
          <w:rFonts w:ascii="Arial" w:cs="Arial" w:eastAsia="Arial" w:hAnsi="Arial"/>
          <w:sz w:val="16"/>
          <w:szCs w:val="16"/>
          <w:color w:val="auto"/>
        </w:rPr>
        <w:t xml:space="preserve"> Floor, Houston, Texas 77057 Attention: Vice President Treasurer (the “</w:t>
      </w:r>
      <w:r>
        <w:rPr>
          <w:rFonts w:ascii="Arial" w:cs="Arial" w:eastAsia="Arial" w:hAnsi="Arial"/>
          <w:sz w:val="16"/>
          <w:szCs w:val="16"/>
          <w:i w:val="1"/>
          <w:iCs w:val="1"/>
          <w:color w:val="auto"/>
        </w:rPr>
        <w:t>Process Agent</w:t>
      </w:r>
      <w:r>
        <w:rPr>
          <w:rFonts w:ascii="Arial" w:cs="Arial" w:eastAsia="Arial" w:hAnsi="Arial"/>
          <w:sz w:val="16"/>
          <w:szCs w:val="16"/>
          <w:color w:val="auto"/>
        </w:rPr>
        <w:t>”). The Company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 The Company hereby agrees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Waiver of Immunity</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To the extent that the Company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with respect to its obligations under this Indenture, and,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EACH OF THE COMPANY AND THE TRUSTEE HERETO HEREBY IRREVOCABLY WAIVE ALL RIGHTS TO TRIAL BY JURY IN ANY ACTION, PROCEEDING OR COUNTERCLAIM (WHETHER BASED ON CONTRACT, TORT OR OTHERWISE) ARISING OUT OF OR RELATING TO THIS INDENTURE, THE SECURITIES, OR THE TRANSACTIONS CONTEMPLATED HEREBY OR THEREBY.</w:t>
      </w:r>
    </w:p>
    <w:p>
      <w:pPr>
        <w:spacing w:after="0" w:line="3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SUBORDINATION OF SECURITIES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Subordination Terms</w:t>
      </w:r>
      <w:r>
        <w:rPr>
          <w:rFonts w:ascii="Arial" w:cs="Arial" w:eastAsia="Arial" w:hAnsi="Arial"/>
          <w:sz w:val="18"/>
          <w:szCs w:val="18"/>
          <w:color w:val="auto"/>
        </w:rPr>
        <w:t>.</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Securities of a Series issued hereunder shall be subordinated in right of payment to the extent provided in the subordination terms with respect to the Securities of such Series that are established pursuant to Section 2.2.</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240" w:top="274" w:right="57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Schlumberger N.V.</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Base Indenture</w:t>
      </w:r>
    </w:p>
    <w:p>
      <w:pPr>
        <w:sectPr>
          <w:pgSz w:w="11900" w:h="16838" w:orient="portrait"/>
          <w:cols w:equalWidth="0" w:num="1">
            <w:col w:w="9680"/>
          </w:cols>
          <w:pgMar w:left="1160" w:top="274" w:right="1059" w:bottom="1440" w:gutter="0" w:footer="0" w:header="0"/>
        </w:sectPr>
      </w:pPr>
    </w:p>
    <w:bookmarkStart w:id="159" w:name="page160"/>
    <w:bookmarkEnd w:id="15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Base Indenture</w:t>
      </w:r>
    </w:p>
    <w:p>
      <w:pPr>
        <w:sectPr>
          <w:pgSz w:w="11900" w:h="16838" w:orient="portrait"/>
          <w:cols w:equalWidth="0" w:num="1">
            <w:col w:w="9019"/>
          </w:cols>
          <w:pgMar w:left="1440" w:top="274" w:right="1440"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STvB Advocaten (Curaçao)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Curaçao, April 17,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acted as Curaçao legal counsel for Schlumberger N.V. (also referred to as Schlumberger Limited), a corporation with limited liability organized and existing under the laws of Curaçao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the proposed issuance and sale from time to time pursuant to Rule 415 under the Securities Act of (i) the Company’s debt securities, which may either be senior debt securities (the “</w:t>
      </w:r>
      <w:r>
        <w:rPr>
          <w:rFonts w:ascii="Arial" w:cs="Arial" w:eastAsia="Arial" w:hAnsi="Arial"/>
          <w:sz w:val="16"/>
          <w:szCs w:val="16"/>
          <w:b w:val="1"/>
          <w:bCs w:val="1"/>
          <w:color w:val="auto"/>
        </w:rPr>
        <w:t>Senior Debt Securities</w:t>
      </w:r>
      <w:r>
        <w:rPr>
          <w:rFonts w:ascii="Arial" w:cs="Arial" w:eastAsia="Arial" w:hAnsi="Arial"/>
          <w:sz w:val="16"/>
          <w:szCs w:val="16"/>
          <w:color w:val="auto"/>
        </w:rPr>
        <w:t>”) or subordinated debt securities (the “</w:t>
      </w:r>
      <w:r>
        <w:rPr>
          <w:rFonts w:ascii="Arial" w:cs="Arial" w:eastAsia="Arial" w:hAnsi="Arial"/>
          <w:sz w:val="16"/>
          <w:szCs w:val="16"/>
          <w:b w:val="1"/>
          <w:bCs w:val="1"/>
          <w:color w:val="auto"/>
        </w:rPr>
        <w:t>Subordinated Debt Securities</w:t>
      </w:r>
      <w:r>
        <w:rPr>
          <w:rFonts w:ascii="Arial" w:cs="Arial" w:eastAsia="Arial" w:hAnsi="Arial"/>
          <w:sz w:val="16"/>
          <w:szCs w:val="16"/>
          <w:color w:val="auto"/>
        </w:rPr>
        <w:t>” and, collectively with the Senior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(ii) guarantees of debt securities (the “</w:t>
      </w:r>
      <w:r>
        <w:rPr>
          <w:rFonts w:ascii="Arial" w:cs="Arial" w:eastAsia="Arial" w:hAnsi="Arial"/>
          <w:sz w:val="16"/>
          <w:szCs w:val="16"/>
          <w:b w:val="1"/>
          <w:bCs w:val="1"/>
          <w:color w:val="auto"/>
        </w:rPr>
        <w:t>Guarantees</w:t>
      </w:r>
      <w:r>
        <w:rPr>
          <w:rFonts w:ascii="Arial" w:cs="Arial" w:eastAsia="Arial" w:hAnsi="Arial"/>
          <w:sz w:val="16"/>
          <w:szCs w:val="16"/>
          <w:color w:val="auto"/>
        </w:rPr>
        <w:t>”) and (iii) shares of the Company’s common stock, par value $0.01 per share (the “</w:t>
      </w:r>
      <w:r>
        <w:rPr>
          <w:rFonts w:ascii="Arial" w:cs="Arial" w:eastAsia="Arial" w:hAnsi="Arial"/>
          <w:sz w:val="16"/>
          <w:szCs w:val="16"/>
          <w:b w:val="1"/>
          <w:bCs w:val="1"/>
          <w:color w:val="auto"/>
        </w:rPr>
        <w:t>Shares</w:t>
      </w:r>
      <w:r>
        <w:rPr>
          <w:rFonts w:ascii="Arial" w:cs="Arial" w:eastAsia="Arial" w:hAnsi="Arial"/>
          <w:sz w:val="16"/>
          <w:szCs w:val="16"/>
          <w:color w:val="auto"/>
        </w:rPr>
        <w:t>”), which include up to 2,600,000 Shares that may be issued by the Company pursuant to the Agreement and Plan of Merger dated as of March 12, 2014, by and among SES Holdings Limited (the “</w:t>
      </w:r>
      <w:r>
        <w:rPr>
          <w:rFonts w:ascii="Arial" w:cs="Arial" w:eastAsia="Arial" w:hAnsi="Arial"/>
          <w:sz w:val="16"/>
          <w:szCs w:val="16"/>
          <w:b w:val="1"/>
          <w:bCs w:val="1"/>
          <w:color w:val="auto"/>
        </w:rPr>
        <w:t>SES Holdings</w:t>
      </w:r>
      <w:r>
        <w:rPr>
          <w:rFonts w:ascii="Arial" w:cs="Arial" w:eastAsia="Arial" w:hAnsi="Arial"/>
          <w:sz w:val="16"/>
          <w:szCs w:val="16"/>
          <w:color w:val="auto"/>
        </w:rPr>
        <w:t>”), Schlumberger Oilfield Holdings Limited (“</w:t>
      </w:r>
      <w:r>
        <w:rPr>
          <w:rFonts w:ascii="Arial" w:cs="Arial" w:eastAsia="Arial" w:hAnsi="Arial"/>
          <w:sz w:val="16"/>
          <w:szCs w:val="16"/>
          <w:b w:val="1"/>
          <w:bCs w:val="1"/>
          <w:color w:val="auto"/>
        </w:rPr>
        <w:t>SOHL Parent</w:t>
      </w:r>
      <w:r>
        <w:rPr>
          <w:rFonts w:ascii="Arial" w:cs="Arial" w:eastAsia="Arial" w:hAnsi="Arial"/>
          <w:sz w:val="16"/>
          <w:szCs w:val="16"/>
          <w:color w:val="auto"/>
        </w:rPr>
        <w:t>”), SOHL Merger Sub Limited (“</w:t>
      </w:r>
      <w:r>
        <w:rPr>
          <w:rFonts w:ascii="Arial" w:cs="Arial" w:eastAsia="Arial" w:hAnsi="Arial"/>
          <w:sz w:val="16"/>
          <w:szCs w:val="16"/>
          <w:b w:val="1"/>
          <w:bCs w:val="1"/>
          <w:color w:val="auto"/>
        </w:rPr>
        <w:t>Merger Sub</w:t>
      </w:r>
      <w:r>
        <w:rPr>
          <w:rFonts w:ascii="Arial" w:cs="Arial" w:eastAsia="Arial" w:hAnsi="Arial"/>
          <w:sz w:val="16"/>
          <w:szCs w:val="16"/>
          <w:color w:val="auto"/>
        </w:rPr>
        <w:t>”), FR SES Holdings Limited (“</w:t>
      </w:r>
      <w:r>
        <w:rPr>
          <w:rFonts w:ascii="Arial" w:cs="Arial" w:eastAsia="Arial" w:hAnsi="Arial"/>
          <w:sz w:val="16"/>
          <w:szCs w:val="16"/>
          <w:b w:val="1"/>
          <w:bCs w:val="1"/>
          <w:color w:val="auto"/>
        </w:rPr>
        <w:t>FR SES</w:t>
      </w:r>
      <w:r>
        <w:rPr>
          <w:rFonts w:ascii="Arial" w:cs="Arial" w:eastAsia="Arial" w:hAnsi="Arial"/>
          <w:sz w:val="16"/>
          <w:szCs w:val="16"/>
          <w:color w:val="auto"/>
        </w:rPr>
        <w:t>”) and FR Parallel SES Holdings Limited (“</w:t>
      </w:r>
      <w:r>
        <w:rPr>
          <w:rFonts w:ascii="Arial" w:cs="Arial" w:eastAsia="Arial" w:hAnsi="Arial"/>
          <w:sz w:val="16"/>
          <w:szCs w:val="16"/>
          <w:b w:val="1"/>
          <w:bCs w:val="1"/>
          <w:color w:val="auto"/>
        </w:rPr>
        <w:t>FR Parallel</w:t>
      </w:r>
      <w:r>
        <w:rPr>
          <w:rFonts w:ascii="Arial" w:cs="Arial" w:eastAsia="Arial" w:hAnsi="Arial"/>
          <w:sz w:val="16"/>
          <w:szCs w:val="16"/>
          <w:color w:val="auto"/>
        </w:rPr>
        <w:t>”, and together with FR SES, the “</w:t>
      </w:r>
      <w:r>
        <w:rPr>
          <w:rFonts w:ascii="Arial" w:cs="Arial" w:eastAsia="Arial" w:hAnsi="Arial"/>
          <w:sz w:val="16"/>
          <w:szCs w:val="16"/>
          <w:b w:val="1"/>
          <w:bCs w:val="1"/>
          <w:color w:val="auto"/>
        </w:rPr>
        <w:t>FRC Shareholders</w:t>
      </w:r>
      <w:r>
        <w:rPr>
          <w:rFonts w:ascii="Arial" w:cs="Arial" w:eastAsia="Arial" w:hAnsi="Arial"/>
          <w:sz w:val="16"/>
          <w:szCs w:val="16"/>
          <w:color w:val="auto"/>
        </w:rPr>
        <w:t>”), as amended by the Amending Agreement dated as of April 8, 2014, by and among the SES Holdings, SOHL Parent, Merger Sub and the FRC Shareholders (as amended, the “</w:t>
      </w:r>
      <w:r>
        <w:rPr>
          <w:rFonts w:ascii="Arial" w:cs="Arial" w:eastAsia="Arial" w:hAnsi="Arial"/>
          <w:sz w:val="16"/>
          <w:szCs w:val="16"/>
          <w:b w:val="1"/>
          <w:bCs w:val="1"/>
          <w:color w:val="auto"/>
        </w:rPr>
        <w:t>Merger Agreement</w:t>
      </w:r>
      <w:r>
        <w:rPr>
          <w:rFonts w:ascii="Arial" w:cs="Arial" w:eastAsia="Arial" w:hAnsi="Arial"/>
          <w:sz w:val="16"/>
          <w:szCs w:val="16"/>
          <w:color w:val="auto"/>
        </w:rPr>
        <w:t>”) and may be registered under the Securities Act for resale by selling securityholders (the “</w:t>
      </w:r>
      <w:r>
        <w:rPr>
          <w:rFonts w:ascii="Arial" w:cs="Arial" w:eastAsia="Arial" w:hAnsi="Arial"/>
          <w:sz w:val="16"/>
          <w:szCs w:val="16"/>
          <w:b w:val="1"/>
          <w:bCs w:val="1"/>
          <w:color w:val="auto"/>
        </w:rPr>
        <w:t>Merger Shares</w:t>
      </w:r>
      <w:r>
        <w:rPr>
          <w:rFonts w:ascii="Arial" w:cs="Arial" w:eastAsia="Arial" w:hAnsi="Arial"/>
          <w:sz w:val="16"/>
          <w:szCs w:val="16"/>
          <w:color w:val="auto"/>
        </w:rPr>
        <w:t>”). We understand that a registration statement on Form S-3 relating to the Debt Securities, the Guarantees and the Shares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is being filed by the Company with the Securities and Exchange Commission under the Securities Act on April 17, 2014.</w:t>
      </w:r>
    </w:p>
    <w:p>
      <w:pPr>
        <w:sectPr>
          <w:pgSz w:w="11900" w:h="16838" w:orient="portrait"/>
          <w:cols w:equalWidth="0" w:num="1">
            <w:col w:w="11420"/>
          </w:cols>
          <w:pgMar w:left="240" w:top="121" w:right="239" w:bottom="1440" w:gutter="0" w:footer="0" w:header="0"/>
        </w:sectPr>
      </w:pPr>
    </w:p>
    <w:bookmarkStart w:id="161" w:name="page162"/>
    <w:bookmarkEnd w:id="161"/>
    <w:p>
      <w:pPr>
        <w:ind w:right="1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Debt Securities, the Guarantees and the Shares are collectively referred to herein as the “</w:t>
      </w:r>
      <w:r>
        <w:rPr>
          <w:rFonts w:ascii="Arial" w:cs="Arial" w:eastAsia="Arial" w:hAnsi="Arial"/>
          <w:sz w:val="18"/>
          <w:szCs w:val="18"/>
          <w:b w:val="1"/>
          <w:bCs w:val="1"/>
          <w:color w:val="auto"/>
        </w:rPr>
        <w:t>Securities</w:t>
      </w:r>
      <w:r>
        <w:rPr>
          <w:rFonts w:ascii="Arial" w:cs="Arial" w:eastAsia="Arial" w:hAnsi="Arial"/>
          <w:sz w:val="18"/>
          <w:szCs w:val="18"/>
          <w:color w:val="auto"/>
        </w:rPr>
        <w:t>.” Any Senior Debt Securities are to be issued under an indenture to be entered into between the Company and a financial institution to be named at the time such indenture is executed (the “</w:t>
      </w:r>
      <w:r>
        <w:rPr>
          <w:rFonts w:ascii="Arial" w:cs="Arial" w:eastAsia="Arial" w:hAnsi="Arial"/>
          <w:sz w:val="18"/>
          <w:szCs w:val="18"/>
          <w:b w:val="1"/>
          <w:bCs w:val="1"/>
          <w:color w:val="auto"/>
        </w:rPr>
        <w:t>Trust Company</w:t>
      </w:r>
      <w:r>
        <w:rPr>
          <w:rFonts w:ascii="Arial" w:cs="Arial" w:eastAsia="Arial" w:hAnsi="Arial"/>
          <w:sz w:val="18"/>
          <w:szCs w:val="18"/>
          <w:color w:val="auto"/>
        </w:rPr>
        <w:t>”), as indenture trustee (the “</w:t>
      </w:r>
      <w:r>
        <w:rPr>
          <w:rFonts w:ascii="Arial" w:cs="Arial" w:eastAsia="Arial" w:hAnsi="Arial"/>
          <w:sz w:val="18"/>
          <w:szCs w:val="18"/>
          <w:b w:val="1"/>
          <w:bCs w:val="1"/>
          <w:color w:val="auto"/>
        </w:rPr>
        <w:t>Senior Base Indenture</w:t>
      </w:r>
      <w:r>
        <w:rPr>
          <w:rFonts w:ascii="Arial" w:cs="Arial" w:eastAsia="Arial" w:hAnsi="Arial"/>
          <w:sz w:val="18"/>
          <w:szCs w:val="18"/>
          <w:color w:val="auto"/>
        </w:rPr>
        <w:t>”). Any Subordinated Debt Securities are to be issued under an indenture to be entered into between the Company and the Trust Company, as indenture trustee (the “</w:t>
      </w:r>
      <w:r>
        <w:rPr>
          <w:rFonts w:ascii="Arial" w:cs="Arial" w:eastAsia="Arial" w:hAnsi="Arial"/>
          <w:sz w:val="18"/>
          <w:szCs w:val="18"/>
          <w:b w:val="1"/>
          <w:bCs w:val="1"/>
          <w:color w:val="auto"/>
        </w:rPr>
        <w:t>Subordinated Base Indenture</w:t>
      </w:r>
      <w:r>
        <w:rPr>
          <w:rFonts w:ascii="Arial" w:cs="Arial" w:eastAsia="Arial" w:hAnsi="Arial"/>
          <w:sz w:val="18"/>
          <w:szCs w:val="18"/>
          <w:color w:val="auto"/>
        </w:rPr>
        <w:t>,” and together with the Senior Base Indenture, the “</w:t>
      </w:r>
      <w:r>
        <w:rPr>
          <w:rFonts w:ascii="Arial" w:cs="Arial" w:eastAsia="Arial" w:hAnsi="Arial"/>
          <w:sz w:val="18"/>
          <w:szCs w:val="18"/>
          <w:b w:val="1"/>
          <w:b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color w:val="auto"/>
        </w:rPr>
        <w:t>Indentures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Curaçao legal counsel for the Company we have examined and relied upon the following documents in original, photo static or facsimile form:</w:t>
      </w:r>
    </w:p>
    <w:p>
      <w:pPr>
        <w:spacing w:after="0" w:line="142"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copy of the Registration Statement;</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certified copy of the articles of incorporation of the Company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as presently in effect;</w:t>
      </w:r>
    </w:p>
    <w:p>
      <w:pPr>
        <w:spacing w:after="0" w:line="134"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extract obtained online on April 17, 2014 from the Curaçao Commercial Register, relating to the registration of the Company;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form of the Senior Base Indenture;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form of the Subordinated Base Indenture;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specimen Share certificate;</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certified copy of the resolutions of the board of directors of the Company (the “Board”) approving the Merger Agreement and any and all transactions in furtherance thereof or ancillary thereto;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certified copy of the resolutions of the Board providing for the registration of 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our examination of the documents referred to above and in expressing our opinion, we have assumed without independent verification of any kind:</w:t>
      </w:r>
    </w:p>
    <w:p>
      <w:pPr>
        <w:spacing w:after="0" w:line="142"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genuineness of all signatures on all documents we have reviewed;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authenticity of all such documents submitted to us as originals, and that each of the documents has been duly executed in the form, or substantially in the form submitted to us as execution copies;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conformity with originals of all documents submitted to us as copies.</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(Hoge Raad der Nederlanden).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162" w:name="page163"/>
    <w:bookmarkEnd w:id="162"/>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and subject to the foregoing and subject to the qualifications set forth below and having due regard for such legal considerations as we deem relevant, we are of the opinion that:</w:t>
      </w:r>
    </w:p>
    <w:p>
      <w:pPr>
        <w:spacing w:after="0" w:line="76" w:lineRule="exact"/>
        <w:rPr>
          <w:sz w:val="20"/>
          <w:szCs w:val="20"/>
          <w:color w:val="auto"/>
        </w:rPr>
      </w:pPr>
    </w:p>
    <w:p>
      <w:pPr>
        <w:jc w:val="both"/>
        <w:ind w:left="460" w:hanging="452"/>
        <w:spacing w:after="0" w:line="288" w:lineRule="auto"/>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Company has been duly incorporated under the laws of the former Netherlands Antilles, is currently validly existing under the laws of Curaçao and has all requisite corporate power and authority to own its properties, to conduct its business within the limits of its objects clause as set forth in article 2 of the Articles of Incorporation and to execute, deliver and perform its obligations under the Base Indentures, the Debt Securities and the Guarantees.</w:t>
      </w:r>
    </w:p>
    <w:p>
      <w:pPr>
        <w:ind w:left="460"/>
        <w:spacing w:after="0"/>
        <w:rPr>
          <w:rFonts w:ascii="Arial" w:cs="Arial" w:eastAsia="Arial" w:hAnsi="Arial"/>
          <w:sz w:val="16"/>
          <w:szCs w:val="16"/>
          <w:color w:val="auto"/>
        </w:rPr>
      </w:pPr>
      <w:r>
        <w:rPr>
          <w:rFonts w:ascii="Arial" w:cs="Arial" w:eastAsia="Arial" w:hAnsi="Arial"/>
          <w:sz w:val="18"/>
          <w:szCs w:val="18"/>
          <w:color w:val="auto"/>
        </w:rPr>
        <w:t>The Company has been duly registered with the Curaçao Commercial Register under number 1674.</w:t>
      </w:r>
    </w:p>
    <w:p>
      <w:pPr>
        <w:spacing w:after="0" w:line="116" w:lineRule="exact"/>
        <w:rPr>
          <w:rFonts w:ascii="Arial" w:cs="Arial" w:eastAsia="Arial" w:hAnsi="Arial"/>
          <w:sz w:val="16"/>
          <w:szCs w:val="16"/>
          <w:color w:val="auto"/>
        </w:rPr>
      </w:pPr>
    </w:p>
    <w:p>
      <w:pPr>
        <w:ind w:left="460" w:right="180" w:hanging="452"/>
        <w:spacing w:after="0" w:line="264"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respect to the Merger Shares, when such Shares have been duly executed on the relevant certificate (in the case of certificated shares) and delivered in accordance with the Merger Agreement for the consideration provided for therein, such Shares will be validly issued, fully paid and non-assessable.</w:t>
      </w:r>
    </w:p>
    <w:p>
      <w:pPr>
        <w:spacing w:after="0" w:line="86"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respect to the Shares other than the Merger Shares, when (i) the Board has taken all necessary corporate action to approve the issuance of and the terms of the offering of such Shares and related matters and (ii) such Shares have been duly executed on the relevant certificate (in the case of certificated shares) and delivered in accordance with the applicable definitive purchase, underwriting or similar agreement for the consideration provided for therein, such Shares will be validly issued, fully paid and non-assessable.</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No personal liability will attach to the holders of the Shares under the laws of Curaçao by reason of their being stockholders of the Company.</w:t>
      </w:r>
    </w:p>
    <w:p>
      <w:pPr>
        <w:spacing w:after="0" w:line="142" w:lineRule="exact"/>
        <w:rPr>
          <w:rFonts w:ascii="Arial" w:cs="Arial" w:eastAsia="Arial" w:hAnsi="Arial"/>
          <w:sz w:val="17"/>
          <w:szCs w:val="17"/>
          <w:color w:val="auto"/>
        </w:rPr>
      </w:pPr>
    </w:p>
    <w:p>
      <w:pPr>
        <w:ind w:left="460" w:right="280" w:hanging="452"/>
        <w:spacing w:after="0" w:line="277"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consents, approvals, authorizations or other orders of Curaçao governmental authorities are legally required for the issuance of the Shares by the Company.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opinion is strictly limited to the matters stated herein and may not read as extending by implication to any matters not specifically referred to herein, including tax matters.</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STvB Advocaten (Curaçao) N.V.</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31840" cy="5829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318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Client: 81028-00278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38" w:lineRule="exact"/>
        <w:rPr>
          <w:sz w:val="20"/>
          <w:szCs w:val="20"/>
          <w:color w:val="auto"/>
        </w:rPr>
      </w:pPr>
    </w:p>
    <w:p>
      <w:pPr>
        <w:jc w:val="center"/>
        <w:ind w:right="7860"/>
        <w:spacing w:after="0"/>
        <w:tabs>
          <w:tab w:leader="none" w:pos="1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Schlumberger N.V. (Schlumberger Limited)</w:t>
      </w:r>
    </w:p>
    <w:p>
      <w:pPr>
        <w:spacing w:after="0" w:line="23" w:lineRule="exact"/>
        <w:rPr>
          <w:sz w:val="20"/>
          <w:szCs w:val="20"/>
          <w:color w:val="auto"/>
        </w:rPr>
      </w:pPr>
    </w:p>
    <w:p>
      <w:pPr>
        <w:jc w:val="center"/>
        <w:ind w:right="7900"/>
        <w:spacing w:after="0"/>
        <w:rPr>
          <w:sz w:val="20"/>
          <w:szCs w:val="20"/>
          <w:color w:val="auto"/>
        </w:rPr>
      </w:pPr>
      <w:r>
        <w:rPr>
          <w:rFonts w:ascii="Arial" w:cs="Arial" w:eastAsia="Arial" w:hAnsi="Arial"/>
          <w:sz w:val="18"/>
          <w:szCs w:val="18"/>
          <w:color w:val="auto"/>
        </w:rPr>
        <w:t>Registration 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acted as counsel to Schlumberger N.V. (Schlumberger Limited), a Curaçao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Registration Statement on Form S-3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registration under the Securities Act and the proposed issuance and sale from time to time pursuant to Rule 415 under the Securities Act, together or separately and in one or more series (if applicable) of:</w:t>
      </w:r>
    </w:p>
    <w:p>
      <w:pPr>
        <w:spacing w:after="0" w:line="63" w:lineRule="exact"/>
        <w:rPr>
          <w:sz w:val="20"/>
          <w:szCs w:val="20"/>
          <w:color w:val="auto"/>
        </w:rPr>
      </w:pPr>
    </w:p>
    <w:p>
      <w:pPr>
        <w:ind w:right="480" w:firstLine="921"/>
        <w:spacing w:after="0" w:line="277" w:lineRule="auto"/>
        <w:tabs>
          <w:tab w:leader="none" w:pos="112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Company’s debt securities, which may either be senior debt securities (“</w:t>
      </w:r>
      <w:r>
        <w:rPr>
          <w:rFonts w:ascii="Arial" w:cs="Arial" w:eastAsia="Arial" w:hAnsi="Arial"/>
          <w:sz w:val="18"/>
          <w:szCs w:val="18"/>
          <w:u w:val="single" w:color="auto"/>
          <w:color w:val="auto"/>
        </w:rPr>
        <w:t>Senior Debt Securities</w:t>
      </w:r>
      <w:r>
        <w:rPr>
          <w:rFonts w:ascii="Arial" w:cs="Arial" w:eastAsia="Arial" w:hAnsi="Arial"/>
          <w:sz w:val="18"/>
          <w:szCs w:val="18"/>
          <w:color w:val="auto"/>
        </w:rPr>
        <w:t>”) or subordinated debt securities (the “</w:t>
      </w:r>
      <w:r>
        <w:rPr>
          <w:rFonts w:ascii="Arial" w:cs="Arial" w:eastAsia="Arial" w:hAnsi="Arial"/>
          <w:sz w:val="18"/>
          <w:szCs w:val="18"/>
          <w:u w:val="single" w:color="auto"/>
          <w:color w:val="auto"/>
        </w:rPr>
        <w:t>Subordinated Debt Securities</w:t>
      </w:r>
      <w:r>
        <w:rPr>
          <w:rFonts w:ascii="Arial" w:cs="Arial" w:eastAsia="Arial" w:hAnsi="Arial"/>
          <w:sz w:val="18"/>
          <w:szCs w:val="18"/>
          <w:color w:val="auto"/>
        </w:rPr>
        <w:t>” and, collectively with the Senior Debt Securities the “</w:t>
      </w:r>
      <w:r>
        <w:rPr>
          <w:rFonts w:ascii="Arial" w:cs="Arial" w:eastAsia="Arial" w:hAnsi="Arial"/>
          <w:sz w:val="18"/>
          <w:szCs w:val="18"/>
          <w:u w:val="single" w:color="auto"/>
          <w:color w:val="auto"/>
        </w:rPr>
        <w:t>Debt Securities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guarantees of debt securities (the “</w:t>
      </w: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shares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Debt Securities, Guarantees and Common Stock, are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 Any Senior Debt Securities are to be issued under an indenture to be entered into between the Company and a financial institution to be named at the time such indenture is executed (the “</w:t>
      </w:r>
      <w:r>
        <w:rPr>
          <w:rFonts w:ascii="Arial" w:cs="Arial" w:eastAsia="Arial" w:hAnsi="Arial"/>
          <w:sz w:val="16"/>
          <w:szCs w:val="16"/>
          <w:u w:val="single" w:color="auto"/>
          <w:color w:val="auto"/>
        </w:rPr>
        <w:t>Trust Company</w:t>
      </w:r>
      <w:r>
        <w:rPr>
          <w:rFonts w:ascii="Arial" w:cs="Arial" w:eastAsia="Arial" w:hAnsi="Arial"/>
          <w:sz w:val="16"/>
          <w:szCs w:val="16"/>
          <w:color w:val="auto"/>
        </w:rPr>
        <w:t>”), as indenture trustee (the “</w:t>
      </w:r>
      <w:r>
        <w:rPr>
          <w:rFonts w:ascii="Arial" w:cs="Arial" w:eastAsia="Arial" w:hAnsi="Arial"/>
          <w:sz w:val="16"/>
          <w:szCs w:val="16"/>
          <w:u w:val="single" w:color="auto"/>
          <w:color w:val="auto"/>
        </w:rPr>
        <w:t>Senior Base Indenture</w:t>
      </w:r>
      <w:r>
        <w:rPr>
          <w:rFonts w:ascii="Arial" w:cs="Arial" w:eastAsia="Arial" w:hAnsi="Arial"/>
          <w:sz w:val="16"/>
          <w:szCs w:val="16"/>
          <w:color w:val="auto"/>
        </w:rPr>
        <w:t>”). Any Subordinated Debt Securities are to be issued under an indenture to be entered into between the Company and Trust Company, as indenture trustee (the “</w:t>
      </w:r>
      <w:r>
        <w:rPr>
          <w:rFonts w:ascii="Arial" w:cs="Arial" w:eastAsia="Arial" w:hAnsi="Arial"/>
          <w:sz w:val="16"/>
          <w:szCs w:val="16"/>
          <w:u w:val="single" w:color="auto"/>
          <w:color w:val="auto"/>
        </w:rPr>
        <w:t>Subordinated Base Indenture</w:t>
      </w:r>
      <w:r>
        <w:rPr>
          <w:rFonts w:ascii="Arial" w:cs="Arial" w:eastAsia="Arial" w:hAnsi="Arial"/>
          <w:sz w:val="16"/>
          <w:szCs w:val="16"/>
          <w:color w:val="auto"/>
        </w:rPr>
        <w:t>,” and together with the Senior Base Indenture, the “</w:t>
      </w:r>
      <w:r>
        <w:rPr>
          <w:rFonts w:ascii="Arial" w:cs="Arial" w:eastAsia="Arial" w:hAnsi="Arial"/>
          <w:sz w:val="16"/>
          <w:szCs w:val="16"/>
          <w:u w:val="single" w:color="auto"/>
          <w:color w:val="auto"/>
        </w:rPr>
        <w:t>Base Indentures</w:t>
      </w:r>
      <w:r>
        <w:rPr>
          <w:rFonts w:ascii="Arial" w:cs="Arial" w:eastAsia="Arial" w:hAnsi="Arial"/>
          <w:sz w:val="16"/>
          <w:szCs w:val="16"/>
          <w:color w:val="auto"/>
        </w:rPr>
        <w:t>”).</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arriving at the opinions expressed below, we have examined originals, or copies certified or otherwise identified to our satisfaction as being true and complete copies of the originals, of forms of the Base Indentures and such other documents, corporate records, certificates of officers of the Company and of public officials and other instruments as we have deemed</w:t>
      </w:r>
    </w:p>
    <w:p>
      <w:pPr>
        <w:sectPr>
          <w:pgSz w:w="11900" w:h="16838" w:orient="portrait"/>
          <w:cols w:equalWidth="0" w:num="1">
            <w:col w:w="11420"/>
          </w:cols>
          <w:pgMar w:left="240" w:top="121"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not admitted or qualified to practice law in Curaçao. Therefore, we have relied upon the opinion of STvB Advocaten (Curaçao) N.V., filed as an exhibit to the Registration Statement, with respect to matters governed by the laws of Curaçao.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assumed without independent investigation that:</w:t>
      </w:r>
    </w:p>
    <w:p>
      <w:pPr>
        <w:spacing w:after="0" w:line="117" w:lineRule="exact"/>
        <w:rPr>
          <w:sz w:val="20"/>
          <w:szCs w:val="20"/>
          <w:color w:val="auto"/>
        </w:rPr>
      </w:pPr>
    </w:p>
    <w:p>
      <w:pPr>
        <w:ind w:right="700" w:firstLine="921"/>
        <w:spacing w:after="0" w:line="342" w:lineRule="auto"/>
        <w:tabs>
          <w:tab w:leader="none" w:pos="112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at the time any Securities are sold pursuant to the Registration Statement (the “</w:t>
      </w:r>
      <w:r>
        <w:rPr>
          <w:rFonts w:ascii="Arial" w:cs="Arial" w:eastAsia="Arial" w:hAnsi="Arial"/>
          <w:sz w:val="16"/>
          <w:szCs w:val="16"/>
          <w:u w:val="single" w:color="auto"/>
          <w:color w:val="auto"/>
        </w:rPr>
        <w:t>Relevant Time</w:t>
      </w:r>
      <w:r>
        <w:rPr>
          <w:rFonts w:ascii="Arial" w:cs="Arial" w:eastAsia="Arial" w:hAnsi="Arial"/>
          <w:sz w:val="16"/>
          <w:szCs w:val="16"/>
          <w:color w:val="auto"/>
        </w:rPr>
        <w:t>”), the Registration Statement and any supplements and amendments thereto (including post-effective amendments) will be effective and will comply with all applicable laws;</w:t>
      </w:r>
    </w:p>
    <w:p>
      <w:pPr>
        <w:spacing w:after="0" w:line="15" w:lineRule="exact"/>
        <w:rPr>
          <w:rFonts w:ascii="Arial" w:cs="Arial" w:eastAsia="Arial" w:hAnsi="Arial"/>
          <w:sz w:val="16"/>
          <w:szCs w:val="16"/>
          <w:color w:val="auto"/>
        </w:rPr>
      </w:pPr>
    </w:p>
    <w:p>
      <w:pPr>
        <w:ind w:right="360" w:firstLine="921"/>
        <w:spacing w:after="0" w:line="277" w:lineRule="auto"/>
        <w:tabs>
          <w:tab w:leader="none" w:pos="11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the Relevant Time, a prospectus supplement will have been prepared and filed with the Commission describing the Securities offered thereby and all related documentation and will comply with all applicable laws;</w:t>
      </w:r>
    </w:p>
    <w:p>
      <w:pPr>
        <w:spacing w:after="0" w:line="62" w:lineRule="exact"/>
        <w:rPr>
          <w:rFonts w:ascii="Arial" w:cs="Arial" w:eastAsia="Arial" w:hAnsi="Arial"/>
          <w:sz w:val="18"/>
          <w:szCs w:val="18"/>
          <w:color w:val="auto"/>
        </w:rPr>
      </w:pPr>
    </w:p>
    <w:p>
      <w:pPr>
        <w:ind w:left="1240" w:hanging="319"/>
        <w:spacing w:after="0"/>
        <w:tabs>
          <w:tab w:leader="none" w:pos="12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all Securities will be issued and sold in the manner stated in the Registration Statement and the applicable prospectus supplement;</w:t>
      </w:r>
    </w:p>
    <w:p>
      <w:pPr>
        <w:spacing w:after="0" w:line="128" w:lineRule="exact"/>
        <w:rPr>
          <w:rFonts w:ascii="Arial" w:cs="Arial" w:eastAsia="Arial" w:hAnsi="Arial"/>
          <w:sz w:val="17"/>
          <w:szCs w:val="17"/>
          <w:color w:val="auto"/>
        </w:rPr>
      </w:pPr>
    </w:p>
    <w:p>
      <w:pPr>
        <w:ind w:firstLine="921"/>
        <w:spacing w:after="0" w:line="286" w:lineRule="auto"/>
        <w:tabs>
          <w:tab w:leader="none" w:pos="121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at the Relevant Time, all corporate or other action required to be taken by the Company to duly authorize each proposed issuance of Securities and any related documentation and the execution (in the case of certificated Securities), delivery and performance of the Securities and any related documentation referred to in paragraphs 1 and 2 below shall have been duly completed and shall remain in full force and effect;</w:t>
      </w:r>
    </w:p>
    <w:p>
      <w:pPr>
        <w:spacing w:after="0" w:line="57" w:lineRule="exact"/>
        <w:rPr>
          <w:rFonts w:ascii="Arial" w:cs="Arial" w:eastAsia="Arial" w:hAnsi="Arial"/>
          <w:sz w:val="17"/>
          <w:szCs w:val="17"/>
          <w:color w:val="auto"/>
        </w:rPr>
      </w:pPr>
    </w:p>
    <w:p>
      <w:pPr>
        <w:ind w:right="120" w:firstLine="921"/>
        <w:spacing w:after="0" w:line="259" w:lineRule="auto"/>
        <w:tabs>
          <w:tab w:leader="none" w:pos="11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the case of Debt Securities and Guarantees, at the Relevant Time, the relevant trustee shall have been qualified under the Trust Indenture Act of 1939, as amended (the “</w:t>
      </w:r>
      <w:r>
        <w:rPr>
          <w:rFonts w:ascii="Arial" w:cs="Arial" w:eastAsia="Arial" w:hAnsi="Arial"/>
          <w:sz w:val="18"/>
          <w:szCs w:val="18"/>
          <w:u w:val="single" w:color="auto"/>
          <w:color w:val="auto"/>
        </w:rPr>
        <w:t>TIA</w:t>
      </w:r>
      <w:r>
        <w:rPr>
          <w:rFonts w:ascii="Arial" w:cs="Arial" w:eastAsia="Arial" w:hAnsi="Arial"/>
          <w:sz w:val="18"/>
          <w:szCs w:val="18"/>
          <w:color w:val="auto"/>
        </w:rPr>
        <w:t>”), a Statement of Eligibility of the Trustee on Form T-1 shall have been properly filed with the Commission and the relevant Base Indenture shall have been duly authorized, executed and delivered by the Company and all other parties thereto and duly qualified under the TIA; and</w:t>
      </w:r>
    </w:p>
    <w:p>
      <w:pPr>
        <w:spacing w:after="0" w:line="78" w:lineRule="exact"/>
        <w:rPr>
          <w:rFonts w:ascii="Arial" w:cs="Arial" w:eastAsia="Arial" w:hAnsi="Arial"/>
          <w:sz w:val="18"/>
          <w:szCs w:val="18"/>
          <w:color w:val="auto"/>
        </w:rPr>
      </w:pPr>
    </w:p>
    <w:p>
      <w:pPr>
        <w:ind w:firstLine="921"/>
        <w:spacing w:after="0" w:line="264" w:lineRule="auto"/>
        <w:tabs>
          <w:tab w:leader="none" w:pos="12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w:t>
      </w:r>
    </w:p>
    <w:p>
      <w:pPr>
        <w:sectPr>
          <w:pgSz w:w="11900" w:h="16838" w:orient="portrait"/>
          <w:cols w:equalWidth="0" w:num="1">
            <w:col w:w="11320"/>
          </w:cols>
          <w:pgMar w:left="240" w:top="274"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the foregoing and in reliance thereon, and subject to the assumptions, exceptions, qualifications and limitations set forth herein, we are of the opinion that:</w:t>
      </w:r>
    </w:p>
    <w:p>
      <w:pPr>
        <w:spacing w:after="0" w:line="76"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respect to any Debt Securities, when: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relevant Base Indenture has been duly executed and delivered by the Company and the trustee,</w:t>
      </w:r>
    </w:p>
    <w:p>
      <w:pPr>
        <w:spacing w:after="0" w:line="130" w:lineRule="exact"/>
        <w:rPr>
          <w:rFonts w:ascii="Arial" w:cs="Arial" w:eastAsia="Arial" w:hAnsi="Arial"/>
          <w:sz w:val="18"/>
          <w:szCs w:val="18"/>
          <w:color w:val="auto"/>
        </w:rPr>
      </w:pPr>
    </w:p>
    <w:p>
      <w:pPr>
        <w:ind w:left="1480" w:right="600" w:hanging="567"/>
        <w:spacing w:after="0" w:line="277"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terms and conditions of such Debt Securities have been duly established by supplemental indenture or officers’ certificate in accordance with the terms and conditions of the relevant Base Indenture,</w:t>
      </w:r>
    </w:p>
    <w:p>
      <w:pPr>
        <w:spacing w:after="0" w:line="75" w:lineRule="exact"/>
        <w:rPr>
          <w:rFonts w:ascii="Arial" w:cs="Arial" w:eastAsia="Arial" w:hAnsi="Arial"/>
          <w:sz w:val="18"/>
          <w:szCs w:val="18"/>
          <w:color w:val="auto"/>
        </w:rPr>
      </w:pPr>
    </w:p>
    <w:p>
      <w:pPr>
        <w:ind w:left="1480" w:right="440" w:hanging="567"/>
        <w:spacing w:after="0" w:line="277"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such supplemental indenture has been duly executed and delivered by the Company and the relevant trustee (together with the relevant Base Indenture, the relevant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480" w:right="20" w:hanging="567"/>
        <w:spacing w:after="0" w:line="264"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such Debt Securities have been executed (in the case of certificated Debt Securities), delivered and authenticated in accordance with the terms of the relevant Indenture and issued and sold for the consideration set forth in the applicable definitive purchase, underwriting or similar agreement,</w:t>
      </w:r>
    </w:p>
    <w:p>
      <w:pPr>
        <w:spacing w:after="0" w:line="73" w:lineRule="exact"/>
        <w:rPr>
          <w:sz w:val="20"/>
          <w:szCs w:val="20"/>
          <w:color w:val="auto"/>
        </w:rPr>
      </w:pPr>
    </w:p>
    <w:p>
      <w:pPr>
        <w:ind w:left="1040" w:right="140" w:firstLine="415"/>
        <w:spacing w:after="0" w:line="277" w:lineRule="auto"/>
        <w:rPr>
          <w:sz w:val="20"/>
          <w:szCs w:val="20"/>
          <w:color w:val="auto"/>
        </w:rPr>
      </w:pPr>
      <w:r>
        <w:rPr>
          <w:rFonts w:ascii="Arial" w:cs="Arial" w:eastAsia="Arial" w:hAnsi="Arial"/>
          <w:sz w:val="18"/>
          <w:szCs w:val="18"/>
          <w:color w:val="auto"/>
        </w:rPr>
        <w:t>such Debt Securities will be legal, valid and binding obligations of the Company, enforceable against the Company in accordance with their respective terms.</w:t>
      </w:r>
    </w:p>
    <w:p>
      <w:pPr>
        <w:spacing w:after="0" w:line="76"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 respect to any Guarantees, when:</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guarantee agreement relating to such Guarantees (“</w:t>
      </w:r>
      <w:r>
        <w:rPr>
          <w:rFonts w:ascii="Arial" w:cs="Arial" w:eastAsia="Arial" w:hAnsi="Arial"/>
          <w:sz w:val="18"/>
          <w:szCs w:val="18"/>
          <w:u w:val="single" w:color="auto"/>
          <w:color w:val="auto"/>
        </w:rPr>
        <w:t>Guarantee Agreement</w:t>
      </w:r>
      <w:r>
        <w:rPr>
          <w:rFonts w:ascii="Arial" w:cs="Arial" w:eastAsia="Arial" w:hAnsi="Arial"/>
          <w:sz w:val="18"/>
          <w:szCs w:val="18"/>
          <w:color w:val="auto"/>
        </w:rPr>
        <w:t>”) has been duly executed and delivered by the Company and each other party thereto,</w:t>
      </w:r>
    </w:p>
    <w:p>
      <w:pPr>
        <w:spacing w:after="0" w:line="75" w:lineRule="exact"/>
        <w:rPr>
          <w:rFonts w:ascii="Arial" w:cs="Arial" w:eastAsia="Arial" w:hAnsi="Arial"/>
          <w:sz w:val="18"/>
          <w:szCs w:val="18"/>
          <w:color w:val="auto"/>
        </w:rPr>
      </w:pPr>
    </w:p>
    <w:p>
      <w:pPr>
        <w:ind w:left="1480" w:right="200" w:hanging="567"/>
        <w:spacing w:after="0" w:line="277" w:lineRule="auto"/>
        <w:tabs>
          <w:tab w:leader="none" w:pos="14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terms and conditions of such Guarantees have been duly established in accordance with the terms and conditions of the Guarantee Agreement, and</w:t>
      </w:r>
    </w:p>
    <w:p>
      <w:pPr>
        <w:spacing w:after="0" w:line="75" w:lineRule="exact"/>
        <w:rPr>
          <w:rFonts w:ascii="Arial" w:cs="Arial" w:eastAsia="Arial" w:hAnsi="Arial"/>
          <w:sz w:val="18"/>
          <w:szCs w:val="18"/>
          <w:color w:val="auto"/>
        </w:rPr>
      </w:pPr>
    </w:p>
    <w:p>
      <w:pPr>
        <w:ind w:left="1480" w:hanging="567"/>
        <w:spacing w:after="0" w:line="308" w:lineRule="auto"/>
        <w:tabs>
          <w:tab w:leader="none" w:pos="148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such Guarantees have been duly executed and delivered in accordance with the terms of the applicable Guarantee Agreement and issued and sold for the consideration set forth in the applicable definitive purchase, underwriting or similar agreement,</w:t>
      </w:r>
    </w:p>
    <w:p>
      <w:pPr>
        <w:spacing w:after="0" w:line="38" w:lineRule="exact"/>
        <w:rPr>
          <w:sz w:val="20"/>
          <w:szCs w:val="20"/>
          <w:color w:val="auto"/>
        </w:rPr>
      </w:pPr>
    </w:p>
    <w:p>
      <w:pPr>
        <w:ind w:left="1040" w:right="60" w:firstLine="415"/>
        <w:spacing w:after="0" w:line="277" w:lineRule="auto"/>
        <w:rPr>
          <w:sz w:val="20"/>
          <w:szCs w:val="20"/>
          <w:color w:val="auto"/>
        </w:rPr>
      </w:pPr>
      <w:r>
        <w:rPr>
          <w:rFonts w:ascii="Arial" w:cs="Arial" w:eastAsia="Arial" w:hAnsi="Arial"/>
          <w:sz w:val="18"/>
          <w:szCs w:val="18"/>
          <w:color w:val="auto"/>
        </w:rPr>
        <w:t>such Guarantees will be legal, valid and binding obligations of the Company, enforceable against the Company in accordance with their respective terms.</w:t>
      </w:r>
    </w:p>
    <w:p>
      <w:pPr>
        <w:sectPr>
          <w:pgSz w:w="11900" w:h="16838" w:orient="portrait"/>
          <w:cols w:equalWidth="0" w:num="1">
            <w:col w:w="11300"/>
          </w:cols>
          <w:pgMar w:left="240" w:top="274" w:right="3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above are subject to the following exceptions, qualifications, limitations and assumptions:</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The opinions above with respect to the Indenture, the Debt Securities and the Guarantees (collectively, the “</w:t>
      </w:r>
      <w:r>
        <w:rPr>
          <w:rFonts w:ascii="Arial" w:cs="Arial" w:eastAsia="Arial" w:hAnsi="Arial"/>
          <w:sz w:val="16"/>
          <w:szCs w:val="16"/>
          <w:u w:val="single" w:color="auto"/>
          <w:color w:val="auto"/>
        </w:rPr>
        <w:t>Documents</w:t>
      </w:r>
      <w:r>
        <w:rPr>
          <w:rFonts w:ascii="Arial" w:cs="Arial" w:eastAsia="Arial" w:hAnsi="Arial"/>
          <w:sz w:val="16"/>
          <w:szCs w:val="16"/>
          <w:color w:val="auto"/>
        </w:rPr>
        <w:t>”) are each subject to</w:t>
      </w:r>
    </w:p>
    <w:p>
      <w:pPr>
        <w:spacing w:after="0" w:line="46" w:lineRule="exact"/>
        <w:rPr>
          <w:sz w:val="20"/>
          <w:szCs w:val="20"/>
          <w:color w:val="auto"/>
        </w:rPr>
      </w:pPr>
    </w:p>
    <w:p>
      <w:pPr>
        <w:ind w:right="80" w:firstLine="8"/>
        <w:spacing w:after="0" w:line="273" w:lineRule="auto"/>
        <w:tabs>
          <w:tab w:leader="none" w:pos="21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68" w:lineRule="exact"/>
        <w:rPr>
          <w:rFonts w:ascii="Arial" w:cs="Arial" w:eastAsia="Arial" w:hAnsi="Arial"/>
          <w:sz w:val="17"/>
          <w:szCs w:val="17"/>
          <w:color w:val="auto"/>
        </w:rPr>
      </w:pPr>
    </w:p>
    <w:p>
      <w:pPr>
        <w:ind w:left="1140" w:hanging="219"/>
        <w:spacing w:after="0"/>
        <w:tabs>
          <w:tab w:leader="none" w:pos="11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We express no opinion regarding the effectiveness of (i) any waiver of stay, extension or usury laws or of unknown future rights,</w:t>
      </w:r>
    </w:p>
    <w:p>
      <w:pPr>
        <w:spacing w:after="0" w:line="23" w:lineRule="exact"/>
        <w:rPr>
          <w:rFonts w:ascii="Arial" w:cs="Arial" w:eastAsia="Arial" w:hAnsi="Arial"/>
          <w:sz w:val="18"/>
          <w:szCs w:val="18"/>
          <w:color w:val="auto"/>
        </w:rPr>
      </w:pPr>
    </w:p>
    <w:p>
      <w:pPr>
        <w:ind w:right="40" w:firstLine="8"/>
        <w:spacing w:after="0" w:line="253" w:lineRule="auto"/>
        <w:tabs>
          <w:tab w:leader="none" w:pos="26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provisions relating to indemnification, exculpation or contribution, to the extent such provisions may be held unenforceable as contrary to public policy or federal or state securities laws or due to the negligence or willful misconduct of the indemnified party, (iii) any provision in any Document waiving the right to object to venue in any court; (iv) any agreement to submit to the jurisdiction of any Federal court, (v) any waiver of the right to jury trial and (vi) any provision to the effect that every right or remedy is cumulative and may be exercised in addition to any other right or remedy or that the election of some particular remedy does not preclude recourse to one or more others.</w:t>
      </w:r>
    </w:p>
    <w:p>
      <w:pPr>
        <w:spacing w:after="0" w:line="83" w:lineRule="exact"/>
        <w:rPr>
          <w:rFonts w:ascii="Arial" w:cs="Arial" w:eastAsia="Arial" w:hAnsi="Arial"/>
          <w:sz w:val="18"/>
          <w:szCs w:val="18"/>
          <w:color w:val="auto"/>
        </w:rPr>
      </w:pPr>
    </w:p>
    <w:p>
      <w:pPr>
        <w:ind w:right="200" w:firstLine="921"/>
        <w:spacing w:after="0" w:line="277" w:lineRule="auto"/>
        <w:tabs>
          <w:tab w:leader="none" w:pos="113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To the extent relevant to our opinions in paragraph 2, we have assumed that the debt underlying any Guarantees is a legal, valid and binding obligation of the issuer thereof, enforceable against such issuer in accordance with its terms.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w:t>
      </w:r>
    </w:p>
    <w:p>
      <w:pPr>
        <w:sectPr>
          <w:pgSz w:w="11900" w:h="16838" w:orient="portrait"/>
          <w:cols w:equalWidth="0" w:num="1">
            <w:col w:w="11420"/>
          </w:cols>
          <w:pgMar w:left="240" w:top="274"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filing of this opinion as an exhibit to the Registration Statement, and we further consent to the use of our name under the caption “Validity of the Securities”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GIBSON, DUNN &amp; CRUTCHER LLP</w:t>
      </w:r>
    </w:p>
    <w:p>
      <w:pPr>
        <w:sectPr>
          <w:pgSz w:w="11900" w:h="16838" w:orient="portrait"/>
          <w:cols w:equalWidth="0" w:num="1">
            <w:col w:w="11280"/>
          </w:cols>
          <w:pgMar w:left="240" w:top="274" w:right="379" w:bottom="1440" w:gutter="0" w:footer="0" w:header="0"/>
        </w:sectPr>
      </w:pPr>
    </w:p>
    <w:bookmarkStart w:id="168" w:name="page169"/>
    <w:bookmarkEnd w:id="168"/>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Ratios of Earnings to Fixed Charges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6"/>
              </w:rPr>
              <w:t>($ millions)</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2010</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Earnings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Income from continuing operations before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8,691</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6,959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6,018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4,898</w:t>
            </w:r>
          </w:p>
        </w:tc>
        <w:tc>
          <w:tcPr>
            <w:tcW w:w="6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 (Deduct):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Fixed charges</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capitalized interest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Distributions from equity investments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Capitalized interest</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Equity income</w:t>
            </w:r>
          </w:p>
        </w:tc>
        <w:tc>
          <w:tcPr>
            <w:tcW w:w="8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9,347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7,574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6,536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5,233</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Fixed charges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Add: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Capitalized interest</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Interest component of rental expense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S-3 of our report dated January 31, 2014 relating to the financial statements and the effectiveness of internal control over financial reporting, which appears in Schlumberger Limited’s Annual Report on Form 10-K for the year ended December 31, 2013. We also consent to the reference to us under the heading “Experts” in such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ectPr>
          <w:pgSz w:w="11900" w:h="16838" w:orient="portrait"/>
          <w:cols w:equalWidth="0" w:num="1">
            <w:col w:w="11420"/>
          </w:cols>
          <w:pgMar w:left="240" w:top="121"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of the undersigned, being a director or officer of Schlumberger Limited, a Curaçao corporation (the “Company”), hereby constitutes and appoints Howard Guild, Alexander C. Juden or Saul R. Laureles, and each of them, his or her true and lawful attorney-in-fact and agent, with full and several power of substitution and resubstitution and to act with or without the others, for him or her and in his or her name, place and stead in any and all capacities: (i) to sign this Registration Statement under the Securities Act of 1933, as amended (the “Securities Act”), on Form S-3, any amendments thereto, and all post-effective amendments and supplements to this Registration Statement for the registration of the Company’s securities,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April 17,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26"/>
        </w:trPr>
        <w:tc>
          <w:tcPr>
            <w:tcW w:w="5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Paal Kibsgaard</w:t>
            </w:r>
          </w:p>
        </w:tc>
        <w:tc>
          <w:tcPr>
            <w:tcW w:w="518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Chief Executive Officer and Director</w:t>
            </w:r>
          </w:p>
        </w:tc>
      </w:tr>
      <w:tr>
        <w:trPr>
          <w:trHeight w:val="224"/>
        </w:trPr>
        <w:tc>
          <w:tcPr>
            <w:tcW w:w="5120" w:type="dxa"/>
            <w:vAlign w:val="bottom"/>
            <w:gridSpan w:val="3"/>
          </w:tcPr>
          <w:p>
            <w:pPr>
              <w:jc w:val="center"/>
              <w:spacing w:after="0"/>
              <w:rPr>
                <w:sz w:val="20"/>
                <w:szCs w:val="20"/>
                <w:color w:val="auto"/>
              </w:rPr>
            </w:pPr>
            <w:r>
              <w:rPr>
                <w:rFonts w:ascii="Arial" w:cs="Arial" w:eastAsia="Arial" w:hAnsi="Arial"/>
                <w:sz w:val="18"/>
                <w:szCs w:val="18"/>
                <w:color w:val="auto"/>
                <w:w w:val="90"/>
              </w:rPr>
              <w:t>(Paal Kibsgaard)</w:t>
            </w:r>
          </w:p>
        </w:tc>
        <w:tc>
          <w:tcPr>
            <w:tcW w:w="518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(Principal Executive Officer)</w:t>
            </w:r>
          </w:p>
        </w:tc>
      </w:tr>
      <w:tr>
        <w:trPr>
          <w:trHeight w:val="431"/>
        </w:trPr>
        <w:tc>
          <w:tcPr>
            <w:tcW w:w="5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Simon Ayat</w:t>
            </w:r>
          </w:p>
        </w:tc>
        <w:tc>
          <w:tcPr>
            <w:tcW w:w="5180" w:type="dxa"/>
            <w:vAlign w:val="bottom"/>
            <w:gridSpan w:val="3"/>
          </w:tcPr>
          <w:p>
            <w:pPr>
              <w:jc w:val="center"/>
              <w:ind w:left="1250"/>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24"/>
        </w:trPr>
        <w:tc>
          <w:tcPr>
            <w:tcW w:w="5120" w:type="dxa"/>
            <w:vAlign w:val="bottom"/>
            <w:gridSpan w:val="3"/>
          </w:tcPr>
          <w:p>
            <w:pPr>
              <w:jc w:val="center"/>
              <w:spacing w:after="0"/>
              <w:rPr>
                <w:sz w:val="20"/>
                <w:szCs w:val="20"/>
                <w:color w:val="auto"/>
              </w:rPr>
            </w:pPr>
            <w:r>
              <w:rPr>
                <w:rFonts w:ascii="Arial" w:cs="Arial" w:eastAsia="Arial" w:hAnsi="Arial"/>
                <w:sz w:val="18"/>
                <w:szCs w:val="18"/>
                <w:color w:val="auto"/>
                <w:w w:val="94"/>
              </w:rPr>
              <w:t>(Simon Ayat)</w:t>
            </w:r>
          </w:p>
        </w:tc>
        <w:tc>
          <w:tcPr>
            <w:tcW w:w="5180" w:type="dxa"/>
            <w:vAlign w:val="bottom"/>
            <w:gridSpan w:val="3"/>
          </w:tcPr>
          <w:p>
            <w:pPr>
              <w:jc w:val="center"/>
              <w:ind w:left="1250"/>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5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Howard Guild</w:t>
            </w:r>
          </w:p>
        </w:tc>
        <w:tc>
          <w:tcPr>
            <w:tcW w:w="5180" w:type="dxa"/>
            <w:vAlign w:val="bottom"/>
            <w:gridSpan w:val="3"/>
          </w:tcPr>
          <w:p>
            <w:pPr>
              <w:jc w:val="center"/>
              <w:ind w:left="1250"/>
              <w:spacing w:after="0"/>
              <w:rPr>
                <w:sz w:val="20"/>
                <w:szCs w:val="20"/>
                <w:color w:val="auto"/>
              </w:rPr>
            </w:pPr>
            <w:r>
              <w:rPr>
                <w:rFonts w:ascii="Arial" w:cs="Arial" w:eastAsia="Arial" w:hAnsi="Arial"/>
                <w:sz w:val="18"/>
                <w:szCs w:val="18"/>
                <w:color w:val="auto"/>
                <w:w w:val="94"/>
              </w:rPr>
              <w:t>Chief Accounting Officer</w:t>
            </w:r>
          </w:p>
        </w:tc>
      </w:tr>
      <w:tr>
        <w:trPr>
          <w:trHeight w:val="224"/>
        </w:trPr>
        <w:tc>
          <w:tcPr>
            <w:tcW w:w="5120" w:type="dxa"/>
            <w:vAlign w:val="bottom"/>
            <w:gridSpan w:val="3"/>
          </w:tcPr>
          <w:p>
            <w:pPr>
              <w:jc w:val="center"/>
              <w:spacing w:after="0"/>
              <w:rPr>
                <w:sz w:val="20"/>
                <w:szCs w:val="20"/>
                <w:color w:val="auto"/>
              </w:rPr>
            </w:pPr>
            <w:r>
              <w:rPr>
                <w:rFonts w:ascii="Arial" w:cs="Arial" w:eastAsia="Arial" w:hAnsi="Arial"/>
                <w:sz w:val="18"/>
                <w:szCs w:val="18"/>
                <w:color w:val="auto"/>
                <w:w w:val="94"/>
              </w:rPr>
              <w:t>(Howard Guild)</w:t>
            </w:r>
          </w:p>
        </w:tc>
        <w:tc>
          <w:tcPr>
            <w:tcW w:w="5180" w:type="dxa"/>
            <w:vAlign w:val="bottom"/>
            <w:gridSpan w:val="3"/>
          </w:tcPr>
          <w:p>
            <w:pPr>
              <w:jc w:val="center"/>
              <w:ind w:left="1250"/>
              <w:spacing w:after="0"/>
              <w:rPr>
                <w:sz w:val="20"/>
                <w:szCs w:val="20"/>
                <w:color w:val="auto"/>
              </w:rPr>
            </w:pPr>
            <w:r>
              <w:rPr>
                <w:rFonts w:ascii="Arial" w:cs="Arial" w:eastAsia="Arial" w:hAnsi="Arial"/>
                <w:sz w:val="18"/>
                <w:szCs w:val="18"/>
                <w:color w:val="auto"/>
                <w:w w:val="94"/>
              </w:rPr>
              <w:t>(Principal Accounting Officer)</w:t>
            </w:r>
          </w:p>
        </w:tc>
      </w:tr>
      <w:tr>
        <w:trPr>
          <w:trHeight w:val="431"/>
        </w:trPr>
        <w:tc>
          <w:tcPr>
            <w:tcW w:w="5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Peter L.S. Currie</w:t>
            </w:r>
          </w:p>
        </w:tc>
        <w:tc>
          <w:tcPr>
            <w:tcW w:w="5180" w:type="dxa"/>
            <w:vAlign w:val="bottom"/>
            <w:gridSpan w:val="3"/>
          </w:tcPr>
          <w:p>
            <w:pPr>
              <w:jc w:val="center"/>
              <w:ind w:left="1250"/>
              <w:spacing w:after="0"/>
              <w:rPr>
                <w:sz w:val="20"/>
                <w:szCs w:val="20"/>
                <w:color w:val="auto"/>
              </w:rPr>
            </w:pPr>
            <w:r>
              <w:rPr>
                <w:rFonts w:ascii="Arial" w:cs="Arial" w:eastAsia="Arial" w:hAnsi="Arial"/>
                <w:sz w:val="18"/>
                <w:szCs w:val="18"/>
                <w:color w:val="auto"/>
                <w:w w:val="95"/>
              </w:rPr>
              <w:t>Director</w:t>
            </w:r>
          </w:p>
        </w:tc>
      </w:tr>
      <w:tr>
        <w:trPr>
          <w:trHeight w:val="224"/>
        </w:trPr>
        <w:tc>
          <w:tcPr>
            <w:tcW w:w="5120" w:type="dxa"/>
            <w:vAlign w:val="bottom"/>
            <w:gridSpan w:val="3"/>
          </w:tcPr>
          <w:p>
            <w:pPr>
              <w:jc w:val="center"/>
              <w:spacing w:after="0"/>
              <w:rPr>
                <w:sz w:val="20"/>
                <w:szCs w:val="20"/>
                <w:color w:val="auto"/>
              </w:rPr>
            </w:pPr>
            <w:r>
              <w:rPr>
                <w:rFonts w:ascii="Arial" w:cs="Arial" w:eastAsia="Arial" w:hAnsi="Arial"/>
                <w:sz w:val="18"/>
                <w:szCs w:val="18"/>
                <w:color w:val="auto"/>
                <w:w w:val="91"/>
              </w:rPr>
              <w:t>(Peter L.S. Currie)</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5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Tony Isaac</w:t>
            </w:r>
          </w:p>
        </w:tc>
        <w:tc>
          <w:tcPr>
            <w:tcW w:w="5180" w:type="dxa"/>
            <w:vAlign w:val="bottom"/>
            <w:gridSpan w:val="3"/>
          </w:tcPr>
          <w:p>
            <w:pPr>
              <w:jc w:val="center"/>
              <w:ind w:left="1250"/>
              <w:spacing w:after="0"/>
              <w:rPr>
                <w:sz w:val="20"/>
                <w:szCs w:val="20"/>
                <w:color w:val="auto"/>
              </w:rPr>
            </w:pPr>
            <w:r>
              <w:rPr>
                <w:rFonts w:ascii="Arial" w:cs="Arial" w:eastAsia="Arial" w:hAnsi="Arial"/>
                <w:sz w:val="18"/>
                <w:szCs w:val="18"/>
                <w:color w:val="auto"/>
                <w:w w:val="90"/>
              </w:rPr>
              <w:t>Chairman of the Board</w:t>
            </w:r>
          </w:p>
        </w:tc>
      </w:tr>
      <w:tr>
        <w:trPr>
          <w:trHeight w:val="224"/>
        </w:trPr>
        <w:tc>
          <w:tcPr>
            <w:tcW w:w="5120" w:type="dxa"/>
            <w:vAlign w:val="bottom"/>
            <w:gridSpan w:val="3"/>
          </w:tcPr>
          <w:p>
            <w:pPr>
              <w:jc w:val="center"/>
              <w:spacing w:after="0"/>
              <w:rPr>
                <w:sz w:val="20"/>
                <w:szCs w:val="20"/>
                <w:color w:val="auto"/>
              </w:rPr>
            </w:pPr>
            <w:r>
              <w:rPr>
                <w:rFonts w:ascii="Arial" w:cs="Arial" w:eastAsia="Arial" w:hAnsi="Arial"/>
                <w:sz w:val="18"/>
                <w:szCs w:val="18"/>
                <w:color w:val="auto"/>
                <w:w w:val="89"/>
              </w:rPr>
              <w:t>(Tony Isaac)</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5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K. Vaman Kamath</w:t>
            </w:r>
          </w:p>
        </w:tc>
        <w:tc>
          <w:tcPr>
            <w:tcW w:w="5180" w:type="dxa"/>
            <w:vAlign w:val="bottom"/>
            <w:gridSpan w:val="3"/>
          </w:tcPr>
          <w:p>
            <w:pPr>
              <w:jc w:val="center"/>
              <w:ind w:left="1250"/>
              <w:spacing w:after="0"/>
              <w:rPr>
                <w:sz w:val="20"/>
                <w:szCs w:val="20"/>
                <w:color w:val="auto"/>
              </w:rPr>
            </w:pPr>
            <w:r>
              <w:rPr>
                <w:rFonts w:ascii="Arial" w:cs="Arial" w:eastAsia="Arial" w:hAnsi="Arial"/>
                <w:sz w:val="18"/>
                <w:szCs w:val="18"/>
                <w:color w:val="auto"/>
                <w:w w:val="95"/>
              </w:rPr>
              <w:t>Director</w:t>
            </w:r>
          </w:p>
        </w:tc>
      </w:tr>
      <w:tr>
        <w:trPr>
          <w:trHeight w:val="224"/>
        </w:trPr>
        <w:tc>
          <w:tcPr>
            <w:tcW w:w="5120" w:type="dxa"/>
            <w:vAlign w:val="bottom"/>
            <w:gridSpan w:val="3"/>
          </w:tcPr>
          <w:p>
            <w:pPr>
              <w:jc w:val="center"/>
              <w:spacing w:after="0"/>
              <w:rPr>
                <w:sz w:val="20"/>
                <w:szCs w:val="20"/>
                <w:color w:val="auto"/>
              </w:rPr>
            </w:pPr>
            <w:r>
              <w:rPr>
                <w:rFonts w:ascii="Arial" w:cs="Arial" w:eastAsia="Arial" w:hAnsi="Arial"/>
                <w:sz w:val="18"/>
                <w:szCs w:val="18"/>
                <w:color w:val="auto"/>
                <w:w w:val="92"/>
              </w:rPr>
              <w:t>(K. Vaman Kamath)</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5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Maureen Kemspton Darkes</w:t>
            </w:r>
          </w:p>
        </w:tc>
        <w:tc>
          <w:tcPr>
            <w:tcW w:w="5180" w:type="dxa"/>
            <w:vAlign w:val="bottom"/>
            <w:gridSpan w:val="3"/>
          </w:tcPr>
          <w:p>
            <w:pPr>
              <w:jc w:val="center"/>
              <w:ind w:left="1250"/>
              <w:spacing w:after="0"/>
              <w:rPr>
                <w:sz w:val="20"/>
                <w:szCs w:val="20"/>
                <w:color w:val="auto"/>
              </w:rPr>
            </w:pPr>
            <w:r>
              <w:rPr>
                <w:rFonts w:ascii="Arial" w:cs="Arial" w:eastAsia="Arial" w:hAnsi="Arial"/>
                <w:sz w:val="18"/>
                <w:szCs w:val="18"/>
                <w:color w:val="auto"/>
                <w:w w:val="95"/>
              </w:rPr>
              <w:t>Director</w:t>
            </w:r>
          </w:p>
        </w:tc>
      </w:tr>
      <w:tr>
        <w:trPr>
          <w:trHeight w:val="224"/>
        </w:trPr>
        <w:tc>
          <w:tcPr>
            <w:tcW w:w="5120" w:type="dxa"/>
            <w:vAlign w:val="bottom"/>
            <w:gridSpan w:val="3"/>
          </w:tcPr>
          <w:p>
            <w:pPr>
              <w:jc w:val="center"/>
              <w:spacing w:after="0"/>
              <w:rPr>
                <w:sz w:val="20"/>
                <w:szCs w:val="20"/>
                <w:color w:val="auto"/>
              </w:rPr>
            </w:pPr>
            <w:r>
              <w:rPr>
                <w:rFonts w:ascii="Arial" w:cs="Arial" w:eastAsia="Arial" w:hAnsi="Arial"/>
                <w:sz w:val="18"/>
                <w:szCs w:val="18"/>
                <w:color w:val="auto"/>
                <w:w w:val="90"/>
              </w:rPr>
              <w:t>(Maureen Kemspton Darkes)</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5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Nikolay Kudryavtsev</w:t>
            </w:r>
          </w:p>
        </w:tc>
        <w:tc>
          <w:tcPr>
            <w:tcW w:w="5180" w:type="dxa"/>
            <w:vAlign w:val="bottom"/>
            <w:gridSpan w:val="3"/>
          </w:tcPr>
          <w:p>
            <w:pPr>
              <w:jc w:val="center"/>
              <w:ind w:left="1250"/>
              <w:spacing w:after="0"/>
              <w:rPr>
                <w:sz w:val="20"/>
                <w:szCs w:val="20"/>
                <w:color w:val="auto"/>
              </w:rPr>
            </w:pPr>
            <w:r>
              <w:rPr>
                <w:rFonts w:ascii="Arial" w:cs="Arial" w:eastAsia="Arial" w:hAnsi="Arial"/>
                <w:sz w:val="18"/>
                <w:szCs w:val="18"/>
                <w:color w:val="auto"/>
                <w:w w:val="95"/>
              </w:rPr>
              <w:t>Director</w:t>
            </w:r>
          </w:p>
        </w:tc>
      </w:tr>
      <w:tr>
        <w:trPr>
          <w:trHeight w:val="224"/>
        </w:trPr>
        <w:tc>
          <w:tcPr>
            <w:tcW w:w="5120" w:type="dxa"/>
            <w:vAlign w:val="bottom"/>
            <w:gridSpan w:val="3"/>
          </w:tcPr>
          <w:p>
            <w:pPr>
              <w:jc w:val="center"/>
              <w:spacing w:after="0"/>
              <w:rPr>
                <w:sz w:val="20"/>
                <w:szCs w:val="20"/>
                <w:color w:val="auto"/>
              </w:rPr>
            </w:pPr>
            <w:r>
              <w:rPr>
                <w:rFonts w:ascii="Arial" w:cs="Arial" w:eastAsia="Arial" w:hAnsi="Arial"/>
                <w:sz w:val="18"/>
                <w:szCs w:val="18"/>
                <w:color w:val="auto"/>
                <w:w w:val="94"/>
              </w:rPr>
              <w:t>(Nikolay Kudryavtsev)</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171" w:name="page172"/>
    <w:bookmarkEnd w:id="1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E. Marks</w:t>
            </w:r>
          </w:p>
        </w:tc>
        <w:tc>
          <w:tcPr>
            <w:tcW w:w="3560" w:type="dxa"/>
            <w:vAlign w:val="bottom"/>
          </w:tcPr>
          <w:p>
            <w:pPr>
              <w:ind w:left="2960"/>
              <w:spacing w:after="0"/>
              <w:rPr>
                <w:sz w:val="20"/>
                <w:szCs w:val="20"/>
                <w:color w:val="auto"/>
              </w:rPr>
            </w:pPr>
            <w:r>
              <w:rPr>
                <w:rFonts w:ascii="Arial" w:cs="Arial" w:eastAsia="Arial" w:hAnsi="Arial"/>
                <w:sz w:val="18"/>
                <w:szCs w:val="18"/>
                <w:color w:val="auto"/>
                <w:w w:val="91"/>
              </w:rPr>
              <w:t>Director</w:t>
            </w:r>
          </w:p>
        </w:tc>
      </w:tr>
      <w:tr>
        <w:trPr>
          <w:trHeight w:val="224"/>
        </w:trPr>
        <w:tc>
          <w:tcPr>
            <w:tcW w:w="5120" w:type="dxa"/>
            <w:vAlign w:val="bottom"/>
          </w:tcPr>
          <w:p>
            <w:pPr>
              <w:jc w:val="center"/>
              <w:spacing w:after="0"/>
              <w:rPr>
                <w:sz w:val="20"/>
                <w:szCs w:val="20"/>
                <w:color w:val="auto"/>
              </w:rPr>
            </w:pPr>
            <w:r>
              <w:rPr>
                <w:rFonts w:ascii="Arial" w:cs="Arial" w:eastAsia="Arial" w:hAnsi="Arial"/>
                <w:sz w:val="18"/>
                <w:szCs w:val="18"/>
                <w:color w:val="auto"/>
                <w:w w:val="94"/>
              </w:rPr>
              <w:t>(Michael E. Marks)</w:t>
            </w:r>
          </w:p>
        </w:tc>
        <w:tc>
          <w:tcPr>
            <w:tcW w:w="3560" w:type="dxa"/>
            <w:vAlign w:val="bottom"/>
          </w:tcPr>
          <w:p>
            <w:pPr>
              <w:spacing w:after="0"/>
              <w:rPr>
                <w:sz w:val="19"/>
                <w:szCs w:val="19"/>
                <w:color w:val="auto"/>
              </w:rPr>
            </w:pPr>
          </w:p>
        </w:tc>
      </w:tr>
      <w:tr>
        <w:trPr>
          <w:trHeight w:val="43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Lubna S. Olayan</w:t>
            </w:r>
          </w:p>
        </w:tc>
        <w:tc>
          <w:tcPr>
            <w:tcW w:w="3560" w:type="dxa"/>
            <w:vAlign w:val="bottom"/>
          </w:tcPr>
          <w:p>
            <w:pPr>
              <w:ind w:left="2960"/>
              <w:spacing w:after="0"/>
              <w:rPr>
                <w:sz w:val="20"/>
                <w:szCs w:val="20"/>
                <w:color w:val="auto"/>
              </w:rPr>
            </w:pPr>
            <w:r>
              <w:rPr>
                <w:rFonts w:ascii="Arial" w:cs="Arial" w:eastAsia="Arial" w:hAnsi="Arial"/>
                <w:sz w:val="18"/>
                <w:szCs w:val="18"/>
                <w:color w:val="auto"/>
                <w:w w:val="91"/>
              </w:rPr>
              <w:t>Director</w:t>
            </w:r>
          </w:p>
        </w:tc>
      </w:tr>
      <w:tr>
        <w:trPr>
          <w:trHeight w:val="224"/>
        </w:trPr>
        <w:tc>
          <w:tcPr>
            <w:tcW w:w="5120" w:type="dxa"/>
            <w:vAlign w:val="bottom"/>
          </w:tcPr>
          <w:p>
            <w:pPr>
              <w:jc w:val="center"/>
              <w:spacing w:after="0"/>
              <w:rPr>
                <w:sz w:val="20"/>
                <w:szCs w:val="20"/>
                <w:color w:val="auto"/>
              </w:rPr>
            </w:pPr>
            <w:r>
              <w:rPr>
                <w:rFonts w:ascii="Arial" w:cs="Arial" w:eastAsia="Arial" w:hAnsi="Arial"/>
                <w:sz w:val="18"/>
                <w:szCs w:val="18"/>
                <w:color w:val="auto"/>
                <w:w w:val="91"/>
              </w:rPr>
              <w:t>(Lubna S. Olayan)</w:t>
            </w:r>
          </w:p>
        </w:tc>
        <w:tc>
          <w:tcPr>
            <w:tcW w:w="3560" w:type="dxa"/>
            <w:vAlign w:val="bottom"/>
          </w:tcPr>
          <w:p>
            <w:pPr>
              <w:spacing w:after="0"/>
              <w:rPr>
                <w:sz w:val="19"/>
                <w:szCs w:val="19"/>
                <w:color w:val="auto"/>
              </w:rPr>
            </w:pPr>
          </w:p>
        </w:tc>
      </w:tr>
      <w:tr>
        <w:trPr>
          <w:trHeight w:val="43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Leo Rafael Reif</w:t>
            </w:r>
          </w:p>
        </w:tc>
        <w:tc>
          <w:tcPr>
            <w:tcW w:w="3560" w:type="dxa"/>
            <w:vAlign w:val="bottom"/>
          </w:tcPr>
          <w:p>
            <w:pPr>
              <w:ind w:left="2960"/>
              <w:spacing w:after="0"/>
              <w:rPr>
                <w:sz w:val="20"/>
                <w:szCs w:val="20"/>
                <w:color w:val="auto"/>
              </w:rPr>
            </w:pPr>
            <w:r>
              <w:rPr>
                <w:rFonts w:ascii="Arial" w:cs="Arial" w:eastAsia="Arial" w:hAnsi="Arial"/>
                <w:sz w:val="18"/>
                <w:szCs w:val="18"/>
                <w:color w:val="auto"/>
                <w:w w:val="91"/>
              </w:rPr>
              <w:t>Director</w:t>
            </w:r>
          </w:p>
        </w:tc>
      </w:tr>
      <w:tr>
        <w:trPr>
          <w:trHeight w:val="224"/>
        </w:trPr>
        <w:tc>
          <w:tcPr>
            <w:tcW w:w="5120" w:type="dxa"/>
            <w:vAlign w:val="bottom"/>
          </w:tcPr>
          <w:p>
            <w:pPr>
              <w:jc w:val="center"/>
              <w:spacing w:after="0"/>
              <w:rPr>
                <w:sz w:val="20"/>
                <w:szCs w:val="20"/>
                <w:color w:val="auto"/>
              </w:rPr>
            </w:pPr>
            <w:r>
              <w:rPr>
                <w:rFonts w:ascii="Arial" w:cs="Arial" w:eastAsia="Arial" w:hAnsi="Arial"/>
                <w:sz w:val="18"/>
                <w:szCs w:val="18"/>
                <w:color w:val="auto"/>
                <w:w w:val="92"/>
              </w:rPr>
              <w:t>(Leo Rafael Reif)</w:t>
            </w:r>
          </w:p>
        </w:tc>
        <w:tc>
          <w:tcPr>
            <w:tcW w:w="3560" w:type="dxa"/>
            <w:vAlign w:val="bottom"/>
          </w:tcPr>
          <w:p>
            <w:pPr>
              <w:spacing w:after="0"/>
              <w:rPr>
                <w:sz w:val="19"/>
                <w:szCs w:val="19"/>
                <w:color w:val="auto"/>
              </w:rPr>
            </w:pPr>
          </w:p>
        </w:tc>
      </w:tr>
      <w:tr>
        <w:trPr>
          <w:trHeight w:val="43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Tore I. Sandvold</w:t>
            </w:r>
          </w:p>
        </w:tc>
        <w:tc>
          <w:tcPr>
            <w:tcW w:w="3560" w:type="dxa"/>
            <w:vAlign w:val="bottom"/>
          </w:tcPr>
          <w:p>
            <w:pPr>
              <w:ind w:left="2960"/>
              <w:spacing w:after="0"/>
              <w:rPr>
                <w:sz w:val="20"/>
                <w:szCs w:val="20"/>
                <w:color w:val="auto"/>
              </w:rPr>
            </w:pPr>
            <w:r>
              <w:rPr>
                <w:rFonts w:ascii="Arial" w:cs="Arial" w:eastAsia="Arial" w:hAnsi="Arial"/>
                <w:sz w:val="18"/>
                <w:szCs w:val="18"/>
                <w:color w:val="auto"/>
                <w:w w:val="91"/>
              </w:rPr>
              <w:t>Director</w:t>
            </w:r>
          </w:p>
        </w:tc>
      </w:tr>
      <w:tr>
        <w:trPr>
          <w:trHeight w:val="224"/>
        </w:trPr>
        <w:tc>
          <w:tcPr>
            <w:tcW w:w="5120" w:type="dxa"/>
            <w:vAlign w:val="bottom"/>
          </w:tcPr>
          <w:p>
            <w:pPr>
              <w:jc w:val="center"/>
              <w:spacing w:after="0"/>
              <w:rPr>
                <w:sz w:val="20"/>
                <w:szCs w:val="20"/>
                <w:color w:val="auto"/>
              </w:rPr>
            </w:pPr>
            <w:r>
              <w:rPr>
                <w:rFonts w:ascii="Arial" w:cs="Arial" w:eastAsia="Arial" w:hAnsi="Arial"/>
                <w:sz w:val="18"/>
                <w:szCs w:val="18"/>
                <w:color w:val="auto"/>
                <w:w w:val="91"/>
              </w:rPr>
              <w:t>(Tore I. Sandvold)</w:t>
            </w:r>
          </w:p>
        </w:tc>
        <w:tc>
          <w:tcPr>
            <w:tcW w:w="3560" w:type="dxa"/>
            <w:vAlign w:val="bottom"/>
          </w:tcPr>
          <w:p>
            <w:pPr>
              <w:spacing w:after="0"/>
              <w:rPr>
                <w:sz w:val="19"/>
                <w:szCs w:val="19"/>
                <w:color w:val="auto"/>
              </w:rPr>
            </w:pPr>
          </w:p>
        </w:tc>
      </w:tr>
      <w:tr>
        <w:trPr>
          <w:trHeight w:val="43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Henri Seydoux</w:t>
            </w:r>
          </w:p>
        </w:tc>
        <w:tc>
          <w:tcPr>
            <w:tcW w:w="3560" w:type="dxa"/>
            <w:vAlign w:val="bottom"/>
          </w:tcPr>
          <w:p>
            <w:pPr>
              <w:ind w:left="2960"/>
              <w:spacing w:after="0"/>
              <w:rPr>
                <w:sz w:val="20"/>
                <w:szCs w:val="20"/>
                <w:color w:val="auto"/>
              </w:rPr>
            </w:pPr>
            <w:r>
              <w:rPr>
                <w:rFonts w:ascii="Arial" w:cs="Arial" w:eastAsia="Arial" w:hAnsi="Arial"/>
                <w:sz w:val="18"/>
                <w:szCs w:val="18"/>
                <w:color w:val="auto"/>
                <w:w w:val="91"/>
              </w:rPr>
              <w:t>Director</w:t>
            </w:r>
          </w:p>
        </w:tc>
      </w:tr>
      <w:tr>
        <w:trPr>
          <w:trHeight w:val="224"/>
        </w:trPr>
        <w:tc>
          <w:tcPr>
            <w:tcW w:w="5120" w:type="dxa"/>
            <w:vAlign w:val="bottom"/>
          </w:tcPr>
          <w:p>
            <w:pPr>
              <w:jc w:val="center"/>
              <w:spacing w:after="0"/>
              <w:rPr>
                <w:sz w:val="20"/>
                <w:szCs w:val="20"/>
                <w:color w:val="auto"/>
              </w:rPr>
            </w:pPr>
            <w:r>
              <w:rPr>
                <w:rFonts w:ascii="Arial" w:cs="Arial" w:eastAsia="Arial" w:hAnsi="Arial"/>
                <w:sz w:val="18"/>
                <w:szCs w:val="18"/>
                <w:color w:val="auto"/>
                <w:w w:val="92"/>
              </w:rPr>
              <w:t>(Henri Seydoux)</w:t>
            </w:r>
          </w:p>
        </w:tc>
        <w:tc>
          <w:tcPr>
            <w:tcW w:w="35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0219"/>
      </w:cols>
      <w:pgMar w:left="240" w:top="4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1)"/>
      <w:numFmt w:val="decimal"/>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1)"/>
      <w:numFmt w:val="decimal"/>
      <w:start w:val="1"/>
    </w:lvl>
  </w:abstractNum>
  <w:abstractNum w:abstractNumId="8">
    <w:nsid w:val="168E121F"/>
    <w:multiLevelType w:val="hybridMultilevel"/>
    <w:lvl w:ilvl="0">
      <w:lvlJc w:val="left"/>
      <w:lvlText w:val="(%1)"/>
      <w:numFmt w:val="decimal"/>
      <w:start w:val="6"/>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1)"/>
      <w:numFmt w:val="decimal"/>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1)"/>
      <w:numFmt w:val="decimal"/>
      <w:start w:val="4"/>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1)"/>
      <w:numFmt w:val="decimal"/>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71EA1109"/>
    <w:multiLevelType w:val="hybridMultilevel"/>
    <w:lvl w:ilvl="0">
      <w:lvlJc w:val="left"/>
      <w:lvlText w:val="(%1)"/>
      <w:numFmt w:val="decimal"/>
      <w:start w:val="2"/>
    </w:lvl>
    <w:lvl w:ilvl="1">
      <w:lvlJc w:val="left"/>
      <w:lvlText w:val="(%2)"/>
      <w:numFmt w:val="upperLetter"/>
      <w:start w:val="1"/>
    </w:lvl>
  </w:abstractNum>
  <w:abstractNum w:abstractNumId="31">
    <w:nsid w:val="100F59DC"/>
    <w:multiLevelType w:val="hybridMultilevel"/>
    <w:lvl w:ilvl="0">
      <w:lvlJc w:val="left"/>
      <w:lvlText w:val="(%1)"/>
      <w:numFmt w:val="decimal"/>
      <w:start w:val="5"/>
    </w:lvl>
  </w:abstractNum>
  <w:abstractNum w:abstractNumId="32">
    <w:nsid w:val="7FB7E0AA"/>
    <w:multiLevelType w:val="hybridMultilevel"/>
    <w:lvl w:ilvl="0">
      <w:lvlJc w:val="left"/>
      <w:lvlText w:val="%1"/>
      <w:numFmt w:val="lowerLetter"/>
      <w:start w:val="1"/>
    </w:lvl>
    <w:lvl w:ilvl="1">
      <w:lvlJc w:val="left"/>
      <w:lvlText w:val="(%2)"/>
      <w:numFmt w:val="lowerRoman"/>
      <w:start w:val="1"/>
    </w:lvl>
  </w:abstractNum>
  <w:abstractNum w:abstractNumId="33">
    <w:nsid w:val="6EB5BD4"/>
    <w:multiLevelType w:val="hybridMultilevel"/>
    <w:lvl w:ilvl="0">
      <w:lvlJc w:val="left"/>
      <w:lvlText w:val="(%1)"/>
      <w:numFmt w:val="lowerLetter"/>
      <w:start w:val="2"/>
    </w:lvl>
    <w:lvl w:ilvl="1">
      <w:lvlJc w:val="left"/>
      <w:lvlText w:val="%2"/>
      <w:numFmt w:val="lowerRoman"/>
      <w:start w:val="1"/>
    </w:lvl>
  </w:abstractNum>
  <w:abstractNum w:abstractNumId="34">
    <w:nsid w:val="6F6DD9AC"/>
    <w:multiLevelType w:val="hybridMultilevel"/>
    <w:lvl w:ilvl="0">
      <w:lvlJc w:val="left"/>
      <w:lvlText w:val="(%1)"/>
      <w:numFmt w:val="lowerLetter"/>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1)"/>
      <w:numFmt w:val="lowerLetter"/>
      <w:start w:val="1"/>
    </w:lvl>
  </w:abstractNum>
  <w:abstractNum w:abstractNumId="37">
    <w:nsid w:val="76272110"/>
    <w:multiLevelType w:val="hybridMultilevel"/>
    <w:lvl w:ilvl="0">
      <w:lvlJc w:val="left"/>
      <w:lvlText w:val="(%1)"/>
      <w:numFmt w:val="lowerRoman"/>
      <w:start w:val="2"/>
    </w:lvl>
  </w:abstractNum>
  <w:abstractNum w:abstractNumId="38">
    <w:nsid w:val="4C04A8AF"/>
    <w:multiLevelType w:val="hybridMultilevel"/>
    <w:lvl w:ilvl="0">
      <w:lvlJc w:val="left"/>
      <w:lvlText w:val="(%1)"/>
      <w:numFmt w:val="lowerLetter"/>
      <w:start w:val="1"/>
    </w:lvl>
  </w:abstractNum>
  <w:abstractNum w:abstractNumId="39">
    <w:nsid w:val="1716703B"/>
    <w:multiLevelType w:val="hybridMultilevel"/>
    <w:lvl w:ilvl="0">
      <w:lvlJc w:val="left"/>
      <w:lvlText w:val="(%1)"/>
      <w:numFmt w:val="lowerLetter"/>
      <w:start w:val="10"/>
    </w:lvl>
  </w:abstractNum>
  <w:abstractNum w:abstractNumId="40">
    <w:nsid w:val="14E17E33"/>
    <w:multiLevelType w:val="hybridMultilevel"/>
    <w:lvl w:ilvl="0">
      <w:lvlJc w:val="left"/>
      <w:lvlText w:val="(%1)"/>
      <w:numFmt w:val="lowerLetter"/>
      <w:start w:val="1"/>
    </w:lvl>
  </w:abstractNum>
  <w:abstractNum w:abstractNumId="41">
    <w:nsid w:val="3222E7CD"/>
    <w:multiLevelType w:val="hybridMultilevel"/>
    <w:lvl w:ilvl="0">
      <w:lvlJc w:val="left"/>
      <w:lvlText w:val="(%1)"/>
      <w:numFmt w:val="lowerLetter"/>
      <w:start w:val="1"/>
    </w:lvl>
  </w:abstractNum>
  <w:abstractNum w:abstractNumId="42">
    <w:nsid w:val="74DE0EE3"/>
    <w:multiLevelType w:val="hybridMultilevel"/>
    <w:lvl w:ilvl="0">
      <w:lvlJc w:val="left"/>
      <w:lvlText w:val="(%1)"/>
      <w:numFmt w:val="lowerLetter"/>
      <w:start w:val="8"/>
    </w:lvl>
  </w:abstractNum>
  <w:abstractNum w:abstractNumId="43">
    <w:nsid w:val="68EBC550"/>
    <w:multiLevelType w:val="hybridMultilevel"/>
    <w:lvl w:ilvl="0">
      <w:lvlJc w:val="left"/>
      <w:lvlText w:val="(%1)"/>
      <w:numFmt w:val="lowerLetter"/>
      <w:start w:val="1"/>
    </w:lvl>
    <w:lvl w:ilvl="1">
      <w:lvlJc w:val="left"/>
      <w:lvlText w:val="(%2)"/>
      <w:numFmt w:val="decimal"/>
      <w:start w:val="1"/>
    </w:lvl>
  </w:abstractNum>
  <w:abstractNum w:abstractNumId="44">
    <w:nsid w:val="2DF6D648"/>
    <w:multiLevelType w:val="hybridMultilevel"/>
    <w:lvl w:ilvl="0">
      <w:lvlJc w:val="left"/>
      <w:lvlText w:val="%1"/>
      <w:numFmt w:val="lowerLetter"/>
      <w:start w:val="1"/>
    </w:lvl>
    <w:lvl w:ilvl="1">
      <w:lvlJc w:val="left"/>
      <w:lvlText w:val="(%2)"/>
      <w:numFmt w:val="decimal"/>
      <w:start w:val="2"/>
    </w:lvl>
  </w:abstractNum>
  <w:abstractNum w:abstractNumId="45">
    <w:nsid w:val="46B7D447"/>
    <w:multiLevelType w:val="hybridMultilevel"/>
    <w:lvl w:ilvl="0">
      <w:lvlJc w:val="left"/>
      <w:lvlText w:val="(%1)"/>
      <w:numFmt w:val="lowerLetter"/>
      <w:start w:val="2"/>
    </w:lvl>
    <w:lvl w:ilvl="1">
      <w:lvlJc w:val="left"/>
      <w:lvlText w:val="%2"/>
      <w:numFmt w:val="decimal"/>
      <w:start w:val="1"/>
    </w:lvl>
  </w:abstractNum>
  <w:abstractNum w:abstractNumId="46">
    <w:nsid w:val="4A2AC315"/>
    <w:multiLevelType w:val="hybridMultilevel"/>
    <w:lvl w:ilvl="0">
      <w:lvlJc w:val="left"/>
      <w:lvlText w:val="(%1)"/>
      <w:numFmt w:val="lowerLetter"/>
      <w:start w:val="3"/>
    </w:lvl>
  </w:abstractNum>
  <w:abstractNum w:abstractNumId="47">
    <w:nsid w:val="39EE015C"/>
    <w:multiLevelType w:val="hybridMultilevel"/>
    <w:lvl w:ilvl="0">
      <w:lvlJc w:val="left"/>
      <w:lvlText w:val="(%1)"/>
      <w:numFmt w:val="lowerLetter"/>
      <w:start w:val="1"/>
    </w:lvl>
  </w:abstractNum>
  <w:abstractNum w:abstractNumId="48">
    <w:nsid w:val="57FC4FBB"/>
    <w:multiLevelType w:val="hybridMultilevel"/>
    <w:lvl w:ilvl="0">
      <w:lvlJc w:val="left"/>
      <w:lvlText w:val="(%1)"/>
      <w:numFmt w:val="lowerLetter"/>
      <w:start w:val="2"/>
    </w:lvl>
  </w:abstractNum>
  <w:abstractNum w:abstractNumId="49">
    <w:nsid w:val="CC1016F"/>
    <w:multiLevelType w:val="hybridMultilevel"/>
    <w:lvl w:ilvl="0">
      <w:lvlJc w:val="left"/>
      <w:lvlText w:val="(%1)"/>
      <w:numFmt w:val="lowerLetter"/>
      <w:start w:val="1"/>
    </w:lvl>
  </w:abstractNum>
  <w:abstractNum w:abstractNumId="50">
    <w:nsid w:val="43F18422"/>
    <w:multiLevelType w:val="hybridMultilevel"/>
    <w:lvl w:ilvl="0">
      <w:lvlJc w:val="left"/>
      <w:lvlText w:val="(%1)"/>
      <w:numFmt w:val="lowerLetter"/>
      <w:start w:val="5"/>
    </w:lvl>
    <w:lvl w:ilvl="1">
      <w:lvlJc w:val="left"/>
      <w:lvlText w:val="(%2)"/>
      <w:numFmt w:val="decimal"/>
      <w:start w:val="1"/>
    </w:lvl>
  </w:abstractNum>
  <w:abstractNum w:abstractNumId="51">
    <w:nsid w:val="60EF0119"/>
    <w:multiLevelType w:val="hybridMultilevel"/>
    <w:lvl w:ilvl="0">
      <w:lvlJc w:val="left"/>
      <w:lvlText w:val="(%1)"/>
      <w:numFmt w:val="lowerLetter"/>
      <w:start w:val="7"/>
    </w:lvl>
  </w:abstractNum>
  <w:abstractNum w:abstractNumId="52">
    <w:nsid w:val="26F324BA"/>
    <w:multiLevelType w:val="hybridMultilevel"/>
    <w:lvl w:ilvl="0">
      <w:lvlJc w:val="left"/>
      <w:lvlText w:val="(%1)"/>
      <w:numFmt w:val="lowerLetter"/>
      <w:start w:val="1"/>
    </w:lvl>
  </w:abstractNum>
  <w:abstractNum w:abstractNumId="53">
    <w:nsid w:val="7F01579B"/>
    <w:multiLevelType w:val="hybridMultilevel"/>
    <w:lvl w:ilvl="0">
      <w:lvlJc w:val="left"/>
      <w:lvlText w:val="(%1)"/>
      <w:numFmt w:val="lowerLetter"/>
      <w:start w:val="1"/>
    </w:lvl>
  </w:abstractNum>
  <w:abstractNum w:abstractNumId="54">
    <w:nsid w:val="49DA307D"/>
    <w:multiLevelType w:val="hybridMultilevel"/>
    <w:lvl w:ilvl="0">
      <w:lvlJc w:val="left"/>
      <w:lvlText w:val="(%1)"/>
      <w:numFmt w:val="lowerLetter"/>
      <w:start w:val="1"/>
    </w:lvl>
  </w:abstractNum>
  <w:abstractNum w:abstractNumId="55">
    <w:nsid w:val="7055A5F5"/>
    <w:multiLevelType w:val="hybridMultilevel"/>
    <w:lvl w:ilvl="0">
      <w:lvlJc w:val="left"/>
      <w:lvlText w:val="(%1)"/>
      <w:numFmt w:val="lowerLetter"/>
      <w:start w:val="1"/>
    </w:lvl>
  </w:abstractNum>
  <w:abstractNum w:abstractNumId="56">
    <w:nsid w:val="5FB8370B"/>
    <w:multiLevelType w:val="hybridMultilevel"/>
    <w:lvl w:ilvl="0">
      <w:lvlJc w:val="left"/>
      <w:lvlText w:val="(%1)"/>
      <w:numFmt w:val="lowerLetter"/>
      <w:start w:val="1"/>
    </w:lvl>
    <w:lvl w:ilvl="1">
      <w:lvlJc w:val="left"/>
      <w:lvlText w:val="(%2)"/>
      <w:numFmt w:val="decimal"/>
      <w:start w:val="1"/>
    </w:lvl>
  </w:abstractNum>
  <w:abstractNum w:abstractNumId="57">
    <w:nsid w:val="50801EE1"/>
    <w:multiLevelType w:val="hybridMultilevel"/>
    <w:lvl w:ilvl="0">
      <w:lvlJc w:val="left"/>
      <w:lvlText w:val="%1"/>
      <w:numFmt w:val="lowerLetter"/>
      <w:start w:val="1"/>
    </w:lvl>
    <w:lvl w:ilvl="1">
      <w:lvlJc w:val="left"/>
      <w:lvlText w:val="(%2)"/>
      <w:numFmt w:val="decimal"/>
      <w:start w:val="2"/>
    </w:lvl>
  </w:abstractNum>
  <w:abstractNum w:abstractNumId="58">
    <w:nsid w:val="488AC1A"/>
    <w:multiLevelType w:val="hybridMultilevel"/>
    <w:lvl w:ilvl="0">
      <w:lvlJc w:val="left"/>
      <w:lvlText w:val="(%1)"/>
      <w:numFmt w:val="lowerLetter"/>
      <w:start w:val="3"/>
    </w:lvl>
    <w:lvl w:ilvl="1">
      <w:lvlJc w:val="left"/>
      <w:lvlText w:val="(%2)"/>
      <w:numFmt w:val="decimal"/>
      <w:start w:val="1"/>
    </w:lvl>
  </w:abstractNum>
  <w:abstractNum w:abstractNumId="59">
    <w:nsid w:val="5FB8011C"/>
    <w:multiLevelType w:val="hybridMultilevel"/>
    <w:lvl w:ilvl="0">
      <w:lvlJc w:val="left"/>
      <w:lvlText w:val="(%1)"/>
      <w:numFmt w:val="lowerLetter"/>
      <w:start w:val="1"/>
    </w:lvl>
  </w:abstractNum>
  <w:abstractNum w:abstractNumId="60">
    <w:nsid w:val="6AA78F7F"/>
    <w:multiLevelType w:val="hybridMultilevel"/>
    <w:lvl w:ilvl="0">
      <w:lvlJc w:val="left"/>
      <w:lvlText w:val="(%1)"/>
      <w:numFmt w:val="lowerLetter"/>
      <w:start w:val="3"/>
    </w:lvl>
  </w:abstractNum>
  <w:abstractNum w:abstractNumId="61">
    <w:nsid w:val="7672BD23"/>
    <w:multiLevelType w:val="hybridMultilevel"/>
    <w:lvl w:ilvl="0">
      <w:lvlJc w:val="left"/>
      <w:lvlText w:val="(%1)"/>
      <w:numFmt w:val="lowerLetter"/>
      <w:start w:val="10"/>
    </w:lvl>
  </w:abstractNum>
  <w:abstractNum w:abstractNumId="62">
    <w:nsid w:val="6FC75AF8"/>
    <w:multiLevelType w:val="hybridMultilevel"/>
    <w:lvl w:ilvl="0">
      <w:lvlJc w:val="left"/>
      <w:lvlText w:val="(%1)"/>
      <w:numFmt w:val="lowerLetter"/>
      <w:start w:val="2"/>
    </w:lvl>
  </w:abstractNum>
  <w:abstractNum w:abstractNumId="63">
    <w:nsid w:val="6A5F702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64">
    <w:nsid w:val="7D5E18F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65">
    <w:nsid w:val="5F3534A4"/>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66">
    <w:nsid w:val="73A1821B"/>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67">
    <w:nsid w:val="7DE67713"/>
    <w:multiLevelType w:val="hybridMultilevel"/>
    <w:lvl w:ilvl="0">
      <w:lvlJc w:val="left"/>
      <w:lvlText w:val="(%1)"/>
      <w:numFmt w:val="lowerLetter"/>
      <w:start w:val="35"/>
    </w:lvl>
    <w:lvl w:ilvl="1">
      <w:lvlJc w:val="left"/>
      <w:lvlText w:val="(%2)"/>
      <w:numFmt w:val="decimal"/>
      <w:start w:val="2"/>
    </w:lvl>
    <w:lvl w:ilvl="2">
      <w:lvlJc w:val="left"/>
      <w:lvlText w:val="%3"/>
      <w:numFmt w:val="upperLetter"/>
      <w:start w:val="1"/>
    </w:lvl>
  </w:abstractNum>
  <w:abstractNum w:abstractNumId="68">
    <w:nsid w:val="555C55B5"/>
    <w:multiLevelType w:val="hybridMultilevel"/>
    <w:lvl w:ilvl="0">
      <w:lvlJc w:val="left"/>
      <w:lvlText w:val="(%1)"/>
      <w:numFmt w:val="decimal"/>
      <w:start w:val="5"/>
    </w:lvl>
  </w:abstractNum>
  <w:abstractNum w:abstractNumId="69">
    <w:nsid w:val="3FA62ACA"/>
    <w:multiLevelType w:val="hybridMultilevel"/>
    <w:lvl w:ilvl="0">
      <w:lvlJc w:val="left"/>
      <w:lvlText w:val="(%1)"/>
      <w:numFmt w:val="lowerLetter"/>
      <w:start w:val="3"/>
    </w:lvl>
    <w:lvl w:ilvl="1">
      <w:lvlJc w:val="left"/>
      <w:lvlText w:val="(%2)"/>
      <w:numFmt w:val="decimal"/>
      <w:start w:val="1"/>
    </w:lvl>
  </w:abstractNum>
  <w:abstractNum w:abstractNumId="70">
    <w:nsid w:val="14FCE74E"/>
    <w:multiLevelType w:val="hybridMultilevel"/>
    <w:lvl w:ilvl="0">
      <w:lvlJc w:val="left"/>
      <w:lvlText w:val="(%1)"/>
      <w:numFmt w:val="lowerLetter"/>
      <w:start w:val="4"/>
    </w:lvl>
  </w:abstractNum>
  <w:abstractNum w:abstractNumId="71">
    <w:nsid w:val="6A3DD3E8"/>
    <w:multiLevelType w:val="hybridMultilevel"/>
    <w:lvl w:ilvl="0">
      <w:lvlJc w:val="left"/>
      <w:lvlText w:val="(%1)"/>
      <w:numFmt w:val="decimal"/>
      <w:start w:val="1"/>
    </w:lvl>
  </w:abstractNum>
  <w:abstractNum w:abstractNumId="72">
    <w:nsid w:val="71C91298"/>
    <w:multiLevelType w:val="hybridMultilevel"/>
    <w:lvl w:ilvl="0">
      <w:lvlJc w:val="left"/>
      <w:lvlText w:val="(%1)"/>
      <w:numFmt w:val="decimal"/>
      <w:start w:val="8"/>
    </w:lvl>
  </w:abstractNum>
  <w:abstractNum w:abstractNumId="73">
    <w:nsid w:val="9DAF632"/>
    <w:multiLevelType w:val="hybridMultilevel"/>
    <w:lvl w:ilvl="0">
      <w:lvlJc w:val="left"/>
      <w:lvlText w:val="(%1)"/>
      <w:numFmt w:val="decimal"/>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1."/>
      <w:numFmt w:val="decimal"/>
      <w:start w:val="1"/>
    </w:lvl>
  </w:abstractNum>
  <w:abstractNum w:abstractNumId="79">
    <w:nsid w:val="288F1A34"/>
    <w:multiLevelType w:val="hybridMultilevel"/>
    <w:lvl w:ilvl="0">
      <w:lvlJc w:val="left"/>
      <w:lvlText w:val="%1."/>
      <w:numFmt w:val="decimal"/>
      <w:start w:val="1"/>
    </w:lvl>
  </w:abstractNum>
  <w:abstractNum w:abstractNumId="80">
    <w:nsid w:val="2A155DBC"/>
    <w:multiLevelType w:val="hybridMultilevel"/>
    <w:lvl w:ilvl="0">
      <w:lvlJc w:val="left"/>
      <w:lvlText w:val="%1."/>
      <w:numFmt w:val="decimal"/>
      <w:start w:val="4"/>
    </w:lvl>
  </w:abstractNum>
  <w:abstractNum w:abstractNumId="81">
    <w:nsid w:val="1D9F6E5F"/>
    <w:multiLevelType w:val="hybridMultilevel"/>
    <w:lvl w:ilvl="0">
      <w:lvlJc w:val="left"/>
      <w:lvlText w:val="(%1)"/>
      <w:numFmt w:val="lowerLetter"/>
      <w:start w:val="1"/>
    </w:lvl>
  </w:abstractNum>
  <w:abstractNum w:abstractNumId="82">
    <w:nsid w:val="97E1B4E"/>
    <w:multiLevelType w:val="hybridMultilevel"/>
    <w:lvl w:ilvl="0">
      <w:lvlJc w:val="left"/>
      <w:lvlText w:val="(%1)"/>
      <w:numFmt w:val="lowerLetter"/>
      <w:start w:val="1"/>
    </w:lvl>
  </w:abstractNum>
  <w:abstractNum w:abstractNumId="83">
    <w:nsid w:val="51088277"/>
    <w:multiLevelType w:val="hybridMultilevel"/>
    <w:lvl w:ilvl="0">
      <w:lvlJc w:val="left"/>
      <w:lvlText w:val="(%1)"/>
      <w:numFmt w:val="lowerRoman"/>
      <w:start w:val="2"/>
    </w:lvl>
  </w:abstractNum>
  <w:abstractNum w:abstractNumId="84">
    <w:nsid w:val="1CA0C5FA"/>
    <w:multiLevelType w:val="hybridMultilevel"/>
    <w:lvl w:ilvl="0">
      <w:lvlJc w:val="left"/>
      <w:lvlText w:val="(%1)"/>
      <w:numFmt w:val="lowerLetter"/>
      <w:start w:val="1"/>
    </w:lvl>
  </w:abstractNum>
  <w:abstractNum w:abstractNumId="85">
    <w:nsid w:val="53584BCB"/>
    <w:multiLevelType w:val="hybridMultilevel"/>
    <w:lvl w:ilvl="0">
      <w:lvlJc w:val="left"/>
      <w:lvlText w:val="(%1)"/>
      <w:numFmt w:val="lowerLetter"/>
      <w:start w:val="10"/>
    </w:lvl>
  </w:abstractNum>
  <w:abstractNum w:abstractNumId="86">
    <w:nsid w:val="415E286C"/>
    <w:multiLevelType w:val="hybridMultilevel"/>
    <w:lvl w:ilvl="0">
      <w:lvlJc w:val="left"/>
      <w:lvlText w:val="(%1)"/>
      <w:numFmt w:val="lowerLetter"/>
      <w:start w:val="1"/>
    </w:lvl>
  </w:abstractNum>
  <w:abstractNum w:abstractNumId="87">
    <w:nsid w:val="7C58FD05"/>
    <w:multiLevelType w:val="hybridMultilevel"/>
    <w:lvl w:ilvl="0">
      <w:lvlJc w:val="left"/>
      <w:lvlText w:val="(%1)"/>
      <w:numFmt w:val="lowerLetter"/>
      <w:start w:val="1"/>
    </w:lvl>
  </w:abstractNum>
  <w:abstractNum w:abstractNumId="88">
    <w:nsid w:val="23D86AAC"/>
    <w:multiLevelType w:val="hybridMultilevel"/>
    <w:lvl w:ilvl="0">
      <w:lvlJc w:val="left"/>
      <w:lvlText w:val="(%1)"/>
      <w:numFmt w:val="lowerLetter"/>
      <w:start w:val="8"/>
    </w:lvl>
  </w:abstractNum>
  <w:abstractNum w:abstractNumId="89">
    <w:nsid w:val="45E6D486"/>
    <w:multiLevelType w:val="hybridMultilevel"/>
    <w:lvl w:ilvl="0">
      <w:lvlJc w:val="left"/>
      <w:lvlText w:val="(%1)"/>
      <w:numFmt w:val="lowerLetter"/>
      <w:start w:val="1"/>
    </w:lvl>
    <w:lvl w:ilvl="1">
      <w:lvlJc w:val="left"/>
      <w:lvlText w:val="(%2)"/>
      <w:numFmt w:val="decimal"/>
      <w:start w:val="1"/>
    </w:lvl>
  </w:abstractNum>
  <w:abstractNum w:abstractNumId="90">
    <w:nsid w:val="5C10FE21"/>
    <w:multiLevelType w:val="hybridMultilevel"/>
    <w:lvl w:ilvl="0">
      <w:lvlJc w:val="left"/>
      <w:lvlText w:val="%1"/>
      <w:numFmt w:val="lowerLetter"/>
      <w:start w:val="1"/>
    </w:lvl>
    <w:lvl w:ilvl="1">
      <w:lvlJc w:val="left"/>
      <w:lvlText w:val="(%2)"/>
      <w:numFmt w:val="decimal"/>
      <w:start w:val="2"/>
    </w:lvl>
  </w:abstractNum>
  <w:abstractNum w:abstractNumId="91">
    <w:nsid w:val="E7FFA2B"/>
    <w:multiLevelType w:val="hybridMultilevel"/>
    <w:lvl w:ilvl="0">
      <w:lvlJc w:val="left"/>
      <w:lvlText w:val="(%1)"/>
      <w:numFmt w:val="lowerLetter"/>
      <w:start w:val="2"/>
    </w:lvl>
    <w:lvl w:ilvl="1">
      <w:lvlJc w:val="left"/>
      <w:lvlText w:val="%2"/>
      <w:numFmt w:val="decimal"/>
      <w:start w:val="1"/>
    </w:lvl>
  </w:abstractNum>
  <w:abstractNum w:abstractNumId="92">
    <w:nsid w:val="3C5991AA"/>
    <w:multiLevelType w:val="hybridMultilevel"/>
    <w:lvl w:ilvl="0">
      <w:lvlJc w:val="left"/>
      <w:lvlText w:val="(%1)"/>
      <w:numFmt w:val="lowerLetter"/>
      <w:start w:val="3"/>
    </w:lvl>
  </w:abstractNum>
  <w:abstractNum w:abstractNumId="93">
    <w:nsid w:val="4BD8591A"/>
    <w:multiLevelType w:val="hybridMultilevel"/>
    <w:lvl w:ilvl="0">
      <w:lvlJc w:val="left"/>
      <w:lvlText w:val="(%1)"/>
      <w:numFmt w:val="lowerLetter"/>
      <w:start w:val="1"/>
    </w:lvl>
  </w:abstractNum>
  <w:abstractNum w:abstractNumId="94">
    <w:nsid w:val="78DF6A55"/>
    <w:multiLevelType w:val="hybridMultilevel"/>
    <w:lvl w:ilvl="0">
      <w:lvlJc w:val="left"/>
      <w:lvlText w:val="(%1)"/>
      <w:numFmt w:val="lowerLetter"/>
      <w:start w:val="2"/>
    </w:lvl>
  </w:abstractNum>
  <w:abstractNum w:abstractNumId="95">
    <w:nsid w:val="39B7AAA2"/>
    <w:multiLevelType w:val="hybridMultilevel"/>
    <w:lvl w:ilvl="0">
      <w:lvlJc w:val="left"/>
      <w:lvlText w:val="(%1)"/>
      <w:numFmt w:val="lowerLetter"/>
      <w:start w:val="1"/>
    </w:lvl>
  </w:abstractNum>
  <w:abstractNum w:abstractNumId="96">
    <w:nsid w:val="2B0D8DBE"/>
    <w:multiLevelType w:val="hybridMultilevel"/>
    <w:lvl w:ilvl="0">
      <w:lvlJc w:val="left"/>
      <w:lvlText w:val="(%1)"/>
      <w:numFmt w:val="lowerLetter"/>
      <w:start w:val="5"/>
    </w:lvl>
    <w:lvl w:ilvl="1">
      <w:lvlJc w:val="left"/>
      <w:lvlText w:val="(%2)"/>
      <w:numFmt w:val="decimal"/>
      <w:start w:val="1"/>
    </w:lvl>
  </w:abstractNum>
  <w:abstractNum w:abstractNumId="97">
    <w:nsid w:val="6C80EC70"/>
    <w:multiLevelType w:val="hybridMultilevel"/>
    <w:lvl w:ilvl="0">
      <w:lvlJc w:val="left"/>
      <w:lvlText w:val="(%1)"/>
      <w:numFmt w:val="lowerLetter"/>
      <w:start w:val="7"/>
    </w:lvl>
  </w:abstractNum>
  <w:abstractNum w:abstractNumId="98">
    <w:nsid w:val="379E21B5"/>
    <w:multiLevelType w:val="hybridMultilevel"/>
    <w:lvl w:ilvl="0">
      <w:lvlJc w:val="left"/>
      <w:lvlText w:val="(%1)"/>
      <w:numFmt w:val="lowerLetter"/>
      <w:start w:val="1"/>
    </w:lvl>
  </w:abstractNum>
  <w:abstractNum w:abstractNumId="99">
    <w:nsid w:val="69E373"/>
    <w:multiLevelType w:val="hybridMultilevel"/>
    <w:lvl w:ilvl="0">
      <w:lvlJc w:val="left"/>
      <w:lvlText w:val="(%1)"/>
      <w:numFmt w:val="lowerLetter"/>
      <w:start w:val="1"/>
    </w:lvl>
  </w:abstractNum>
  <w:abstractNum w:abstractNumId="100">
    <w:nsid w:val="2C27173B"/>
    <w:multiLevelType w:val="hybridMultilevel"/>
    <w:lvl w:ilvl="0">
      <w:lvlJc w:val="left"/>
      <w:lvlText w:val="(%1)"/>
      <w:numFmt w:val="lowerLetter"/>
      <w:start w:val="1"/>
    </w:lvl>
  </w:abstractNum>
  <w:abstractNum w:abstractNumId="101">
    <w:nsid w:val="4C9B0904"/>
    <w:multiLevelType w:val="hybridMultilevel"/>
    <w:lvl w:ilvl="0">
      <w:lvlJc w:val="left"/>
      <w:lvlText w:val="(%1)"/>
      <w:numFmt w:val="lowerLetter"/>
      <w:start w:val="1"/>
    </w:lvl>
  </w:abstractNum>
  <w:abstractNum w:abstractNumId="102">
    <w:nsid w:val="6AA7B75C"/>
    <w:multiLevelType w:val="hybridMultilevel"/>
    <w:lvl w:ilvl="0">
      <w:lvlJc w:val="left"/>
      <w:lvlText w:val="(%1)"/>
      <w:numFmt w:val="lowerLetter"/>
      <w:start w:val="1"/>
    </w:lvl>
    <w:lvl w:ilvl="1">
      <w:lvlJc w:val="left"/>
      <w:lvlText w:val="(%2)"/>
      <w:numFmt w:val="decimal"/>
      <w:start w:val="1"/>
    </w:lvl>
  </w:abstractNum>
  <w:abstractNum w:abstractNumId="103">
    <w:nsid w:val="1DF029D3"/>
    <w:multiLevelType w:val="hybridMultilevel"/>
    <w:lvl w:ilvl="0">
      <w:lvlJc w:val="left"/>
      <w:lvlText w:val="%1"/>
      <w:numFmt w:val="lowerLetter"/>
      <w:start w:val="1"/>
    </w:lvl>
    <w:lvl w:ilvl="1">
      <w:lvlJc w:val="left"/>
      <w:lvlText w:val="(%2)"/>
      <w:numFmt w:val="decimal"/>
      <w:start w:val="2"/>
    </w:lvl>
  </w:abstractNum>
  <w:abstractNum w:abstractNumId="104">
    <w:nsid w:val="5675FF36"/>
    <w:multiLevelType w:val="hybridMultilevel"/>
    <w:lvl w:ilvl="0">
      <w:lvlJc w:val="left"/>
      <w:lvlText w:val="(%1)"/>
      <w:numFmt w:val="lowerLetter"/>
      <w:start w:val="3"/>
    </w:lvl>
    <w:lvl w:ilvl="1">
      <w:lvlJc w:val="left"/>
      <w:lvlText w:val="(%2)"/>
      <w:numFmt w:val="decimal"/>
      <w:start w:val="1"/>
    </w:lvl>
  </w:abstractNum>
  <w:abstractNum w:abstractNumId="105">
    <w:nsid w:val="3DD15094"/>
    <w:multiLevelType w:val="hybridMultilevel"/>
    <w:lvl w:ilvl="0">
      <w:lvlJc w:val="left"/>
      <w:lvlText w:val="(%1)"/>
      <w:numFmt w:val="lowerLetter"/>
      <w:start w:val="1"/>
    </w:lvl>
  </w:abstractNum>
  <w:abstractNum w:abstractNumId="106">
    <w:nsid w:val="3DB012B3"/>
    <w:multiLevelType w:val="hybridMultilevel"/>
    <w:lvl w:ilvl="0">
      <w:lvlJc w:val="left"/>
      <w:lvlText w:val="(%1)"/>
      <w:numFmt w:val="lowerLetter"/>
      <w:start w:val="3"/>
    </w:lvl>
  </w:abstractNum>
  <w:abstractNum w:abstractNumId="107">
    <w:nsid w:val="2708C9AF"/>
    <w:multiLevelType w:val="hybridMultilevel"/>
    <w:lvl w:ilvl="0">
      <w:lvlJc w:val="left"/>
      <w:lvlText w:val="(%1)"/>
      <w:numFmt w:val="lowerLetter"/>
      <w:start w:val="10"/>
    </w:lvl>
  </w:abstractNum>
  <w:abstractNum w:abstractNumId="108">
    <w:nsid w:val="5B25ACE2"/>
    <w:multiLevelType w:val="hybridMultilevel"/>
    <w:lvl w:ilvl="0">
      <w:lvlJc w:val="left"/>
      <w:lvlText w:val="(%1)"/>
      <w:numFmt w:val="lowerLetter"/>
      <w:start w:val="2"/>
    </w:lvl>
  </w:abstractNum>
  <w:abstractNum w:abstractNumId="109">
    <w:nsid w:val="175DFCF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10">
    <w:nsid w:val="4F97E3E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upperLetter"/>
      <w:start w:val="3"/>
    </w:lvl>
  </w:abstractNum>
  <w:abstractNum w:abstractNumId="111">
    <w:nsid w:val="53B0A9E"/>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4"/>
      <w:numFmt w:val="upperLetter"/>
      <w:start w:val="1"/>
    </w:lvl>
  </w:abstractNum>
  <w:abstractNum w:abstractNumId="112">
    <w:nsid w:val="34FD6B4F"/>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upperLetter"/>
      <w:start w:val="1"/>
    </w:lvl>
  </w:abstractNum>
  <w:abstractNum w:abstractNumId="113">
    <w:nsid w:val="5915FF32"/>
    <w:multiLevelType w:val="hybridMultilevel"/>
    <w:lvl w:ilvl="0">
      <w:lvlJc w:val="left"/>
      <w:lvlText w:val="(%1)"/>
      <w:numFmt w:val="lowerLetter"/>
      <w:start w:val="35"/>
    </w:lvl>
    <w:lvl w:ilvl="1">
      <w:lvlJc w:val="left"/>
      <w:lvlText w:val="(%2)"/>
      <w:numFmt w:val="decimal"/>
      <w:start w:val="2"/>
    </w:lvl>
    <w:lvl w:ilvl="2">
      <w:lvlJc w:val="left"/>
      <w:lvlText w:val="%3"/>
      <w:numFmt w:val="decimal"/>
      <w:start w:val="1"/>
    </w:lvl>
    <w:lvl w:ilvl="3">
      <w:lvlJc w:val="left"/>
      <w:lvlText w:val="%4"/>
      <w:numFmt w:val="upperLetter"/>
      <w:start w:val="1"/>
    </w:lvl>
  </w:abstractNum>
  <w:abstractNum w:abstractNumId="114">
    <w:nsid w:val="56438D15"/>
    <w:multiLevelType w:val="hybridMultilevel"/>
    <w:lvl w:ilvl="0">
      <w:lvlJc w:val="left"/>
      <w:lvlText w:val="(%1)"/>
      <w:numFmt w:val="decimal"/>
      <w:start w:val="5"/>
    </w:lvl>
  </w:abstractNum>
  <w:abstractNum w:abstractNumId="115">
    <w:nsid w:val="519E3149"/>
    <w:multiLevelType w:val="hybridMultilevel"/>
    <w:lvl w:ilvl="0">
      <w:lvlJc w:val="left"/>
      <w:lvlText w:val="(%1)"/>
      <w:numFmt w:val="lowerLetter"/>
      <w:start w:val="3"/>
    </w:lvl>
    <w:lvl w:ilvl="1">
      <w:lvlJc w:val="left"/>
      <w:lvlText w:val="(%2)"/>
      <w:numFmt w:val="decimal"/>
      <w:start w:val="1"/>
    </w:lvl>
  </w:abstractNum>
  <w:abstractNum w:abstractNumId="116">
    <w:nsid w:val="2C6E4AFD"/>
    <w:multiLevelType w:val="hybridMultilevel"/>
    <w:lvl w:ilvl="0">
      <w:lvlJc w:val="left"/>
      <w:lvlText w:val="(%1)"/>
      <w:numFmt w:val="lowerLetter"/>
      <w:start w:val="4"/>
    </w:lvl>
  </w:abstractNum>
  <w:abstractNum w:abstractNumId="117">
    <w:nsid w:val="17A1B582"/>
    <w:multiLevelType w:val="hybridMultilevel"/>
    <w:lvl w:ilvl="0">
      <w:lvlJc w:val="left"/>
      <w:lvlText w:val="(%1)"/>
      <w:numFmt w:val="decimal"/>
      <w:start w:val="1"/>
    </w:lvl>
  </w:abstractNum>
  <w:abstractNum w:abstractNumId="118">
    <w:nsid w:val="4DF72E4E"/>
    <w:multiLevelType w:val="hybridMultilevel"/>
    <w:lvl w:ilvl="0">
      <w:lvlJc w:val="left"/>
      <w:lvlText w:val="(%1)"/>
      <w:numFmt w:val="decimal"/>
      <w:start w:val="8"/>
    </w:lvl>
  </w:abstractNum>
  <w:abstractNum w:abstractNumId="119">
    <w:nsid w:val="5046B5A9"/>
    <w:multiLevelType w:val="hybridMultilevel"/>
    <w:lvl w:ilvl="0">
      <w:lvlJc w:val="left"/>
      <w:lvlText w:val="(%1)"/>
      <w:numFmt w:val="decimal"/>
      <w:start w:val="1"/>
    </w:lvl>
  </w:abstractNum>
  <w:abstractNum w:abstractNumId="120">
    <w:nsid w:val="5D888A08"/>
    <w:multiLevelType w:val="hybridMultilevel"/>
    <w:lvl w:ilvl="0">
      <w:lvlJc w:val="left"/>
      <w:lvlText w:val="["/>
      <w:numFmt w:val="bullet"/>
      <w:start w:val="1"/>
    </w:lvl>
  </w:abstractNum>
  <w:abstractNum w:abstractNumId="121">
    <w:nsid w:val="2A082C70"/>
    <w:multiLevelType w:val="hybridMultilevel"/>
    <w:lvl w:ilvl="0">
      <w:lvlJc w:val="left"/>
      <w:lvlText w:val="["/>
      <w:numFmt w:val="bullet"/>
      <w:start w:val="1"/>
    </w:lvl>
  </w:abstractNum>
  <w:abstractNum w:abstractNumId="122">
    <w:nsid w:val="5EC6AFD4"/>
    <w:multiLevelType w:val="hybridMultilevel"/>
    <w:lvl w:ilvl="0">
      <w:lvlJc w:val="left"/>
      <w:lvlText w:val="["/>
      <w:numFmt w:val="bullet"/>
      <w:start w:val="1"/>
    </w:lvl>
  </w:abstractNum>
  <w:abstractNum w:abstractNumId="123">
    <w:nsid w:val="19E21BB2"/>
    <w:multiLevelType w:val="hybridMultilevel"/>
    <w:lvl w:ilvl="0">
      <w:lvlJc w:val="left"/>
      <w:lvlText w:val="["/>
      <w:numFmt w:val="bullet"/>
      <w:start w:val="1"/>
    </w:lvl>
  </w:abstractNum>
  <w:abstractNum w:abstractNumId="124">
    <w:nsid w:val="75E0858A"/>
    <w:multiLevelType w:val="hybridMultilevel"/>
    <w:lvl w:ilvl="0">
      <w:lvlJc w:val="left"/>
      <w:lvlText w:val="%1."/>
      <w:numFmt w:val="decimal"/>
      <w:start w:val="1"/>
    </w:lvl>
  </w:abstractNum>
  <w:abstractNum w:abstractNumId="125">
    <w:nsid w:val="57A61A29"/>
    <w:multiLevelType w:val="hybridMultilevel"/>
    <w:lvl w:ilvl="0">
      <w:lvlJc w:val="left"/>
      <w:lvlText w:val="%1."/>
      <w:numFmt w:val="decimal"/>
      <w:start w:val="1"/>
    </w:lvl>
  </w:abstractNum>
  <w:abstractNum w:abstractNumId="126">
    <w:nsid w:val="5399C654"/>
    <w:multiLevelType w:val="hybridMultilevel"/>
    <w:lvl w:ilvl="0">
      <w:lvlJc w:val="left"/>
      <w:lvlText w:val="%1."/>
      <w:numFmt w:val="decimal"/>
      <w:start w:val="4"/>
    </w:lvl>
  </w:abstractNum>
  <w:abstractNum w:abstractNumId="127">
    <w:nsid w:val="20EE1348"/>
    <w:multiLevelType w:val="hybridMultilevel"/>
    <w:lvl w:ilvl="0">
      <w:lvlJc w:val="left"/>
      <w:lvlText w:val="(%1)"/>
      <w:numFmt w:val="lowerLetter"/>
      <w:start w:val="1"/>
    </w:lvl>
  </w:abstractNum>
  <w:abstractNum w:abstractNumId="128">
    <w:nsid w:val="4427069A"/>
    <w:multiLevelType w:val="hybridMultilevel"/>
    <w:lvl w:ilvl="0">
      <w:lvlJc w:val="left"/>
      <w:lvlText w:val="(%1)"/>
      <w:numFmt w:val="lowerRoman"/>
      <w:start w:val="1"/>
    </w:lvl>
  </w:abstractNum>
  <w:abstractNum w:abstractNumId="129">
    <w:nsid w:val="B37E80A"/>
    <w:multiLevelType w:val="hybridMultilevel"/>
    <w:lvl w:ilvl="0">
      <w:lvlJc w:val="left"/>
      <w:lvlText w:val="(%1)"/>
      <w:numFmt w:val="lowerLetter"/>
      <w:start w:val="1"/>
    </w:lvl>
  </w:abstractNum>
  <w:abstractNum w:abstractNumId="130">
    <w:nsid w:val="2157F6BC"/>
    <w:multiLevelType w:val="hybridMultilevel"/>
    <w:lvl w:ilvl="0">
      <w:lvlJc w:val="left"/>
      <w:lvlText w:val="(%1)"/>
      <w:numFmt w:val="lowerRoman"/>
      <w:start w:val="1"/>
    </w:lvl>
  </w:abstractNum>
  <w:abstractNum w:abstractNumId="131">
    <w:nsid w:val="704E1DD5"/>
    <w:multiLevelType w:val="hybridMultilevel"/>
    <w:lvl w:ilvl="0">
      <w:lvlJc w:val="left"/>
      <w:lvlText w:val="(%1)"/>
      <w:numFmt w:val="lowerRoman"/>
      <w:start w:val="1"/>
    </w:lvl>
  </w:abstractNum>
  <w:abstractNum w:abstractNumId="132">
    <w:nsid w:val="57D2F10E"/>
    <w:multiLevelType w:val="hybridMultilevel"/>
    <w:lvl w:ilvl="0">
      <w:lvlJc w:val="left"/>
      <w:lvlText w:val="%1."/>
      <w:numFmt w:val="decimal"/>
      <w:start w:val="1"/>
    </w:lvl>
    <w:lvl w:ilvl="1">
      <w:lvlJc w:val="left"/>
      <w:lvlText w:val="%2."/>
      <w:numFmt w:val="lowerLetter"/>
      <w:start w:val="1"/>
    </w:lvl>
  </w:abstractNum>
  <w:abstractNum w:abstractNumId="133">
    <w:nsid w:val="BFFAE18"/>
    <w:multiLevelType w:val="hybridMultilevel"/>
    <w:lvl w:ilvl="0">
      <w:lvlJc w:val="left"/>
      <w:lvlText w:val="%1."/>
      <w:numFmt w:val="decimal"/>
      <w:start w:val="2"/>
    </w:lvl>
    <w:lvl w:ilvl="1">
      <w:lvlJc w:val="left"/>
      <w:lvlText w:val="%2."/>
      <w:numFmt w:val="lowerLetter"/>
      <w:start w:val="1"/>
    </w:lvl>
  </w:abstractNum>
  <w:abstractNum w:abstractNumId="134">
    <w:nsid w:val="E3E47A8"/>
    <w:multiLevelType w:val="hybridMultilevel"/>
    <w:lvl w:ilvl="0">
      <w:lvlJc w:val="left"/>
      <w:lvlText w:val="(%1)"/>
      <w:numFmt w:val="lowerRoman"/>
      <w:start w:val="1"/>
    </w:lvl>
    <w:lvl w:ilvl="1">
      <w:lvlJc w:val="left"/>
      <w:lvlText w:val="%2."/>
      <w:numFmt w:val="upperLetter"/>
      <w:start w:val="3"/>
    </w:lvl>
  </w:abstractNum>
  <w:abstractNum w:abstractNumId="135">
    <w:nsid w:val="2E48F044"/>
    <w:multiLevelType w:val="hybridMultilevel"/>
    <w:lvl w:ilvl="0">
      <w:lvlJc w:val="left"/>
      <w:lvlText w:val="%1"/>
      <w:numFmt w:val="lowerRoman"/>
      <w:start w:val="1"/>
    </w:lvl>
    <w:lvl w:ilvl="1">
      <w:lvlJc w:val="left"/>
      <w:lvlText w:val="%2."/>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2019-12-05T14:26:50Z</dcterms:created>
  <dcterms:modified xsi:type="dcterms:W3CDTF">2019-12-05T14:26:50Z</dcterms:modified>
</cp:coreProperties>
</file>