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April 21, 2005, Schlumberger Limited (Schlumberger N.V.), a Netherlands Antilles corporation (“Schlumberger”), entered into its standard form of director indemnification agreement (which Schlumberger enters into with all of its directors) with Michael E. Marks and Rana Talwar, each of whom was elected to the Board of Directors at Schlumberger’s 2005 Annual General Meeting of Stockholders held on April 13, 2005.</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terms of the indemnification agreement, Schlumberger has agreed to indemnify each indemnitee against any and all expenses to the fullest extent permitted by the law if the indemnitee was, is, becomes or is threatened to be made a party to or witness or other participant in a claim by reason of (or arising in part out of) the indemnitee’s service as a director, officer, partner, employee, trustee, agent or fiduciary of Schlumberger or any of its subsidiaries or the indemnitee’s service at the request of Schlumberger in any such capacity with any other enterprise. The agreements also provide for, among other things, the advancement of expenses relating to the indemnification obligations and the maintenance of directors’ and officers’ liability insurance covering the indemnitee.</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copy of Schlumberger’s standard form of indemnification agreement has been included as Exhibit 10.1 to this Current Report on Form 8-K and is incorporated by reference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21, 2005, the Board of Directors of Schlumberger amended and restated Schlumberger’s bylaws to:</w:t>
      </w:r>
    </w:p>
    <w:p>
      <w:pPr>
        <w:spacing w:after="0" w:line="77" w:lineRule="exact"/>
        <w:rPr>
          <w:sz w:val="20"/>
          <w:szCs w:val="20"/>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conform the bylaws to recent changes to Schlumberger’s Articles of Incorporation that were approved by Schlumberger’s stockholders at the 2005 Annual General Meeting of Stockholders held on April 13, 2005;</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the general powers of the Board of Directors and officers of Schlumberger;</w:t>
      </w:r>
    </w:p>
    <w:p>
      <w:pPr>
        <w:spacing w:after="0" w:line="103"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the appointment of a technology committee of the Board of Directors and a chief financial officer for Schlumberger, both of which are consistent with current practice;</w:t>
      </w:r>
    </w:p>
    <w:p>
      <w:pPr>
        <w:spacing w:after="0" w:line="37"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for mandatory indemnification of current and former directors and officers against expenses, judgments, fines and amounts paid in settlement that are actually and reasonably incurred by such persons in connection with various actions, suits and proceedings if such persons acted in good faith and in a manner they reasonably believed to be in or not opposed to the best interests of Schlumberger, and, with respect to any criminal action or proceeding, had no reasonable cause to believe that their conduct was unlawful (this provision is consistent with the charter and bylaw provisions of many domestic U.S. corporations);</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empower the Chief Executive Officer to authorize Schlumberger to indemnify employees and agents subject to the same conditions set out above;</w:t>
      </w:r>
    </w:p>
    <w:p>
      <w:pPr>
        <w:spacing w:after="0" w:line="126" w:lineRule="exact"/>
        <w:rPr>
          <w:rFonts w:ascii="Arial" w:cs="Arial" w:eastAsia="Arial" w:hAnsi="Arial"/>
          <w:sz w:val="16"/>
          <w:szCs w:val="16"/>
          <w:color w:val="auto"/>
        </w:rPr>
      </w:pPr>
    </w:p>
    <w:p>
      <w:pPr>
        <w:ind w:left="900" w:right="42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establish that directors may rely in good faith on the records of Schlumberger and on information, opinions, reports or statements presented to Schlumberger by Schlumberger’s officers, employees and certain other persons as to matters the directors reasonably believe are within such persons’ professional or expert competence and who have been selected with reasonable care by or on behalf of Schlumberger (this provision is consistent with statutory provisions that exist in Delaware and many U.S. states); and</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the readability and clarify certain provision of the former bylaws.</w:t>
      </w:r>
    </w:p>
    <w:p>
      <w:pPr>
        <w:sectPr>
          <w:pgSz w:w="11900" w:h="16838" w:orient="portrait"/>
          <w:cols w:equalWidth="0" w:num="1">
            <w:col w:w="11420"/>
          </w:cols>
          <w:pgMar w:left="240" w:top="422" w:right="239" w:bottom="1440" w:gutter="0" w:footer="0" w:header="0"/>
        </w:sectPr>
      </w:pPr>
    </w:p>
    <w:bookmarkStart w:id="2" w:name="page3"/>
    <w:bookmarkEnd w:id="2"/>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amended and restated bylaws became effective immediately upon their adoption by the Board of Directors. A copy of the amended and restated bylaws has been included as Exhibit 3.1 to this Current Report on Form 8-K and is incorporated by reference herein. A copy of the amended and restated bylaws marked to show changes to the former bylaws has been included as Exhibit 3.2 to this Current Report on Form 8-K and is incorporated by reference herein.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Schlumberger Limited (Schlumberger N.V.).</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Schlumberger Limited (Schlumberger N.V.) marked to show changes to the former bylaws.</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Indemnification Agreement.</w:t>
      </w:r>
    </w:p>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573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2005</w:t>
      </w:r>
    </w:p>
    <w:p>
      <w:pPr>
        <w:sectPr>
          <w:pgSz w:w="11900" w:h="16838" w:orient="portrait"/>
          <w:cols w:equalWidth="0" w:num="1">
            <w:col w:w="11400"/>
          </w:cols>
          <w:pgMar w:left="240" w:top="422"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140" w:right="1540"/>
        <w:spacing w:after="0" w:line="332" w:lineRule="auto"/>
        <w:rPr>
          <w:sz w:val="20"/>
          <w:szCs w:val="20"/>
          <w:color w:val="auto"/>
        </w:rPr>
      </w:pPr>
      <w:r>
        <w:rPr>
          <w:rFonts w:ascii="Arial" w:cs="Arial" w:eastAsia="Arial" w:hAnsi="Arial"/>
          <w:sz w:val="16"/>
          <w:szCs w:val="16"/>
          <w:color w:val="auto"/>
        </w:rPr>
        <w:t>(Certain provisions of the By-Laws correspond to provisions contained in the Articles of Incorporation as amended, and any amendment of such provisions of the By-Laws is subject to an appropriate amendment of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119380</wp:posOffset>
            </wp:positionV>
            <wp:extent cx="1243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Chairmanship of Meetings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general meetings of stockholders shall be held in Curaçao or anywhere else in the Netherlands Antilles. All such general meetings shall be presided over by the Chairman or, in his absence or disability, by the Vice Chairman. In the absence or disability of both the Chairman and the Vice Chairman, such meetings shall be presided over by such other person as may be designated by 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annual general meeting of stockholders shall be held within the period required by applicable law, on a date determined from year to year by the Board of Directors,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Special general meetings of stockholders may be called at any time upon the direction of the Chairman, the Vice Chairman, the Chief Executive Officer, the President or the Board of Directors or in the manner provided in Article 2:129 of the Civil Code of the Netherlands Antilles, or by one or more holders of shares meeting the requirements of Article 11.3 of the Articles of Incorporation.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Notice of Meeting</w:t>
      </w:r>
    </w:p>
    <w:p>
      <w:pPr>
        <w:spacing w:after="0" w:line="8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All notices of general meetings of stockholders shall state the matters to be considered at the meeting. Notice of meetings of stockholders, whether annual general meetings or special general meetings, stating the time and place of the meeting, shall be given to the stockholders not less than 20 and no more than 60 days prior to the date of the meeting in question by notice to each stockholder at the address thereof appearing in the share register.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of Directors may fix in advance a date as the record date for any such determination of stockholders, such date in any case to be not more than 60 days and, in case of a general meeting of stockholders, not less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u w:val="single" w:color="auto"/>
          <w:color w:val="auto"/>
        </w:rPr>
        <w:t>Quorum</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is present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u w:val="single" w:color="auto"/>
          <w:color w:val="auto"/>
        </w:rPr>
        <w:t>Buy Out</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the Netherlands Antillles.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b w:val="1"/>
          <w:bCs w:val="1"/>
          <w:u w:val="single" w:color="auto"/>
          <w:color w:val="auto"/>
        </w:rPr>
        <w:t>Notices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overall management of all the affairs, property and business of the Company, including the supervision of the officers of the Company who shall manage the daily course of affairs of the Company, shall be vested in a Board of Directors who shall have and may exercise all powers except such as are exclusively conferred upon stockholders by law or by the Articles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Number, Tenure and Qualifications</w:t>
      </w:r>
    </w:p>
    <w:p>
      <w:pPr>
        <w:spacing w:after="0" w:line="8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directors shall be elected at the annual general meeting of stockholders by a majority of the votes cast, in person or by proxy, by the stockholders entitled to vote. The Board of Directors are authorized to appoint directors to fill any vacancies on the Board of Directors, any such appointment to be effective until the next general meeting of the stockholders. The number of persons constituting the whole Board of Directors shall not be less than five nor more than twenty-four as fixed and elected by the general meeting of stockholders. The number of persons constituting the whole Board of Directors shall, until changed at any succeeding general meeting of stockholders</w:t>
      </w:r>
      <w:r>
        <w:rPr>
          <w:rFonts w:ascii="Arial" w:cs="Arial" w:eastAsia="Arial" w:hAnsi="Arial"/>
          <w:sz w:val="20"/>
          <w:szCs w:val="20"/>
          <w:color w:val="auto"/>
          <w:vertAlign w:val="subscript"/>
        </w:rPr>
        <w:t>,</w:t>
      </w:r>
      <w:r>
        <w:rPr>
          <w:rFonts w:ascii="Arial" w:cs="Arial" w:eastAsia="Arial" w:hAnsi="Arial"/>
          <w:sz w:val="16"/>
          <w:szCs w:val="16"/>
          <w:color w:val="auto"/>
        </w:rPr>
        <w:t xml:space="preserve"> be the number so fixed and elected. 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 Each director shall be elected to serve until the next annual general meeting of stockholders and until his or her successor shall be elected and qualified or until his or her death, resignation or removal. Directors need not be citizens or residents of the Netherlands Antilles or stockholders of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Meetings of the Board</w:t>
      </w:r>
    </w:p>
    <w:p>
      <w:pPr>
        <w:spacing w:after="0" w:line="8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directors may hold their meetings in or outside the Netherlands Antilles.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Chairman, the Vice Chairman shall preside at their meetings. In the absence or disability of both the Chairman and the Vice Chairman, such meetings shall be presided over by such person as may be chosen by the Board of Directors. Regular meetings of the Board 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 The first meeting of the Board of Directors following the annual general meeting of stockholders, whether a regular or special meeting of the Board, shall be an organization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u w:val="single" w:color="auto"/>
          <w:color w:val="auto"/>
        </w:rPr>
        <w:t>Action by Directors Without Meeting</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When action by the Board of Directors is required or permitted to be taken, action at a meeting may be dispensed with if all commercially reasonable efforts have been taken to notify all the directors and if three fourths of the directors shall consent in writing, by telegram, telefax, electronic mail or other communication device to such action taken or being taken, and provided that all directors are promptly notified of such action taken or having been taken.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Quorum</w:t>
      </w:r>
    </w:p>
    <w:p>
      <w:pPr>
        <w:spacing w:after="0" w:line="83"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Vacancies</w:t>
      </w:r>
    </w:p>
    <w:p>
      <w:pPr>
        <w:spacing w:after="0" w:line="8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u w:val="single" w:color="auto"/>
          <w:color w:val="auto"/>
        </w:rPr>
        <w:t>Committees</w:t>
      </w:r>
    </w:p>
    <w:p>
      <w:pPr>
        <w:spacing w:after="0" w:line="83" w:lineRule="exact"/>
        <w:rPr>
          <w:sz w:val="20"/>
          <w:szCs w:val="20"/>
          <w:color w:val="auto"/>
        </w:rPr>
      </w:pPr>
    </w:p>
    <w:p>
      <w:pPr>
        <w:ind w:firstLine="8"/>
        <w:spacing w:after="0" w:line="288"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telegram,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106"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shall have power at any time to change the members of any committee, to fill vacancies thereon, and to discharge any committee.</w:t>
      </w:r>
    </w:p>
    <w:p>
      <w:pPr>
        <w:spacing w:after="0" w:line="180" w:lineRule="exact"/>
        <w:rPr>
          <w:rFonts w:ascii="Arial" w:cs="Arial" w:eastAsia="Arial" w:hAnsi="Arial"/>
          <w:sz w:val="16"/>
          <w:szCs w:val="16"/>
          <w:color w:val="auto"/>
        </w:rPr>
      </w:pPr>
    </w:p>
    <w:p>
      <w:pPr>
        <w:ind w:right="120" w:firstLine="8"/>
        <w:spacing w:after="0" w:line="268"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shall have a standing Audit Committee, Compensation Committee, Finance Committee, Nominating and Governance Committee and Technology Committee.</w:t>
      </w:r>
    </w:p>
    <w:p>
      <w:pPr>
        <w:spacing w:after="0" w:line="118" w:lineRule="exact"/>
        <w:rPr>
          <w:rFonts w:ascii="Arial" w:cs="Arial" w:eastAsia="Arial" w:hAnsi="Arial"/>
          <w:sz w:val="18"/>
          <w:szCs w:val="18"/>
          <w:color w:val="auto"/>
        </w:rPr>
      </w:pPr>
    </w:p>
    <w:p>
      <w:pPr>
        <w:ind w:right="80" w:firstLine="8"/>
        <w:spacing w:after="0" w:line="26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shall adopt a charter for each committee for regulating the conduct of its affairs. Such charters must be consistent with these By-Laws and the Articles of Incorporation.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2.8 </w:t>
      </w:r>
      <w:r>
        <w:rPr>
          <w:rFonts w:ascii="Arial" w:cs="Arial" w:eastAsia="Arial" w:hAnsi="Arial"/>
          <w:sz w:val="18"/>
          <w:szCs w:val="18"/>
          <w:b w:val="1"/>
          <w:bCs w:val="1"/>
          <w:u w:val="single" w:color="auto"/>
          <w:color w:val="auto"/>
        </w:rPr>
        <w:t>Certain Claims Involving Directors</w:t>
      </w:r>
    </w:p>
    <w:p>
      <w:pPr>
        <w:spacing w:after="0" w:line="8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the Board of Directors receives a written demand by a stockholder requesting the Board of Directors to bring a legal claim on behalf of the Company against one or more directors of the Company for breach of a director’s duty to the Company under applicable law, and if the demand gives notice to the Board of Directors, of evidence of the facts necessary to support each of the claims made therein, the Board of Directors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of Directors:</w:t>
      </w:r>
    </w:p>
    <w:p>
      <w:pPr>
        <w:spacing w:after="0" w:line="21" w:lineRule="exact"/>
        <w:rPr>
          <w:sz w:val="20"/>
          <w:szCs w:val="20"/>
          <w:color w:val="auto"/>
        </w:rPr>
      </w:pPr>
    </w:p>
    <w:p>
      <w:pPr>
        <w:ind w:left="900" w:right="1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(3) below, and if any of the directors interested in a claim is an officer of the Company, no director who is an officer of the Company shall participate other than as described in clause (3).</w:t>
      </w:r>
    </w:p>
    <w:p>
      <w:pPr>
        <w:spacing w:after="0" w:line="45"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ARTICLE Ill</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officers of the Company shall be elected or appointed by the Board of Directors and shall be a Chairman, a Chief Executive Officer, a Secretary and a Treasurer. The Board of Directors from time to time may also elect or appoint a Chief Financial Officer, a President, a Vice Chairman of the Board of Directors,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other than the Chairman and the Vice Chairman may but need not be directors. The Board of Directors may designate an officer or officers to be the Chief Financial Officer and the Chief Accounting Officer of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1" w:name="page12"/>
    <w:bookmarkEnd w:id="1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Two or more offices may be held by the same person, provided, however, that no officer shall execute, acknowledge or verify any instrument in more than one capacity if such instrument is required by law or by these By-Laws to be executed, 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election of their successors or until the elimination of such offices or committees.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Chairman</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Chairman shall preside at all meetings of the Board, and shall exercise such other powers and discharge such other responsibilities as may be assigned by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Vice Chairman</w:t>
      </w:r>
    </w:p>
    <w:p>
      <w:pPr>
        <w:spacing w:after="0" w:line="8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Board of Directors may, from time to time, designate a director of the Company to be Vice Chairman. The Vice Chairman shall perform such duties as may be assigned by the Chairman or by the Board of Directors, and shall, in the absence or disability of the Chairman, act for the Chairman.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b w:val="1"/>
          <w:bCs w:val="1"/>
          <w:u w:val="single" w:color="auto"/>
          <w:color w:val="auto"/>
        </w:rPr>
        <w:t>Chief Executive Officer</w:t>
      </w:r>
    </w:p>
    <w:p>
      <w:pPr>
        <w:spacing w:after="0" w:line="8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Board of Directors shall at least annually elect or appoint a Chief Executive Officer of the Company. The Chief Executive Officer shall have general executive powers and overall responsibility for the management of the business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President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may, from time to time, designate an officer to the Company to be the President of the Company. The President shall exercise such powers and discharge such responsibilities as may be assigned by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b w:val="1"/>
          <w:bCs w:val="1"/>
          <w:u w:val="single" w:color="auto"/>
          <w:color w:val="auto"/>
        </w:rPr>
        <w:t>Chief Operating Officer</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Board of Directors may, from time to time, designate an officer of the Company to be the Chief Operating Officer of the Company. The Chief Operating Officer shall have general executive powers and responsibility for the management of the operations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3.7 </w:t>
      </w:r>
      <w:r>
        <w:rPr>
          <w:rFonts w:ascii="Arial" w:cs="Arial" w:eastAsia="Arial" w:hAnsi="Arial"/>
          <w:sz w:val="18"/>
          <w:szCs w:val="18"/>
          <w:b w:val="1"/>
          <w:bCs w:val="1"/>
          <w:u w:val="single" w:color="auto"/>
          <w:color w:val="auto"/>
        </w:rPr>
        <w:t>Chief Financial Officer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shall at least annually elect or appoint a Chief Financial Officer of the Company. The Chief Financial Officer shall have the responsibility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formulating and managing the financial and fiscal, policies and procedures of the Company. The Chief Financial Officer shall generally perform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duties usually appertaining to the officer of chief financial officer of 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SECTION3.8 </w:t>
      </w:r>
      <w:r>
        <w:rPr>
          <w:rFonts w:ascii="Arial" w:cs="Arial" w:eastAsia="Arial" w:hAnsi="Arial"/>
          <w:sz w:val="18"/>
          <w:szCs w:val="18"/>
          <w:b w:val="1"/>
          <w:bCs w:val="1"/>
          <w:u w:val="single" w:color="auto"/>
          <w:color w:val="auto"/>
        </w:rPr>
        <w:t>Vice Presidents</w:t>
      </w:r>
    </w:p>
    <w:p>
      <w:pPr>
        <w:spacing w:after="0" w:line="7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of Directors, the Chairman, the Vice Chairman or the Chief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b w:val="1"/>
          <w:bCs w:val="1"/>
          <w:u w:val="single" w:color="auto"/>
          <w:color w:val="auto"/>
        </w:rPr>
        <w:t>Secretary</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Secretary shall attend to the giving of notice of all meetings of stockholders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b w:val="1"/>
          <w:bCs w:val="1"/>
          <w:u w:val="single" w:color="auto"/>
          <w:color w:val="auto"/>
        </w:rPr>
        <w:t>Treasurer</w:t>
      </w:r>
    </w:p>
    <w:p>
      <w:pPr>
        <w:spacing w:after="0" w:line="8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3.11 </w:t>
      </w:r>
      <w:r>
        <w:rPr>
          <w:rFonts w:ascii="Arial" w:cs="Arial" w:eastAsia="Arial" w:hAnsi="Arial"/>
          <w:sz w:val="18"/>
          <w:szCs w:val="18"/>
          <w:b w:val="1"/>
          <w:bCs w:val="1"/>
          <w:u w:val="single" w:color="auto"/>
          <w:color w:val="auto"/>
        </w:rPr>
        <w:t>Salaries</w:t>
      </w:r>
    </w:p>
    <w:p>
      <w:pPr>
        <w:spacing w:after="0" w:line="8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salaries of the officers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Checks. Notes. etc.</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Every stockholder shall be entitled to a certificate representing the stockholder’s shares. A Register shall be kept by the Board of Directors or by a Registrar designated thereto by the Board of Directors. Each entry shall mention the name and address of the stockholder, the number of shares held and the numbers of the share certificates and such other information required to be included under Article 2:109 of the Civil Code of the Netherlands Antilles.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Every transfer and devolution of a share shall be entered in the Register and every such entry shall be signed or otherwise acknowledged by or on behalf of the Board of Directors or by the Registrar. Each certificate shall be signed by the Chairman or the Vice Chairman or the President or any Vice President and by the Secretary, Assistant Secretary or the Treasurer, and bear the corporate seal or a facsimile thereof, certifying the number of shares owned by the stockholder in the Company; provided that,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though the person or persons who signed such certificate or certificates, or whose facsimile signature or signatures shall have been used thereon, had not ceased to be such officer or officers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Lost Certificates</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case any certificate of stock shall be lost, stolen or destroyed, the Board of Directors or the Registrar, in its discretion, may authorize the issue of a substitute certificate in place of the certificate of stock so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Section 5.1 in the event of a “Change of Control”. “Change of Control” means a change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SECTION5.2 </w:t>
      </w:r>
      <w:r>
        <w:rPr>
          <w:rFonts w:ascii="Arial" w:cs="Arial" w:eastAsia="Arial" w:hAnsi="Arial"/>
          <w:sz w:val="18"/>
          <w:szCs w:val="18"/>
          <w:b w:val="1"/>
          <w:bCs w:val="1"/>
          <w:u w:val="single" w:color="auto"/>
          <w:color w:val="auto"/>
        </w:rPr>
        <w:t>Indemnification In Actions by or in the Right of the Company</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To the fullest extent permitted by applicable law, the Company shall indemnify any current or former, director or officer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05" w:lineRule="exact"/>
        <w:rPr>
          <w:sz w:val="20"/>
          <w:szCs w:val="20"/>
          <w:color w:val="auto"/>
        </w:rPr>
      </w:pPr>
    </w:p>
    <w:p>
      <w:pPr>
        <w:ind w:right="5060"/>
        <w:spacing w:after="0" w:line="455" w:lineRule="auto"/>
        <w:rPr>
          <w:sz w:val="20"/>
          <w:szCs w:val="20"/>
          <w:color w:val="auto"/>
        </w:rPr>
      </w:pPr>
      <w:r>
        <w:rPr>
          <w:rFonts w:ascii="Arial" w:cs="Arial" w:eastAsia="Arial" w:hAnsi="Arial"/>
          <w:sz w:val="15"/>
          <w:szCs w:val="15"/>
          <w:color w:val="auto"/>
        </w:rPr>
        <w:t xml:space="preserve">SECTION5.3 </w:t>
      </w:r>
      <w:r>
        <w:rPr>
          <w:rFonts w:ascii="Arial" w:cs="Arial" w:eastAsia="Arial" w:hAnsi="Arial"/>
          <w:sz w:val="15"/>
          <w:szCs w:val="15"/>
          <w:b w:val="1"/>
          <w:bCs w:val="1"/>
          <w:u w:val="single" w:color="auto"/>
          <w:color w:val="auto"/>
        </w:rPr>
        <w:t>Extension of Indemnification to Employees and Agents of the Company</w:t>
      </w:r>
      <w:r>
        <w:rPr>
          <w:rFonts w:ascii="Arial" w:cs="Arial" w:eastAsia="Arial" w:hAnsi="Arial"/>
          <w:sz w:val="15"/>
          <w:szCs w:val="15"/>
          <w:color w:val="auto"/>
        </w:rPr>
        <w:t xml:space="preserve"> Any indemnification under Sections 5.1 and 5.2 (unless ordered by a court) may be</w:t>
      </w: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extended to current or former employees or agents of the Company only as authorized by the Chief Executive Officer or by contract approved or, or by-laws, resolution or other action adopted or taken, by the Board of Directors or by the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Advance of Reimbursement of Expenses and Undertaking</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u w:val="single" w:color="auto"/>
          <w:color w:val="auto"/>
        </w:rPr>
        <w:t>Non-Exclusivity of By-Laws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b w:val="1"/>
          <w:bCs w:val="1"/>
          <w:u w:val="single" w:color="auto"/>
          <w:color w:val="auto"/>
        </w:rPr>
        <w:t>Insurance for Indemnification</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Definition of the Company</w:t>
      </w:r>
    </w:p>
    <w:p>
      <w:pPr>
        <w:spacing w:after="0" w:line="8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For purposes of this Article V, reference to the Company shall include, in addition to the resulting corporation, any constituent corporation (including any constituent of a constituent) absorbed in a consolidation or merger which, if its separate existence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3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Other Definitions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u w:val="single" w:color="auto"/>
          <w:color w:val="auto"/>
        </w:rPr>
        <w:t>Good Faith Reliance</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 member of the Board of Directors, or a member of any committee designated by the Board of Directors,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of Directors, or by any other person as to matters the member reasonably believes are within such other person’s professional or expert competence and who has been selected with reasonable care by or on behalf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shall have a corporate seal which shall have inscribed thereon the name of the Company, the words, “Netherlands Antilles”, and the year of its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Amendments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By-Laws may be altered, amended or repealed at any regular or special meeting of the Board of Directors,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140" w:right="1540"/>
        <w:spacing w:after="0" w:line="332" w:lineRule="auto"/>
        <w:rPr>
          <w:sz w:val="20"/>
          <w:szCs w:val="20"/>
          <w:color w:val="auto"/>
        </w:rPr>
      </w:pPr>
      <w:r>
        <w:rPr>
          <w:rFonts w:ascii="Arial" w:cs="Arial" w:eastAsia="Arial" w:hAnsi="Arial"/>
          <w:sz w:val="16"/>
          <w:szCs w:val="16"/>
          <w:color w:val="auto"/>
        </w:rPr>
        <w:t>(Certain provisions of the By-Laws correspond to provisions contained in the Articles of Incorporation as amended, and any amendment of such provisions of the By-Laws is subject to an appropriate amendment of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119380</wp:posOffset>
            </wp:positionV>
            <wp:extent cx="1243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Chairmanship of Meetings</w:t>
      </w:r>
    </w:p>
    <w:p>
      <w:pPr>
        <w:spacing w:after="0" w:line="77" w:lineRule="exact"/>
        <w:rPr>
          <w:sz w:val="20"/>
          <w:szCs w:val="20"/>
          <w:color w:val="auto"/>
        </w:rPr>
      </w:pPr>
    </w:p>
    <w:p>
      <w:pPr>
        <w:ind w:right="40"/>
        <w:spacing w:after="0" w:line="339" w:lineRule="auto"/>
        <w:rPr>
          <w:sz w:val="20"/>
          <w:szCs w:val="20"/>
          <w:color w:val="auto"/>
        </w:rPr>
      </w:pPr>
      <w:r>
        <w:rPr>
          <w:rFonts w:ascii="Arial" w:cs="Arial" w:eastAsia="Arial" w:hAnsi="Arial"/>
          <w:sz w:val="15"/>
          <w:szCs w:val="15"/>
          <w:color w:val="auto"/>
        </w:rPr>
        <w:t xml:space="preserve">All general meetings of stockholders shall be held in Curaçao, </w:t>
      </w:r>
      <w:r>
        <w:rPr>
          <w:rFonts w:ascii="Arial" w:cs="Arial" w:eastAsia="Arial" w:hAnsi="Arial"/>
          <w:sz w:val="15"/>
          <w:szCs w:val="15"/>
          <w:color w:val="auto"/>
          <w:strike w:val="1"/>
        </w:rPr>
        <w:t>Bonaire, St. Eustatius, Saba or the Dutch part of St. Maarten</w:t>
      </w:r>
      <w:r>
        <w:rPr>
          <w:rFonts w:ascii="Arial" w:cs="Arial" w:eastAsia="Arial" w:hAnsi="Arial"/>
          <w:sz w:val="15"/>
          <w:szCs w:val="15"/>
          <w:color w:val="auto"/>
        </w:rPr>
        <w:t xml:space="preserve"> </w:t>
      </w:r>
      <w:r>
        <w:rPr>
          <w:rFonts w:ascii="Arial" w:cs="Arial" w:eastAsia="Arial" w:hAnsi="Arial"/>
          <w:sz w:val="15"/>
          <w:szCs w:val="15"/>
          <w:b w:val="1"/>
          <w:bCs w:val="1"/>
          <w:color w:val="auto"/>
        </w:rPr>
        <w:t>or anywhere else in the Netherlands</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Antilles</w:t>
      </w:r>
      <w:r>
        <w:rPr>
          <w:rFonts w:ascii="Arial" w:cs="Arial" w:eastAsia="Arial" w:hAnsi="Arial"/>
          <w:sz w:val="15"/>
          <w:szCs w:val="15"/>
          <w:color w:val="auto"/>
        </w:rPr>
        <w:t>. All such general meetings shall be presided over by the Chairman or, in his absence or disability, by the Vice Chairman. In the absence or disability of</w:t>
      </w:r>
      <w:r>
        <w:rPr>
          <w:rFonts w:ascii="Arial" w:cs="Arial" w:eastAsia="Arial" w:hAnsi="Arial"/>
          <w:sz w:val="15"/>
          <w:szCs w:val="15"/>
          <w:b w:val="1"/>
          <w:bCs w:val="1"/>
          <w:color w:val="auto"/>
        </w:rPr>
        <w:t xml:space="preserve"> </w:t>
      </w:r>
      <w:r>
        <w:rPr>
          <w:rFonts w:ascii="Arial" w:cs="Arial" w:eastAsia="Arial" w:hAnsi="Arial"/>
          <w:sz w:val="15"/>
          <w:szCs w:val="15"/>
          <w:color w:val="auto"/>
        </w:rPr>
        <w:t>both the Chairman and the Vice Chairman, such meetings shall be presided over by such other person as may be designated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-342900</wp:posOffset>
            </wp:positionV>
            <wp:extent cx="17316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annual general meeting of stockholders shall be held within the period required by applicable law, on a date determined from year to year by the Board of Directors, , for the purpose of electing directors, reporting on the course of business during the preceding fiscal year, </w:t>
      </w:r>
      <w:r>
        <w:rPr>
          <w:rFonts w:ascii="Arial" w:cs="Arial" w:eastAsia="Arial" w:hAnsi="Arial"/>
          <w:sz w:val="18"/>
          <w:szCs w:val="18"/>
          <w:color w:val="auto"/>
          <w:strike w:val="1"/>
        </w:rPr>
        <w:t>adopting</w:t>
      </w:r>
      <w:r>
        <w:rPr>
          <w:rFonts w:ascii="Arial" w:cs="Arial" w:eastAsia="Arial" w:hAnsi="Arial"/>
          <w:sz w:val="18"/>
          <w:szCs w:val="18"/>
          <w:b w:val="1"/>
          <w:bCs w:val="1"/>
          <w:u w:val="single" w:color="auto"/>
          <w:color w:val="auto"/>
        </w:rPr>
        <w:t>approving</w:t>
      </w:r>
      <w:r>
        <w:rPr>
          <w:rFonts w:ascii="Arial" w:cs="Arial" w:eastAsia="Arial" w:hAnsi="Arial"/>
          <w:sz w:val="18"/>
          <w:szCs w:val="18"/>
          <w:color w:val="auto"/>
        </w:rPr>
        <w:t xml:space="preserve"> of the balance sheet and the profit and loss accounts for the preceding fiscal year and for any other purposes required by law, and for such additional purposes as may be specified in the notice of such meeting.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Special general meetings of stockholders may be called at any time upon the direction of the Chairman, the Vice Chairman, the Chief Executive Officer, the President or the Board of Directors or in the manner provided in Article </w:t>
      </w:r>
      <w:r>
        <w:rPr>
          <w:rFonts w:ascii="Arial" w:cs="Arial" w:eastAsia="Arial" w:hAnsi="Arial"/>
          <w:sz w:val="18"/>
          <w:szCs w:val="18"/>
          <w:color w:val="auto"/>
          <w:strike w:val="1"/>
        </w:rPr>
        <w:t>82</w:t>
      </w:r>
      <w:r>
        <w:rPr>
          <w:rFonts w:ascii="Arial" w:cs="Arial" w:eastAsia="Arial" w:hAnsi="Arial"/>
          <w:sz w:val="18"/>
          <w:szCs w:val="18"/>
          <w:b w:val="1"/>
          <w:bCs w:val="1"/>
          <w:u w:val="single" w:color="auto"/>
          <w:color w:val="auto"/>
        </w:rPr>
        <w:t>2:129</w:t>
      </w:r>
      <w:r>
        <w:rPr>
          <w:rFonts w:ascii="Arial" w:cs="Arial" w:eastAsia="Arial" w:hAnsi="Arial"/>
          <w:sz w:val="18"/>
          <w:szCs w:val="18"/>
          <w:color w:val="auto"/>
        </w:rPr>
        <w:t xml:space="preserve"> of the </w:t>
      </w:r>
      <w:r>
        <w:rPr>
          <w:rFonts w:ascii="Arial" w:cs="Arial" w:eastAsia="Arial" w:hAnsi="Arial"/>
          <w:sz w:val="18"/>
          <w:szCs w:val="18"/>
          <w:b w:val="1"/>
          <w:bCs w:val="1"/>
          <w:u w:val="single" w:color="auto"/>
          <w:color w:val="auto"/>
        </w:rPr>
        <w:t>Civil</w:t>
      </w:r>
      <w:r>
        <w:rPr>
          <w:rFonts w:ascii="Arial" w:cs="Arial" w:eastAsia="Arial" w:hAnsi="Arial"/>
          <w:sz w:val="18"/>
          <w:szCs w:val="18"/>
          <w:color w:val="auto"/>
        </w:rPr>
        <w:t xml:space="preserve"> Code of </w:t>
      </w:r>
      <w:r>
        <w:rPr>
          <w:rFonts w:ascii="Arial" w:cs="Arial" w:eastAsia="Arial" w:hAnsi="Arial"/>
          <w:sz w:val="18"/>
          <w:szCs w:val="18"/>
          <w:color w:val="auto"/>
          <w:strike w:val="1"/>
        </w:rPr>
        <w:t>Commerce of</w:t>
      </w:r>
      <w:r>
        <w:rPr>
          <w:rFonts w:ascii="Arial" w:cs="Arial" w:eastAsia="Arial" w:hAnsi="Arial"/>
          <w:sz w:val="18"/>
          <w:szCs w:val="18"/>
          <w:color w:val="auto"/>
        </w:rPr>
        <w:t xml:space="preserve"> the Netherlands Antilles, or by one or more holders of shares </w:t>
      </w:r>
      <w:r>
        <w:rPr>
          <w:rFonts w:ascii="Arial" w:cs="Arial" w:eastAsia="Arial" w:hAnsi="Arial"/>
          <w:sz w:val="18"/>
          <w:szCs w:val="18"/>
          <w:color w:val="auto"/>
          <w:strike w:val="1"/>
        </w:rPr>
        <w:t>representing in the aggregate a majority of the shares of stock then outstanding, or as provided for in Article 8.5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meeting the requirements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Article 11.3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Articles of Incorporation.</w:t>
      </w:r>
    </w:p>
    <w:p>
      <w:pPr>
        <w:sectPr>
          <w:pgSz w:w="11900" w:h="16838" w:orient="portrait"/>
          <w:cols w:equalWidth="0" w:num="1">
            <w:col w:w="11420"/>
          </w:cols>
          <w:pgMar w:left="240" w:top="125"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Notice of Meeting</w:t>
      </w:r>
    </w:p>
    <w:p>
      <w:pPr>
        <w:spacing w:after="0" w:line="8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All notices of general meetings of stockholders shall state the matters to be considered at the meeting. Notice of meetings of stockholders, whether annual general meetings or special general meetings, stating the time and place of the meeting, shall be given to the stockholders not less than 20 and no more than 60 days prior to the date of the meeting in question by notice to each stockholder at the address thereof appearing in the share register.</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For the purpose of determining stockholders entitled to notice of or to vote at any general meeting of stockholders, or entitled to receive payment of any dividend, or </w:t>
      </w:r>
      <w:r>
        <w:rPr>
          <w:rFonts w:ascii="Arial" w:cs="Arial" w:eastAsia="Arial" w:hAnsi="Arial"/>
          <w:sz w:val="16"/>
          <w:szCs w:val="16"/>
          <w:b w:val="1"/>
          <w:bCs w:val="1"/>
          <w:u w:val="single" w:color="auto"/>
          <w:color w:val="auto"/>
        </w:rPr>
        <w:t>other distribution or allotment of any rights, or the stockholders entitled to exercise any rights in respect of any change, conversion or exchange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make a determination of stockholders for any other proper purpose, (but excluding determinations made as provided in Section 1.7 of these</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By-Laws with respect to action by stockholders without meeting)</w:t>
      </w:r>
      <w:r>
        <w:rPr>
          <w:rFonts w:ascii="Arial" w:cs="Arial" w:eastAsia="Arial" w:hAnsi="Arial"/>
          <w:sz w:val="16"/>
          <w:szCs w:val="16"/>
          <w:color w:val="auto"/>
        </w:rPr>
        <w:t xml:space="preserve">, the Board of Directors of the Company may provide that the stock transfer books shall be closed for a stated period </w:t>
      </w:r>
      <w:r>
        <w:rPr>
          <w:rFonts w:ascii="Arial" w:cs="Arial" w:eastAsia="Arial" w:hAnsi="Arial"/>
          <w:sz w:val="16"/>
          <w:szCs w:val="16"/>
          <w:color w:val="auto"/>
          <w:strike w:val="1"/>
        </w:rPr>
        <w:t>but not to exceed, in any case, 60 days</w:t>
      </w:r>
      <w:r>
        <w:rPr>
          <w:rFonts w:ascii="Arial" w:cs="Arial" w:eastAsia="Arial" w:hAnsi="Arial"/>
          <w:sz w:val="16"/>
          <w:szCs w:val="16"/>
          <w:b w:val="1"/>
          <w:bCs w:val="1"/>
          <w:u w:val="single" w:color="auto"/>
          <w:color w:val="auto"/>
        </w:rPr>
        <w:t>or that a record date be fixed</w:t>
      </w:r>
      <w:r>
        <w:rPr>
          <w:rFonts w:ascii="Arial" w:cs="Arial" w:eastAsia="Arial" w:hAnsi="Arial"/>
          <w:sz w:val="16"/>
          <w:szCs w:val="16"/>
          <w:color w:val="auto"/>
        </w:rPr>
        <w:t xml:space="preserve">. If the stock transfer books shall be closed for the purpose of determining stockholders entitled to notice of or to vote at a general meeting of stockholders, such books shall be closed for at least 10 </w:t>
      </w:r>
      <w:r>
        <w:rPr>
          <w:rFonts w:ascii="Arial" w:cs="Arial" w:eastAsia="Arial" w:hAnsi="Arial"/>
          <w:sz w:val="16"/>
          <w:szCs w:val="16"/>
          <w:b w:val="1"/>
          <w:bCs w:val="1"/>
          <w:u w:val="single" w:color="auto"/>
          <w:color w:val="auto"/>
        </w:rPr>
        <w:t>days but not to exceed,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any case, 60</w:t>
      </w:r>
      <w:r>
        <w:rPr>
          <w:rFonts w:ascii="Arial" w:cs="Arial" w:eastAsia="Arial" w:hAnsi="Arial"/>
          <w:sz w:val="16"/>
          <w:szCs w:val="16"/>
          <w:b w:val="1"/>
          <w:bCs w:val="1"/>
          <w:color w:val="auto"/>
        </w:rPr>
        <w:t xml:space="preserve"> </w:t>
      </w:r>
      <w:r>
        <w:rPr>
          <w:rFonts w:ascii="Arial" w:cs="Arial" w:eastAsia="Arial" w:hAnsi="Arial"/>
          <w:sz w:val="16"/>
          <w:szCs w:val="16"/>
          <w:color w:val="auto"/>
        </w:rPr>
        <w:t>days immediately preceding such meeting. In lieu of closing the stock transfer books, the Board of Directors may fix in advance a date as the record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for any such determination of stockholders, such date in any case to be not more than 60 days and, in case of a general meeting of stockholders, not less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w:t>
      </w:r>
      <w:r>
        <w:rPr>
          <w:rFonts w:ascii="Arial" w:cs="Arial" w:eastAsia="Arial" w:hAnsi="Arial"/>
          <w:sz w:val="16"/>
          <w:szCs w:val="16"/>
          <w:b w:val="1"/>
          <w:bCs w:val="1"/>
          <w:color w:val="auto"/>
        </w:rPr>
        <w:t>or other distribution or allotment</w:t>
      </w:r>
      <w:r>
        <w:rPr>
          <w:rFonts w:ascii="Arial" w:cs="Arial" w:eastAsia="Arial" w:hAnsi="Arial"/>
          <w:sz w:val="16"/>
          <w:szCs w:val="16"/>
          <w:color w:val="auto"/>
        </w:rPr>
        <w:t xml:space="preserve">, the date on which notice of the meeting is mailed or the date on which the resolution of the Board of Directors declaring such dividend </w:t>
      </w:r>
      <w:r>
        <w:rPr>
          <w:rFonts w:ascii="Arial" w:cs="Arial" w:eastAsia="Arial" w:hAnsi="Arial"/>
          <w:sz w:val="16"/>
          <w:szCs w:val="16"/>
          <w:b w:val="1"/>
          <w:bCs w:val="1"/>
          <w:u w:val="single" w:color="auto"/>
          <w:color w:val="auto"/>
        </w:rPr>
        <w:t>or other distribution or allotment</w:t>
      </w:r>
      <w:r>
        <w:rPr>
          <w:rFonts w:ascii="Arial" w:cs="Arial" w:eastAsia="Arial" w:hAnsi="Arial"/>
          <w:sz w:val="16"/>
          <w:szCs w:val="16"/>
          <w:color w:val="auto"/>
        </w:rPr>
        <w:t xml:space="preserve">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-1732280</wp:posOffset>
            </wp:positionV>
            <wp:extent cx="3201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1035" cy="8890"/>
                    </a:xfrm>
                    <a:prstGeom prst="rect">
                      <a:avLst/>
                    </a:prstGeom>
                    <a:noFill/>
                  </pic:spPr>
                </pic:pic>
              </a:graphicData>
            </a:graphic>
          </wp:anchor>
        </w:drawing>
        <w:drawing>
          <wp:anchor simplePos="0" relativeHeight="251657728" behindDoc="1" locked="0" layoutInCell="0" allowOverlap="1">
            <wp:simplePos x="0" y="0"/>
            <wp:positionH relativeFrom="column">
              <wp:posOffset>1005205</wp:posOffset>
            </wp:positionH>
            <wp:positionV relativeFrom="paragraph">
              <wp:posOffset>-591185</wp:posOffset>
            </wp:positionV>
            <wp:extent cx="16192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1.6 </w:t>
      </w:r>
      <w:r>
        <w:rPr>
          <w:rFonts w:ascii="Arial" w:cs="Arial" w:eastAsia="Arial" w:hAnsi="Arial"/>
          <w:sz w:val="18"/>
          <w:szCs w:val="18"/>
          <w:b w:val="1"/>
          <w:bCs w:val="1"/>
          <w:u w:val="single" w:color="auto"/>
          <w:color w:val="auto"/>
        </w:rPr>
        <w:t>Quorum</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Except as otherwise provided herein, no action may be taken at any general meeting of stockholders unless a quorum consisting of the holders of at least one-half of the outstanding shares </w:t>
      </w:r>
      <w:r>
        <w:rPr>
          <w:rFonts w:ascii="Arial" w:cs="Arial" w:eastAsia="Arial" w:hAnsi="Arial"/>
          <w:sz w:val="16"/>
          <w:szCs w:val="16"/>
          <w:color w:val="auto"/>
          <w:strike w:val="1"/>
        </w:rPr>
        <w:t>is</w:t>
      </w:r>
      <w:r>
        <w:rPr>
          <w:rFonts w:ascii="Arial" w:cs="Arial" w:eastAsia="Arial" w:hAnsi="Arial"/>
          <w:sz w:val="16"/>
          <w:szCs w:val="16"/>
          <w:b w:val="1"/>
          <w:bCs w:val="1"/>
          <w:u w:val="single" w:color="auto"/>
          <w:color w:val="auto"/>
        </w:rPr>
        <w:t>entitling the holders thereof to vote at such meeting is</w:t>
      </w:r>
      <w:r>
        <w:rPr>
          <w:rFonts w:ascii="Arial" w:cs="Arial" w:eastAsia="Arial" w:hAnsi="Arial"/>
          <w:sz w:val="16"/>
          <w:szCs w:val="16"/>
          <w:color w:val="auto"/>
        </w:rPr>
        <w:t xml:space="preserve"> present at such meeting in person or by proxy. If a quorum is not present in person or by proxy at any general meeting of stockholders, a second general meeting shall be called in the same manner as such original meeting of stockholders, to be held within </w:t>
      </w:r>
      <w:r>
        <w:rPr>
          <w:rFonts w:ascii="Arial" w:cs="Arial" w:eastAsia="Arial" w:hAnsi="Arial"/>
          <w:sz w:val="16"/>
          <w:szCs w:val="16"/>
          <w:color w:val="auto"/>
          <w:strike w:val="1"/>
        </w:rPr>
        <w:t>two</w:t>
      </w:r>
      <w:r>
        <w:rPr>
          <w:rFonts w:ascii="Arial" w:cs="Arial" w:eastAsia="Arial" w:hAnsi="Arial"/>
          <w:sz w:val="16"/>
          <w:szCs w:val="16"/>
          <w:b w:val="1"/>
          <w:bCs w:val="1"/>
          <w:u w:val="single" w:color="auto"/>
          <w:color w:val="auto"/>
        </w:rPr>
        <w:t>2</w:t>
      </w:r>
      <w:r>
        <w:rPr>
          <w:rFonts w:ascii="Arial" w:cs="Arial" w:eastAsia="Arial" w:hAnsi="Arial"/>
          <w:sz w:val="16"/>
          <w:szCs w:val="16"/>
          <w:color w:val="auto"/>
        </w:rPr>
        <w:t xml:space="preserve">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w:t>
      </w:r>
      <w:r>
        <w:rPr>
          <w:rFonts w:ascii="Arial" w:cs="Arial" w:eastAsia="Arial" w:hAnsi="Arial"/>
          <w:sz w:val="16"/>
          <w:szCs w:val="16"/>
          <w:b w:val="1"/>
          <w:bCs w:val="1"/>
          <w:u w:val="single" w:color="auto"/>
          <w:color w:val="auto"/>
        </w:rPr>
        <w:t>vote in favor by a</w:t>
      </w:r>
      <w:r>
        <w:rPr>
          <w:rFonts w:ascii="Arial" w:cs="Arial" w:eastAsia="Arial" w:hAnsi="Arial"/>
          <w:sz w:val="16"/>
          <w:szCs w:val="16"/>
          <w:color w:val="auto"/>
        </w:rPr>
        <w:t xml:space="preserve"> majority of the votes cast (excluding any abstentions) shall be necessary to adopt any resolution at any general meeting of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 Buy Out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 xml:space="preserve">SECTION 1.7 </w:t>
      </w:r>
      <w:r>
        <w:rPr>
          <w:rFonts w:ascii="Arial" w:cs="Arial" w:eastAsia="Arial" w:hAnsi="Arial"/>
          <w:sz w:val="18"/>
          <w:szCs w:val="18"/>
          <w:b w:val="1"/>
          <w:bCs w:val="1"/>
          <w:color w:val="auto"/>
          <w:strike w:val="1"/>
        </w:rPr>
        <w:t>Action by Shareholders Without Meeting</w:t>
      </w:r>
    </w:p>
    <w:p>
      <w:pPr>
        <w:spacing w:after="0" w:line="8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strike w:val="1"/>
        </w:rPr>
        <w:t>As provided in Article 20 of the Articles of Incorporation, any action which, by law or by the Articles of Incorporation, is required or permitted to be taken at a general meeting of stockholders may be taken without a meeting if taken by the written consent of the holder or holders of at least the majority of the shares of the Company outstanding and entitled to vote. Each stockholder may evidence such consent by separate instrument which may be executed by the stockholder or by a duly appointed proxy on behalf of the stockholder. Notice of any action proposed to be taken under said Article 20 shall be given to each stockholder at the address appearing in the share register, such notice to designate the date on or before which such written consent must be received by the Secretary of the Company in order to be counted. Any stockholder may revoke his or her consent by instrument received by the Secretary of the Company on or before the date so designated or before written consents from the holders of the absolute majority of the shares outstanding and entitled to vote have been received by the Secretary of the Company, whichever first occurs, and not thereafter. For the purpose of determining stockholders entitled to notice of and or give written consent to any action proposed to be taken under said Article 20, the Board of Directors of the Company may provide that the stock transfer books shall be closed for a stated period not to exceed 60 days. Such books shall be closed for at least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stockholders, such date to be not more than 60 days prior to the date on or before which written consents must be received by the Secretary of the Company in order to be counted. If the stock transfer books are not closed and no record date is fixed for the determination of stockholders, the date on which notice of the action proposed to be taken hereunder is given, shall be the record date for such determination of stockholders.</w:t>
      </w:r>
    </w:p>
    <w:p>
      <w:pPr>
        <w:spacing w:after="0" w:line="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b w:val="1"/>
          <w:bCs w:val="1"/>
          <w:u w:val="single" w:color="auto"/>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the Netherlands Antillles.</w:t>
      </w:r>
    </w:p>
    <w:p>
      <w:pPr>
        <w:sectPr>
          <w:pgSz w:w="11900" w:h="16838" w:orient="portrait"/>
          <w:cols w:equalWidth="0" w:num="1">
            <w:col w:w="11420"/>
          </w:cols>
          <w:pgMar w:left="240" w:top="274"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1.8 </w:t>
      </w:r>
      <w:r>
        <w:rPr>
          <w:rFonts w:ascii="Arial" w:cs="Arial" w:eastAsia="Arial" w:hAnsi="Arial"/>
          <w:sz w:val="18"/>
          <w:szCs w:val="18"/>
          <w:b w:val="1"/>
          <w:bCs w:val="1"/>
          <w:u w:val="single" w:color="auto"/>
          <w:color w:val="auto"/>
        </w:rPr>
        <w:t>Notices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w:t>
      </w:r>
    </w:p>
    <w:p>
      <w:pPr>
        <w:sectPr>
          <w:pgSz w:w="11900" w:h="16838" w:orient="portrait"/>
          <w:cols w:equalWidth="0" w:num="1">
            <w:col w:w="11380"/>
          </w:cols>
          <w:pgMar w:left="240" w:top="274"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77"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u w:val="single" w:color="auto"/>
          <w:color w:val="auto"/>
        </w:rPr>
        <w:t>overall</w:t>
      </w:r>
      <w:r>
        <w:rPr>
          <w:rFonts w:ascii="Arial" w:cs="Arial" w:eastAsia="Arial" w:hAnsi="Arial"/>
          <w:sz w:val="15"/>
          <w:szCs w:val="15"/>
          <w:color w:val="auto"/>
        </w:rPr>
        <w:t xml:space="preserve"> management of all the affairs, property and business of the Company</w:t>
      </w:r>
      <w:r>
        <w:rPr>
          <w:rFonts w:ascii="Arial" w:cs="Arial" w:eastAsia="Arial" w:hAnsi="Arial"/>
          <w:sz w:val="15"/>
          <w:szCs w:val="15"/>
          <w:b w:val="1"/>
          <w:bCs w:val="1"/>
          <w:u w:val="single" w:color="auto"/>
          <w:color w:val="auto"/>
        </w:rPr>
        <w:t>, including the supervision of the officers of the Company who shall manage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the daily course of affairs of the Company</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vested in a Board of Directors who shall have and may exercise all powers except such as are exclusively</w:t>
      </w:r>
      <w:r>
        <w:rPr>
          <w:rFonts w:ascii="Arial" w:cs="Arial" w:eastAsia="Arial" w:hAnsi="Arial"/>
          <w:sz w:val="15"/>
          <w:szCs w:val="15"/>
          <w:b w:val="1"/>
          <w:bCs w:val="1"/>
          <w:color w:val="auto"/>
        </w:rPr>
        <w:t xml:space="preserve"> </w:t>
      </w:r>
      <w:r>
        <w:rPr>
          <w:rFonts w:ascii="Arial" w:cs="Arial" w:eastAsia="Arial" w:hAnsi="Arial"/>
          <w:sz w:val="15"/>
          <w:szCs w:val="15"/>
          <w:color w:val="auto"/>
        </w:rPr>
        <w:t>conferred upon stockholders by law or by the Articles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Number, Tenure and Qualifications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directors shall be elected at the annual general meeting of stockholders by a majority of the votes cast</w:t>
      </w:r>
      <w:r>
        <w:rPr>
          <w:rFonts w:ascii="Arial" w:cs="Arial" w:eastAsia="Arial" w:hAnsi="Arial"/>
          <w:sz w:val="16"/>
          <w:szCs w:val="16"/>
          <w:b w:val="1"/>
          <w:bCs w:val="1"/>
          <w:u w:val="single" w:color="auto"/>
          <w:color w:val="auto"/>
        </w:rPr>
        <w:t>, in person or by proxy,</w:t>
      </w:r>
      <w:r>
        <w:rPr>
          <w:rFonts w:ascii="Arial" w:cs="Arial" w:eastAsia="Arial" w:hAnsi="Arial"/>
          <w:sz w:val="16"/>
          <w:szCs w:val="16"/>
          <w:color w:val="auto"/>
        </w:rPr>
        <w:t xml:space="preserve"> by the stockholders entitled to vote</w:t>
      </w:r>
      <w:r>
        <w:rPr>
          <w:rFonts w:ascii="Arial" w:cs="Arial" w:eastAsia="Arial" w:hAnsi="Arial"/>
          <w:sz w:val="16"/>
          <w:szCs w:val="16"/>
          <w:b w:val="1"/>
          <w:bCs w:val="1"/>
          <w:u w:val="single" w:color="auto"/>
          <w:color w:val="auto"/>
        </w:rPr>
        <w:t>. The Board of Directors are authorized to appoint directors to fill any vacancies on the Board of Directors, any such appointment to be effective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until the next general meeting of the stockholders</w:t>
      </w:r>
      <w:r>
        <w:rPr>
          <w:rFonts w:ascii="Arial" w:cs="Arial" w:eastAsia="Arial" w:hAnsi="Arial"/>
          <w:sz w:val="16"/>
          <w:szCs w:val="16"/>
          <w:color w:val="auto"/>
        </w:rPr>
        <w:t>. The number of persons constituting the whole Board of Directors shall not be less than five nor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twenty-four as fixed and elected by the general meeting of stockholders. The number of persons constituting the whole Board of Directors shall, until changed at any succeeding general meeting of stockholders, be the number so fixed and elected. Directors may be </w:t>
      </w:r>
      <w:r>
        <w:rPr>
          <w:rFonts w:ascii="Arial" w:cs="Arial" w:eastAsia="Arial" w:hAnsi="Arial"/>
          <w:sz w:val="16"/>
          <w:szCs w:val="16"/>
          <w:color w:val="auto"/>
          <w:strike w:val="1"/>
        </w:rPr>
        <w:t>removed</w:t>
      </w:r>
      <w:r>
        <w:rPr>
          <w:rFonts w:ascii="Arial" w:cs="Arial" w:eastAsia="Arial" w:hAnsi="Arial"/>
          <w:sz w:val="16"/>
          <w:szCs w:val="16"/>
          <w:b w:val="1"/>
          <w:bCs w:val="1"/>
          <w:u w:val="single" w:color="auto"/>
          <w:color w:val="auto"/>
        </w:rPr>
        <w:t>suspended or dismissed</w:t>
      </w:r>
      <w:r>
        <w:rPr>
          <w:rFonts w:ascii="Arial" w:cs="Arial" w:eastAsia="Arial" w:hAnsi="Arial"/>
          <w:sz w:val="16"/>
          <w:szCs w:val="16"/>
          <w:color w:val="auto"/>
        </w:rPr>
        <w:t xml:space="preserve"> at any general meeting of stockholders</w:t>
      </w:r>
      <w:r>
        <w:rPr>
          <w:rFonts w:ascii="Arial" w:cs="Arial" w:eastAsia="Arial" w:hAnsi="Arial"/>
          <w:sz w:val="16"/>
          <w:szCs w:val="16"/>
          <w:b w:val="1"/>
          <w:bCs w:val="1"/>
          <w:u w:val="single" w:color="auto"/>
          <w:color w:val="auto"/>
        </w:rPr>
        <w:t>. A suspension automatically terminates if the person concerned has not been dismissed within 2 months after the day of suspension</w:t>
      </w:r>
      <w:r>
        <w:rPr>
          <w:rFonts w:ascii="Arial" w:cs="Arial" w:eastAsia="Arial" w:hAnsi="Arial"/>
          <w:sz w:val="16"/>
          <w:szCs w:val="16"/>
          <w:b w:val="1"/>
          <w:bCs w:val="1"/>
          <w:color w:val="auto"/>
        </w:rPr>
        <w:t>.</w:t>
      </w:r>
      <w:r>
        <w:rPr>
          <w:rFonts w:ascii="Arial" w:cs="Arial" w:eastAsia="Arial" w:hAnsi="Arial"/>
          <w:sz w:val="16"/>
          <w:szCs w:val="16"/>
          <w:color w:val="auto"/>
        </w:rPr>
        <w:t xml:space="preserve"> At any general meeting of stockholders at which action is taken to increase the number of the whole Board of Directors or to </w:t>
      </w:r>
      <w:r>
        <w:rPr>
          <w:rFonts w:ascii="Arial" w:cs="Arial" w:eastAsia="Arial" w:hAnsi="Arial"/>
          <w:sz w:val="16"/>
          <w:szCs w:val="16"/>
          <w:color w:val="auto"/>
          <w:strike w:val="1"/>
        </w:rPr>
        <w:t>remove</w:t>
      </w:r>
      <w:r>
        <w:rPr>
          <w:rFonts w:ascii="Arial" w:cs="Arial" w:eastAsia="Arial" w:hAnsi="Arial"/>
          <w:sz w:val="16"/>
          <w:szCs w:val="16"/>
          <w:b w:val="1"/>
          <w:bCs w:val="1"/>
          <w:u w:val="single" w:color="auto"/>
          <w:color w:val="auto"/>
        </w:rPr>
        <w:t>suspend or dismiss</w:t>
      </w:r>
      <w:r>
        <w:rPr>
          <w:rFonts w:ascii="Arial" w:cs="Arial" w:eastAsia="Arial" w:hAnsi="Arial"/>
          <w:sz w:val="16"/>
          <w:szCs w:val="16"/>
          <w:color w:val="auto"/>
        </w:rPr>
        <w:t xml:space="preserve"> a director, or at any subsequent general meeting, the stockholders may fill any vacancy or vacancies created by such action. Each director shall be elected to serve until the next annual general meeting of stockholders and until his or her successor shall be elected and qualified or until his or her death, resignation or removal. Directors need not be </w:t>
      </w:r>
      <w:r>
        <w:rPr>
          <w:rFonts w:ascii="Arial" w:cs="Arial" w:eastAsia="Arial" w:hAnsi="Arial"/>
          <w:sz w:val="16"/>
          <w:szCs w:val="16"/>
          <w:color w:val="auto"/>
          <w:strike w:val="1"/>
        </w:rPr>
        <w:t>Netherlands</w:t>
      </w:r>
      <w:r>
        <w:rPr>
          <w:rFonts w:ascii="Arial" w:cs="Arial" w:eastAsia="Arial" w:hAnsi="Arial"/>
          <w:sz w:val="16"/>
          <w:szCs w:val="16"/>
          <w:color w:val="auto"/>
        </w:rPr>
        <w:t xml:space="preserve"> citizens or residents of the Netherlands Antilles or stockholders of the Company.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Meetings of the Board</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directors may hold their meetings in or outside the Netherlands Antilles.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w:t>
      </w:r>
    </w:p>
    <w:p>
      <w:pPr>
        <w:sectPr>
          <w:pgSz w:w="11900" w:h="16838" w:orient="portrait"/>
          <w:cols w:equalWidth="0" w:num="1">
            <w:col w:w="11400"/>
          </w:cols>
          <w:pgMar w:left="240" w:top="274" w:right="259" w:bottom="1440" w:gutter="0" w:footer="0" w:header="0"/>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Chairman, the Vice Chairman shall preside at their meetings. In the absence or disability of both the Chairman and the Vice Chairman, such meetings shall be presided over by such person as may be chosen by the Board of Directors. Regular meetings of the Board 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 The first meeting of the Board of Directors following the annual general meeting of stockholders, whether a regular or special meeting of the Board, shall be an organization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u w:val="single" w:color="auto"/>
          <w:color w:val="auto"/>
        </w:rPr>
        <w:t>Action by Directors Without Meeting</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When action by the Board of Directors is required or permitted to be taken, action at a meeting may be dispensed with if all commercially reasonable efforts have been taken to notify all the directors and </w:t>
      </w:r>
      <w:r>
        <w:rPr>
          <w:rFonts w:ascii="Arial" w:cs="Arial" w:eastAsia="Arial" w:hAnsi="Arial"/>
          <w:sz w:val="16"/>
          <w:szCs w:val="16"/>
          <w:b w:val="1"/>
          <w:bCs w:val="1"/>
          <w:u w:val="single" w:color="auto"/>
          <w:color w:val="auto"/>
        </w:rPr>
        <w:t>if</w:t>
      </w:r>
      <w:r>
        <w:rPr>
          <w:rFonts w:ascii="Arial" w:cs="Arial" w:eastAsia="Arial" w:hAnsi="Arial"/>
          <w:sz w:val="16"/>
          <w:szCs w:val="16"/>
          <w:color w:val="auto"/>
        </w:rPr>
        <w:t xml:space="preserve"> three fourths of the directors shall consent in writing, by telegram, </w:t>
      </w:r>
      <w:r>
        <w:rPr>
          <w:rFonts w:ascii="Arial" w:cs="Arial" w:eastAsia="Arial" w:hAnsi="Arial"/>
          <w:sz w:val="16"/>
          <w:szCs w:val="16"/>
          <w:color w:val="auto"/>
          <w:strike w:val="1"/>
        </w:rPr>
        <w:t>cable, telex,</w:t>
      </w:r>
      <w:r>
        <w:rPr>
          <w:rFonts w:ascii="Arial" w:cs="Arial" w:eastAsia="Arial" w:hAnsi="Arial"/>
          <w:sz w:val="16"/>
          <w:szCs w:val="16"/>
          <w:color w:val="auto"/>
        </w:rPr>
        <w:t xml:space="preserve"> telefax, electronic mail or other communication device to such action taken or being taken, and provided that all directors are promptly notified of such action taken or having been taken.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Quorum</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Directors may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writing</w:t>
      </w:r>
      <w:r>
        <w:rPr>
          <w:rFonts w:ascii="Arial" w:cs="Arial" w:eastAsia="Arial" w:hAnsi="Arial"/>
          <w:sz w:val="16"/>
          <w:szCs w:val="16"/>
          <w:color w:val="auto"/>
        </w:rPr>
        <w:t>, by telegram,</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cable, telex</w:t>
      </w:r>
      <w:r>
        <w:rPr>
          <w:rFonts w:ascii="Arial" w:cs="Arial" w:eastAsia="Arial" w:hAnsi="Arial"/>
          <w:sz w:val="16"/>
          <w:szCs w:val="16"/>
          <w:color w:val="auto"/>
        </w:rPr>
        <w:t>, telefax, electronic mail or other communication device, appoint a proxy to act at any meeting of the Board of Directors,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7084695</wp:posOffset>
            </wp:positionH>
            <wp:positionV relativeFrom="paragraph">
              <wp:posOffset>-461010</wp:posOffset>
            </wp:positionV>
            <wp:extent cx="120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650" cy="8890"/>
                    </a:xfrm>
                    <a:prstGeom prst="rect">
                      <a:avLst/>
                    </a:prstGeom>
                    <a:noFill/>
                  </pic:spPr>
                </pic:pic>
              </a:graphicData>
            </a:graphic>
          </wp:anchor>
        </w:drawing>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Vacancies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w:t>
      </w:r>
    </w:p>
    <w:p>
      <w:pPr>
        <w:sectPr>
          <w:pgSz w:w="11900" w:h="16838" w:orient="portrait"/>
          <w:cols w:equalWidth="0" w:num="1">
            <w:col w:w="11380"/>
          </w:cols>
          <w:pgMar w:left="240" w:top="280" w:right="27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reduced to less than a majority of the number constituting the whole Board of Directors, the remaining directors or director shall forthwith call a general meeting of stockholders for the purpose of filling the vacancies </w:t>
      </w:r>
      <w:r>
        <w:rPr>
          <w:rFonts w:ascii="Arial" w:cs="Arial" w:eastAsia="Arial" w:hAnsi="Arial"/>
          <w:sz w:val="16"/>
          <w:szCs w:val="16"/>
          <w:color w:val="auto"/>
          <w:strike w:val="1"/>
        </w:rPr>
        <w:t>in</w:t>
      </w:r>
      <w:r>
        <w:rPr>
          <w:rFonts w:ascii="Arial" w:cs="Arial" w:eastAsia="Arial" w:hAnsi="Arial"/>
          <w:sz w:val="16"/>
          <w:szCs w:val="16"/>
          <w:b w:val="1"/>
          <w:bCs w:val="1"/>
          <w:u w:val="single" w:color="auto"/>
          <w:color w:val="auto"/>
        </w:rPr>
        <w:t>on</w:t>
      </w:r>
      <w:r>
        <w:rPr>
          <w:rFonts w:ascii="Arial" w:cs="Arial" w:eastAsia="Arial" w:hAnsi="Arial"/>
          <w:sz w:val="16"/>
          <w:szCs w:val="16"/>
          <w:color w:val="auto"/>
        </w:rPr>
        <w:t xml:space="preserve">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w:t>
      </w:r>
      <w:r>
        <w:rPr>
          <w:rFonts w:ascii="Arial" w:cs="Arial" w:eastAsia="Arial" w:hAnsi="Arial"/>
          <w:sz w:val="16"/>
          <w:szCs w:val="16"/>
          <w:b w:val="1"/>
          <w:bCs w:val="1"/>
          <w:u w:val="single" w:color="auto"/>
          <w:color w:val="auto"/>
        </w:rPr>
        <w:t>Until such general meeting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stockholders is held, the person so designated shall only take such acts of management that can not suffer any delay.</w:t>
      </w:r>
      <w:r>
        <w:rPr>
          <w:rFonts w:ascii="Arial" w:cs="Arial" w:eastAsia="Arial" w:hAnsi="Arial"/>
          <w:sz w:val="16"/>
          <w:szCs w:val="16"/>
          <w:b w:val="1"/>
          <w:bCs w:val="1"/>
          <w:color w:val="auto"/>
        </w:rPr>
        <w:t xml:space="preserve"> </w:t>
      </w:r>
      <w:r>
        <w:rPr>
          <w:rFonts w:ascii="Arial" w:cs="Arial" w:eastAsia="Arial" w:hAnsi="Arial"/>
          <w:sz w:val="16"/>
          <w:szCs w:val="16"/>
          <w:color w:val="auto"/>
        </w:rPr>
        <w:t>If no such general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shall be called and if no such person shall have been appointed, any person or persons holding, in the aggregate, at least five percent of the outstanding shares of </w:t>
      </w:r>
      <w:r>
        <w:rPr>
          <w:rFonts w:ascii="Arial" w:cs="Arial" w:eastAsia="Arial" w:hAnsi="Arial"/>
          <w:sz w:val="16"/>
          <w:szCs w:val="16"/>
          <w:b w:val="1"/>
          <w:bCs w:val="1"/>
          <w:u w:val="single" w:color="auto"/>
          <w:color w:val="auto"/>
        </w:rPr>
        <w:t>common</w:t>
      </w:r>
      <w:r>
        <w:rPr>
          <w:rFonts w:ascii="Arial" w:cs="Arial" w:eastAsia="Arial" w:hAnsi="Arial"/>
          <w:sz w:val="16"/>
          <w:szCs w:val="16"/>
          <w:color w:val="auto"/>
        </w:rPr>
        <w:t xml:space="preserve"> stock of the Company may call a general meeting of stockholders for the purpose of electing a Board of Directors.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u w:val="single" w:color="auto"/>
          <w:color w:val="auto"/>
        </w:rPr>
        <w:t>Committees</w:t>
      </w:r>
    </w:p>
    <w:p>
      <w:pPr>
        <w:spacing w:after="0" w:line="83" w:lineRule="exact"/>
        <w:rPr>
          <w:sz w:val="20"/>
          <w:szCs w:val="20"/>
          <w:color w:val="auto"/>
        </w:rPr>
      </w:pPr>
    </w:p>
    <w:p>
      <w:pPr>
        <w:ind w:firstLine="8"/>
        <w:spacing w:after="0" w:line="288"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telegram</w:t>
      </w:r>
      <w:r>
        <w:rPr>
          <w:rFonts w:ascii="Arial" w:cs="Arial" w:eastAsia="Arial" w:hAnsi="Arial"/>
          <w:sz w:val="16"/>
          <w:szCs w:val="16"/>
          <w:color w:val="auto"/>
          <w:strike w:val="1"/>
        </w:rPr>
        <w:t>, cable, telex</w:t>
      </w:r>
      <w:r>
        <w:rPr>
          <w:rFonts w:ascii="Arial" w:cs="Arial" w:eastAsia="Arial" w:hAnsi="Arial"/>
          <w:sz w:val="16"/>
          <w:szCs w:val="16"/>
          <w:color w:val="auto"/>
        </w:rPr>
        <w:t>,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106"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shall have power at any time to change the members of any committee, to fill vacancies thereon, and to discharge any committee.</w:t>
      </w:r>
    </w:p>
    <w:p>
      <w:pPr>
        <w:spacing w:after="0" w:line="174" w:lineRule="exact"/>
        <w:rPr>
          <w:rFonts w:ascii="Arial" w:cs="Arial" w:eastAsia="Arial" w:hAnsi="Arial"/>
          <w:sz w:val="16"/>
          <w:szCs w:val="16"/>
          <w:color w:val="auto"/>
        </w:rPr>
      </w:pPr>
    </w:p>
    <w:p>
      <w:pPr>
        <w:ind w:right="860" w:firstLine="8"/>
        <w:spacing w:after="0" w:line="275" w:lineRule="auto"/>
        <w:tabs>
          <w:tab w:leader="none" w:pos="2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shall have a standing Audit Committee, Compensation Committee, Finance Committee and</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Nominating </w:t>
      </w:r>
      <w:r>
        <w:rPr>
          <w:rFonts w:ascii="Arial" w:cs="Arial" w:eastAsia="Arial" w:hAnsi="Arial"/>
          <w:sz w:val="18"/>
          <w:szCs w:val="18"/>
          <w:b w:val="1"/>
          <w:bCs w:val="1"/>
          <w:u w:val="single" w:color="auto"/>
          <w:color w:val="auto"/>
        </w:rPr>
        <w:t>and Governance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Committee and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112" w:lineRule="exact"/>
        <w:rPr>
          <w:rFonts w:ascii="Arial" w:cs="Arial" w:eastAsia="Arial" w:hAnsi="Arial"/>
          <w:sz w:val="18"/>
          <w:szCs w:val="18"/>
          <w:color w:val="auto"/>
        </w:rPr>
      </w:pPr>
    </w:p>
    <w:p>
      <w:pPr>
        <w:ind w:right="8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shall adopt a charter for each committee for regulating the conduct of its affairs. Such charters must be consistent with these By-Laws and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-588010</wp:posOffset>
            </wp:positionV>
            <wp:extent cx="188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2.8 </w:t>
      </w:r>
      <w:r>
        <w:rPr>
          <w:rFonts w:ascii="Arial" w:cs="Arial" w:eastAsia="Arial" w:hAnsi="Arial"/>
          <w:sz w:val="18"/>
          <w:szCs w:val="18"/>
          <w:b w:val="1"/>
          <w:bCs w:val="1"/>
          <w:u w:val="single" w:color="auto"/>
          <w:color w:val="auto"/>
        </w:rPr>
        <w:t>Certain Claims Involving Directors</w:t>
      </w:r>
    </w:p>
    <w:p>
      <w:pPr>
        <w:spacing w:after="0" w:line="8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the Board of Directors receives a written demand by a stockholder requesting the Board of Directors to bring a legal claim on behalf of the Company against one or more directors of the Company for breach of a director’s duty to the Company under applicable law, and if the demand gives notice to the Board of Directors, of evidence of the facts necessary to support each of the claims made therein, the Board of Directors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of Directors:</w:t>
      </w:r>
    </w:p>
    <w:p>
      <w:pPr>
        <w:spacing w:after="0" w:line="21" w:lineRule="exact"/>
        <w:rPr>
          <w:sz w:val="20"/>
          <w:szCs w:val="20"/>
          <w:color w:val="auto"/>
        </w:rPr>
      </w:pPr>
    </w:p>
    <w:p>
      <w:pPr>
        <w:ind w:left="900" w:right="1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(3) below, and if any of the directors interested in a claim is an officer of the Company, no director who is an officer of the Company shall participate other than as described in clause (3).</w:t>
      </w:r>
    </w:p>
    <w:p>
      <w:pPr>
        <w:spacing w:after="0" w:line="45"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ARTICLE Ill</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OFFICERS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officers of the Company shall be elected </w:t>
      </w:r>
      <w:r>
        <w:rPr>
          <w:rFonts w:ascii="Arial" w:cs="Arial" w:eastAsia="Arial" w:hAnsi="Arial"/>
          <w:sz w:val="16"/>
          <w:szCs w:val="16"/>
          <w:b w:val="1"/>
          <w:bCs w:val="1"/>
          <w:u w:val="single" w:color="auto"/>
          <w:color w:val="auto"/>
        </w:rPr>
        <w:t>or appointed</w:t>
      </w:r>
      <w:r>
        <w:rPr>
          <w:rFonts w:ascii="Arial" w:cs="Arial" w:eastAsia="Arial" w:hAnsi="Arial"/>
          <w:sz w:val="16"/>
          <w:szCs w:val="16"/>
          <w:color w:val="auto"/>
        </w:rPr>
        <w:t xml:space="preserve"> by the Board of Directors and shall be a Chairman, a Chief Executive Officer, a Secretary and a Treasurer. The Board of Directors from time to time may also elect or appoint a Chief Financial Officer, a President, a Vice Chairman of the Board of Directors,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other than the Chairman and the Vice Chairman may but need not be directors. The Board of Directors may designate an officer or officers to be the Chief Financial Officer and the Chief Accounting Officer of the Company. Two or more offices may be held by the same person, provided, however, that no officer shall execute, acknowledge or verify any instrument in more than one capacity if such instrument is required by law or by these By-Laws to be executed,</w:t>
      </w:r>
    </w:p>
    <w:p>
      <w:pPr>
        <w:sectPr>
          <w:pgSz w:w="11900" w:h="16838" w:orient="portrait"/>
          <w:cols w:equalWidth="0" w:num="1">
            <w:col w:w="11380"/>
          </w:cols>
          <w:pgMar w:left="240" w:top="274" w:right="279" w:bottom="1440" w:gutter="0" w:footer="0" w:header="0"/>
        </w:sectPr>
      </w:pPr>
    </w:p>
    <w:bookmarkStart w:id="27" w:name="page28"/>
    <w:bookmarkEnd w:id="2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election of their successors or until the elimination of such offices or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Chairman</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Chairman shall preside at all meetings of the Board, and shall exercise such other powers and discharge such other responsibilities as may be assigned by the Board of Directors. </w:t>
      </w:r>
      <w:r>
        <w:rPr>
          <w:rFonts w:ascii="Arial" w:cs="Arial" w:eastAsia="Arial" w:hAnsi="Arial"/>
          <w:sz w:val="18"/>
          <w:szCs w:val="18"/>
          <w:color w:val="auto"/>
          <w:strike w:val="1"/>
        </w:rPr>
        <w:t>The Chairman shall have the power to sign certificates of stock of the Company.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Vice Chairman</w:t>
      </w:r>
    </w:p>
    <w:p>
      <w:pPr>
        <w:spacing w:after="0" w:line="8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Board of Directors may, from time to time, designate a director of the Company to be Vice Chairman. The Vice Chairman shall perform such duties as may be assigned by the Chairman or by the Board of Directors, and shall, in the absence or disability of the Chairman, act for the Chairman.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b w:val="1"/>
          <w:bCs w:val="1"/>
          <w:u w:val="single" w:color="auto"/>
          <w:color w:val="auto"/>
        </w:rPr>
        <w:t>Chief Executive Officer</w:t>
      </w:r>
    </w:p>
    <w:p>
      <w:pPr>
        <w:spacing w:after="0" w:line="8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Board of Directors shall at least annually elect or appoint a Chief Executive Officer of the Company. The Chief Executive Officer shall have general executive powers and overall responsibility for the management of the business of the Company.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President</w:t>
      </w:r>
    </w:p>
    <w:p>
      <w:pPr>
        <w:spacing w:after="0" w:line="77" w:lineRule="exact"/>
        <w:rPr>
          <w:sz w:val="20"/>
          <w:szCs w:val="20"/>
          <w:color w:val="auto"/>
        </w:rPr>
      </w:pPr>
    </w:p>
    <w:p>
      <w:pPr>
        <w:spacing w:after="0" w:line="37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u w:val="single" w:color="auto"/>
          <w:color w:val="auto"/>
        </w:rPr>
        <w:t>Board of Directors may, from time to time, designate an officer to the Company to be the President of the Company. The</w:t>
      </w:r>
      <w:r>
        <w:rPr>
          <w:rFonts w:ascii="Arial" w:cs="Arial" w:eastAsia="Arial" w:hAnsi="Arial"/>
          <w:sz w:val="15"/>
          <w:szCs w:val="15"/>
          <w:color w:val="auto"/>
        </w:rPr>
        <w:t xml:space="preserve"> President shall exercise such powers and discharge such responsibilities as may be assigned by the Board of Directors</w:t>
      </w:r>
      <w:r>
        <w:rPr>
          <w:rFonts w:ascii="Arial" w:cs="Arial" w:eastAsia="Arial" w:hAnsi="Arial"/>
          <w:sz w:val="15"/>
          <w:szCs w:val="15"/>
          <w:color w:val="auto"/>
          <w:strike w:val="1"/>
        </w:rPr>
        <w:t>, and shall have the power to sign certificates of stock of the Company.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b w:val="1"/>
          <w:bCs w:val="1"/>
          <w:u w:val="single" w:color="auto"/>
          <w:color w:val="auto"/>
        </w:rPr>
        <w:t>Chief Operating Officer</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Board of Directors may, from time to time, designate an officer of the Company to be the Chief Operating Officer of the Company. The Chief Operating Officer shall have general executive powers and responsibility for the management of the operations of the Company.</w:t>
      </w:r>
    </w:p>
    <w:p>
      <w:pPr>
        <w:sectPr>
          <w:pgSz w:w="11900" w:h="16838" w:orient="portrait"/>
          <w:cols w:equalWidth="0" w:num="1">
            <w:col w:w="11380"/>
          </w:cols>
          <w:pgMar w:left="240" w:top="280" w:right="27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3.7 </w:t>
      </w:r>
      <w:r>
        <w:rPr>
          <w:rFonts w:ascii="Arial" w:cs="Arial" w:eastAsia="Arial" w:hAnsi="Arial"/>
          <w:sz w:val="18"/>
          <w:szCs w:val="18"/>
          <w:b w:val="1"/>
          <w:bCs w:val="1"/>
          <w:u w:val="single" w:color="auto"/>
          <w:color w:val="auto"/>
        </w:rPr>
        <w:t>Chief Financial Officer</w:t>
      </w:r>
    </w:p>
    <w:p>
      <w:pPr>
        <w:spacing w:after="0" w:line="77"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b w:val="1"/>
          <w:bCs w:val="1"/>
          <w:u w:val="single" w:color="auto"/>
          <w:color w:val="auto"/>
        </w:rPr>
        <w:t>The Board of Directors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usually appertaining to the officer of chief financial officer of a company.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 xml:space="preserve">SECTION </w:t>
      </w:r>
      <w:r>
        <w:rPr>
          <w:rFonts w:ascii="Arial" w:cs="Arial" w:eastAsia="Arial" w:hAnsi="Arial"/>
          <w:sz w:val="18"/>
          <w:szCs w:val="18"/>
          <w:b w:val="1"/>
          <w:bCs w:val="1"/>
          <w:u w:val="single" w:color="auto"/>
          <w:color w:val="auto"/>
        </w:rPr>
        <w:t>3.8 Vice Presidents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of Directors, the Chairman, the Vice Chairman or the Chief Executive Officer.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auto"/>
          <w:strike w:val="1"/>
        </w:rPr>
        <w:t>3.8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3.9 Secretary</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Secretary shall attend to the giving of notice of all meetings of stockholders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auto"/>
          <w:strike w:val="1"/>
        </w:rPr>
        <w:t>3.9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3.10 Treasurer</w:t>
      </w:r>
    </w:p>
    <w:p>
      <w:pPr>
        <w:spacing w:after="0" w:line="8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 xml:space="preserve">SECTION 3.10 </w:t>
      </w:r>
      <w:r>
        <w:rPr>
          <w:rFonts w:ascii="Arial" w:cs="Arial" w:eastAsia="Arial" w:hAnsi="Arial"/>
          <w:sz w:val="18"/>
          <w:szCs w:val="18"/>
          <w:b w:val="1"/>
          <w:bCs w:val="1"/>
          <w:color w:val="auto"/>
          <w:strike w:val="1"/>
        </w:rPr>
        <w:t>Controller</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strike w:val="1"/>
        </w:rPr>
        <w:t>The Controller shall be in charge of the books of account and accounting records of the Company and of its accounting procedures. The Controller shall render an account of the funds of the Company whenever required so to do by the Board of</w:t>
      </w:r>
    </w:p>
    <w:p>
      <w:pPr>
        <w:sectPr>
          <w:pgSz w:w="11900" w:h="16838" w:orient="portrait"/>
          <w:cols w:equalWidth="0" w:num="1">
            <w:col w:w="11380"/>
          </w:cols>
          <w:pgMar w:left="240" w:top="274" w:right="279" w:bottom="1440" w:gutter="0" w:footer="0" w:header="0"/>
        </w:sectPr>
      </w:pPr>
    </w:p>
    <w:bookmarkStart w:id="29" w:name="page30"/>
    <w:bookmarkEnd w:id="29"/>
    <w:p>
      <w:pPr>
        <w:ind w:right="4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the Chairman, the Vice Chairman, or the President, and shall generally perform all of the duties usually appertaining to the office of controller of a company. In the absence of the Controller, or if the office is vacant, an Assistant Controller shall perform the duties of the Controller, unless otherwise decided by the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b w:val="1"/>
          <w:bCs w:val="1"/>
          <w:u w:val="single" w:color="auto"/>
          <w:color w:val="auto"/>
        </w:rPr>
        <w:t>Salaries</w:t>
      </w:r>
    </w:p>
    <w:p>
      <w:pPr>
        <w:spacing w:after="0" w:line="8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salaries of the officers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u w:val="single" w:color="auto"/>
          <w:color w:val="auto"/>
        </w:rPr>
        <w:t>Checks. Notes. etc.</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Every stockholder shall be entitled to a certificate representing the stockholder’s shares. A Register shall be kept by the Board of Directors or by a Registrar designated thereto by the Board of Directors. Each entry shall mention the name and </w:t>
      </w:r>
      <w:r>
        <w:rPr>
          <w:rFonts w:ascii="Arial" w:cs="Arial" w:eastAsia="Arial" w:hAnsi="Arial"/>
          <w:sz w:val="16"/>
          <w:szCs w:val="16"/>
          <w:color w:val="auto"/>
          <w:strike w:val="1"/>
        </w:rPr>
        <w:t>residence</w:t>
      </w:r>
      <w:r>
        <w:rPr>
          <w:rFonts w:ascii="Arial" w:cs="Arial" w:eastAsia="Arial" w:hAnsi="Arial"/>
          <w:sz w:val="16"/>
          <w:szCs w:val="16"/>
          <w:b w:val="1"/>
          <w:bCs w:val="1"/>
          <w:u w:val="single" w:color="auto"/>
          <w:color w:val="auto"/>
        </w:rPr>
        <w:t>address</w:t>
      </w:r>
      <w:r>
        <w:rPr>
          <w:rFonts w:ascii="Arial" w:cs="Arial" w:eastAsia="Arial" w:hAnsi="Arial"/>
          <w:sz w:val="16"/>
          <w:szCs w:val="16"/>
          <w:color w:val="auto"/>
        </w:rPr>
        <w:t xml:space="preserve"> of the stockholder, </w:t>
      </w:r>
      <w:r>
        <w:rPr>
          <w:rFonts w:ascii="Arial" w:cs="Arial" w:eastAsia="Arial" w:hAnsi="Arial"/>
          <w:sz w:val="16"/>
          <w:szCs w:val="16"/>
          <w:color w:val="auto"/>
          <w:strike w:val="1"/>
        </w:rPr>
        <w:t>and</w:t>
      </w:r>
      <w:r>
        <w:rPr>
          <w:rFonts w:ascii="Arial" w:cs="Arial" w:eastAsia="Arial" w:hAnsi="Arial"/>
          <w:sz w:val="16"/>
          <w:szCs w:val="16"/>
          <w:color w:val="auto"/>
        </w:rPr>
        <w:t xml:space="preserve"> the </w:t>
      </w:r>
      <w:r>
        <w:rPr>
          <w:rFonts w:ascii="Arial" w:cs="Arial" w:eastAsia="Arial" w:hAnsi="Arial"/>
          <w:sz w:val="16"/>
          <w:szCs w:val="16"/>
          <w:color w:val="auto"/>
          <w:strike w:val="1"/>
        </w:rPr>
        <w:t>quantity</w:t>
      </w:r>
      <w:r>
        <w:rPr>
          <w:rFonts w:ascii="Arial" w:cs="Arial" w:eastAsia="Arial" w:hAnsi="Arial"/>
          <w:sz w:val="16"/>
          <w:szCs w:val="16"/>
          <w:b w:val="1"/>
          <w:bCs w:val="1"/>
          <w:u w:val="single" w:color="auto"/>
          <w:color w:val="auto"/>
        </w:rPr>
        <w:t>number of shares held</w:t>
      </w:r>
      <w:r>
        <w:rPr>
          <w:rFonts w:ascii="Arial" w:cs="Arial" w:eastAsia="Arial" w:hAnsi="Arial"/>
          <w:sz w:val="16"/>
          <w:szCs w:val="16"/>
          <w:color w:val="auto"/>
        </w:rPr>
        <w:t xml:space="preserve"> and </w:t>
      </w:r>
      <w:r>
        <w:rPr>
          <w:rFonts w:ascii="Arial" w:cs="Arial" w:eastAsia="Arial" w:hAnsi="Arial"/>
          <w:sz w:val="16"/>
          <w:szCs w:val="16"/>
          <w:b w:val="1"/>
          <w:bCs w:val="1"/>
          <w:color w:val="auto"/>
        </w:rPr>
        <w:t>the</w:t>
      </w:r>
      <w:r>
        <w:rPr>
          <w:rFonts w:ascii="Arial" w:cs="Arial" w:eastAsia="Arial" w:hAnsi="Arial"/>
          <w:sz w:val="16"/>
          <w:szCs w:val="16"/>
          <w:color w:val="auto"/>
        </w:rPr>
        <w:t xml:space="preserve"> numbers of the share certificates </w:t>
      </w:r>
      <w:r>
        <w:rPr>
          <w:rFonts w:ascii="Arial" w:cs="Arial" w:eastAsia="Arial" w:hAnsi="Arial"/>
          <w:sz w:val="16"/>
          <w:szCs w:val="16"/>
          <w:b w:val="1"/>
          <w:bCs w:val="1"/>
          <w:color w:val="auto"/>
        </w:rPr>
        <w:t>and such other information required to be included under Article 2:109 of the Civil Code of the Netherlands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Antilles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 shall not be open for inspection by third parties or stockholders with respect to shares other than those registered in their name, except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Every transfer and devolution of a share shall be entered in the Register and every such entry shall be signed or otherwise acknowledged by or on behalf of the Board of Directors or by the Registrar. Each certificate shall be signed by the Chairman or the Vice Chairman or the President or any Vice President and by the Secretary</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Assistant Secretary</w:t>
      </w:r>
      <w:r>
        <w:rPr>
          <w:rFonts w:ascii="Arial" w:cs="Arial" w:eastAsia="Arial" w:hAnsi="Arial"/>
          <w:sz w:val="16"/>
          <w:szCs w:val="16"/>
          <w:color w:val="auto"/>
        </w:rPr>
        <w:t xml:space="preserve"> or the Treasurer, and bear the corporate seal or a facsimile thereof, certifying the number of shares owned by the stockholder in the Company; provided that, where such certificate is countersigned by a Registrar other than the Company, the signatures of the officers of the Company and the Registrar on such certificate may be a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-1139825</wp:posOffset>
            </wp:positionV>
            <wp:extent cx="68141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418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Lost Certificates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case any certificate of stock shall be lost, stolen or destroyed, the Board of Directors </w:t>
      </w:r>
      <w:r>
        <w:rPr>
          <w:rFonts w:ascii="Arial" w:cs="Arial" w:eastAsia="Arial" w:hAnsi="Arial"/>
          <w:sz w:val="18"/>
          <w:szCs w:val="18"/>
          <w:b w:val="1"/>
          <w:bCs w:val="1"/>
          <w:color w:val="auto"/>
        </w:rPr>
        <w:t>or the Registrar</w:t>
      </w:r>
      <w:r>
        <w:rPr>
          <w:rFonts w:ascii="Arial" w:cs="Arial" w:eastAsia="Arial" w:hAnsi="Arial"/>
          <w:sz w:val="18"/>
          <w:szCs w:val="18"/>
          <w:color w:val="auto"/>
        </w:rPr>
        <w:t>, in its discretion, may authorize the issue of a substitute certificate in place of the certificate of stock so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-579755</wp:posOffset>
            </wp:positionV>
            <wp:extent cx="789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9305"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strike w:val="1"/>
        </w:rPr>
        <w:t>The</w:t>
      </w:r>
      <w:r>
        <w:rPr>
          <w:rFonts w:ascii="Arial" w:cs="Arial" w:eastAsia="Arial" w:hAnsi="Arial"/>
          <w:sz w:val="16"/>
          <w:szCs w:val="16"/>
          <w:b w:val="1"/>
          <w:bCs w:val="1"/>
          <w:u w:val="single" w:color="auto"/>
          <w:color w:val="auto"/>
        </w:rPr>
        <w:t>To the fullest extent permitted by applicable law, the</w:t>
      </w:r>
      <w:r>
        <w:rPr>
          <w:rFonts w:ascii="Arial" w:cs="Arial" w:eastAsia="Arial" w:hAnsi="Arial"/>
          <w:sz w:val="16"/>
          <w:szCs w:val="16"/>
          <w:color w:val="auto"/>
        </w:rPr>
        <w:t xml:space="preserve"> Company shall </w:t>
      </w:r>
      <w:r>
        <w:rPr>
          <w:rFonts w:ascii="Arial" w:cs="Arial" w:eastAsia="Arial" w:hAnsi="Arial"/>
          <w:sz w:val="16"/>
          <w:szCs w:val="16"/>
          <w:color w:val="auto"/>
          <w:strike w:val="1"/>
        </w:rPr>
        <w:t>have the power to</w:t>
      </w:r>
      <w:r>
        <w:rPr>
          <w:rFonts w:ascii="Arial" w:cs="Arial" w:eastAsia="Arial" w:hAnsi="Arial"/>
          <w:sz w:val="16"/>
          <w:szCs w:val="16"/>
          <w:color w:val="auto"/>
        </w:rPr>
        <w:t xml:space="preserve"> indemnify any </w:t>
      </w:r>
      <w:r>
        <w:rPr>
          <w:rFonts w:ascii="Arial" w:cs="Arial" w:eastAsia="Arial" w:hAnsi="Arial"/>
          <w:sz w:val="16"/>
          <w:szCs w:val="16"/>
          <w:color w:val="auto"/>
          <w:strike w:val="1"/>
        </w:rPr>
        <w:t>person</w:t>
      </w:r>
      <w:r>
        <w:rPr>
          <w:rFonts w:ascii="Arial" w:cs="Arial" w:eastAsia="Arial" w:hAnsi="Arial"/>
          <w:sz w:val="16"/>
          <w:szCs w:val="16"/>
          <w:b w:val="1"/>
          <w:bCs w:val="1"/>
          <w:u w:val="single" w:color="auto"/>
          <w:color w:val="auto"/>
        </w:rPr>
        <w:t>current or former, director or officer</w:t>
      </w:r>
      <w:r>
        <w:rPr>
          <w:rFonts w:ascii="Arial" w:cs="Arial" w:eastAsia="Arial" w:hAnsi="Arial"/>
          <w:sz w:val="16"/>
          <w:szCs w:val="16"/>
          <w:color w:val="auto"/>
        </w:rPr>
        <w:t xml:space="preserve">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officer, </w:t>
      </w:r>
      <w:r>
        <w:rPr>
          <w:rFonts w:ascii="Arial" w:cs="Arial" w:eastAsia="Arial" w:hAnsi="Arial"/>
          <w:sz w:val="16"/>
          <w:szCs w:val="16"/>
          <w:color w:val="auto"/>
          <w:strike w:val="1"/>
        </w:rPr>
        <w:t>employee or agent</w:t>
      </w:r>
      <w:r>
        <w:rPr>
          <w:rFonts w:ascii="Arial" w:cs="Arial" w:eastAsia="Arial" w:hAnsi="Arial"/>
          <w:sz w:val="16"/>
          <w:szCs w:val="16"/>
          <w:color w:val="auto"/>
        </w:rPr>
        <w:t xml:space="preserve">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w:t>
      </w:r>
    </w:p>
    <w:p>
      <w:pPr>
        <w:sectPr>
          <w:pgSz w:w="11900" w:h="16838" w:orient="portrait"/>
          <w:cols w:equalWidth="0" w:num="1">
            <w:col w:w="11400"/>
          </w:cols>
          <w:pgMar w:left="240" w:top="280" w:right="25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respect to any criminal action or proceeding, had reasonable cause to believe that such person’s conduct was unlawful. The Company shall indemnify any present or former officer or director of the Company to the fullest extent allowed by the preceding provisions of this Section 5.1 in the event of a “Change of Control”. “Change </w:t>
      </w:r>
      <w:r>
        <w:rPr>
          <w:rFonts w:ascii="Arial" w:cs="Arial" w:eastAsia="Arial" w:hAnsi="Arial"/>
          <w:sz w:val="16"/>
          <w:szCs w:val="16"/>
          <w:color w:val="auto"/>
          <w:strike w:val="1"/>
        </w:rPr>
        <w:t>in</w:t>
      </w:r>
      <w:r>
        <w:rPr>
          <w:rFonts w:ascii="Arial" w:cs="Arial" w:eastAsia="Arial" w:hAnsi="Arial"/>
          <w:sz w:val="16"/>
          <w:szCs w:val="16"/>
          <w:b w:val="1"/>
          <w:bCs w:val="1"/>
          <w:u w:val="single" w:color="auto"/>
          <w:color w:val="auto"/>
        </w:rPr>
        <w:t>of</w:t>
      </w:r>
      <w:r>
        <w:rPr>
          <w:rFonts w:ascii="Arial" w:cs="Arial" w:eastAsia="Arial" w:hAnsi="Arial"/>
          <w:sz w:val="16"/>
          <w:szCs w:val="16"/>
          <w:color w:val="auto"/>
        </w:rPr>
        <w:t xml:space="preserve">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u w:val="single" w:color="auto"/>
          <w:color w:val="auto"/>
        </w:rPr>
        <w:t>Indemnification In Actions by or in the Right of the Company</w:t>
      </w:r>
    </w:p>
    <w:p>
      <w:pPr>
        <w:spacing w:after="0" w:line="7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strike w:val="1"/>
        </w:rPr>
        <w:t>The</w:t>
      </w:r>
      <w:r>
        <w:rPr>
          <w:rFonts w:ascii="Arial" w:cs="Arial" w:eastAsia="Arial" w:hAnsi="Arial"/>
          <w:sz w:val="15"/>
          <w:szCs w:val="15"/>
          <w:b w:val="1"/>
          <w:bCs w:val="1"/>
          <w:u w:val="single" w:color="auto"/>
          <w:color w:val="auto"/>
        </w:rPr>
        <w:t>To the fullest extent permitted by applicable law, the</w:t>
      </w:r>
      <w:r>
        <w:rPr>
          <w:rFonts w:ascii="Arial" w:cs="Arial" w:eastAsia="Arial" w:hAnsi="Arial"/>
          <w:sz w:val="15"/>
          <w:szCs w:val="15"/>
          <w:color w:val="auto"/>
        </w:rPr>
        <w:t xml:space="preserve"> Company shall </w:t>
      </w:r>
      <w:r>
        <w:rPr>
          <w:rFonts w:ascii="Arial" w:cs="Arial" w:eastAsia="Arial" w:hAnsi="Arial"/>
          <w:sz w:val="15"/>
          <w:szCs w:val="15"/>
          <w:color w:val="auto"/>
          <w:strike w:val="1"/>
        </w:rPr>
        <w:t>have the power to</w:t>
      </w:r>
      <w:r>
        <w:rPr>
          <w:rFonts w:ascii="Arial" w:cs="Arial" w:eastAsia="Arial" w:hAnsi="Arial"/>
          <w:sz w:val="15"/>
          <w:szCs w:val="15"/>
          <w:color w:val="auto"/>
        </w:rPr>
        <w:t xml:space="preserve"> indemnify any </w:t>
      </w:r>
      <w:r>
        <w:rPr>
          <w:rFonts w:ascii="Arial" w:cs="Arial" w:eastAsia="Arial" w:hAnsi="Arial"/>
          <w:sz w:val="15"/>
          <w:szCs w:val="15"/>
          <w:color w:val="auto"/>
          <w:strike w:val="1"/>
        </w:rPr>
        <w:t>person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current or former, director or officer</w:t>
      </w:r>
      <w:r>
        <w:rPr>
          <w:rFonts w:ascii="Arial" w:cs="Arial" w:eastAsia="Arial" w:hAnsi="Arial"/>
          <w:sz w:val="15"/>
          <w:szCs w:val="15"/>
          <w:color w:val="auto"/>
        </w:rPr>
        <w:t xml:space="preserve">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w:t>
      </w:r>
      <w:r>
        <w:rPr>
          <w:rFonts w:ascii="Arial" w:cs="Arial" w:eastAsia="Arial" w:hAnsi="Arial"/>
          <w:sz w:val="15"/>
          <w:szCs w:val="15"/>
          <w:color w:val="auto"/>
          <w:strike w:val="1"/>
        </w:rPr>
        <w:t>in</w:t>
      </w:r>
      <w:r>
        <w:rPr>
          <w:rFonts w:ascii="Arial" w:cs="Arial" w:eastAsia="Arial" w:hAnsi="Arial"/>
          <w:sz w:val="15"/>
          <w:szCs w:val="15"/>
          <w:b w:val="1"/>
          <w:bCs w:val="1"/>
          <w:u w:val="single" w:color="auto"/>
          <w:color w:val="auto"/>
        </w:rPr>
        <w:t>of</w:t>
      </w:r>
      <w:r>
        <w:rPr>
          <w:rFonts w:ascii="Arial" w:cs="Arial" w:eastAsia="Arial" w:hAnsi="Arial"/>
          <w:sz w:val="15"/>
          <w:szCs w:val="15"/>
          <w:color w:val="auto"/>
        </w:rPr>
        <w:t xml:space="preserve"> Control, as defined in Section 5.1.</w:t>
      </w:r>
    </w:p>
    <w:p>
      <w:pPr>
        <w:sectPr>
          <w:pgSz w:w="11900" w:h="16838" w:orient="portrait"/>
          <w:cols w:equalWidth="0" w:num="1">
            <w:col w:w="11360"/>
          </w:cols>
          <w:pgMar w:left="240" w:top="280" w:right="299" w:bottom="1440" w:gutter="0" w:footer="0" w:header="0"/>
        </w:sectPr>
      </w:pPr>
    </w:p>
    <w:bookmarkStart w:id="32" w:name="page33"/>
    <w:bookmarkEnd w:id="32"/>
    <w:p>
      <w:pPr>
        <w:ind w:left="460"/>
        <w:spacing w:after="0"/>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5.3 </w:t>
      </w:r>
      <w:r>
        <w:rPr>
          <w:rFonts w:ascii="Arial" w:cs="Arial" w:eastAsia="Arial" w:hAnsi="Arial"/>
          <w:sz w:val="16"/>
          <w:szCs w:val="16"/>
          <w:b w:val="1"/>
          <w:bCs w:val="1"/>
          <w:color w:val="auto"/>
          <w:strike w:val="1"/>
        </w:rPr>
        <w:t>Indemnification against Expenses</w:t>
      </w:r>
      <w:r>
        <w:rPr>
          <w:rFonts w:ascii="Arial" w:cs="Arial" w:eastAsia="Arial" w:hAnsi="Arial"/>
          <w:sz w:val="16"/>
          <w:szCs w:val="16"/>
          <w:b w:val="1"/>
          <w:bCs w:val="1"/>
          <w:u w:val="single" w:color="auto"/>
          <w:color w:val="auto"/>
          <w:strike w:val="1"/>
        </w:rPr>
        <w:t>SECTION 5.3 Extension of Indemnification to Employees and Agents of the Company</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strike w:val="1"/>
        </w:rPr>
        <w:t>To the extent that a present or former director or officer of the Company has been successful on the merits or otherwise in defense of any action, suit or proceeding referred to in Sections 5.1 and 5.2, or in defense of any claim, issue or matter therein, such person shall be indemnified against expenses (including attorneys’ fees) actually and reasonably incurred by such person in connection therewith.</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 xml:space="preserve">SECTION 5.4 </w:t>
      </w:r>
      <w:r>
        <w:rPr>
          <w:rFonts w:ascii="Arial" w:cs="Arial" w:eastAsia="Arial" w:hAnsi="Arial"/>
          <w:sz w:val="18"/>
          <w:szCs w:val="18"/>
          <w:b w:val="1"/>
          <w:bCs w:val="1"/>
          <w:color w:val="auto"/>
          <w:strike w:val="1"/>
        </w:rPr>
        <w:t>Determination of Indemnification</w:t>
      </w:r>
    </w:p>
    <w:p>
      <w:pPr>
        <w:spacing w:after="0" w:line="7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Any indemnification under Sections 5.1 and 5.2 (unless ordered by a court) </w:t>
      </w:r>
      <w:r>
        <w:rPr>
          <w:rFonts w:ascii="Arial" w:cs="Arial" w:eastAsia="Arial" w:hAnsi="Arial"/>
          <w:sz w:val="18"/>
          <w:szCs w:val="18"/>
          <w:color w:val="auto"/>
          <w:strike w:val="1"/>
        </w:rPr>
        <w:t>shall be made by</w:t>
      </w:r>
      <w:r>
        <w:rPr>
          <w:rFonts w:ascii="Arial" w:cs="Arial" w:eastAsia="Arial" w:hAnsi="Arial"/>
          <w:sz w:val="18"/>
          <w:szCs w:val="18"/>
          <w:b w:val="1"/>
          <w:bCs w:val="1"/>
          <w:u w:val="single" w:color="auto"/>
          <w:color w:val="auto"/>
        </w:rPr>
        <w:t>may be extended to current or former employees or agents of</w:t>
      </w:r>
      <w:r>
        <w:rPr>
          <w:rFonts w:ascii="Arial" w:cs="Arial" w:eastAsia="Arial" w:hAnsi="Arial"/>
          <w:sz w:val="18"/>
          <w:szCs w:val="18"/>
          <w:color w:val="auto"/>
        </w:rPr>
        <w:t xml:space="preserve"> the Company only as authorized </w:t>
      </w:r>
      <w:r>
        <w:rPr>
          <w:rFonts w:ascii="Arial" w:cs="Arial" w:eastAsia="Arial" w:hAnsi="Arial"/>
          <w:sz w:val="18"/>
          <w:szCs w:val="18"/>
          <w:b w:val="1"/>
          <w:bCs w:val="1"/>
          <w:color w:val="auto"/>
        </w:rPr>
        <w:t>by the Chief Executive Officer or</w:t>
      </w:r>
      <w:r>
        <w:rPr>
          <w:rFonts w:ascii="Arial" w:cs="Arial" w:eastAsia="Arial" w:hAnsi="Arial"/>
          <w:sz w:val="18"/>
          <w:szCs w:val="18"/>
          <w:color w:val="auto"/>
        </w:rPr>
        <w:t xml:space="preserve"> by contract approved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or by-laws, resolution or other action adopted or taken, by the Board of Directors or by the stockholders </w:t>
      </w:r>
      <w:r>
        <w:rPr>
          <w:rFonts w:ascii="Arial" w:cs="Arial" w:eastAsia="Arial" w:hAnsi="Arial"/>
          <w:sz w:val="18"/>
          <w:szCs w:val="18"/>
          <w:color w:val="auto"/>
          <w:strike w:val="1"/>
        </w:rPr>
        <w:t>or as required by the last sentences of Sections 5.1 and 5.2.</w:t>
      </w: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-172085</wp:posOffset>
            </wp:positionV>
            <wp:extent cx="1603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SECTION 5.5</w:t>
      </w:r>
      <w:r>
        <w:rPr>
          <w:rFonts w:ascii="Arial" w:cs="Arial" w:eastAsia="Arial" w:hAnsi="Arial"/>
          <w:sz w:val="18"/>
          <w:szCs w:val="18"/>
          <w:b w:val="1"/>
          <w:bCs w:val="1"/>
          <w:u w:val="single" w:color="auto"/>
          <w:color w:val="auto"/>
          <w:strike w:val="1"/>
        </w:rPr>
        <w:t>SECTION 5.4 Advance of Reimbursement of Expenses and Undertaking</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auto"/>
          <w:strike w:val="1"/>
        </w:rPr>
        <w:t>5.6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5.5 Non-Exclusivity of By-Laws</w:t>
      </w:r>
    </w:p>
    <w:p>
      <w:pPr>
        <w:spacing w:after="0" w:line="83"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ectPr>
          <w:pgSz w:w="11900" w:h="16838" w:orient="portrait"/>
          <w:cols w:equalWidth="0" w:num="1">
            <w:col w:w="11400"/>
          </w:cols>
          <w:pgMar w:left="240" w:top="274" w:right="25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w:t>
      </w:r>
      <w:r>
        <w:rPr>
          <w:rFonts w:ascii="Arial" w:cs="Arial" w:eastAsia="Arial" w:hAnsi="Arial"/>
          <w:sz w:val="18"/>
          <w:szCs w:val="18"/>
          <w:color w:val="auto"/>
          <w:strike w:val="1"/>
        </w:rPr>
        <w:t>5.7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5.6 Insurance for Indemnification</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w:t>
      </w:r>
      <w:r>
        <w:rPr>
          <w:rFonts w:ascii="Arial" w:cs="Arial" w:eastAsia="Arial" w:hAnsi="Arial"/>
          <w:sz w:val="16"/>
          <w:szCs w:val="16"/>
          <w:b w:val="1"/>
          <w:bCs w:val="1"/>
          <w:u w:val="single" w:color="auto"/>
          <w:color w:val="auto"/>
        </w:rPr>
        <w:t>or entity</w:t>
      </w:r>
      <w:r>
        <w:rPr>
          <w:rFonts w:ascii="Arial" w:cs="Arial" w:eastAsia="Arial" w:hAnsi="Arial"/>
          <w:sz w:val="16"/>
          <w:szCs w:val="16"/>
          <w:color w:val="auto"/>
        </w:rPr>
        <w:t xml:space="preserve">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auto"/>
          <w:strike w:val="1"/>
        </w:rPr>
        <w:t>5.8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5.7 Definition of the Company</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For purposes of this Article V,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w:t>
      </w:r>
      <w:r>
        <w:rPr>
          <w:rFonts w:ascii="Arial" w:cs="Arial" w:eastAsia="Arial" w:hAnsi="Arial"/>
          <w:sz w:val="16"/>
          <w:szCs w:val="16"/>
          <w:b w:val="1"/>
          <w:bCs w:val="1"/>
          <w:u w:val="single" w:color="auto"/>
          <w:color w:val="auto"/>
        </w:rPr>
        <w:t>or entity</w:t>
      </w:r>
      <w:r>
        <w:rPr>
          <w:rFonts w:ascii="Arial" w:cs="Arial" w:eastAsia="Arial" w:hAnsi="Arial"/>
          <w:sz w:val="16"/>
          <w:szCs w:val="16"/>
          <w:color w:val="auto"/>
        </w:rPr>
        <w:t xml:space="preserve">, shall stand in the same position under the provisions of this Article V with respect to the resulting or surviving corporation </w:t>
      </w:r>
      <w:r>
        <w:rPr>
          <w:rFonts w:ascii="Arial" w:cs="Arial" w:eastAsia="Arial" w:hAnsi="Arial"/>
          <w:sz w:val="16"/>
          <w:szCs w:val="16"/>
          <w:b w:val="1"/>
          <w:bCs w:val="1"/>
          <w:u w:val="single" w:color="auto"/>
          <w:color w:val="auto"/>
        </w:rPr>
        <w:t>as such person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would have had with respect to such constituent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its separate existence had continued.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auto"/>
          <w:strike w:val="1"/>
        </w:rPr>
        <w:t>5.9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5.8 Other Definitions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5.9 Good Faith Reliance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A member of the Board of Directors, or a member of any committee designated by the Board of Directors,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of Directors, or by any other person as to matters the member reasonably believes are within such other person’s professional or expert competence and who has been selected with reasonable care by or on behalf of the Company.</w:t>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shall have a corporate seal which shall have inscribed thereon the name of the Company, the words, “Netherlands Antilles”, and the year of its organization.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Amendments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By-Laws may be altered, amended or repealed at any regular or special meeting of the Board of Directors,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ectPr>
          <w:pgSz w:w="11900" w:h="16838" w:orient="portrait"/>
          <w:cols w:equalWidth="0" w:num="1">
            <w:col w:w="11360"/>
          </w:cols>
          <w:pgMar w:left="240" w:top="274" w:right="2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w w:val="87"/>
              </w:rPr>
              <w:t>Exhibit 10.1</w:t>
            </w:r>
          </w:p>
        </w:tc>
      </w:tr>
      <w:tr>
        <w:trPr>
          <w:trHeight w:val="284"/>
        </w:trPr>
        <w:tc>
          <w:tcPr>
            <w:tcW w:w="9300" w:type="dxa"/>
            <w:vAlign w:val="bottom"/>
            <w:gridSpan w:val="3"/>
          </w:tcPr>
          <w:p>
            <w:pPr>
              <w:ind w:left="4280"/>
              <w:spacing w:after="0"/>
              <w:rPr>
                <w:sz w:val="20"/>
                <w:szCs w:val="20"/>
                <w:color w:val="auto"/>
              </w:rPr>
            </w:pPr>
            <w:r>
              <w:rPr>
                <w:rFonts w:ascii="Arial" w:cs="Arial" w:eastAsia="Arial" w:hAnsi="Arial"/>
                <w:sz w:val="18"/>
                <w:szCs w:val="18"/>
                <w:b w:val="1"/>
                <w:bCs w:val="1"/>
                <w:color w:val="auto"/>
              </w:rPr>
              <w:t>INDEMNIFICATION AGREEMENT</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6"/>
        </w:trPr>
        <w:tc>
          <w:tcPr>
            <w:tcW w:w="9300" w:type="dxa"/>
            <w:vAlign w:val="bottom"/>
            <w:gridSpan w:val="3"/>
          </w:tcPr>
          <w:p>
            <w:pPr>
              <w:spacing w:after="0"/>
              <w:rPr>
                <w:sz w:val="20"/>
                <w:szCs w:val="20"/>
                <w:color w:val="auto"/>
              </w:rPr>
            </w:pPr>
            <w:r>
              <w:rPr>
                <w:rFonts w:ascii="Arial" w:cs="Arial" w:eastAsia="Arial" w:hAnsi="Arial"/>
                <w:sz w:val="18"/>
                <w:szCs w:val="18"/>
                <w:color w:val="auto"/>
                <w:w w:val="90"/>
              </w:rPr>
              <w:t>This Indemnification Agreement, including the glossary attached as Schedule “A”, (the “Agreement”) is entered into effective as of</w:t>
            </w:r>
          </w:p>
        </w:tc>
        <w:tc>
          <w:tcPr>
            <w:tcW w:w="8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 20  , by and</w:t>
            </w:r>
          </w:p>
        </w:tc>
      </w:tr>
      <w:tr>
        <w:trPr>
          <w:trHeight w:val="20"/>
        </w:trPr>
        <w:tc>
          <w:tcPr>
            <w:tcW w:w="6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w w:val="90"/>
              </w:rPr>
              <w:t>between Schlumberger Limited, a Netherlands Antilles corporation (the “Company”), and</w:t>
            </w:r>
          </w:p>
        </w:tc>
        <w:tc>
          <w:tcPr>
            <w:tcW w:w="520" w:type="dxa"/>
            <w:vAlign w:val="bottom"/>
            <w:tcBorders>
              <w:bottom w:val="single" w:sz="8" w:color="auto"/>
            </w:tcBorders>
          </w:tcPr>
          <w:p>
            <w:pPr>
              <w:spacing w:after="0"/>
              <w:rPr>
                <w:sz w:val="17"/>
                <w:szCs w:val="17"/>
                <w:color w:val="auto"/>
              </w:rPr>
            </w:pPr>
          </w:p>
        </w:tc>
        <w:tc>
          <w:tcPr>
            <w:tcW w:w="452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3"/>
              </w:rPr>
              <w:t>(the “Director”). The Company and Director hereby agree as</w:t>
            </w:r>
          </w:p>
        </w:tc>
      </w:tr>
      <w:tr>
        <w:trPr>
          <w:trHeight w:val="235"/>
        </w:trPr>
        <w:tc>
          <w:tcPr>
            <w:tcW w:w="6380" w:type="dxa"/>
            <w:vAlign w:val="bottom"/>
          </w:tcPr>
          <w:p>
            <w:pPr>
              <w:spacing w:after="0"/>
              <w:rPr>
                <w:sz w:val="20"/>
                <w:szCs w:val="20"/>
                <w:color w:val="auto"/>
              </w:rPr>
            </w:pPr>
            <w:r>
              <w:rPr>
                <w:rFonts w:ascii="Arial" w:cs="Arial" w:eastAsia="Arial" w:hAnsi="Arial"/>
                <w:sz w:val="18"/>
                <w:szCs w:val="18"/>
                <w:color w:val="auto"/>
              </w:rPr>
              <w:t>follows:</w:t>
            </w:r>
          </w:p>
        </w:tc>
        <w:tc>
          <w:tcPr>
            <w:tcW w:w="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42"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Director agrees to serve or continue to serve, as the case may be, as a member of the Board of Directors for so long as Director is duly elected and qualified or until such time as Director resigns such membership.</w:t>
      </w:r>
    </w:p>
    <w:p>
      <w:pPr>
        <w:spacing w:after="0" w:line="118"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291"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Indemnification of Expenses</w:t>
      </w:r>
      <w:r>
        <w:rPr>
          <w:rFonts w:ascii="Arial" w:cs="Arial" w:eastAsia="Arial" w:hAnsi="Arial"/>
          <w:sz w:val="16"/>
          <w:szCs w:val="16"/>
          <w:color w:val="auto"/>
        </w:rPr>
        <w:t>. The Company shall indemnify Director against any and all Expenses to the fullest extent permitted by law if Director was, is, becomes or is threatened to be made a party to or witness or other participant in a Claim by reason of (or arising in part out of) an Indemnifiable Event irrespective of whether Director has ceased to be a director of the Company. If any change after the date of this Agreement to any applicable law expands the right of the Company to indemnify Director, it is the intent of the parties that Director shall enjoy the greater benefits afforded by such change. If any change in any applicable law narrows the right of the Company to indemnify Director, to the extent not otherwise required by such law, such change shall have no effect on this Agreement or the parties’ rights and obligations hereunder.</w:t>
      </w:r>
    </w:p>
    <w:p>
      <w:pPr>
        <w:spacing w:after="0" w:line="106" w:lineRule="exact"/>
        <w:rPr>
          <w:rFonts w:ascii="Arial" w:cs="Arial" w:eastAsia="Arial" w:hAnsi="Arial"/>
          <w:sz w:val="16"/>
          <w:szCs w:val="16"/>
          <w:color w:val="auto"/>
        </w:rPr>
      </w:pPr>
    </w:p>
    <w:p>
      <w:pPr>
        <w:ind w:right="160" w:firstLine="464"/>
        <w:spacing w:after="0" w:line="254"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 The Company agrees that within 30 days of the receipt of a notice from Director (the “Notice Effective Date”) seeking indemnification hereunder, the Company shall appoint a Reviewing Party to review the request for indemnification. “Reviewing Party” shall mean any appropriate person or body consisting of a member or members of the Company’s Board of Directors or any other person or body appointed by the Board of Directors who is not a party to the particular Claim for which Director is seeking indemnification, or Independent Legal Counsel. The Reviewing Party shall be selected by the Board of Directors unless there has been a Change in Control since the effective date of this Agreement, in which case the Reviewing Party shall be Independent Legal Counsel.</w:t>
      </w:r>
    </w:p>
    <w:p>
      <w:pPr>
        <w:spacing w:after="0" w:line="13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Reviewing Party shall review the Claim for which Director is seeking indemnification and shall make a determination in writing within 30 days of the Notice Effective Date. Director shall be entitled to indemnification hereunder unless the Reviewing Party shall have determined that Director is not permitted to indemnification under applicable law. If, after such 30 days have passed, there has been no determination by the Reviewing Party or if the Reviewing Party determines that Director is not permitted to be indemnified in whole or in part, Director shall have the right to commence litigation, in any court selected by the Director, seeking an initial</w:t>
      </w:r>
    </w:p>
    <w:p>
      <w:pPr>
        <w:sectPr>
          <w:pgSz w:w="11900" w:h="16838" w:orient="portrait"/>
          <w:cols w:equalWidth="0" w:num="1">
            <w:col w:w="11420"/>
          </w:cols>
          <w:pgMar w:left="240" w:top="125" w:right="239" w:bottom="1440" w:gutter="0" w:footer="0" w:header="0"/>
        </w:sectPr>
      </w:pPr>
    </w:p>
    <w:bookmarkStart w:id="36" w:name="page37"/>
    <w:bookmarkEnd w:id="36"/>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by a court or challenging any such determination by the Reviewing Party or any aspect thereof, and the Company hereby consents to service of process and to appear in any such proceeding. In any such proceeding, any determination by the Reviewing Party shall not bind the court or create any presumptions respecting Director’s beliefs or Director’s standard of conduct. Any determination by the Reviewing Party shall otherwise be conclusive and binding on the Company.</w:t>
      </w:r>
    </w:p>
    <w:p>
      <w:pPr>
        <w:spacing w:after="0" w:line="130"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 and Conditions</w:t>
      </w:r>
      <w:r>
        <w:rPr>
          <w:rFonts w:ascii="Arial" w:cs="Arial" w:eastAsia="Arial" w:hAnsi="Arial"/>
          <w:sz w:val="18"/>
          <w:szCs w:val="18"/>
          <w:color w:val="auto"/>
        </w:rPr>
        <w:t>.</w:t>
      </w:r>
    </w:p>
    <w:p>
      <w:pPr>
        <w:spacing w:after="0" w:line="77" w:lineRule="exact"/>
        <w:rPr>
          <w:sz w:val="20"/>
          <w:szCs w:val="20"/>
          <w:color w:val="auto"/>
        </w:rPr>
      </w:pPr>
    </w:p>
    <w:p>
      <w:pPr>
        <w:ind w:right="40" w:firstLine="464"/>
        <w:spacing w:after="0" w:line="259"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The Company shall pay to Director all Expenses incurred by Director in advance of the final disposition of the Claim (an “Expense Advance”). All Expense Advances to be made pursuant to this Agreement shall be paid by the Company to Director as soon as practicable and no later than 30 days after written demand by Director for payment is given to the Company.</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obligations of the Company to pay Expenses and make Expense Advances are subject to the conditions that:</w:t>
      </w:r>
    </w:p>
    <w:p>
      <w:pPr>
        <w:spacing w:after="0" w:line="76"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the review under Section 2(b) results in a determination that Director is not permitted to be indemnified by the Company under applicable law, Director shall reimburse the Company for all Expense Advances the Company made to Director; the Director’s obligation to reimburse the Company for any Expense Advance shall be unsecured and interest free; and</w:t>
      </w:r>
    </w:p>
    <w:p>
      <w:pPr>
        <w:spacing w:after="0" w:line="45" w:lineRule="exact"/>
        <w:rPr>
          <w:rFonts w:ascii="Arial" w:cs="Arial" w:eastAsia="Arial" w:hAnsi="Arial"/>
          <w:sz w:val="18"/>
          <w:szCs w:val="18"/>
          <w:color w:val="auto"/>
        </w:rPr>
      </w:pPr>
    </w:p>
    <w:p>
      <w:pPr>
        <w:ind w:left="460" w:firstLine="443"/>
        <w:spacing w:after="0" w:line="259" w:lineRule="auto"/>
        <w:tabs>
          <w:tab w:leader="none" w:pos="11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Director gives the Company (1) notice in writing as soon as practicable of any Claim made against Director for which indemnification shall or could be sought under this Agreement, and (2) such information and cooperation as the Company may reasonably require and which is in Director’s power to give.</w:t>
      </w:r>
    </w:p>
    <w:p>
      <w:pPr>
        <w:spacing w:after="0" w:line="126" w:lineRule="exact"/>
        <w:rPr>
          <w:rFonts w:ascii="Arial" w:cs="Arial" w:eastAsia="Arial" w:hAnsi="Arial"/>
          <w:sz w:val="18"/>
          <w:szCs w:val="18"/>
          <w:color w:val="auto"/>
        </w:rPr>
      </w:pPr>
    </w:p>
    <w:p>
      <w:pPr>
        <w:ind w:right="140" w:firstLine="464"/>
        <w:spacing w:after="0" w:line="30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 Presumptions</w:t>
      </w:r>
      <w:r>
        <w:rPr>
          <w:rFonts w:ascii="Arial" w:cs="Arial" w:eastAsia="Arial" w:hAnsi="Arial"/>
          <w:sz w:val="16"/>
          <w:szCs w:val="16"/>
          <w:color w:val="auto"/>
        </w:rPr>
        <w:t xml:space="preserve">. For the purposes of this Agreement, the termination of any Claim by judgment, order, settlement (whether with or without court approval) or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or its equivalent, shall not create a presumption that Director did not meet any particular standard of conduct or have any particular belief or that a court has determined that indemnification is not permitted by applicable law.</w:t>
      </w:r>
    </w:p>
    <w:p>
      <w:pPr>
        <w:spacing w:after="0" w:line="93"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connection with any determination by the Reviewing Party or otherwise as to whether the Director is entitled to be indemnified hereunder, the burden of proof shall be on the Company to establish that Director is not so entitled.</w:t>
      </w:r>
    </w:p>
    <w:p>
      <w:pPr>
        <w:spacing w:after="0" w:line="118" w:lineRule="exact"/>
        <w:rPr>
          <w:rFonts w:ascii="Arial" w:cs="Arial" w:eastAsia="Arial" w:hAnsi="Arial"/>
          <w:sz w:val="18"/>
          <w:szCs w:val="18"/>
          <w:color w:val="auto"/>
        </w:rPr>
      </w:pPr>
    </w:p>
    <w:p>
      <w:pPr>
        <w:jc w:val="both"/>
        <w:ind w:right="140" w:firstLine="464"/>
        <w:spacing w:after="0" w:line="298"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Selection of Counsel</w:t>
      </w:r>
      <w:r>
        <w:rPr>
          <w:rFonts w:ascii="Arial" w:cs="Arial" w:eastAsia="Arial" w:hAnsi="Arial"/>
          <w:sz w:val="16"/>
          <w:szCs w:val="16"/>
          <w:color w:val="auto"/>
        </w:rPr>
        <w:t>. In the event the Company shall be obligated hereunder to pay the Expenses of any Claim, the Company, if appropriate, shall be entitled to assume the defense of such Claim, with counsel approved by Director, upon written notice to Director. Thereafter, the Company shall not be liable to Director under this Agreement for any subsequent fees of separate counsel unless (i) Director reasonably concludes that there may be a conflict of interest between the Company and Director in the conduct of any such defense, or (ii) the Company ceases to retain counsel to defend such Claim.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7" w:name="page38"/>
    <w:bookmarkEnd w:id="37"/>
    <w:p>
      <w:pPr>
        <w:ind w:left="540" w:hanging="176"/>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Non-exclusivity</w:t>
      </w:r>
      <w:r>
        <w:rPr>
          <w:rFonts w:ascii="Arial" w:cs="Arial" w:eastAsia="Arial" w:hAnsi="Arial"/>
          <w:sz w:val="16"/>
          <w:szCs w:val="16"/>
          <w:color w:val="auto"/>
        </w:rPr>
        <w:t>. The indemnification provided by this Agreement shall be in addition to any rights to which Director may be otherwise entitled.</w:t>
      </w:r>
    </w:p>
    <w:p>
      <w:pPr>
        <w:spacing w:after="0" w:line="180" w:lineRule="exact"/>
        <w:rPr>
          <w:rFonts w:ascii="Arial" w:cs="Arial" w:eastAsia="Arial" w:hAnsi="Arial"/>
          <w:sz w:val="16"/>
          <w:szCs w:val="16"/>
          <w:color w:val="auto"/>
        </w:rPr>
      </w:pPr>
    </w:p>
    <w:p>
      <w:pPr>
        <w:ind w:left="-100" w:right="120" w:firstLine="464"/>
        <w:spacing w:after="0" w:line="332" w:lineRule="auto"/>
        <w:tabs>
          <w:tab w:leader="none" w:pos="53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Duplication of Payments</w:t>
      </w:r>
      <w:r>
        <w:rPr>
          <w:rFonts w:ascii="Arial" w:cs="Arial" w:eastAsia="Arial" w:hAnsi="Arial"/>
          <w:sz w:val="16"/>
          <w:szCs w:val="16"/>
          <w:color w:val="auto"/>
        </w:rPr>
        <w:t>. The Company shall not be liable under this Agreement to indemnify Director to the extent Director has actually received payment (under any insurance policy, certificate of incorporation, by-law or otherwise) of amounts otherwise indemnifiable hereunder.</w:t>
      </w:r>
    </w:p>
    <w:p>
      <w:pPr>
        <w:spacing w:after="0" w:line="71" w:lineRule="exact"/>
        <w:rPr>
          <w:rFonts w:ascii="Arial" w:cs="Arial" w:eastAsia="Arial" w:hAnsi="Arial"/>
          <w:sz w:val="16"/>
          <w:szCs w:val="16"/>
          <w:color w:val="auto"/>
        </w:rPr>
      </w:pPr>
    </w:p>
    <w:p>
      <w:pPr>
        <w:ind w:left="-100" w:firstLine="464"/>
        <w:spacing w:after="0" w:line="259" w:lineRule="auto"/>
        <w:tabs>
          <w:tab w:leader="none" w:pos="5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Director is entitled under any provision of this Agreement to indemnification by the Company for some or a portion of Expenses incurred in connection with any Claim, but not, however, for all of the total amount thereof, the Company shall nevertheless indemnify Director for the portion of such Expenses to which Director is entitled.</w:t>
      </w:r>
    </w:p>
    <w:p>
      <w:pPr>
        <w:spacing w:after="0" w:line="126" w:lineRule="exact"/>
        <w:rPr>
          <w:rFonts w:ascii="Arial" w:cs="Arial" w:eastAsia="Arial" w:hAnsi="Arial"/>
          <w:sz w:val="18"/>
          <w:szCs w:val="18"/>
          <w:color w:val="auto"/>
        </w:rPr>
      </w:pPr>
    </w:p>
    <w:p>
      <w:pPr>
        <w:ind w:left="-100" w:right="60" w:firstLine="464"/>
        <w:spacing w:after="0" w:line="255" w:lineRule="auto"/>
        <w:tabs>
          <w:tab w:leader="none" w:pos="5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From the effective date of this Agreement, the Company, at its sole expense, shall maintain in force, for the benefit of Director in common with all other directors and officers of the Company, directors’ and officers’ liability insurance with an aggregate policy limit of such amount as is reasonable with regard to the potential liability faced by the directors and officers of the Company and in light of prevailing insurance conditions. Director shall be covered by such policies in such a manner as to provide Director the same rights and benefits as are accorded to the most favorably insured of the Company’s directors.</w:t>
      </w:r>
    </w:p>
    <w:p>
      <w:pPr>
        <w:spacing w:after="0" w:line="129" w:lineRule="exact"/>
        <w:rPr>
          <w:rFonts w:ascii="Arial" w:cs="Arial" w:eastAsia="Arial" w:hAnsi="Arial"/>
          <w:sz w:val="18"/>
          <w:szCs w:val="18"/>
          <w:color w:val="auto"/>
        </w:rPr>
      </w:pPr>
    </w:p>
    <w:p>
      <w:pPr>
        <w:ind w:left="540" w:hanging="176"/>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Any other provision herein to the contrary notwithstanding, the Company shall not be obligated pursuant to the terms of this Agreement:</w:t>
      </w:r>
    </w:p>
    <w:p>
      <w:pPr>
        <w:spacing w:after="0" w:line="99"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(a) to indemnify or advance Expenses to Director with respect to Claims initiated or brought voluntarily by Director and not by way of defense, except:</w:t>
      </w:r>
    </w:p>
    <w:p>
      <w:pPr>
        <w:spacing w:after="0" w:line="99" w:lineRule="exact"/>
        <w:rPr>
          <w:rFonts w:ascii="Arial" w:cs="Arial" w:eastAsia="Arial" w:hAnsi="Arial"/>
          <w:sz w:val="16"/>
          <w:szCs w:val="16"/>
          <w:color w:val="auto"/>
        </w:rPr>
      </w:pPr>
    </w:p>
    <w:p>
      <w:pPr>
        <w:ind w:left="360" w:right="300" w:firstLine="443"/>
        <w:spacing w:after="0" w:line="268"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 respect to actions or proceedings brought to establish or enforce a right to indemnification under this Agreement or otherwise relating to Claims for Indemnifiable Events,</w:t>
      </w:r>
    </w:p>
    <w:p>
      <w:pPr>
        <w:spacing w:after="0" w:line="37" w:lineRule="exact"/>
        <w:rPr>
          <w:rFonts w:ascii="Arial" w:cs="Arial" w:eastAsia="Arial" w:hAnsi="Arial"/>
          <w:sz w:val="18"/>
          <w:szCs w:val="18"/>
          <w:color w:val="auto"/>
        </w:rPr>
      </w:pPr>
    </w:p>
    <w:p>
      <w:pPr>
        <w:ind w:left="1060" w:hanging="257"/>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specific cases if the Board of Directors has approved the initiation or bringing of such Claim, or</w:t>
      </w:r>
    </w:p>
    <w:p>
      <w:pPr>
        <w:spacing w:after="0" w:line="76" w:lineRule="exact"/>
        <w:rPr>
          <w:rFonts w:ascii="Arial" w:cs="Arial" w:eastAsia="Arial" w:hAnsi="Arial"/>
          <w:sz w:val="18"/>
          <w:szCs w:val="18"/>
          <w:color w:val="auto"/>
        </w:rPr>
      </w:pPr>
    </w:p>
    <w:p>
      <w:pPr>
        <w:ind w:left="360" w:right="260" w:firstLine="443"/>
        <w:spacing w:after="0" w:line="268" w:lineRule="auto"/>
        <w:tabs>
          <w:tab w:leader="none" w:pos="11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otherwise as required under applicable law, regardless of whether Director ultimately is determined to be entitled to such indemnification, Expense Advance or insurance recovery, as the case may be;</w:t>
      </w:r>
    </w:p>
    <w:p>
      <w:pPr>
        <w:spacing w:after="0" w:line="118" w:lineRule="exact"/>
        <w:rPr>
          <w:sz w:val="20"/>
          <w:szCs w:val="20"/>
          <w:color w:val="auto"/>
        </w:rPr>
      </w:pPr>
    </w:p>
    <w:p>
      <w:pPr>
        <w:ind w:left="-100" w:right="240" w:firstLine="464"/>
        <w:spacing w:after="0" w:line="259" w:lineRule="auto"/>
        <w:tabs>
          <w:tab w:leader="none" w:pos="6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indemnify Director for any expenses incurred by the Director with respect to any proceeding instituted by Director to enforce or interpret this Agreement, if a court of competent jurisdiction determines that each of the material assertions made by the Director in such proceeding was not made in good faith or was frivolous;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40" w:top="280" w:right="319" w:bottom="1440" w:gutter="0" w:footer="0" w:header="0"/>
        </w:sectPr>
      </w:pPr>
    </w:p>
    <w:bookmarkStart w:id="38" w:name="page39"/>
    <w:bookmarkEnd w:id="38"/>
    <w:p>
      <w:pPr>
        <w:ind w:left="-40" w:right="120" w:firstLine="464"/>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indemnify Director for expenses and the payment of profits arising from the purchase and sale by Director of securities in violation of Section 16 of the United States Securities Exchange Act of 1934, as amended, or the rules and regulations promulgated thereunder, or any similar successor statute, rules or regulations.</w:t>
      </w:r>
    </w:p>
    <w:p>
      <w:pPr>
        <w:spacing w:after="0" w:line="127" w:lineRule="exact"/>
        <w:rPr>
          <w:sz w:val="20"/>
          <w:szCs w:val="20"/>
          <w:color w:val="auto"/>
        </w:rPr>
      </w:pPr>
    </w:p>
    <w:p>
      <w:pPr>
        <w:ind w:left="-40" w:right="20" w:firstLine="464"/>
        <w:spacing w:after="0" w:line="298" w:lineRule="auto"/>
        <w:tabs>
          <w:tab w:leader="none" w:pos="59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xml:space="preserve">. No legal action shall be brought and no cause of action shall be asserted by or in the right of the Company against Director, Director’s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shorter period of limitations is otherwise applicable to any such cause of action, such shorter period shall govern.</w:t>
      </w:r>
    </w:p>
    <w:p>
      <w:pPr>
        <w:spacing w:after="0" w:line="99" w:lineRule="exact"/>
        <w:rPr>
          <w:rFonts w:ascii="Arial" w:cs="Arial" w:eastAsia="Arial" w:hAnsi="Arial"/>
          <w:sz w:val="16"/>
          <w:szCs w:val="16"/>
          <w:color w:val="auto"/>
        </w:rPr>
      </w:pPr>
    </w:p>
    <w:p>
      <w:pPr>
        <w:ind w:left="680" w:hanging="25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an original.</w:t>
      </w:r>
    </w:p>
    <w:p>
      <w:pPr>
        <w:spacing w:after="0" w:line="157" w:lineRule="exact"/>
        <w:rPr>
          <w:rFonts w:ascii="Arial" w:cs="Arial" w:eastAsia="Arial" w:hAnsi="Arial"/>
          <w:sz w:val="18"/>
          <w:szCs w:val="18"/>
          <w:color w:val="auto"/>
        </w:rPr>
      </w:pPr>
    </w:p>
    <w:p>
      <w:pPr>
        <w:ind w:left="-40" w:right="80" w:firstLine="464"/>
        <w:spacing w:after="0" w:line="294" w:lineRule="auto"/>
        <w:tabs>
          <w:tab w:leader="none" w:pos="67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Binding Effect; Successors and Assigns</w:t>
      </w:r>
      <w:r>
        <w:rPr>
          <w:rFonts w:ascii="Arial" w:cs="Arial" w:eastAsia="Arial" w:hAnsi="Arial"/>
          <w:sz w:val="16"/>
          <w:szCs w:val="16"/>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estate, spouse, heirs, executors and personal and legal representatives. The Company shall cause any successor, whether direct or indirect, to expressly assume the obligations of the Company hereunder. This Agreement shall continue in effect regardless of whether Director continues to serve as a director of the Company or of any other enterprise at the Company’s request.</w:t>
      </w:r>
    </w:p>
    <w:p>
      <w:pPr>
        <w:spacing w:after="0" w:line="102" w:lineRule="exact"/>
        <w:rPr>
          <w:rFonts w:ascii="Arial" w:cs="Arial" w:eastAsia="Arial" w:hAnsi="Arial"/>
          <w:sz w:val="16"/>
          <w:szCs w:val="16"/>
          <w:color w:val="auto"/>
        </w:rPr>
      </w:pPr>
    </w:p>
    <w:p>
      <w:pPr>
        <w:ind w:left="-40" w:firstLine="464"/>
        <w:spacing w:after="0" w:line="291"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If either the Director or the Company receives any notice of the commencement of a Claim naming or involving Director and relating to an Indemnifiable Event, the party receiving the notice shall notify the other party promptly of such receipt. All notices, requests, demands and other communications under this Agreement shall be in writing and shall be deemed duly given (i) if delivered by hand, on the date of such receipt, (ii) if mailed by certified or registered mail with postage prepaid, on the third business day after the date postmarked or (iii) if delivered by facsimile transmission, on the date of such receipt when received prior to 5:00 p.m. local time, otherwise on the date following such receipt. Addresses for notice to either party are as shown on the signature page of this Agreement, or as subsequently modified by written notice.</w:t>
      </w:r>
    </w:p>
    <w:p>
      <w:pPr>
        <w:spacing w:after="0" w:line="106" w:lineRule="exact"/>
        <w:rPr>
          <w:rFonts w:ascii="Arial" w:cs="Arial" w:eastAsia="Arial" w:hAnsi="Arial"/>
          <w:sz w:val="16"/>
          <w:szCs w:val="16"/>
          <w:color w:val="auto"/>
        </w:rPr>
      </w:pPr>
    </w:p>
    <w:p>
      <w:pPr>
        <w:ind w:left="-40" w:right="40" w:firstLine="464"/>
        <w:spacing w:after="0" w:line="256"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The remaining provisions shall remain enforceable to the fullest extent permitted by law and, to the fullest extent possible, shall be construed so as to give effect to the intent manifested by the provision held invalid, illegal or unenforceable.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39" w:name="page40"/>
    <w:bookmarkEnd w:id="39"/>
    <w:p>
      <w:pPr>
        <w:ind w:right="560" w:firstLine="464"/>
        <w:spacing w:after="0" w:line="26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Choice of Law</w:t>
      </w:r>
      <w:r>
        <w:rPr>
          <w:rFonts w:ascii="Arial" w:cs="Arial" w:eastAsia="Arial" w:hAnsi="Arial"/>
          <w:sz w:val="18"/>
          <w:szCs w:val="18"/>
          <w:color w:val="auto"/>
        </w:rPr>
        <w:t>. This Agreement shall be governed by and its provisions construed and enforced in accordance with the laws of the Netherlands Antilles, without regard to the conflict of laws principles thereof.</w:t>
      </w:r>
    </w:p>
    <w:p>
      <w:pPr>
        <w:spacing w:after="0" w:line="118" w:lineRule="exact"/>
        <w:rPr>
          <w:rFonts w:ascii="Arial" w:cs="Arial" w:eastAsia="Arial" w:hAnsi="Arial"/>
          <w:sz w:val="18"/>
          <w:szCs w:val="18"/>
          <w:color w:val="auto"/>
        </w:rPr>
      </w:pPr>
    </w:p>
    <w:p>
      <w:pPr>
        <w:jc w:val="both"/>
        <w:ind w:right="420" w:firstLine="464"/>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Director, who shall execute all documents required and shall do all acts that may be necessary to secure such rights and to enable the Company effectively to bring suit to enforce such rights.</w:t>
      </w:r>
    </w:p>
    <w:p>
      <w:pPr>
        <w:spacing w:after="0" w:line="126" w:lineRule="exact"/>
        <w:rPr>
          <w:rFonts w:ascii="Arial" w:cs="Arial" w:eastAsia="Arial" w:hAnsi="Arial"/>
          <w:sz w:val="18"/>
          <w:szCs w:val="18"/>
          <w:color w:val="auto"/>
        </w:rPr>
      </w:pPr>
    </w:p>
    <w:p>
      <w:pPr>
        <w:jc w:val="both"/>
        <w:ind w:firstLine="464"/>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No amendment, modification, termination or cancellation of this Agreement shall be effective unless it is in writing signed by both the parties hereto. No waiver of any of the provisions of this Agreement shall be deemed or shall constitute a waiver of any other provisions hereof (whether or not similar) nor shall such waiver constitute a continuing waiver.</w:t>
      </w:r>
    </w:p>
    <w:p>
      <w:pPr>
        <w:spacing w:after="0" w:line="126" w:lineRule="exact"/>
        <w:rPr>
          <w:rFonts w:ascii="Arial" w:cs="Arial" w:eastAsia="Arial" w:hAnsi="Arial"/>
          <w:sz w:val="18"/>
          <w:szCs w:val="18"/>
          <w:color w:val="auto"/>
        </w:rPr>
      </w:pPr>
    </w:p>
    <w:p>
      <w:pPr>
        <w:ind w:right="560" w:firstLine="464"/>
        <w:spacing w:after="0" w:line="370" w:lineRule="auto"/>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Integration and Entire Agreement</w:t>
      </w:r>
      <w:r>
        <w:rPr>
          <w:rFonts w:ascii="Arial" w:cs="Arial" w:eastAsia="Arial" w:hAnsi="Arial"/>
          <w:sz w:val="15"/>
          <w:szCs w:val="15"/>
          <w:color w:val="auto"/>
        </w:rPr>
        <w:t>. This Agreement sets forth the entire understanding between the parties hereto and supersedes and merges all previous written and oral negotiations, commitments, understandings and agreements relating to the subject matter hereof between the parties hereto.</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AGREED TO AND ACCEPTED:</w:t>
            </w:r>
          </w:p>
        </w:tc>
        <w:tc>
          <w:tcPr>
            <w:tcW w:w="5720" w:type="dxa"/>
            <w:vAlign w:val="bottom"/>
            <w:gridSpan w:val="2"/>
          </w:tcPr>
          <w:p>
            <w:pPr>
              <w:ind w:left="1040"/>
              <w:spacing w:after="0"/>
              <w:rPr>
                <w:sz w:val="20"/>
                <w:szCs w:val="20"/>
                <w:color w:val="auto"/>
              </w:rPr>
            </w:pPr>
            <w:r>
              <w:rPr>
                <w:rFonts w:ascii="Arial" w:cs="Arial" w:eastAsia="Arial" w:hAnsi="Arial"/>
                <w:sz w:val="18"/>
                <w:szCs w:val="18"/>
                <w:b w:val="1"/>
                <w:bCs w:val="1"/>
                <w:color w:val="auto"/>
              </w:rPr>
              <w:t>SCHLUMBERGER LIMITED</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1040"/>
              <w:spacing w:after="0"/>
              <w:rPr>
                <w:sz w:val="20"/>
                <w:szCs w:val="20"/>
                <w:color w:val="auto"/>
              </w:rPr>
            </w:pPr>
            <w:r>
              <w:rPr>
                <w:rFonts w:ascii="Arial" w:cs="Arial" w:eastAsia="Arial" w:hAnsi="Arial"/>
                <w:sz w:val="18"/>
                <w:szCs w:val="18"/>
                <w:color w:val="auto"/>
              </w:rPr>
              <w:t>By:</w:t>
            </w:r>
          </w:p>
        </w:tc>
      </w:tr>
      <w:tr>
        <w:trPr>
          <w:trHeight w:val="43"/>
        </w:trPr>
        <w:tc>
          <w:tcPr>
            <w:tcW w:w="820" w:type="dxa"/>
            <w:vAlign w:val="bottom"/>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8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r>
      <w:tr>
        <w:trPr>
          <w:trHeight w:val="309"/>
        </w:trPr>
        <w:tc>
          <w:tcPr>
            <w:tcW w:w="4820" w:type="dxa"/>
            <w:vAlign w:val="bottom"/>
            <w:gridSpan w:val="2"/>
          </w:tcPr>
          <w:p>
            <w:pPr>
              <w:spacing w:after="0"/>
              <w:rPr>
                <w:sz w:val="20"/>
                <w:szCs w:val="20"/>
                <w:color w:val="auto"/>
              </w:rPr>
            </w:pPr>
            <w:r>
              <w:rPr>
                <w:rFonts w:ascii="Arial" w:cs="Arial" w:eastAsia="Arial" w:hAnsi="Arial"/>
                <w:sz w:val="18"/>
                <w:szCs w:val="18"/>
                <w:color w:val="auto"/>
              </w:rPr>
              <w:t>Name:</w:t>
            </w:r>
          </w:p>
        </w:tc>
        <w:tc>
          <w:tcPr>
            <w:tcW w:w="5720" w:type="dxa"/>
            <w:vAlign w:val="bottom"/>
            <w:gridSpan w:val="2"/>
          </w:tcPr>
          <w:p>
            <w:pPr>
              <w:ind w:left="1040"/>
              <w:spacing w:after="0"/>
              <w:rPr>
                <w:sz w:val="20"/>
                <w:szCs w:val="20"/>
                <w:color w:val="auto"/>
              </w:rPr>
            </w:pPr>
            <w:r>
              <w:rPr>
                <w:rFonts w:ascii="Arial" w:cs="Arial" w:eastAsia="Arial" w:hAnsi="Arial"/>
                <w:sz w:val="18"/>
                <w:szCs w:val="18"/>
                <w:color w:val="auto"/>
              </w:rPr>
              <w:t>Name:</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1040"/>
              <w:spacing w:after="0"/>
              <w:rPr>
                <w:sz w:val="20"/>
                <w:szCs w:val="20"/>
                <w:color w:val="auto"/>
              </w:rPr>
            </w:pPr>
            <w:r>
              <w:rPr>
                <w:rFonts w:ascii="Arial" w:cs="Arial" w:eastAsia="Arial" w:hAnsi="Arial"/>
                <w:sz w:val="18"/>
                <w:szCs w:val="18"/>
                <w:color w:val="auto"/>
              </w:rPr>
              <w:t>Title:</w:t>
            </w: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720" w:type="dxa"/>
            <w:vAlign w:val="bottom"/>
            <w:gridSpan w:val="2"/>
          </w:tcPr>
          <w:p>
            <w:pPr>
              <w:ind w:left="1040"/>
              <w:spacing w:after="0"/>
              <w:rPr>
                <w:sz w:val="20"/>
                <w:szCs w:val="20"/>
                <w:color w:val="auto"/>
              </w:rPr>
            </w:pPr>
            <w:r>
              <w:rPr>
                <w:rFonts w:ascii="Arial" w:cs="Arial" w:eastAsia="Arial" w:hAnsi="Arial"/>
                <w:sz w:val="18"/>
                <w:szCs w:val="18"/>
                <w:color w:val="auto"/>
              </w:rPr>
              <w:t>Address:</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Fax:</w:t>
            </w:r>
          </w:p>
        </w:tc>
        <w:tc>
          <w:tcPr>
            <w:tcW w:w="5720" w:type="dxa"/>
            <w:vAlign w:val="bottom"/>
            <w:gridSpan w:val="2"/>
          </w:tcPr>
          <w:p>
            <w:pPr>
              <w:ind w:left="1040"/>
              <w:spacing w:after="0"/>
              <w:rPr>
                <w:sz w:val="20"/>
                <w:szCs w:val="20"/>
                <w:color w:val="auto"/>
              </w:rPr>
            </w:pPr>
            <w:r>
              <w:rPr>
                <w:rFonts w:ascii="Arial" w:cs="Arial" w:eastAsia="Arial" w:hAnsi="Arial"/>
                <w:sz w:val="18"/>
                <w:szCs w:val="18"/>
                <w:color w:val="auto"/>
              </w:rPr>
              <w:t>Fax:</w:t>
            </w:r>
          </w:p>
        </w:tc>
      </w:tr>
      <w:tr>
        <w:trPr>
          <w:trHeight w:val="365"/>
        </w:trPr>
        <w:tc>
          <w:tcPr>
            <w:tcW w:w="8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20" w:type="dxa"/>
            <w:vAlign w:val="bottom"/>
          </w:tcPr>
          <w:p>
            <w:pPr>
              <w:ind w:left="860"/>
              <w:spacing w:after="0"/>
              <w:rPr>
                <w:sz w:val="20"/>
                <w:szCs w:val="20"/>
                <w:color w:val="auto"/>
              </w:rPr>
            </w:pPr>
            <w:r>
              <w:rPr>
                <w:rFonts w:ascii="Arial" w:cs="Arial" w:eastAsia="Arial" w:hAnsi="Arial"/>
                <w:sz w:val="18"/>
                <w:szCs w:val="18"/>
                <w:color w:val="auto"/>
              </w:rPr>
              <w:t>5</w:t>
            </w:r>
          </w:p>
        </w:tc>
        <w:tc>
          <w:tcPr>
            <w:tcW w:w="390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40" w:name="page41"/>
    <w:bookmarkEnd w:id="40"/>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Glossary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will have the definitions assigned below:</w:t>
      </w:r>
    </w:p>
    <w:p>
      <w:pPr>
        <w:spacing w:after="0" w:line="71" w:lineRule="exact"/>
        <w:rPr>
          <w:sz w:val="20"/>
          <w:szCs w:val="20"/>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firstLine="464"/>
        <w:spacing w:after="0" w:line="289"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Change of Control</w:t>
      </w:r>
      <w:r>
        <w:rPr>
          <w:rFonts w:ascii="Arial" w:cs="Arial" w:eastAsia="Arial" w:hAnsi="Arial"/>
          <w:sz w:val="16"/>
          <w:szCs w:val="16"/>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 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in office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99" w:lineRule="exact"/>
        <w:rPr>
          <w:rFonts w:ascii="Arial" w:cs="Arial" w:eastAsia="Arial" w:hAnsi="Arial"/>
          <w:sz w:val="16"/>
          <w:szCs w:val="16"/>
          <w:color w:val="auto"/>
        </w:rPr>
      </w:pPr>
    </w:p>
    <w:p>
      <w:pPr>
        <w:ind w:firstLine="464"/>
        <w:spacing w:after="0" w:line="262"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threatened, pending or completed action, suit, proceeding, arbitration, or alternative dispute resolution mechanism, or any hearing, inquiry or investigation that Director in good faith believes might lead to the institution of any action, suit, proceeding, arbitration or alternative dispute resolution mechanism, whether civil, criminal, administrative, investigative or otherwise.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w:t>
      </w:r>
    </w:p>
    <w:p>
      <w:pPr>
        <w:spacing w:after="0" w:line="82" w:lineRule="exact"/>
        <w:rPr>
          <w:rFonts w:ascii="Arial" w:cs="Arial" w:eastAsia="Arial" w:hAnsi="Arial"/>
          <w:sz w:val="18"/>
          <w:szCs w:val="18"/>
          <w:color w:val="auto"/>
        </w:rPr>
      </w:pPr>
    </w:p>
    <w:p>
      <w:pPr>
        <w:ind w:left="460" w:firstLine="443"/>
        <w:spacing w:after="0" w:line="259" w:lineRule="auto"/>
        <w:tabs>
          <w:tab w:leader="none" w:pos="110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and all expenses, including attorneys’ fees and all other costs, expenses and obligations incurred in connection with investigating, defending, being a witness in or participating in (including on appeal), or preparing to defend, be a witness in or participate in, any action, suit, proceeding, arbitration, alternative dispute resolution mechanism, hearing, inquiry or investigation;</w:t>
      </w:r>
    </w:p>
    <w:p>
      <w:pPr>
        <w:spacing w:after="0" w:line="45" w:lineRule="exact"/>
        <w:rPr>
          <w:rFonts w:ascii="Arial" w:cs="Arial" w:eastAsia="Arial" w:hAnsi="Arial"/>
          <w:sz w:val="18"/>
          <w:szCs w:val="18"/>
          <w:color w:val="auto"/>
        </w:rPr>
      </w:pPr>
    </w:p>
    <w:p>
      <w:pPr>
        <w:ind w:left="460" w:right="220" w:firstLine="443"/>
        <w:spacing w:after="0" w:line="259" w:lineRule="auto"/>
        <w:tabs>
          <w:tab w:leader="none" w:pos="11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and all judgments, fines, penalties and amounts paid in settlement (if such settlement is approved in advance by the Company, which approval shall not be unreasonably withheld) of any Claim, including all interest, assessments and other charges paid or payable in connection with or in respect thereof, including excise taxes assessed with respect to any employee benefit plan;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41" w:name="page42"/>
    <w:bookmarkEnd w:id="41"/>
    <w:p>
      <w:pPr>
        <w:ind w:left="380" w:right="740" w:firstLine="443"/>
        <w:spacing w:after="0" w:line="268" w:lineRule="auto"/>
        <w:tabs>
          <w:tab w:leader="none" w:pos="1125"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federal, state, local or foreign taxes imposed on the Director as a result of the actual or deemed receipt of any payments under this Agreement.</w:t>
      </w:r>
    </w:p>
    <w:p>
      <w:pPr>
        <w:spacing w:after="0" w:line="112" w:lineRule="exact"/>
        <w:rPr>
          <w:rFonts w:ascii="Arial" w:cs="Arial" w:eastAsia="Arial" w:hAnsi="Arial"/>
          <w:sz w:val="18"/>
          <w:szCs w:val="18"/>
          <w:color w:val="auto"/>
        </w:rPr>
      </w:pPr>
    </w:p>
    <w:p>
      <w:pPr>
        <w:jc w:val="both"/>
        <w:ind w:left="-80" w:right="60" w:firstLine="464"/>
        <w:spacing w:after="0" w:line="301"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Indemnifiable Event</w:t>
      </w:r>
      <w:r>
        <w:rPr>
          <w:rFonts w:ascii="Arial" w:cs="Arial" w:eastAsia="Arial" w:hAnsi="Arial"/>
          <w:sz w:val="16"/>
          <w:szCs w:val="16"/>
          <w:color w:val="auto"/>
        </w:rPr>
        <w:t>” means any event or occurrence related to the fact that Director is or was a director, officer, partner, employee, trustee, agent or fiduciary of the Company, or any subsidiary of the Company, or is or was serving at the request of the Company as a director, officer, partner, employee, trustee, agent or fiduciary of any other corporation, partnership, joint venture, trust or other enterprise, which imposes duties on, or involves services by, such director, officer, employee, agent or fiduciary while serving in such capacity, or by reason of any action or inaction on the part of Director in such capacity.</w:t>
      </w:r>
    </w:p>
    <w:p>
      <w:pPr>
        <w:spacing w:after="0" w:line="89" w:lineRule="exact"/>
        <w:rPr>
          <w:rFonts w:ascii="Arial" w:cs="Arial" w:eastAsia="Arial" w:hAnsi="Arial"/>
          <w:sz w:val="16"/>
          <w:szCs w:val="16"/>
          <w:color w:val="auto"/>
        </w:rPr>
      </w:pPr>
    </w:p>
    <w:p>
      <w:pPr>
        <w:ind w:left="-80" w:firstLine="464"/>
        <w:spacing w:after="0" w:line="320" w:lineRule="auto"/>
        <w:tabs>
          <w:tab w:leader="none" w:pos="596"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Independent Legal Counsel</w:t>
      </w:r>
      <w:r>
        <w:rPr>
          <w:rFonts w:ascii="Arial" w:cs="Arial" w:eastAsia="Arial" w:hAnsi="Arial"/>
          <w:sz w:val="15"/>
          <w:szCs w:val="15"/>
          <w:color w:val="auto"/>
        </w:rPr>
        <w:t>” means an attorney or firm of attorneys, “av” or better rated by Martindale-Hubbell, having no previous employment, attorney-client or other relationship with the Company or Director selected by Director and consented to in writing by the Company, which consent shall not be unreasonably withheld. In the event that the parties can not agree on the selection of the Independent Legal Counsel, such counsel shall be drawn by lot from a selection of at least four law firms having more than fifty attorneys and an “av” or better rating by Martindale-Hubbell, two of which firms shall be chosen by the Company and two of which shall be chosen by Director. The drawing shall be done in the presence of both parties or their legal counsel, as each party may elect.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sectPr>
      <w:pgSz w:w="11900" w:h="16838" w:orient="portrait"/>
      <w:cols w:equalWidth="0" w:num="1">
        <w:col w:w="11280"/>
      </w:cols>
      <w:pgMar w:left="32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lowerLetter"/>
      <w:start w:val="1"/>
    </w:lvl>
    <w:lvl w:ilvl="1">
      <w:lvlJc w:val="left"/>
      <w:lvlText w:val="(%2)"/>
      <w:numFmt w:val="lowerRoman"/>
      <w:start w:val="1"/>
    </w:lvl>
  </w:abstractNum>
  <w:abstractNum w:abstractNumId="11">
    <w:nsid w:val="41A7C4C9"/>
    <w:multiLevelType w:val="hybridMultilevel"/>
    <w:lvl w:ilvl="0">
      <w:lvlJc w:val="left"/>
      <w:lvlText w:val="%1."/>
      <w:numFmt w:val="decimal"/>
      <w:start w:val="4"/>
    </w:lvl>
    <w:lvl w:ilvl="1">
      <w:lvlJc w:val="left"/>
      <w:lvlText w:val="(%2)"/>
      <w:numFmt w:val="lowerRoman"/>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decimal"/>
      <w:start w:val="9"/>
    </w:lvl>
  </w:abstractNum>
  <w:abstractNum w:abstractNumId="15">
    <w:nsid w:val="519B500D"/>
    <w:multiLevelType w:val="hybridMultilevel"/>
    <w:lvl w:ilvl="0">
      <w:lvlJc w:val="left"/>
      <w:lvlText w:val="%1."/>
      <w:numFmt w:val="decimal"/>
      <w:start w:val="14"/>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lowerLetter"/>
      <w:start w:val="61"/>
    </w:lvl>
  </w:abstractNum>
  <w:abstractNum w:abstractNumId="18">
    <w:nsid w:val="7C83E458"/>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2019-12-12T10:15:05Z</dcterms:created>
  <dcterms:modified xsi:type="dcterms:W3CDTF">2019-12-12T10:15:05Z</dcterms:modified>
</cp:coreProperties>
</file>