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614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61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Ralston Dianne B.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SCHLUMBERGER LIMITED/NV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restart"/>
          </w:tcPr>
          <w:p>
            <w:pPr>
              <w:ind w:left="160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9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Legal Officer</w:t>
      </w: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3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151130</wp:posOffset>
            </wp:positionV>
            <wp:extent cx="6967855" cy="8769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876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-15875</wp:posOffset>
            </wp:positionV>
            <wp:extent cx="7033895" cy="23691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369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10160</wp:posOffset>
            </wp:positionH>
            <wp:positionV relativeFrom="paragraph">
              <wp:posOffset>38100</wp:posOffset>
            </wp:positionV>
            <wp:extent cx="7017385" cy="131191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7385" cy="1311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(Restricted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33,610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33,610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33,610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Each restricted stock unit award represents the right to receive, at settlement, one (1) share of common stock.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8"/>
              </w:rPr>
              <w:t>2. The restricted stock unit award was granted January 20, 2021 and vests 100% on January 20, 2024.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Saul R. Laureles, Attorney-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01/22/2021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10160</wp:posOffset>
            </wp:positionH>
            <wp:positionV relativeFrom="paragraph">
              <wp:posOffset>-1524000</wp:posOffset>
            </wp:positionV>
            <wp:extent cx="7017385" cy="71310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7385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14246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2021-01-22T17:21:52Z</dcterms:created>
  <dcterms:modified xsi:type="dcterms:W3CDTF">2021-01-22T17:21:52Z</dcterms:modified>
</cp:coreProperties>
</file>