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088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088380"/>
                    </a:xfrm>
                    <a:prstGeom prst="rect">
                      <a:avLst/>
                    </a:prstGeom>
                    <a:noFill/>
                  </pic:spPr>
                </pic:pic>
              </a:graphicData>
            </a:graphic>
          </wp:anchor>
        </w:drawing>
      </w:r>
    </w:p>
    <w:p>
      <w:pPr>
        <w:spacing w:after="0" w:line="45"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color w:val="0000EE"/>
                </w:rPr>
                <w:t>Kasibhatla Vijay</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640" w:type="dxa"/>
            <w:vAlign w:val="bottom"/>
            <w:tcBorders>
              <w:top w:val="single" w:sz="8" w:color="0000EE"/>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3220" w:type="dxa"/>
            <w:vAlign w:val="bottom"/>
            <w:gridSpan w:val="4"/>
            <w:vMerge w:val="restart"/>
          </w:tcPr>
          <w:p>
            <w:pPr>
              <w:ind w:left="160"/>
              <w:spacing w:after="0" w:line="182" w:lineRule="exact"/>
              <w:rPr>
                <w:sz w:val="20"/>
                <w:szCs w:val="20"/>
                <w:color w:val="auto"/>
              </w:rPr>
            </w:pPr>
            <w:r>
              <w:rPr>
                <w:rFonts w:ascii="Times New Roman" w:cs="Times New Roman" w:eastAsia="Times New Roman" w:hAnsi="Times New Roman"/>
                <w:sz w:val="18"/>
                <w:szCs w:val="18"/>
                <w:color w:val="0000FF"/>
              </w:rPr>
              <w:t>01/17/2020</w:t>
            </w: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0"/>
          <w:szCs w:val="20"/>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jc w:val="center"/>
        <w:ind w:right="177"/>
        <w:spacing w:after="0"/>
        <w:rPr>
          <w:sz w:val="20"/>
          <w:szCs w:val="20"/>
          <w:color w:val="auto"/>
        </w:rPr>
      </w:pPr>
      <w:r>
        <w:rPr>
          <w:rFonts w:ascii="Times New Roman" w:cs="Times New Roman" w:eastAsia="Times New Roman" w:hAnsi="Times New Roman"/>
          <w:sz w:val="18"/>
          <w:szCs w:val="18"/>
          <w:color w:val="0000FF"/>
        </w:rPr>
        <w:t>Director, M&amp;A</w:t>
      </w:r>
    </w:p>
    <w:p>
      <w:pPr>
        <w:spacing w:after="0" w:line="317" w:lineRule="exact"/>
        <w:rPr>
          <w:sz w:val="20"/>
          <w:szCs w:val="20"/>
          <w:color w:val="auto"/>
        </w:rPr>
      </w:pPr>
    </w:p>
    <w:p>
      <w:pPr>
        <w:sectPr>
          <w:pgSz w:w="11900" w:h="16838" w:orient="portrait"/>
          <w:cols w:equalWidth="0" w:num="2">
            <w:col w:w="7980" w:space="77"/>
            <w:col w:w="3463"/>
          </w:cols>
          <w:pgMar w:left="240" w:top="220" w:right="13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8"/>
                <w:szCs w:val="18"/>
                <w:color w:val="0000FF"/>
              </w:rPr>
              <w:t>HOUSTON</w:t>
            </w:r>
          </w:p>
        </w:tc>
        <w:tc>
          <w:tcPr>
            <w:tcW w:w="1060" w:type="dxa"/>
            <w:vAlign w:val="bottom"/>
          </w:tcPr>
          <w:p>
            <w:pPr>
              <w:ind w:left="220"/>
              <w:spacing w:after="0"/>
              <w:rPr>
                <w:sz w:val="20"/>
                <w:szCs w:val="20"/>
                <w:color w:val="auto"/>
              </w:rPr>
            </w:pPr>
            <w:r>
              <w:rPr>
                <w:rFonts w:ascii="Times New Roman" w:cs="Times New Roman" w:eastAsia="Times New Roman" w:hAnsi="Times New Roman"/>
                <w:sz w:val="18"/>
                <w:szCs w:val="18"/>
                <w:color w:val="0000FF"/>
              </w:rPr>
              <w:t>TX</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0"/>
          <w:szCs w:val="20"/>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0"/>
          <w:szCs w:val="20"/>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500" w:type="dxa"/>
            <w:vAlign w:val="bottom"/>
          </w:tcPr>
          <w:p>
            <w:pPr>
              <w:spacing w:after="0"/>
              <w:rPr>
                <w:sz w:val="11"/>
                <w:szCs w:val="11"/>
                <w:color w:val="auto"/>
              </w:rPr>
            </w:pPr>
          </w:p>
        </w:tc>
        <w:tc>
          <w:tcPr>
            <w:tcW w:w="182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9"/>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520"/>
          </w:cols>
          <w:pgMar w:left="240" w:top="220" w:right="139" w:bottom="1440" w:gutter="0" w:footer="0" w:header="0"/>
          <w:type w:val="continuous"/>
        </w:sectPr>
      </w:pPr>
    </w:p>
    <w:p>
      <w:pPr>
        <w:spacing w:after="0"/>
        <w:rPr>
          <w:sz w:val="20"/>
          <w:szCs w:val="20"/>
          <w:color w:val="auto"/>
        </w:rPr>
      </w:pPr>
      <w:r>
        <w:rPr>
          <w:sz w:val="1"/>
          <w:szCs w:val="1"/>
          <w:color w:val="auto"/>
        </w:rPr>
        <w:drawing>
          <wp:inline distT="0" distB="0" distL="0" distR="0">
            <wp:extent cx="34290" cy="238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38125"/>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Common Stock, $0.01 Par Value Per Share  </w:t>
      </w:r>
      <w:r>
        <w:rPr>
          <w:sz w:val="1"/>
          <w:szCs w:val="1"/>
          <w:color w:val="auto"/>
        </w:rPr>
        <w:drawing>
          <wp:inline distT="0" distB="0" distL="0" distR="0">
            <wp:extent cx="42545" cy="238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Times New Roman" w:cs="Times New Roman" w:eastAsia="Times New Roman" w:hAnsi="Times New Roman"/>
          <w:sz w:val="16"/>
          <w:szCs w:val="16"/>
          <w:color w:val="0000FF"/>
        </w:rPr>
        <w:t xml:space="preserve">  01/17/2020</w:t>
      </w:r>
    </w:p>
    <w:p>
      <w:pPr>
        <w:spacing w:after="0" w:line="20" w:lineRule="exact"/>
        <w:rPr>
          <w:sz w:val="20"/>
          <w:szCs w:val="20"/>
          <w:color w:val="auto"/>
        </w:rPr>
      </w:pPr>
      <w:r>
        <w:rPr>
          <w:sz w:val="20"/>
          <w:szCs w:val="20"/>
          <w:color w:val="auto"/>
        </w:rPr>
        <w:br w:type="column"/>
      </w:r>
    </w:p>
    <w:p>
      <w:pPr>
        <w:spacing w:after="0"/>
        <w:tabs>
          <w:tab w:leader="none" w:pos="230" w:val="left"/>
        </w:tabs>
        <w:rPr>
          <w:sz w:val="20"/>
          <w:szCs w:val="20"/>
          <w:color w:val="auto"/>
        </w:rPr>
      </w:pPr>
      <w:r>
        <w:rPr>
          <w:rFonts w:ascii="Times New Roman" w:cs="Times New Roman" w:eastAsia="Times New Roman" w:hAnsi="Times New Roman"/>
          <w:sz w:val="14"/>
          <w:szCs w:val="14"/>
          <w:color w:val="0000FF"/>
        </w:rPr>
        <w:t>A</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Times New Roman" w:cs="Times New Roman" w:eastAsia="Times New Roman" w:hAnsi="Times New Roman"/>
          <w:sz w:val="18"/>
          <w:szCs w:val="18"/>
          <w:color w:val="0000FF"/>
        </w:rPr>
        <w:t xml:space="preserve">  3,426</w:t>
      </w:r>
      <w:r>
        <w:rPr>
          <w:rFonts w:ascii="Times New Roman" w:cs="Times New Roman" w:eastAsia="Times New Roman" w:hAnsi="Times New Roman"/>
          <w:sz w:val="22"/>
          <w:szCs w:val="22"/>
          <w:color w:val="008000"/>
          <w:vertAlign w:val="superscript"/>
        </w:rPr>
        <w:t xml:space="preserve">(1)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Times New Roman" w:cs="Times New Roman" w:eastAsia="Times New Roman" w:hAnsi="Times New Roman"/>
          <w:sz w:val="18"/>
          <w:szCs w:val="18"/>
          <w:color w:val="0000FF"/>
        </w:rPr>
        <w:t xml:space="preserve">  A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Times New Roman" w:cs="Times New Roman" w:eastAsia="Times New Roman" w:hAnsi="Times New Roman"/>
          <w:sz w:val="18"/>
          <w:szCs w:val="18"/>
          <w:color w:val="0000FF"/>
        </w:rPr>
        <w:t xml:space="preserve">0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Times New Roman" w:cs="Times New Roman" w:eastAsia="Times New Roman" w:hAnsi="Times New Roman"/>
          <w:sz w:val="18"/>
          <w:szCs w:val="18"/>
          <w:color w:val="0000FF"/>
        </w:rPr>
        <w:t xml:space="preserve">   20,310</w:t>
      </w:r>
      <w:r>
        <w:rPr>
          <w:rFonts w:ascii="Times New Roman" w:cs="Times New Roman" w:eastAsia="Times New Roman" w:hAnsi="Times New Roman"/>
          <w:sz w:val="22"/>
          <w:szCs w:val="22"/>
          <w:color w:val="008000"/>
          <w:vertAlign w:val="superscript"/>
        </w:rPr>
        <w:t xml:space="preserve">(2)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Times New Roman" w:cs="Times New Roman" w:eastAsia="Times New Roman" w:hAnsi="Times New Roman"/>
          <w:sz w:val="18"/>
          <w:szCs w:val="18"/>
          <w:color w:val="0000FF"/>
        </w:rPr>
        <w:t xml:space="preserve">    D</w:t>
      </w:r>
    </w:p>
    <w:p>
      <w:pPr>
        <w:spacing w:after="0" w:line="28" w:lineRule="exact"/>
        <w:rPr>
          <w:sz w:val="20"/>
          <w:szCs w:val="20"/>
          <w:color w:val="auto"/>
        </w:rPr>
      </w:pPr>
    </w:p>
    <w:p>
      <w:pPr>
        <w:sectPr>
          <w:pgSz w:w="11900" w:h="16838" w:orient="portrait"/>
          <w:cols w:equalWidth="0" w:num="2">
            <w:col w:w="5000" w:space="720"/>
            <w:col w:w="5800"/>
          </w:cols>
          <w:pgMar w:left="240" w:top="220" w:right="139" w:bottom="1440" w:gutter="0" w:footer="0" w:header="0"/>
          <w:type w:val="continuous"/>
        </w:sectPr>
      </w:pPr>
    </w:p>
    <w:tbl>
      <w:tblPr>
        <w:tblLayout w:type="fixed"/>
        <w:tblInd w:w="0" w:type="dxa"/>
        <w:tblCellMar>
          <w:top w:w="0" w:type="dxa"/>
          <w:left w:w="0" w:type="dxa"/>
          <w:bottom w:w="0" w:type="dxa"/>
          <w:right w:w="0" w:type="dxa"/>
        </w:tblCellMar>
      </w:tblPr>
      <w:tr>
        <w:trPr>
          <w:trHeight w:val="296"/>
        </w:trPr>
        <w:tc>
          <w:tcPr>
            <w:tcW w:w="20" w:type="dxa"/>
            <w:vAlign w:val="bottom"/>
          </w:tcPr>
          <w:p>
            <w:pPr>
              <w:spacing w:after="0"/>
              <w:rPr>
                <w:sz w:val="24"/>
                <w:szCs w:val="24"/>
                <w:color w:val="auto"/>
              </w:rPr>
            </w:pPr>
          </w:p>
        </w:tc>
        <w:tc>
          <w:tcPr>
            <w:tcW w:w="32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700" w:type="dxa"/>
            <w:vAlign w:val="bottom"/>
            <w:tcBorders>
              <w:bottom w:val="single" w:sz="8" w:color="2C2C2C"/>
            </w:tcBorders>
          </w:tcPr>
          <w:p>
            <w:pPr>
              <w:jc w:val="right"/>
              <w:ind w:right="652"/>
              <w:spacing w:after="0"/>
              <w:rPr>
                <w:sz w:val="20"/>
                <w:szCs w:val="20"/>
                <w:color w:val="auto"/>
              </w:rPr>
            </w:pPr>
            <w:r>
              <w:rPr>
                <w:rFonts w:ascii="Times New Roman" w:cs="Times New Roman" w:eastAsia="Times New Roman" w:hAnsi="Times New Roman"/>
                <w:sz w:val="18"/>
                <w:szCs w:val="18"/>
                <w:color w:val="0000FF"/>
              </w:rPr>
              <w:t>01/17/2020</w:t>
            </w:r>
          </w:p>
        </w:tc>
        <w:tc>
          <w:tcPr>
            <w:tcW w:w="1180" w:type="dxa"/>
            <w:vAlign w:val="bottom"/>
            <w:tcBorders>
              <w:bottom w:val="single" w:sz="8" w:color="2C2C2C"/>
            </w:tcBorders>
          </w:tcPr>
          <w:p>
            <w:pPr>
              <w:ind w:left="740"/>
              <w:spacing w:after="0"/>
              <w:rPr>
                <w:sz w:val="20"/>
                <w:szCs w:val="20"/>
                <w:color w:val="auto"/>
              </w:rPr>
            </w:pPr>
            <w:r>
              <w:rPr>
                <w:rFonts w:ascii="Times New Roman" w:cs="Times New Roman" w:eastAsia="Times New Roman" w:hAnsi="Times New Roman"/>
                <w:sz w:val="14"/>
                <w:szCs w:val="14"/>
                <w:color w:val="0000FF"/>
              </w:rPr>
              <w:t>A</w:t>
            </w:r>
          </w:p>
        </w:tc>
        <w:tc>
          <w:tcPr>
            <w:tcW w:w="1100" w:type="dxa"/>
            <w:vAlign w:val="bottom"/>
            <w:tcBorders>
              <w:bottom w:val="single" w:sz="8" w:color="2C2C2C"/>
            </w:tcBorders>
          </w:tcPr>
          <w:p>
            <w:pPr>
              <w:jc w:val="center"/>
              <w:ind w:left="72"/>
              <w:spacing w:after="0"/>
              <w:rPr>
                <w:sz w:val="20"/>
                <w:szCs w:val="20"/>
                <w:color w:val="auto"/>
              </w:rPr>
            </w:pPr>
            <w:r>
              <w:rPr>
                <w:rFonts w:ascii="Times New Roman" w:cs="Times New Roman" w:eastAsia="Times New Roman" w:hAnsi="Times New Roman"/>
                <w:sz w:val="18"/>
                <w:szCs w:val="18"/>
                <w:color w:val="0000FF"/>
                <w:w w:val="93"/>
              </w:rPr>
              <w:t>13,750</w:t>
            </w:r>
            <w:r>
              <w:rPr>
                <w:rFonts w:ascii="Times New Roman" w:cs="Times New Roman" w:eastAsia="Times New Roman" w:hAnsi="Times New Roman"/>
                <w:sz w:val="22"/>
                <w:szCs w:val="22"/>
                <w:color w:val="008000"/>
                <w:w w:val="93"/>
                <w:vertAlign w:val="superscript"/>
              </w:rPr>
              <w:t>(3)</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1080" w:type="dxa"/>
            <w:vAlign w:val="bottom"/>
            <w:tcBorders>
              <w:bottom w:val="single" w:sz="8" w:color="2C2C2C"/>
            </w:tcBorders>
          </w:tcPr>
          <w:p>
            <w:pPr>
              <w:jc w:val="right"/>
              <w:ind w:right="292"/>
              <w:spacing w:after="0"/>
              <w:rPr>
                <w:sz w:val="20"/>
                <w:szCs w:val="20"/>
                <w:color w:val="auto"/>
              </w:rPr>
            </w:pPr>
            <w:r>
              <w:rPr>
                <w:rFonts w:ascii="Times New Roman" w:cs="Times New Roman" w:eastAsia="Times New Roman" w:hAnsi="Times New Roman"/>
                <w:sz w:val="18"/>
                <w:szCs w:val="18"/>
                <w:color w:val="0000FF"/>
              </w:rPr>
              <w:t>34,060</w:t>
            </w:r>
          </w:p>
        </w:tc>
        <w:tc>
          <w:tcPr>
            <w:tcW w:w="1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2"/>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7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0000FF"/>
              </w:rPr>
              <w:t>01/17/2020</w:t>
            </w:r>
          </w:p>
        </w:tc>
        <w:tc>
          <w:tcPr>
            <w:tcW w:w="1180" w:type="dxa"/>
            <w:vAlign w:val="bottom"/>
          </w:tcPr>
          <w:p>
            <w:pPr>
              <w:ind w:left="760"/>
              <w:spacing w:after="0"/>
              <w:rPr>
                <w:sz w:val="20"/>
                <w:szCs w:val="20"/>
                <w:color w:val="auto"/>
              </w:rPr>
            </w:pPr>
            <w:r>
              <w:rPr>
                <w:rFonts w:ascii="Times New Roman" w:cs="Times New Roman" w:eastAsia="Times New Roman" w:hAnsi="Times New Roman"/>
                <w:sz w:val="14"/>
                <w:szCs w:val="14"/>
                <w:color w:val="0000FF"/>
              </w:rPr>
              <w:t>F</w:t>
            </w:r>
          </w:p>
        </w:tc>
        <w:tc>
          <w:tcPr>
            <w:tcW w:w="1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0000FF"/>
                <w:w w:val="98"/>
              </w:rPr>
              <w:t>8,798</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D</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39.075</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25,262</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59"/>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72"/>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$0.01 Par Value Per Share</w:t>
            </w:r>
          </w:p>
        </w:tc>
        <w:tc>
          <w:tcPr>
            <w:tcW w:w="170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0000FF"/>
              </w:rPr>
              <w:t>01/19/2020</w:t>
            </w:r>
          </w:p>
        </w:tc>
        <w:tc>
          <w:tcPr>
            <w:tcW w:w="1180" w:type="dxa"/>
            <w:vAlign w:val="bottom"/>
          </w:tcPr>
          <w:p>
            <w:pPr>
              <w:ind w:left="740"/>
              <w:spacing w:after="0"/>
              <w:rPr>
                <w:sz w:val="20"/>
                <w:szCs w:val="20"/>
                <w:color w:val="auto"/>
              </w:rPr>
            </w:pPr>
            <w:r>
              <w:rPr>
                <w:rFonts w:ascii="Times New Roman" w:cs="Times New Roman" w:eastAsia="Times New Roman" w:hAnsi="Times New Roman"/>
                <w:sz w:val="14"/>
                <w:szCs w:val="14"/>
                <w:color w:val="0000FF"/>
              </w:rPr>
              <w:t>M</w:t>
            </w:r>
          </w:p>
        </w:tc>
        <w:tc>
          <w:tcPr>
            <w:tcW w:w="11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0000FF"/>
                <w:w w:val="98"/>
              </w:rPr>
              <w:t>2,500</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0000FF"/>
              </w:rPr>
              <w:t>A</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Times New Roman" w:cs="Times New Roman" w:eastAsia="Times New Roman" w:hAnsi="Times New Roman"/>
                <w:sz w:val="18"/>
                <w:szCs w:val="18"/>
                <w:color w:val="0000FF"/>
                <w:w w:val="97"/>
              </w:rPr>
              <w:t>39.075</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0000FF"/>
              </w:rPr>
              <w:t>27,762</w:t>
            </w:r>
          </w:p>
        </w:tc>
        <w:tc>
          <w:tcPr>
            <w:tcW w:w="172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326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60" w:type="dxa"/>
            <w:vAlign w:val="bottom"/>
            <w:tcBorders>
              <w:top w:val="single" w:sz="8" w:color="808080"/>
            </w:tcBorders>
            <w:shd w:val="clear" w:color="auto" w:fill="2C2C2C"/>
          </w:tcPr>
          <w:p>
            <w:pPr>
              <w:spacing w:after="0" w:line="20" w:lineRule="exact"/>
              <w:rPr>
                <w:sz w:val="1"/>
                <w:szCs w:val="1"/>
                <w:color w:val="auto"/>
              </w:rPr>
            </w:pPr>
          </w:p>
        </w:tc>
        <w:tc>
          <w:tcPr>
            <w:tcW w:w="17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17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RSU</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color w:val="0000FF"/>
                <w:w w:val="95"/>
              </w:rPr>
              <w:t>$0.01</w:t>
            </w: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4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(Restricted</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continue"/>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2,500</w:t>
            </w: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40" w:type="dxa"/>
            <w:vAlign w:val="bottom"/>
            <w:vMerge w:val="restart"/>
          </w:tcPr>
          <w:p>
            <w:pPr>
              <w:jc w:val="right"/>
              <w:ind w:right="198"/>
              <w:spacing w:after="0"/>
              <w:rPr>
                <w:sz w:val="20"/>
                <w:szCs w:val="20"/>
                <w:color w:val="auto"/>
              </w:rPr>
            </w:pPr>
            <w:r>
              <w:rPr>
                <w:rFonts w:ascii="Times New Roman" w:cs="Times New Roman" w:eastAsia="Times New Roman" w:hAnsi="Times New Roman"/>
                <w:sz w:val="14"/>
                <w:szCs w:val="14"/>
                <w:color w:val="0000FF"/>
              </w:rPr>
              <w:t>01/19/2020</w:t>
            </w:r>
          </w:p>
        </w:tc>
        <w:tc>
          <w:tcPr>
            <w:tcW w:w="11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0000FF"/>
              </w:rPr>
              <w:t>2,500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6"/>
              </w:rPr>
              <w:t>Par</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0000FF"/>
              </w:rPr>
              <w:t>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740" w:type="dxa"/>
            <w:vAlign w:val="bottom"/>
          </w:tcPr>
          <w:p>
            <w:pPr>
              <w:ind w:left="60"/>
              <w:spacing w:after="0" w:line="95" w:lineRule="exact"/>
              <w:rPr>
                <w:sz w:val="20"/>
                <w:szCs w:val="20"/>
                <w:color w:val="auto"/>
              </w:rPr>
            </w:pPr>
            <w:r>
              <w:rPr>
                <w:rFonts w:ascii="Times New Roman" w:cs="Times New Roman" w:eastAsia="Times New Roman" w:hAnsi="Times New Roman"/>
                <w:sz w:val="11"/>
                <w:szCs w:val="11"/>
                <w:color w:val="0000FF"/>
              </w:rPr>
              <w:t>Stock</w:t>
            </w:r>
          </w:p>
        </w:tc>
        <w:tc>
          <w:tcPr>
            <w:tcW w:w="8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5"/>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Unit)</w:t>
            </w:r>
          </w:p>
        </w:tc>
        <w:tc>
          <w:tcPr>
            <w:tcW w:w="3700" w:type="dxa"/>
            <w:vAlign w:val="bottom"/>
          </w:tcPr>
          <w:p>
            <w:pPr>
              <w:jc w:val="center"/>
              <w:ind w:left="3332"/>
              <w:spacing w:after="0" w:line="135" w:lineRule="exact"/>
              <w:rPr>
                <w:sz w:val="20"/>
                <w:szCs w:val="20"/>
                <w:color w:val="auto"/>
              </w:rPr>
            </w:pPr>
            <w:r>
              <w:rPr>
                <w:rFonts w:ascii="Times New Roman" w:cs="Times New Roman" w:eastAsia="Times New Roman" w:hAnsi="Times New Roman"/>
                <w:sz w:val="14"/>
                <w:szCs w:val="14"/>
                <w:color w:val="0000FF"/>
                <w:w w:val="89"/>
              </w:rPr>
              <w:t>Value</w:t>
            </w:r>
          </w:p>
        </w:tc>
        <w:tc>
          <w:tcPr>
            <w:tcW w:w="0" w:type="dxa"/>
            <w:vAlign w:val="bottom"/>
          </w:tcPr>
          <w:p>
            <w:pPr>
              <w:spacing w:after="0"/>
              <w:rPr>
                <w:sz w:val="1"/>
                <w:szCs w:val="1"/>
                <w:color w:val="auto"/>
              </w:rPr>
            </w:pPr>
          </w:p>
        </w:tc>
      </w:tr>
      <w:tr>
        <w:trPr>
          <w:trHeight w:val="93"/>
        </w:trPr>
        <w:tc>
          <w:tcPr>
            <w:tcW w:w="3700" w:type="dxa"/>
            <w:vAlign w:val="bottom"/>
            <w:vMerge w:val="continue"/>
          </w:tcPr>
          <w:p>
            <w:pPr>
              <w:spacing w:after="0"/>
              <w:rPr>
                <w:sz w:val="8"/>
                <w:szCs w:val="8"/>
                <w:color w:val="auto"/>
              </w:rPr>
            </w:pPr>
          </w:p>
        </w:tc>
        <w:tc>
          <w:tcPr>
            <w:tcW w:w="3700" w:type="dxa"/>
            <w:vAlign w:val="bottom"/>
            <w:vMerge w:val="restart"/>
          </w:tcPr>
          <w:p>
            <w:pPr>
              <w:jc w:val="center"/>
              <w:ind w:left="3332"/>
              <w:spacing w:after="0" w:line="149" w:lineRule="exact"/>
              <w:rPr>
                <w:sz w:val="20"/>
                <w:szCs w:val="20"/>
                <w:color w:val="auto"/>
              </w:rPr>
            </w:pPr>
            <w:r>
              <w:rPr>
                <w:rFonts w:ascii="Times New Roman" w:cs="Times New Roman" w:eastAsia="Times New Roman" w:hAnsi="Times New Roman"/>
                <w:sz w:val="14"/>
                <w:szCs w:val="14"/>
                <w:color w:val="0000FF"/>
                <w:w w:val="96"/>
              </w:rPr>
              <w:t>Per</w:t>
            </w:r>
          </w:p>
        </w:tc>
        <w:tc>
          <w:tcPr>
            <w:tcW w:w="0" w:type="dxa"/>
            <w:vAlign w:val="bottom"/>
          </w:tcPr>
          <w:p>
            <w:pPr>
              <w:spacing w:after="0"/>
              <w:rPr>
                <w:sz w:val="1"/>
                <w:szCs w:val="1"/>
                <w:color w:val="auto"/>
              </w:rPr>
            </w:pPr>
          </w:p>
        </w:tc>
      </w:tr>
      <w:tr>
        <w:trPr>
          <w:trHeight w:val="55"/>
        </w:trPr>
        <w:tc>
          <w:tcPr>
            <w:tcW w:w="3700" w:type="dxa"/>
            <w:vAlign w:val="bottom"/>
          </w:tcPr>
          <w:p>
            <w:pPr>
              <w:spacing w:after="0"/>
              <w:rPr>
                <w:sz w:val="4"/>
                <w:szCs w:val="4"/>
                <w:color w:val="auto"/>
              </w:rPr>
            </w:pP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3700" w:type="dxa"/>
            <w:vAlign w:val="bottom"/>
          </w:tcPr>
          <w:p>
            <w:pPr>
              <w:jc w:val="center"/>
              <w:ind w:left="3332"/>
              <w:spacing w:after="0"/>
              <w:rPr>
                <w:sz w:val="20"/>
                <w:szCs w:val="20"/>
                <w:color w:val="auto"/>
              </w:rPr>
            </w:pPr>
            <w:r>
              <w:rPr>
                <w:rFonts w:ascii="Times New Roman" w:cs="Times New Roman" w:eastAsia="Times New Roman" w:hAnsi="Times New Roman"/>
                <w:sz w:val="14"/>
                <w:szCs w:val="14"/>
                <w:color w:val="0000FF"/>
                <w:w w:val="93"/>
              </w:rPr>
              <w:t>Share</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of common stock issued to the reporting person on January 17, 2020 upon achievement of the performance criteria and vesting of performance share units granted on April 20, 2017.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159 shares for the period ended December 31, 2018, and 170 shares for the period ended December 31, 2019, that were acquired under the Schlumberger discounted stock purchase plan.</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Shares of restricted common stock issued to the reporting person on January 17, 2020 upon achievement of the performance criteria and vesting of performance share units granted on January 17, 2018.</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the right to receive, at settlement, one (1) share of common stock.</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restricted stock unit award was granted January 19, 2017 and vested 100% on January 19, 2020.</w:t>
      </w:r>
    </w:p>
    <w:p>
      <w:pPr>
        <w:spacing w:after="0" w:line="30"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Saul R. Laureles, Attorney-</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0000FF"/>
                <w:w w:val="95"/>
              </w:rPr>
              <w:t>01/22/2020</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705054"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2020-01-22T17:00:31Z</dcterms:created>
  <dcterms:modified xsi:type="dcterms:W3CDTF">2020-01-22T17:00:31Z</dcterms:modified>
</cp:coreProperties>
</file>