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00"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333-271711</w:t>
      </w:r>
    </w:p>
    <w:p>
      <w:pPr>
        <w:spacing w:after="0" w:line="130" w:lineRule="exact"/>
        <w:rPr>
          <w:sz w:val="24"/>
          <w:szCs w:val="24"/>
          <w:color w:val="auto"/>
        </w:rPr>
      </w:pPr>
    </w:p>
    <w:p>
      <w:pPr>
        <w:ind w:left="320"/>
        <w:spacing w:after="0"/>
        <w:rPr>
          <w:sz w:val="20"/>
          <w:szCs w:val="20"/>
          <w:color w:val="auto"/>
        </w:rPr>
      </w:pPr>
      <w:r>
        <w:rPr>
          <w:rFonts w:ascii="Arial" w:cs="Arial" w:eastAsia="Arial" w:hAnsi="Arial"/>
          <w:sz w:val="16"/>
          <w:szCs w:val="16"/>
          <w:b w:val="1"/>
          <w:bCs w:val="1"/>
          <w:color w:val="auto"/>
        </w:rPr>
        <w:t>PROSPECTUS SUPPLEMENT</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6"/>
          <w:szCs w:val="16"/>
          <w:b w:val="1"/>
          <w:bCs w:val="1"/>
          <w:color w:val="auto"/>
        </w:rPr>
        <w:t>(To Prospectus dated May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2980055</wp:posOffset>
            </wp:positionH>
            <wp:positionV relativeFrom="paragraph">
              <wp:posOffset>146685</wp:posOffset>
            </wp:positionV>
            <wp:extent cx="1182370"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237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319"/>
        <w:spacing w:after="0"/>
        <w:rPr>
          <w:sz w:val="20"/>
          <w:szCs w:val="20"/>
          <w:color w:val="auto"/>
        </w:rPr>
      </w:pPr>
      <w:r>
        <w:rPr>
          <w:rFonts w:ascii="Arial" w:cs="Arial" w:eastAsia="Arial" w:hAnsi="Arial"/>
          <w:sz w:val="38"/>
          <w:szCs w:val="38"/>
          <w:b w:val="1"/>
          <w:bCs w:val="1"/>
          <w:color w:val="auto"/>
        </w:rPr>
        <w:t>Schlumberger Investment S.A.</w:t>
      </w:r>
    </w:p>
    <w:p>
      <w:pPr>
        <w:spacing w:after="0" w:line="222" w:lineRule="exact"/>
        <w:rPr>
          <w:sz w:val="24"/>
          <w:szCs w:val="24"/>
          <w:color w:val="auto"/>
        </w:rPr>
      </w:pPr>
    </w:p>
    <w:p>
      <w:pPr>
        <w:ind w:left="3460"/>
        <w:spacing w:after="0"/>
        <w:rPr>
          <w:sz w:val="20"/>
          <w:szCs w:val="20"/>
          <w:color w:val="auto"/>
        </w:rPr>
      </w:pPr>
      <w:r>
        <w:rPr>
          <w:rFonts w:ascii="Arial" w:cs="Arial" w:eastAsia="Arial" w:hAnsi="Arial"/>
          <w:sz w:val="21"/>
          <w:szCs w:val="21"/>
          <w:b w:val="1"/>
          <w:bCs w:val="1"/>
          <w:color w:val="auto"/>
        </w:rPr>
        <w:t>$500,000,000 5.000% Senior Notes due 2034</w:t>
      </w:r>
    </w:p>
    <w:p>
      <w:pPr>
        <w:spacing w:after="0" w:line="201" w:lineRule="exact"/>
        <w:rPr>
          <w:sz w:val="24"/>
          <w:szCs w:val="24"/>
          <w:color w:val="auto"/>
        </w:rPr>
      </w:pPr>
    </w:p>
    <w:p>
      <w:pPr>
        <w:ind w:left="3620"/>
        <w:spacing w:after="0"/>
        <w:rPr>
          <w:sz w:val="20"/>
          <w:szCs w:val="20"/>
          <w:color w:val="auto"/>
        </w:rPr>
      </w:pPr>
      <w:r>
        <w:rPr>
          <w:rFonts w:ascii="Arial" w:cs="Arial" w:eastAsia="Arial" w:hAnsi="Arial"/>
          <w:sz w:val="21"/>
          <w:szCs w:val="21"/>
          <w:b w:val="1"/>
          <w:bCs w:val="1"/>
          <w:color w:val="auto"/>
        </w:rPr>
        <w:t>Fully and unconditionally guaranteed by</w:t>
      </w:r>
    </w:p>
    <w:p>
      <w:pPr>
        <w:spacing w:after="0" w:line="13"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222885</wp:posOffset>
            </wp:positionV>
            <wp:extent cx="1414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320" w:right="20" w:firstLine="425"/>
        <w:spacing w:after="0" w:line="247" w:lineRule="auto"/>
        <w:rPr>
          <w:sz w:val="20"/>
          <w:szCs w:val="20"/>
          <w:color w:val="auto"/>
        </w:rPr>
      </w:pPr>
      <w:r>
        <w:rPr>
          <w:rFonts w:ascii="Arial" w:cs="Arial" w:eastAsia="Arial" w:hAnsi="Arial"/>
          <w:sz w:val="16"/>
          <w:szCs w:val="16"/>
          <w:color w:val="auto"/>
        </w:rPr>
        <w:t>Schlumberger Investment S.A., a public limited liability company (société anonyme) incorporated and existing under the laws of the Grand Duchy of Luxembourg, having its registered office located at 5, Place de la Gare, L-1616 Luxembourg, Grand Duchy of Luxembourg, and registered with the Luxembourg Trade and Companies Register (Registre de Commerce et des Sociétés, Luxembourg) under number B 163.122 (the “Company”) is offering U.S.$500,000,000 principal amount of its 5.000% Senior Notes due 2034 (the “Notes”).</w:t>
      </w:r>
    </w:p>
    <w:p>
      <w:pPr>
        <w:spacing w:after="0" w:line="180" w:lineRule="exact"/>
        <w:rPr>
          <w:sz w:val="24"/>
          <w:szCs w:val="24"/>
          <w:color w:val="auto"/>
        </w:rPr>
      </w:pPr>
    </w:p>
    <w:p>
      <w:pPr>
        <w:ind w:left="320" w:right="100" w:firstLine="425"/>
        <w:spacing w:after="0" w:line="265" w:lineRule="auto"/>
        <w:rPr>
          <w:sz w:val="20"/>
          <w:szCs w:val="20"/>
          <w:color w:val="auto"/>
        </w:rPr>
      </w:pPr>
      <w:r>
        <w:rPr>
          <w:rFonts w:ascii="Arial" w:cs="Arial" w:eastAsia="Arial" w:hAnsi="Arial"/>
          <w:sz w:val="16"/>
          <w:szCs w:val="16"/>
          <w:color w:val="auto"/>
        </w:rPr>
        <w:t>The Notes will bear interest at a rate of 5.000% per year. We will pay interest on the Notes semi-annually on June 1 and December 1 of each year, beginning on December 1, 2024.</w:t>
      </w:r>
    </w:p>
    <w:p>
      <w:pPr>
        <w:spacing w:after="0" w:line="167" w:lineRule="exact"/>
        <w:rPr>
          <w:sz w:val="24"/>
          <w:szCs w:val="24"/>
          <w:color w:val="auto"/>
        </w:rPr>
      </w:pPr>
    </w:p>
    <w:p>
      <w:pPr>
        <w:jc w:val="both"/>
        <w:ind w:left="320" w:right="160" w:firstLine="425"/>
        <w:spacing w:after="0" w:line="251" w:lineRule="auto"/>
        <w:rPr>
          <w:sz w:val="20"/>
          <w:szCs w:val="20"/>
          <w:color w:val="auto"/>
        </w:rPr>
      </w:pPr>
      <w:r>
        <w:rPr>
          <w:rFonts w:ascii="Arial" w:cs="Arial" w:eastAsia="Arial" w:hAnsi="Arial"/>
          <w:sz w:val="16"/>
          <w:szCs w:val="16"/>
          <w:color w:val="auto"/>
        </w:rPr>
        <w:t>The Notes will be fully and unconditionally guaranteed (the “guarantee”) on a senior unsecured basis by Schlumberger Limited (the “Guarantor”), the ultimate parent of the Company. The guarantee will be the unsecured and unsubordinated obligations of the Guarantor and will rank equally with the Guarantor’s other unsecured and unsubordinated indebtedness from time to time outstanding.</w:t>
      </w:r>
    </w:p>
    <w:p>
      <w:pPr>
        <w:spacing w:after="0" w:line="178" w:lineRule="exact"/>
        <w:rPr>
          <w:sz w:val="24"/>
          <w:szCs w:val="24"/>
          <w:color w:val="auto"/>
        </w:rPr>
      </w:pPr>
    </w:p>
    <w:p>
      <w:pPr>
        <w:ind w:left="320" w:right="600" w:firstLine="425"/>
        <w:spacing w:after="0" w:line="265" w:lineRule="auto"/>
        <w:rPr>
          <w:sz w:val="20"/>
          <w:szCs w:val="20"/>
          <w:color w:val="auto"/>
        </w:rPr>
      </w:pPr>
      <w:r>
        <w:rPr>
          <w:rFonts w:ascii="Arial" w:cs="Arial" w:eastAsia="Arial" w:hAnsi="Arial"/>
          <w:sz w:val="16"/>
          <w:szCs w:val="16"/>
          <w:color w:val="auto"/>
        </w:rPr>
        <w:t>The Company may redeem some or all of the Notes at any time and from time to time at the redemption prices described in this prospectus supplement, plus accrued and unpaid interest to the redemption date.</w:t>
      </w:r>
    </w:p>
    <w:p>
      <w:pPr>
        <w:spacing w:after="0" w:line="167" w:lineRule="exact"/>
        <w:rPr>
          <w:sz w:val="24"/>
          <w:szCs w:val="24"/>
          <w:color w:val="auto"/>
        </w:rPr>
      </w:pPr>
    </w:p>
    <w:p>
      <w:pPr>
        <w:ind w:left="320" w:right="40" w:firstLine="425"/>
        <w:spacing w:after="0" w:line="265" w:lineRule="auto"/>
        <w:rPr>
          <w:sz w:val="20"/>
          <w:szCs w:val="20"/>
          <w:color w:val="auto"/>
        </w:rPr>
      </w:pPr>
      <w:r>
        <w:rPr>
          <w:rFonts w:ascii="Arial" w:cs="Arial" w:eastAsia="Arial" w:hAnsi="Arial"/>
          <w:sz w:val="16"/>
          <w:szCs w:val="16"/>
          <w:color w:val="auto"/>
        </w:rPr>
        <w:t>The Notes will be the unsecured and unsubordinated obligations of the Company and will rank equally with its other unsecured and unsubordinated indebtedness from time to time outstanding.</w:t>
      </w:r>
    </w:p>
    <w:p>
      <w:pPr>
        <w:spacing w:after="0" w:line="167" w:lineRule="exact"/>
        <w:rPr>
          <w:sz w:val="24"/>
          <w:szCs w:val="24"/>
          <w:color w:val="auto"/>
        </w:rPr>
      </w:pPr>
    </w:p>
    <w:p>
      <w:pPr>
        <w:ind w:left="740"/>
        <w:spacing w:after="0"/>
        <w:rPr>
          <w:sz w:val="20"/>
          <w:szCs w:val="20"/>
          <w:color w:val="auto"/>
        </w:rPr>
      </w:pPr>
      <w:r>
        <w:rPr>
          <w:rFonts w:ascii="Arial" w:cs="Arial" w:eastAsia="Arial" w:hAnsi="Arial"/>
          <w:sz w:val="16"/>
          <w:szCs w:val="16"/>
          <w:color w:val="auto"/>
        </w:rPr>
        <w:t>The Notes will not be listed on any securities exchange. Currently, there is no public market for the Notes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221615</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Investing in the Notes involves risks. See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S-6.</w:t>
      </w:r>
    </w:p>
    <w:p>
      <w:pPr>
        <w:spacing w:after="0" w:line="208" w:lineRule="exact"/>
        <w:rPr>
          <w:sz w:val="24"/>
          <w:szCs w:val="24"/>
          <w:color w:val="auto"/>
        </w:rPr>
      </w:pPr>
    </w:p>
    <w:p>
      <w:pPr>
        <w:jc w:val="both"/>
        <w:ind w:left="320" w:right="120" w:firstLine="425"/>
        <w:spacing w:after="0" w:line="25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194310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1160" w:type="dxa"/>
        <w:tblCellMar>
          <w:top w:w="0" w:type="dxa"/>
          <w:left w:w="0" w:type="dxa"/>
          <w:bottom w:w="0" w:type="dxa"/>
          <w:right w:w="0" w:type="dxa"/>
        </w:tblCellMar>
      </w:tblPr>
      <w:tr>
        <w:trPr>
          <w:trHeight w:val="166"/>
        </w:trPr>
        <w:tc>
          <w:tcPr>
            <w:tcW w:w="67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Per Note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CEEFF"/>
          </w:tcPr>
          <w:p>
            <w:pPr>
              <w:spacing w:after="0" w:line="195" w:lineRule="exact"/>
              <w:rPr>
                <w:sz w:val="20"/>
                <w:szCs w:val="20"/>
                <w:color w:val="auto"/>
              </w:rPr>
            </w:pPr>
            <w:r>
              <w:rPr>
                <w:rFonts w:ascii="Arial" w:cs="Arial" w:eastAsia="Arial" w:hAnsi="Arial"/>
                <w:sz w:val="15"/>
                <w:szCs w:val="15"/>
                <w:color w:val="auto"/>
              </w:rPr>
              <w:t>Public Offering Price</w:t>
            </w:r>
            <w:r>
              <w:rPr>
                <w:rFonts w:ascii="Arial" w:cs="Arial" w:eastAsia="Arial" w:hAnsi="Arial"/>
                <w:sz w:val="22"/>
                <w:szCs w:val="22"/>
                <w:color w:val="auto"/>
                <w:vertAlign w:val="superscript"/>
              </w:rPr>
              <w:t>(1)</w:t>
            </w: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80" w:type="dxa"/>
            <w:vAlign w:val="bottom"/>
            <w:vMerge w:val="continue"/>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98.332%</w:t>
            </w: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920" w:type="dxa"/>
            <w:vAlign w:val="bottom"/>
            <w:tcBorders>
              <w:right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6"/>
              </w:rPr>
              <w:t>491,660,000</w:t>
            </w:r>
          </w:p>
        </w:tc>
        <w:tc>
          <w:tcPr>
            <w:tcW w:w="0" w:type="dxa"/>
            <w:vAlign w:val="bottom"/>
          </w:tcPr>
          <w:p>
            <w:pPr>
              <w:spacing w:after="0"/>
              <w:rPr>
                <w:sz w:val="1"/>
                <w:szCs w:val="1"/>
                <w:color w:val="auto"/>
              </w:rPr>
            </w:pPr>
          </w:p>
        </w:tc>
      </w:tr>
      <w:tr>
        <w:trPr>
          <w:trHeight w:val="182"/>
        </w:trPr>
        <w:tc>
          <w:tcPr>
            <w:tcW w:w="6780" w:type="dxa"/>
            <w:vAlign w:val="bottom"/>
          </w:tcPr>
          <w:p>
            <w:pPr>
              <w:spacing w:after="0" w:line="182" w:lineRule="exact"/>
              <w:rPr>
                <w:sz w:val="20"/>
                <w:szCs w:val="20"/>
                <w:color w:val="auto"/>
              </w:rPr>
            </w:pPr>
            <w:r>
              <w:rPr>
                <w:rFonts w:ascii="Arial" w:cs="Arial" w:eastAsia="Arial" w:hAnsi="Arial"/>
                <w:sz w:val="16"/>
                <w:szCs w:val="16"/>
                <w:color w:val="auto"/>
              </w:rPr>
              <w:t>Underwriting Discount</w:t>
            </w:r>
          </w:p>
        </w:tc>
        <w:tc>
          <w:tcPr>
            <w:tcW w:w="920" w:type="dxa"/>
            <w:vAlign w:val="bottom"/>
            <w:gridSpan w:val="2"/>
          </w:tcPr>
          <w:p>
            <w:pPr>
              <w:jc w:val="right"/>
              <w:ind w:right="200"/>
              <w:spacing w:after="0" w:line="182" w:lineRule="exact"/>
              <w:rPr>
                <w:sz w:val="20"/>
                <w:szCs w:val="20"/>
                <w:color w:val="auto"/>
              </w:rPr>
            </w:pPr>
            <w:r>
              <w:rPr>
                <w:rFonts w:ascii="Arial" w:cs="Arial" w:eastAsia="Arial" w:hAnsi="Arial"/>
                <w:sz w:val="16"/>
                <w:szCs w:val="16"/>
                <w:color w:val="auto"/>
              </w:rPr>
              <w:t>0.450%</w:t>
            </w:r>
          </w:p>
        </w:tc>
        <w:tc>
          <w:tcPr>
            <w:tcW w:w="3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2,250,000</w:t>
            </w:r>
          </w:p>
        </w:tc>
        <w:tc>
          <w:tcPr>
            <w:tcW w:w="0" w:type="dxa"/>
            <w:vAlign w:val="bottom"/>
          </w:tcPr>
          <w:p>
            <w:pPr>
              <w:spacing w:after="0"/>
              <w:rPr>
                <w:sz w:val="1"/>
                <w:szCs w:val="1"/>
                <w:color w:val="auto"/>
              </w:rPr>
            </w:pPr>
          </w:p>
        </w:tc>
      </w:tr>
      <w:tr>
        <w:trPr>
          <w:trHeight w:val="182"/>
        </w:trPr>
        <w:tc>
          <w:tcPr>
            <w:tcW w:w="67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Proceeds to the Company (before expenses)</w:t>
            </w:r>
          </w:p>
        </w:tc>
        <w:tc>
          <w:tcPr>
            <w:tcW w:w="9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6"/>
                <w:szCs w:val="16"/>
                <w:color w:val="auto"/>
              </w:rPr>
              <w:t>97.882%</w:t>
            </w: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6"/>
              </w:rPr>
              <w:t>489,410,000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201295</wp:posOffset>
            </wp:positionH>
            <wp:positionV relativeFrom="paragraph">
              <wp:posOffset>82550</wp:posOffset>
            </wp:positionV>
            <wp:extent cx="735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150" w:lineRule="exact"/>
        <w:rPr>
          <w:sz w:val="24"/>
          <w:szCs w:val="24"/>
          <w:color w:val="auto"/>
        </w:rPr>
      </w:pPr>
    </w:p>
    <w:p>
      <w:pPr>
        <w:ind w:left="720" w:hanging="410"/>
        <w:spacing w:after="0"/>
        <w:tabs>
          <w:tab w:leader="none" w:pos="7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Plus accrued interest on the Notes, if any, from May 29, 2024 to the date of delivery.</w:t>
      </w:r>
    </w:p>
    <w:p>
      <w:pPr>
        <w:spacing w:after="0" w:line="207" w:lineRule="exact"/>
        <w:rPr>
          <w:sz w:val="24"/>
          <w:szCs w:val="24"/>
          <w:color w:val="auto"/>
        </w:rPr>
      </w:pPr>
    </w:p>
    <w:p>
      <w:pPr>
        <w:ind w:left="320" w:right="200" w:firstLine="425"/>
        <w:spacing w:after="0" w:line="251" w:lineRule="auto"/>
        <w:rPr>
          <w:sz w:val="20"/>
          <w:szCs w:val="20"/>
          <w:color w:val="auto"/>
        </w:rPr>
      </w:pPr>
      <w:r>
        <w:rPr>
          <w:rFonts w:ascii="Arial" w:cs="Arial" w:eastAsia="Arial" w:hAnsi="Arial"/>
          <w:sz w:val="16"/>
          <w:szCs w:val="16"/>
          <w:color w:val="auto"/>
        </w:rPr>
        <w:t>The underwriters expect to deliver the Notes to purchasers against payment on or about May 29, 2024, solely in book-entry form through the facilities of The Depository Trust Company and its participants, including Euroclear Bank SA/NV, as operator of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203835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99"/>
        <w:spacing w:after="0"/>
        <w:rPr>
          <w:sz w:val="20"/>
          <w:szCs w:val="20"/>
          <w:color w:val="auto"/>
        </w:rPr>
      </w:pPr>
      <w:r>
        <w:rPr>
          <w:rFonts w:ascii="Arial" w:cs="Arial" w:eastAsia="Arial" w:hAnsi="Arial"/>
          <w:sz w:val="16"/>
          <w:szCs w:val="16"/>
          <w:i w:val="1"/>
          <w:iCs w:val="1"/>
          <w:color w:val="auto"/>
        </w:rPr>
        <w:t>Joint Book-Running Managers</w:t>
      </w:r>
    </w:p>
    <w:p>
      <w:pPr>
        <w:spacing w:after="0" w:line="223" w:lineRule="exact"/>
        <w:rPr>
          <w:sz w:val="24"/>
          <w:szCs w:val="24"/>
          <w:color w:val="auto"/>
        </w:rPr>
      </w:pPr>
    </w:p>
    <w:p>
      <w:pPr>
        <w:ind w:left="320"/>
        <w:spacing w:after="0"/>
        <w:tabs>
          <w:tab w:leader="none" w:pos="5420" w:val="left"/>
          <w:tab w:leader="none" w:pos="10000" w:val="left"/>
        </w:tabs>
        <w:rPr>
          <w:sz w:val="20"/>
          <w:szCs w:val="20"/>
          <w:color w:val="auto"/>
        </w:rPr>
      </w:pPr>
      <w:r>
        <w:rPr>
          <w:rFonts w:ascii="Arial" w:cs="Arial" w:eastAsia="Arial" w:hAnsi="Arial"/>
          <w:sz w:val="16"/>
          <w:szCs w:val="16"/>
          <w:b w:val="1"/>
          <w:bCs w:val="1"/>
          <w:color w:val="auto"/>
        </w:rPr>
        <w:t>Citigroup</w:t>
      </w:r>
      <w:r>
        <w:rPr>
          <w:sz w:val="20"/>
          <w:szCs w:val="20"/>
          <w:color w:val="auto"/>
        </w:rPr>
        <w:tab/>
      </w:r>
      <w:r>
        <w:rPr>
          <w:rFonts w:ascii="Arial" w:cs="Arial" w:eastAsia="Arial" w:hAnsi="Arial"/>
          <w:sz w:val="16"/>
          <w:szCs w:val="16"/>
          <w:b w:val="1"/>
          <w:bCs w:val="1"/>
          <w:color w:val="auto"/>
        </w:rPr>
        <w:t>HSBC</w:t>
      </w:r>
      <w:r>
        <w:rPr>
          <w:sz w:val="20"/>
          <w:szCs w:val="20"/>
          <w:color w:val="auto"/>
        </w:rPr>
        <w:tab/>
      </w:r>
      <w:r>
        <w:rPr>
          <w:rFonts w:ascii="Arial" w:cs="Arial" w:eastAsia="Arial" w:hAnsi="Arial"/>
          <w:sz w:val="16"/>
          <w:szCs w:val="16"/>
          <w:b w:val="1"/>
          <w:bCs w:val="1"/>
          <w:color w:val="auto"/>
        </w:rPr>
        <w:t>J.P. Morgan</w:t>
      </w:r>
    </w:p>
    <w:p>
      <w:pPr>
        <w:spacing w:after="0" w:line="103" w:lineRule="exact"/>
        <w:rPr>
          <w:sz w:val="24"/>
          <w:szCs w:val="24"/>
          <w:color w:val="auto"/>
        </w:rPr>
      </w:pPr>
    </w:p>
    <w:p>
      <w:pPr>
        <w:ind w:left="320"/>
        <w:spacing w:after="0"/>
        <w:tabs>
          <w:tab w:leader="none" w:pos="1300" w:val="left"/>
          <w:tab w:leader="none" w:pos="4220" w:val="left"/>
          <w:tab w:leader="none" w:pos="6220" w:val="left"/>
          <w:tab w:leader="none" w:pos="8940" w:val="left"/>
        </w:tabs>
        <w:rPr>
          <w:sz w:val="20"/>
          <w:szCs w:val="20"/>
          <w:color w:val="auto"/>
        </w:rPr>
      </w:pPr>
      <w:r>
        <w:rPr>
          <w:rFonts w:ascii="Arial" w:cs="Arial" w:eastAsia="Arial" w:hAnsi="Arial"/>
          <w:sz w:val="16"/>
          <w:szCs w:val="16"/>
          <w:b w:val="1"/>
          <w:bCs w:val="1"/>
          <w:color w:val="auto"/>
        </w:rPr>
        <w:t>BBVA</w:t>
      </w:r>
      <w:r>
        <w:rPr>
          <w:sz w:val="20"/>
          <w:szCs w:val="20"/>
          <w:color w:val="auto"/>
        </w:rPr>
        <w:tab/>
      </w:r>
      <w:r>
        <w:rPr>
          <w:rFonts w:ascii="Arial" w:cs="Arial" w:eastAsia="Arial" w:hAnsi="Arial"/>
          <w:sz w:val="16"/>
          <w:szCs w:val="16"/>
          <w:b w:val="1"/>
          <w:bCs w:val="1"/>
          <w:color w:val="auto"/>
        </w:rPr>
        <w:t>Goldman Sachs &amp; Co. LLC</w:t>
      </w:r>
      <w:r>
        <w:rPr>
          <w:sz w:val="20"/>
          <w:szCs w:val="20"/>
          <w:color w:val="auto"/>
        </w:rPr>
        <w:tab/>
      </w:r>
      <w:r>
        <w:rPr>
          <w:rFonts w:ascii="Arial" w:cs="Arial" w:eastAsia="Arial" w:hAnsi="Arial"/>
          <w:sz w:val="16"/>
          <w:szCs w:val="16"/>
          <w:b w:val="1"/>
          <w:bCs w:val="1"/>
          <w:color w:val="auto"/>
        </w:rPr>
        <w:t>Morgan Stanley</w:t>
      </w:r>
      <w:r>
        <w:rPr>
          <w:sz w:val="20"/>
          <w:szCs w:val="20"/>
          <w:color w:val="auto"/>
        </w:rPr>
        <w:tab/>
      </w:r>
      <w:r>
        <w:rPr>
          <w:rFonts w:ascii="Arial" w:cs="Arial" w:eastAsia="Arial" w:hAnsi="Arial"/>
          <w:sz w:val="16"/>
          <w:szCs w:val="16"/>
          <w:b w:val="1"/>
          <w:bCs w:val="1"/>
          <w:color w:val="auto"/>
        </w:rPr>
        <w:t>SOCIETE GENERALE</w:t>
      </w:r>
      <w:r>
        <w:rPr>
          <w:sz w:val="20"/>
          <w:szCs w:val="20"/>
          <w:color w:val="auto"/>
        </w:rPr>
        <w:tab/>
      </w:r>
      <w:r>
        <w:rPr>
          <w:rFonts w:ascii="Arial" w:cs="Arial" w:eastAsia="Arial" w:hAnsi="Arial"/>
          <w:sz w:val="16"/>
          <w:szCs w:val="16"/>
          <w:b w:val="1"/>
          <w:bCs w:val="1"/>
          <w:color w:val="auto"/>
        </w:rPr>
        <w:t>Standard Chartered Bank</w:t>
      </w:r>
    </w:p>
    <w:p>
      <w:pPr>
        <w:spacing w:after="0" w:line="217" w:lineRule="exact"/>
        <w:rPr>
          <w:sz w:val="24"/>
          <w:szCs w:val="24"/>
          <w:color w:val="auto"/>
        </w:rPr>
      </w:pPr>
    </w:p>
    <w:p>
      <w:pPr>
        <w:jc w:val="center"/>
        <w:ind w:right="-299"/>
        <w:spacing w:after="0"/>
        <w:rPr>
          <w:sz w:val="20"/>
          <w:szCs w:val="20"/>
          <w:color w:val="auto"/>
        </w:rPr>
      </w:pPr>
      <w:r>
        <w:rPr>
          <w:rFonts w:ascii="Arial" w:cs="Arial" w:eastAsia="Arial" w:hAnsi="Arial"/>
          <w:sz w:val="16"/>
          <w:szCs w:val="16"/>
          <w:i w:val="1"/>
          <w:iCs w:val="1"/>
          <w:color w:val="auto"/>
        </w:rPr>
        <w:t>Co-Managers</w:t>
      </w:r>
    </w:p>
    <w:p>
      <w:pPr>
        <w:spacing w:after="0" w:line="236" w:lineRule="exact"/>
        <w:rPr>
          <w:sz w:val="24"/>
          <w:szCs w:val="24"/>
          <w:color w:val="auto"/>
        </w:rPr>
      </w:pPr>
    </w:p>
    <w:p>
      <w:pPr>
        <w:ind w:left="320"/>
        <w:spacing w:after="0"/>
        <w:tabs>
          <w:tab w:leader="none" w:pos="2240" w:val="left"/>
          <w:tab w:leader="none" w:pos="4560" w:val="left"/>
          <w:tab w:leader="none" w:pos="7440" w:val="left"/>
          <w:tab w:leader="none" w:pos="9220" w:val="left"/>
        </w:tabs>
        <w:rPr>
          <w:sz w:val="20"/>
          <w:szCs w:val="20"/>
          <w:color w:val="auto"/>
        </w:rPr>
      </w:pPr>
      <w:r>
        <w:rPr>
          <w:rFonts w:ascii="Arial" w:cs="Arial" w:eastAsia="Arial" w:hAnsi="Arial"/>
          <w:sz w:val="14"/>
          <w:szCs w:val="14"/>
          <w:b w:val="1"/>
          <w:bCs w:val="1"/>
          <w:color w:val="auto"/>
        </w:rPr>
        <w:t>BNP PARIBAS</w:t>
      </w:r>
      <w:r>
        <w:rPr>
          <w:sz w:val="20"/>
          <w:szCs w:val="20"/>
          <w:color w:val="auto"/>
        </w:rPr>
        <w:tab/>
      </w:r>
      <w:r>
        <w:rPr>
          <w:rFonts w:ascii="Arial" w:cs="Arial" w:eastAsia="Arial" w:hAnsi="Arial"/>
          <w:sz w:val="14"/>
          <w:szCs w:val="14"/>
          <w:b w:val="1"/>
          <w:bCs w:val="1"/>
          <w:color w:val="auto"/>
        </w:rPr>
        <w:t>BofA Securities</w:t>
      </w:r>
      <w:r>
        <w:rPr>
          <w:sz w:val="20"/>
          <w:szCs w:val="20"/>
          <w:color w:val="auto"/>
        </w:rPr>
        <w:tab/>
      </w:r>
      <w:r>
        <w:rPr>
          <w:rFonts w:ascii="Arial" w:cs="Arial" w:eastAsia="Arial" w:hAnsi="Arial"/>
          <w:sz w:val="14"/>
          <w:szCs w:val="14"/>
          <w:b w:val="1"/>
          <w:bCs w:val="1"/>
          <w:color w:val="auto"/>
        </w:rPr>
        <w:t>Deutsche Bank Securities</w:t>
      </w:r>
      <w:r>
        <w:rPr>
          <w:sz w:val="20"/>
          <w:szCs w:val="20"/>
          <w:color w:val="auto"/>
        </w:rPr>
        <w:tab/>
      </w:r>
      <w:r>
        <w:rPr>
          <w:rFonts w:ascii="Arial" w:cs="Arial" w:eastAsia="Arial" w:hAnsi="Arial"/>
          <w:sz w:val="14"/>
          <w:szCs w:val="14"/>
          <w:b w:val="1"/>
          <w:bCs w:val="1"/>
          <w:color w:val="auto"/>
        </w:rPr>
        <w:t>MUFG</w:t>
      </w:r>
      <w:r>
        <w:rPr>
          <w:sz w:val="20"/>
          <w:szCs w:val="20"/>
          <w:color w:val="auto"/>
        </w:rPr>
        <w:tab/>
      </w:r>
      <w:r>
        <w:rPr>
          <w:rFonts w:ascii="Arial" w:cs="Arial" w:eastAsia="Arial" w:hAnsi="Arial"/>
          <w:sz w:val="13"/>
          <w:szCs w:val="13"/>
          <w:b w:val="1"/>
          <w:bCs w:val="1"/>
          <w:color w:val="auto"/>
        </w:rPr>
        <w:t>UniCredit Capital Markets</w:t>
      </w:r>
    </w:p>
    <w:p>
      <w:pPr>
        <w:sectPr>
          <w:pgSz w:w="11900" w:h="16838" w:orient="portrait"/>
          <w:cols w:equalWidth="0" w:num="1">
            <w:col w:w="10940"/>
          </w:cols>
          <w:pgMar w:left="320" w:top="224" w:right="639" w:bottom="686" w:gutter="0" w:footer="0" w:header="0"/>
        </w:sectPr>
      </w:pPr>
    </w:p>
    <w:p>
      <w:pPr>
        <w:spacing w:after="0" w:line="277" w:lineRule="exact"/>
        <w:rPr>
          <w:sz w:val="24"/>
          <w:szCs w:val="24"/>
          <w:color w:val="auto"/>
        </w:rPr>
      </w:pPr>
    </w:p>
    <w:p>
      <w:pPr>
        <w:jc w:val="center"/>
        <w:ind w:right="-299"/>
        <w:spacing w:after="0"/>
        <w:rPr>
          <w:sz w:val="20"/>
          <w:szCs w:val="20"/>
          <w:color w:val="auto"/>
        </w:rPr>
      </w:pPr>
      <w:r>
        <w:rPr>
          <w:rFonts w:ascii="Arial" w:cs="Arial" w:eastAsia="Arial" w:hAnsi="Arial"/>
          <w:sz w:val="15"/>
          <w:szCs w:val="15"/>
          <w:b w:val="1"/>
          <w:bCs w:val="1"/>
          <w:color w:val="auto"/>
        </w:rPr>
        <w:t>May 21, 2024</w:t>
      </w:r>
    </w:p>
    <w:p>
      <w:pPr>
        <w:sectPr>
          <w:pgSz w:w="11900" w:h="16838" w:orient="portrait"/>
          <w:cols w:equalWidth="0" w:num="1">
            <w:col w:w="10940"/>
          </w:cols>
          <w:pgMar w:left="320" w:top="224" w:right="639" w:bottom="68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TABLE OF CONTENTS</w:t>
      </w:r>
    </w:p>
    <w:p>
      <w:pPr>
        <w:spacing w:after="0" w:line="10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Prospectus Supplement</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4800" w:type="dxa"/>
            <w:vAlign w:val="bottom"/>
            <w:gridSpan w:val="20"/>
            <w:vMerge w:val="restart"/>
          </w:tcPr>
          <w:p>
            <w:pPr>
              <w:spacing w:after="0"/>
              <w:rPr>
                <w:sz w:val="20"/>
                <w:szCs w:val="20"/>
                <w:color w:val="auto"/>
              </w:rPr>
            </w:pPr>
            <w:r>
              <w:rPr>
                <w:rFonts w:ascii="Arial" w:cs="Arial" w:eastAsia="Arial" w:hAnsi="Arial"/>
                <w:sz w:val="17"/>
                <w:szCs w:val="17"/>
                <w:color w:val="0000EE"/>
              </w:rPr>
              <w:t>Cautionary Statement Regarding Forward-Looking Statements</w:t>
            </w:r>
          </w:p>
        </w:tc>
        <w:tc>
          <w:tcPr>
            <w:tcW w:w="530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4"/>
        </w:trPr>
        <w:tc>
          <w:tcPr>
            <w:tcW w:w="4800" w:type="dxa"/>
            <w:vAlign w:val="bottom"/>
            <w:tcBorders>
              <w:bottom w:val="single" w:sz="8" w:color="0000EE"/>
            </w:tcBorders>
            <w:gridSpan w:val="20"/>
            <w:vMerge w:val="continue"/>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S-iii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40" w:type="dxa"/>
            <w:vAlign w:val="bottom"/>
            <w:tcBorders>
              <w:bottom w:val="single" w:sz="8" w:color="0000EE"/>
            </w:tcBorders>
            <w:gridSpan w:val="2"/>
          </w:tcPr>
          <w:p>
            <w:pPr>
              <w:spacing w:after="0" w:line="189" w:lineRule="exact"/>
              <w:rPr>
                <w:sz w:val="20"/>
                <w:szCs w:val="20"/>
                <w:color w:val="auto"/>
              </w:rPr>
            </w:pPr>
            <w:r>
              <w:rPr>
                <w:rFonts w:ascii="Arial" w:cs="Arial" w:eastAsia="Arial" w:hAnsi="Arial"/>
                <w:sz w:val="17"/>
                <w:szCs w:val="17"/>
                <w:color w:val="0000EE"/>
                <w:w w:val="98"/>
              </w:rPr>
              <w:t>Summary</w:t>
            </w:r>
          </w:p>
        </w:tc>
        <w:tc>
          <w:tcPr>
            <w:tcW w:w="4060" w:type="dxa"/>
            <w:vAlign w:val="bottom"/>
            <w:gridSpan w:val="18"/>
          </w:tcPr>
          <w:p>
            <w:pPr>
              <w:spacing w:after="0"/>
              <w:rPr>
                <w:sz w:val="16"/>
                <w:szCs w:val="16"/>
                <w:color w:val="auto"/>
              </w:rPr>
            </w:pPr>
          </w:p>
        </w:tc>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S-1</w:t>
            </w:r>
          </w:p>
        </w:tc>
        <w:tc>
          <w:tcPr>
            <w:tcW w:w="0" w:type="dxa"/>
            <w:vAlign w:val="bottom"/>
          </w:tcPr>
          <w:p>
            <w:pPr>
              <w:spacing w:after="0"/>
              <w:rPr>
                <w:sz w:val="1"/>
                <w:szCs w:val="1"/>
                <w:color w:val="auto"/>
              </w:rPr>
            </w:pPr>
          </w:p>
        </w:tc>
      </w:tr>
      <w:tr>
        <w:trPr>
          <w:trHeight w:val="175"/>
        </w:trPr>
        <w:tc>
          <w:tcPr>
            <w:tcW w:w="4800" w:type="dxa"/>
            <w:vAlign w:val="bottom"/>
            <w:gridSpan w:val="20"/>
          </w:tcPr>
          <w:p>
            <w:pPr>
              <w:spacing w:after="0" w:line="176" w:lineRule="exact"/>
              <w:rPr>
                <w:sz w:val="20"/>
                <w:szCs w:val="20"/>
                <w:color w:val="auto"/>
              </w:rPr>
            </w:pPr>
            <w:r>
              <w:rPr>
                <w:rFonts w:ascii="Arial" w:cs="Arial" w:eastAsia="Arial" w:hAnsi="Arial"/>
                <w:sz w:val="17"/>
                <w:szCs w:val="17"/>
                <w:color w:val="0000EE"/>
              </w:rPr>
              <w:t>The Offering</w:t>
            </w: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S-3</w:t>
            </w:r>
          </w:p>
        </w:tc>
        <w:tc>
          <w:tcPr>
            <w:tcW w:w="0" w:type="dxa"/>
            <w:vAlign w:val="bottom"/>
          </w:tcPr>
          <w:p>
            <w:pPr>
              <w:spacing w:after="0"/>
              <w:rPr>
                <w:sz w:val="1"/>
                <w:szCs w:val="1"/>
                <w:color w:val="auto"/>
              </w:rPr>
            </w:pPr>
          </w:p>
        </w:tc>
      </w:tr>
      <w:tr>
        <w:trPr>
          <w:trHeight w:val="175"/>
        </w:trPr>
        <w:tc>
          <w:tcPr>
            <w:tcW w:w="960" w:type="dxa"/>
            <w:vAlign w:val="bottom"/>
            <w:tcBorders>
              <w:top w:val="single" w:sz="8" w:color="0000EE"/>
              <w:bottom w:val="single" w:sz="8" w:color="0000EE"/>
            </w:tcBorders>
            <w:gridSpan w:val="3"/>
          </w:tcPr>
          <w:p>
            <w:pPr>
              <w:spacing w:after="0" w:line="176" w:lineRule="exact"/>
              <w:rPr>
                <w:sz w:val="20"/>
                <w:szCs w:val="20"/>
                <w:color w:val="auto"/>
              </w:rPr>
            </w:pPr>
            <w:r>
              <w:rPr>
                <w:rFonts w:ascii="Arial" w:cs="Arial" w:eastAsia="Arial" w:hAnsi="Arial"/>
                <w:sz w:val="17"/>
                <w:szCs w:val="17"/>
                <w:color w:val="0000EE"/>
                <w:w w:val="99"/>
              </w:rPr>
              <w:t>Risk Factors</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S-6</w:t>
            </w:r>
          </w:p>
        </w:tc>
        <w:tc>
          <w:tcPr>
            <w:tcW w:w="0" w:type="dxa"/>
            <w:vAlign w:val="bottom"/>
          </w:tcPr>
          <w:p>
            <w:pPr>
              <w:spacing w:after="0"/>
              <w:rPr>
                <w:sz w:val="1"/>
                <w:szCs w:val="1"/>
                <w:color w:val="auto"/>
              </w:rPr>
            </w:pPr>
          </w:p>
        </w:tc>
      </w:tr>
      <w:tr>
        <w:trPr>
          <w:trHeight w:val="175"/>
        </w:trPr>
        <w:tc>
          <w:tcPr>
            <w:tcW w:w="1280" w:type="dxa"/>
            <w:vAlign w:val="bottom"/>
            <w:tcBorders>
              <w:bottom w:val="single" w:sz="8" w:color="0000EE"/>
            </w:tcBorders>
            <w:gridSpan w:val="7"/>
          </w:tcPr>
          <w:p>
            <w:pPr>
              <w:spacing w:after="0" w:line="176" w:lineRule="exact"/>
              <w:rPr>
                <w:sz w:val="20"/>
                <w:szCs w:val="20"/>
                <w:color w:val="auto"/>
              </w:rPr>
            </w:pPr>
            <w:r>
              <w:rPr>
                <w:rFonts w:ascii="Arial" w:cs="Arial" w:eastAsia="Arial" w:hAnsi="Arial"/>
                <w:sz w:val="17"/>
                <w:szCs w:val="17"/>
                <w:color w:val="0000EE"/>
              </w:rPr>
              <w:t>Use of Proceeds</w:t>
            </w:r>
          </w:p>
        </w:tc>
        <w:tc>
          <w:tcPr>
            <w:tcW w:w="3520" w:type="dxa"/>
            <w:vAlign w:val="bottom"/>
            <w:gridSpan w:val="13"/>
          </w:tcPr>
          <w:p>
            <w:pPr>
              <w:spacing w:after="0"/>
              <w:rPr>
                <w:sz w:val="15"/>
                <w:szCs w:val="15"/>
                <w:color w:val="auto"/>
              </w:rPr>
            </w:pP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S-8</w:t>
            </w:r>
          </w:p>
        </w:tc>
        <w:tc>
          <w:tcPr>
            <w:tcW w:w="0" w:type="dxa"/>
            <w:vAlign w:val="bottom"/>
          </w:tcPr>
          <w:p>
            <w:pPr>
              <w:spacing w:after="0"/>
              <w:rPr>
                <w:sz w:val="1"/>
                <w:szCs w:val="1"/>
                <w:color w:val="auto"/>
              </w:rPr>
            </w:pPr>
          </w:p>
        </w:tc>
      </w:tr>
      <w:tr>
        <w:trPr>
          <w:trHeight w:val="175"/>
        </w:trPr>
        <w:tc>
          <w:tcPr>
            <w:tcW w:w="4800" w:type="dxa"/>
            <w:vAlign w:val="bottom"/>
            <w:gridSpan w:val="20"/>
          </w:tcPr>
          <w:p>
            <w:pPr>
              <w:spacing w:after="0" w:line="176" w:lineRule="exact"/>
              <w:rPr>
                <w:sz w:val="20"/>
                <w:szCs w:val="20"/>
                <w:color w:val="auto"/>
              </w:rPr>
            </w:pPr>
            <w:r>
              <w:rPr>
                <w:rFonts w:ascii="Arial" w:cs="Arial" w:eastAsia="Arial" w:hAnsi="Arial"/>
                <w:sz w:val="17"/>
                <w:szCs w:val="17"/>
                <w:color w:val="0000EE"/>
              </w:rPr>
              <w:t>Description of the Notes</w:t>
            </w: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S-9</w:t>
            </w:r>
          </w:p>
        </w:tc>
        <w:tc>
          <w:tcPr>
            <w:tcW w:w="0" w:type="dxa"/>
            <w:vAlign w:val="bottom"/>
          </w:tcPr>
          <w:p>
            <w:pPr>
              <w:spacing w:after="0"/>
              <w:rPr>
                <w:sz w:val="1"/>
                <w:szCs w:val="1"/>
                <w:color w:val="auto"/>
              </w:rPr>
            </w:pPr>
          </w:p>
        </w:tc>
      </w:tr>
      <w:tr>
        <w:trPr>
          <w:trHeight w:val="175"/>
        </w:trPr>
        <w:tc>
          <w:tcPr>
            <w:tcW w:w="184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7"/>
                <w:szCs w:val="17"/>
                <w:color w:val="0000EE"/>
                <w:w w:val="94"/>
              </w:rPr>
              <w:t>Non-U.S. Federal Income</w:t>
            </w:r>
          </w:p>
        </w:tc>
        <w:tc>
          <w:tcPr>
            <w:tcW w:w="2960" w:type="dxa"/>
            <w:vAlign w:val="bottom"/>
            <w:gridSpan w:val="7"/>
          </w:tcPr>
          <w:p>
            <w:pPr>
              <w:ind w:left="160"/>
              <w:spacing w:after="0" w:line="176" w:lineRule="exact"/>
              <w:rPr>
                <w:sz w:val="20"/>
                <w:szCs w:val="20"/>
                <w:color w:val="auto"/>
              </w:rPr>
            </w:pPr>
            <w:r>
              <w:rPr>
                <w:rFonts w:ascii="Arial" w:cs="Arial" w:eastAsia="Arial" w:hAnsi="Arial"/>
                <w:sz w:val="17"/>
                <w:szCs w:val="17"/>
                <w:color w:val="0000EE"/>
              </w:rPr>
              <w:t>Tax Considerations</w:t>
            </w:r>
          </w:p>
        </w:tc>
        <w:tc>
          <w:tcPr>
            <w:tcW w:w="5300" w:type="dxa"/>
            <w:vAlign w:val="bottom"/>
          </w:tcPr>
          <w:p>
            <w:pPr>
              <w:spacing w:after="0"/>
              <w:rPr>
                <w:sz w:val="15"/>
                <w:szCs w:val="15"/>
                <w:color w:val="auto"/>
              </w:rPr>
            </w:pPr>
          </w:p>
        </w:tc>
        <w:tc>
          <w:tcPr>
            <w:tcW w:w="48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auto"/>
              </w:rPr>
              <w:t>S-29</w:t>
            </w:r>
          </w:p>
        </w:tc>
        <w:tc>
          <w:tcPr>
            <w:tcW w:w="0" w:type="dxa"/>
            <w:vAlign w:val="bottom"/>
          </w:tcPr>
          <w:p>
            <w:pPr>
              <w:spacing w:after="0"/>
              <w:rPr>
                <w:sz w:val="1"/>
                <w:szCs w:val="1"/>
                <w:color w:val="auto"/>
              </w:rPr>
            </w:pPr>
          </w:p>
        </w:tc>
      </w:tr>
      <w:tr>
        <w:trPr>
          <w:trHeight w:val="175"/>
        </w:trPr>
        <w:tc>
          <w:tcPr>
            <w:tcW w:w="3480" w:type="dxa"/>
            <w:vAlign w:val="bottom"/>
            <w:tcBorders>
              <w:top w:val="single" w:sz="8" w:color="0000EE"/>
            </w:tcBorders>
            <w:gridSpan w:val="19"/>
          </w:tcPr>
          <w:p>
            <w:pPr>
              <w:spacing w:after="0" w:line="176" w:lineRule="exact"/>
              <w:rPr>
                <w:sz w:val="20"/>
                <w:szCs w:val="20"/>
                <w:color w:val="auto"/>
              </w:rPr>
            </w:pPr>
            <w:r>
              <w:rPr>
                <w:rFonts w:ascii="Arial" w:cs="Arial" w:eastAsia="Arial" w:hAnsi="Arial"/>
                <w:sz w:val="17"/>
                <w:szCs w:val="17"/>
                <w:color w:val="0000EE"/>
              </w:rPr>
              <w:t>U.S. Federal Income Tax Considerations</w:t>
            </w:r>
          </w:p>
        </w:tc>
        <w:tc>
          <w:tcPr>
            <w:tcW w:w="13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48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auto"/>
              </w:rPr>
              <w:t>S-33</w:t>
            </w:r>
          </w:p>
        </w:tc>
        <w:tc>
          <w:tcPr>
            <w:tcW w:w="0" w:type="dxa"/>
            <w:vAlign w:val="bottom"/>
          </w:tcPr>
          <w:p>
            <w:pPr>
              <w:spacing w:after="0"/>
              <w:rPr>
                <w:sz w:val="1"/>
                <w:szCs w:val="1"/>
                <w:color w:val="auto"/>
              </w:rPr>
            </w:pPr>
          </w:p>
        </w:tc>
      </w:tr>
      <w:tr>
        <w:trPr>
          <w:trHeight w:val="175"/>
        </w:trPr>
        <w:tc>
          <w:tcPr>
            <w:tcW w:w="3100" w:type="dxa"/>
            <w:vAlign w:val="bottom"/>
            <w:tcBorders>
              <w:top w:val="single" w:sz="8" w:color="0000EE"/>
            </w:tcBorders>
            <w:gridSpan w:val="17"/>
          </w:tcPr>
          <w:p>
            <w:pPr>
              <w:spacing w:after="0" w:line="176" w:lineRule="exact"/>
              <w:rPr>
                <w:sz w:val="20"/>
                <w:szCs w:val="20"/>
                <w:color w:val="auto"/>
              </w:rPr>
            </w:pPr>
            <w:r>
              <w:rPr>
                <w:rFonts w:ascii="Arial" w:cs="Arial" w:eastAsia="Arial" w:hAnsi="Arial"/>
                <w:sz w:val="17"/>
                <w:szCs w:val="17"/>
                <w:color w:val="0000EE"/>
              </w:rPr>
              <w:t>Underwriting</w:t>
            </w:r>
          </w:p>
        </w:tc>
        <w:tc>
          <w:tcPr>
            <w:tcW w:w="100" w:type="dxa"/>
            <w:vAlign w:val="bottom"/>
          </w:tcPr>
          <w:p>
            <w:pPr>
              <w:spacing w:after="0"/>
              <w:rPr>
                <w:sz w:val="15"/>
                <w:szCs w:val="15"/>
                <w:color w:val="auto"/>
              </w:rPr>
            </w:pPr>
          </w:p>
        </w:tc>
        <w:tc>
          <w:tcPr>
            <w:tcW w:w="1600" w:type="dxa"/>
            <w:vAlign w:val="bottom"/>
            <w:gridSpan w:val="2"/>
          </w:tcPr>
          <w:p>
            <w:pPr>
              <w:spacing w:after="0"/>
              <w:rPr>
                <w:sz w:val="15"/>
                <w:szCs w:val="15"/>
                <w:color w:val="auto"/>
              </w:rPr>
            </w:pPr>
          </w:p>
        </w:tc>
        <w:tc>
          <w:tcPr>
            <w:tcW w:w="5300" w:type="dxa"/>
            <w:vAlign w:val="bottom"/>
          </w:tcPr>
          <w:p>
            <w:pPr>
              <w:spacing w:after="0"/>
              <w:rPr>
                <w:sz w:val="15"/>
                <w:szCs w:val="15"/>
                <w:color w:val="auto"/>
              </w:rPr>
            </w:pPr>
          </w:p>
        </w:tc>
        <w:tc>
          <w:tcPr>
            <w:tcW w:w="48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auto"/>
              </w:rPr>
              <w:t>S-36</w:t>
            </w:r>
          </w:p>
        </w:tc>
        <w:tc>
          <w:tcPr>
            <w:tcW w:w="0" w:type="dxa"/>
            <w:vAlign w:val="bottom"/>
          </w:tcPr>
          <w:p>
            <w:pPr>
              <w:spacing w:after="0"/>
              <w:rPr>
                <w:sz w:val="1"/>
                <w:szCs w:val="1"/>
                <w:color w:val="auto"/>
              </w:rPr>
            </w:pPr>
          </w:p>
        </w:tc>
      </w:tr>
      <w:tr>
        <w:trPr>
          <w:trHeight w:val="175"/>
        </w:trPr>
        <w:tc>
          <w:tcPr>
            <w:tcW w:w="1000" w:type="dxa"/>
            <w:vAlign w:val="bottom"/>
            <w:tcBorders>
              <w:top w:val="single" w:sz="8" w:color="0000EE"/>
              <w:bottom w:val="single" w:sz="8" w:color="0000EE"/>
            </w:tcBorders>
            <w:gridSpan w:val="5"/>
          </w:tcPr>
          <w:p>
            <w:pPr>
              <w:spacing w:after="0" w:line="176" w:lineRule="exact"/>
              <w:rPr>
                <w:sz w:val="20"/>
                <w:szCs w:val="20"/>
                <w:color w:val="auto"/>
              </w:rPr>
            </w:pPr>
            <w:r>
              <w:rPr>
                <w:rFonts w:ascii="Arial" w:cs="Arial" w:eastAsia="Arial" w:hAnsi="Arial"/>
                <w:sz w:val="17"/>
                <w:szCs w:val="17"/>
                <w:color w:val="0000EE"/>
                <w:w w:val="95"/>
              </w:rPr>
              <w:t>Legal Matters</w:t>
            </w:r>
          </w:p>
        </w:tc>
        <w:tc>
          <w:tcPr>
            <w:tcW w:w="40" w:type="dxa"/>
            <w:vAlign w:val="bottom"/>
            <w:tcBorders>
              <w:bottom w:val="single" w:sz="8" w:color="0000EE"/>
            </w:tcBorders>
          </w:tcPr>
          <w:p>
            <w:pPr>
              <w:spacing w:after="0"/>
              <w:rPr>
                <w:sz w:val="15"/>
                <w:szCs w:val="15"/>
                <w:color w:val="auto"/>
              </w:rPr>
            </w:pPr>
          </w:p>
        </w:tc>
        <w:tc>
          <w:tcPr>
            <w:tcW w:w="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600" w:type="dxa"/>
            <w:vAlign w:val="bottom"/>
            <w:gridSpan w:val="2"/>
          </w:tcPr>
          <w:p>
            <w:pPr>
              <w:spacing w:after="0"/>
              <w:rPr>
                <w:sz w:val="15"/>
                <w:szCs w:val="15"/>
                <w:color w:val="auto"/>
              </w:rPr>
            </w:pPr>
          </w:p>
        </w:tc>
        <w:tc>
          <w:tcPr>
            <w:tcW w:w="5300" w:type="dxa"/>
            <w:vAlign w:val="bottom"/>
          </w:tcPr>
          <w:p>
            <w:pPr>
              <w:spacing w:after="0"/>
              <w:rPr>
                <w:sz w:val="15"/>
                <w:szCs w:val="15"/>
                <w:color w:val="auto"/>
              </w:rPr>
            </w:pPr>
          </w:p>
        </w:tc>
        <w:tc>
          <w:tcPr>
            <w:tcW w:w="48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auto"/>
              </w:rPr>
              <w:t>S-42</w:t>
            </w:r>
          </w:p>
        </w:tc>
        <w:tc>
          <w:tcPr>
            <w:tcW w:w="0" w:type="dxa"/>
            <w:vAlign w:val="bottom"/>
          </w:tcPr>
          <w:p>
            <w:pPr>
              <w:spacing w:after="0"/>
              <w:rPr>
                <w:sz w:val="1"/>
                <w:szCs w:val="1"/>
                <w:color w:val="auto"/>
              </w:rPr>
            </w:pPr>
          </w:p>
        </w:tc>
      </w:tr>
      <w:tr>
        <w:trPr>
          <w:trHeight w:val="175"/>
        </w:trPr>
        <w:tc>
          <w:tcPr>
            <w:tcW w:w="1040" w:type="dxa"/>
            <w:vAlign w:val="bottom"/>
            <w:gridSpan w:val="6"/>
          </w:tcPr>
          <w:p>
            <w:pPr>
              <w:spacing w:after="0" w:line="176" w:lineRule="exact"/>
              <w:rPr>
                <w:sz w:val="20"/>
                <w:szCs w:val="20"/>
                <w:color w:val="auto"/>
              </w:rPr>
            </w:pPr>
            <w:r>
              <w:rPr>
                <w:rFonts w:ascii="Arial" w:cs="Arial" w:eastAsia="Arial" w:hAnsi="Arial"/>
                <w:sz w:val="17"/>
                <w:szCs w:val="17"/>
                <w:color w:val="0000EE"/>
              </w:rPr>
              <w:t>Experts</w:t>
            </w:r>
          </w:p>
        </w:tc>
        <w:tc>
          <w:tcPr>
            <w:tcW w:w="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600" w:type="dxa"/>
            <w:vAlign w:val="bottom"/>
            <w:gridSpan w:val="2"/>
          </w:tcPr>
          <w:p>
            <w:pPr>
              <w:spacing w:after="0"/>
              <w:rPr>
                <w:sz w:val="15"/>
                <w:szCs w:val="15"/>
                <w:color w:val="auto"/>
              </w:rPr>
            </w:pPr>
          </w:p>
        </w:tc>
        <w:tc>
          <w:tcPr>
            <w:tcW w:w="5300" w:type="dxa"/>
            <w:vAlign w:val="bottom"/>
          </w:tcPr>
          <w:p>
            <w:pPr>
              <w:spacing w:after="0"/>
              <w:rPr>
                <w:sz w:val="15"/>
                <w:szCs w:val="15"/>
                <w:color w:val="auto"/>
              </w:rPr>
            </w:pPr>
          </w:p>
        </w:tc>
        <w:tc>
          <w:tcPr>
            <w:tcW w:w="48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auto"/>
              </w:rPr>
              <w:t>S-42</w:t>
            </w:r>
          </w:p>
        </w:tc>
        <w:tc>
          <w:tcPr>
            <w:tcW w:w="0" w:type="dxa"/>
            <w:vAlign w:val="bottom"/>
          </w:tcPr>
          <w:p>
            <w:pPr>
              <w:spacing w:after="0"/>
              <w:rPr>
                <w:sz w:val="1"/>
                <w:szCs w:val="1"/>
                <w:color w:val="auto"/>
              </w:rPr>
            </w:pPr>
          </w:p>
        </w:tc>
      </w:tr>
      <w:tr>
        <w:trPr>
          <w:trHeight w:val="175"/>
        </w:trPr>
        <w:tc>
          <w:tcPr>
            <w:tcW w:w="580" w:type="dxa"/>
            <w:vAlign w:val="bottom"/>
            <w:tcBorders>
              <w:top w:val="single" w:sz="8" w:color="0000EE"/>
            </w:tcBorders>
          </w:tcPr>
          <w:p>
            <w:pPr>
              <w:spacing w:after="0" w:line="176" w:lineRule="exact"/>
              <w:rPr>
                <w:sz w:val="20"/>
                <w:szCs w:val="20"/>
                <w:color w:val="auto"/>
              </w:rPr>
            </w:pPr>
            <w:r>
              <w:rPr>
                <w:rFonts w:ascii="Arial" w:cs="Arial" w:eastAsia="Arial" w:hAnsi="Arial"/>
                <w:sz w:val="17"/>
                <w:szCs w:val="17"/>
                <w:color w:val="0000EE"/>
              </w:rPr>
              <w:t>Where</w:t>
            </w:r>
          </w:p>
        </w:tc>
        <w:tc>
          <w:tcPr>
            <w:tcW w:w="4220" w:type="dxa"/>
            <w:vAlign w:val="bottom"/>
            <w:gridSpan w:val="19"/>
          </w:tcPr>
          <w:p>
            <w:pPr>
              <w:spacing w:after="0" w:line="176" w:lineRule="exact"/>
              <w:rPr>
                <w:sz w:val="20"/>
                <w:szCs w:val="20"/>
                <w:color w:val="auto"/>
              </w:rPr>
            </w:pPr>
            <w:r>
              <w:rPr>
                <w:rFonts w:ascii="Arial" w:cs="Arial" w:eastAsia="Arial" w:hAnsi="Arial"/>
                <w:sz w:val="17"/>
                <w:szCs w:val="17"/>
                <w:color w:val="0000EE"/>
              </w:rPr>
              <w:t>you Can Find More Information</w:t>
            </w:r>
          </w:p>
        </w:tc>
        <w:tc>
          <w:tcPr>
            <w:tcW w:w="5300" w:type="dxa"/>
            <w:vAlign w:val="bottom"/>
          </w:tcPr>
          <w:p>
            <w:pPr>
              <w:spacing w:after="0"/>
              <w:rPr>
                <w:sz w:val="15"/>
                <w:szCs w:val="15"/>
                <w:color w:val="auto"/>
              </w:rPr>
            </w:pPr>
          </w:p>
        </w:tc>
        <w:tc>
          <w:tcPr>
            <w:tcW w:w="480" w:type="dxa"/>
            <w:vAlign w:val="bottom"/>
            <w:gridSpan w:val="3"/>
          </w:tcPr>
          <w:p>
            <w:pPr>
              <w:jc w:val="right"/>
              <w:ind w:right="20"/>
              <w:spacing w:after="0" w:line="176" w:lineRule="exact"/>
              <w:rPr>
                <w:sz w:val="20"/>
                <w:szCs w:val="20"/>
                <w:color w:val="auto"/>
              </w:rPr>
            </w:pPr>
            <w:r>
              <w:rPr>
                <w:rFonts w:ascii="Arial" w:cs="Arial" w:eastAsia="Arial" w:hAnsi="Arial"/>
                <w:sz w:val="17"/>
                <w:szCs w:val="17"/>
                <w:color w:val="auto"/>
              </w:rPr>
              <w:t>S-42</w:t>
            </w:r>
          </w:p>
        </w:tc>
        <w:tc>
          <w:tcPr>
            <w:tcW w:w="0" w:type="dxa"/>
            <w:vAlign w:val="bottom"/>
          </w:tcPr>
          <w:p>
            <w:pPr>
              <w:spacing w:after="0"/>
              <w:rPr>
                <w:sz w:val="1"/>
                <w:szCs w:val="1"/>
                <w:color w:val="auto"/>
              </w:rPr>
            </w:pP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S-42</w:t>
            </w:r>
          </w:p>
        </w:tc>
        <w:tc>
          <w:tcPr>
            <w:tcW w:w="0" w:type="dxa"/>
            <w:vAlign w:val="bottom"/>
          </w:tcPr>
          <w:p>
            <w:pPr>
              <w:spacing w:after="0" w:line="20" w:lineRule="exact"/>
              <w:rPr>
                <w:sz w:val="1"/>
                <w:szCs w:val="1"/>
                <w:color w:val="auto"/>
              </w:rPr>
            </w:pPr>
          </w:p>
        </w:tc>
      </w:tr>
      <w:tr>
        <w:trPr>
          <w:trHeight w:val="175"/>
        </w:trPr>
        <w:tc>
          <w:tcPr>
            <w:tcW w:w="4800" w:type="dxa"/>
            <w:vAlign w:val="bottom"/>
            <w:gridSpan w:val="20"/>
          </w:tcPr>
          <w:p>
            <w:pPr>
              <w:spacing w:after="0" w:line="176" w:lineRule="exact"/>
              <w:rPr>
                <w:sz w:val="20"/>
                <w:szCs w:val="20"/>
                <w:color w:val="auto"/>
              </w:rPr>
            </w:pPr>
            <w:r>
              <w:rPr>
                <w:rFonts w:ascii="Arial" w:cs="Arial" w:eastAsia="Arial" w:hAnsi="Arial"/>
                <w:sz w:val="17"/>
                <w:szCs w:val="17"/>
                <w:color w:val="0000EE"/>
              </w:rPr>
              <w:t>Incorporation of Documents by Reference</w:t>
            </w:r>
          </w:p>
        </w:tc>
        <w:tc>
          <w:tcPr>
            <w:tcW w:w="530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80" w:type="dxa"/>
            <w:vAlign w:val="bottom"/>
            <w:gridSpan w:val="4"/>
          </w:tcPr>
          <w:p>
            <w:pPr>
              <w:jc w:val="right"/>
              <w:ind w:right="4800"/>
              <w:spacing w:after="0"/>
              <w:rPr>
                <w:sz w:val="20"/>
                <w:szCs w:val="20"/>
                <w:color w:val="auto"/>
              </w:rPr>
            </w:pPr>
            <w:r>
              <w:rPr>
                <w:rFonts w:ascii="Arial" w:cs="Arial" w:eastAsia="Arial" w:hAnsi="Arial"/>
                <w:sz w:val="17"/>
                <w:szCs w:val="17"/>
                <w:b w:val="1"/>
                <w:bCs w:val="1"/>
                <w:color w:val="auto"/>
              </w:rPr>
              <w:t>Prospectus</w:t>
            </w:r>
          </w:p>
        </w:tc>
        <w:tc>
          <w:tcPr>
            <w:tcW w:w="0" w:type="dxa"/>
            <w:vAlign w:val="bottom"/>
          </w:tcPr>
          <w:p>
            <w:pPr>
              <w:spacing w:after="0"/>
              <w:rPr>
                <w:sz w:val="1"/>
                <w:szCs w:val="1"/>
                <w:color w:val="auto"/>
              </w:rPr>
            </w:pPr>
          </w:p>
        </w:tc>
      </w:tr>
      <w:tr>
        <w:trPr>
          <w:trHeight w:val="366"/>
        </w:trPr>
        <w:tc>
          <w:tcPr>
            <w:tcW w:w="1680" w:type="dxa"/>
            <w:vAlign w:val="bottom"/>
            <w:gridSpan w:val="11"/>
            <w:vMerge w:val="restart"/>
          </w:tcPr>
          <w:p>
            <w:pPr>
              <w:spacing w:after="0"/>
              <w:rPr>
                <w:sz w:val="20"/>
                <w:szCs w:val="20"/>
                <w:color w:val="auto"/>
              </w:rPr>
            </w:pPr>
            <w:r>
              <w:rPr>
                <w:rFonts w:ascii="Arial" w:cs="Arial" w:eastAsia="Arial" w:hAnsi="Arial"/>
                <w:sz w:val="17"/>
                <w:szCs w:val="17"/>
                <w:color w:val="0000EE"/>
              </w:rPr>
              <w:t>About this Prospectus</w:t>
            </w:r>
          </w:p>
        </w:tc>
        <w:tc>
          <w:tcPr>
            <w:tcW w:w="3120" w:type="dxa"/>
            <w:vAlign w:val="bottom"/>
            <w:gridSpan w:val="9"/>
            <w:vMerge w:val="restart"/>
          </w:tcPr>
          <w:p>
            <w:pPr>
              <w:spacing w:after="0"/>
              <w:rPr>
                <w:sz w:val="24"/>
                <w:szCs w:val="24"/>
                <w:color w:val="auto"/>
              </w:rPr>
            </w:pPr>
          </w:p>
        </w:tc>
        <w:tc>
          <w:tcPr>
            <w:tcW w:w="5300" w:type="dxa"/>
            <w:vAlign w:val="bottom"/>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4"/>
        </w:trPr>
        <w:tc>
          <w:tcPr>
            <w:tcW w:w="1680" w:type="dxa"/>
            <w:vAlign w:val="bottom"/>
            <w:tcBorders>
              <w:bottom w:val="single" w:sz="8" w:color="0000EE"/>
            </w:tcBorders>
            <w:gridSpan w:val="11"/>
            <w:vMerge w:val="continue"/>
          </w:tcPr>
          <w:p>
            <w:pPr>
              <w:spacing w:after="0"/>
              <w:rPr>
                <w:sz w:val="12"/>
                <w:szCs w:val="12"/>
                <w:color w:val="auto"/>
              </w:rPr>
            </w:pPr>
          </w:p>
        </w:tc>
        <w:tc>
          <w:tcPr>
            <w:tcW w:w="3120" w:type="dxa"/>
            <w:vAlign w:val="bottom"/>
            <w:gridSpan w:val="9"/>
            <w:vMerge w:val="continue"/>
          </w:tcPr>
          <w:p>
            <w:pPr>
              <w:spacing w:after="0"/>
              <w:rPr>
                <w:sz w:val="12"/>
                <w:szCs w:val="12"/>
                <w:color w:val="auto"/>
              </w:rPr>
            </w:pPr>
          </w:p>
        </w:tc>
        <w:tc>
          <w:tcPr>
            <w:tcW w:w="5440" w:type="dxa"/>
            <w:vAlign w:val="bottom"/>
            <w:gridSpan w:val="2"/>
          </w:tcPr>
          <w:p>
            <w:pPr>
              <w:spacing w:after="0"/>
              <w:rPr>
                <w:sz w:val="12"/>
                <w:szCs w:val="12"/>
                <w:color w:val="auto"/>
              </w:rPr>
            </w:pPr>
          </w:p>
        </w:tc>
        <w:tc>
          <w:tcPr>
            <w:tcW w:w="340" w:type="dxa"/>
            <w:vAlign w:val="bottom"/>
            <w:tcBorders>
              <w:top w:val="single" w:sz="8" w:color="auto"/>
            </w:tcBorders>
            <w:gridSpan w:val="2"/>
          </w:tcPr>
          <w:p>
            <w:pPr>
              <w:jc w:val="right"/>
              <w:ind w:right="20"/>
              <w:spacing w:after="0" w:line="13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4800" w:type="dxa"/>
            <w:vAlign w:val="bottom"/>
            <w:gridSpan w:val="20"/>
          </w:tcPr>
          <w:p>
            <w:pPr>
              <w:spacing w:after="0" w:line="189" w:lineRule="exact"/>
              <w:rPr>
                <w:sz w:val="20"/>
                <w:szCs w:val="20"/>
                <w:color w:val="auto"/>
              </w:rPr>
            </w:pPr>
            <w:r>
              <w:rPr>
                <w:rFonts w:ascii="Arial" w:cs="Arial" w:eastAsia="Arial" w:hAnsi="Arial"/>
                <w:sz w:val="17"/>
                <w:szCs w:val="17"/>
                <w:color w:val="0000EE"/>
              </w:rPr>
              <w:t>About the Guarantor</w:t>
            </w:r>
          </w:p>
        </w:tc>
        <w:tc>
          <w:tcPr>
            <w:tcW w:w="5780" w:type="dxa"/>
            <w:vAlign w:val="bottom"/>
            <w:gridSpan w:val="4"/>
          </w:tcPr>
          <w:p>
            <w:pPr>
              <w:jc w:val="right"/>
              <w:ind w:right="2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5"/>
        </w:trPr>
        <w:tc>
          <w:tcPr>
            <w:tcW w:w="156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7"/>
                <w:szCs w:val="17"/>
                <w:color w:val="0000EE"/>
              </w:rPr>
              <w:t>About the Company</w:t>
            </w:r>
          </w:p>
        </w:tc>
        <w:tc>
          <w:tcPr>
            <w:tcW w:w="26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680" w:type="dxa"/>
            <w:vAlign w:val="bottom"/>
            <w:gridSpan w:val="2"/>
          </w:tcPr>
          <w:p>
            <w:pPr>
              <w:spacing w:after="0"/>
              <w:rPr>
                <w:sz w:val="15"/>
                <w:szCs w:val="15"/>
                <w:color w:val="auto"/>
              </w:rPr>
            </w:pPr>
          </w:p>
        </w:tc>
        <w:tc>
          <w:tcPr>
            <w:tcW w:w="1840" w:type="dxa"/>
            <w:vAlign w:val="bottom"/>
            <w:gridSpan w:val="4"/>
          </w:tcPr>
          <w:p>
            <w:pPr>
              <w:spacing w:after="0"/>
              <w:rPr>
                <w:sz w:val="15"/>
                <w:szCs w:val="15"/>
                <w:color w:val="auto"/>
              </w:rPr>
            </w:pP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5"/>
        </w:trPr>
        <w:tc>
          <w:tcPr>
            <w:tcW w:w="1520" w:type="dxa"/>
            <w:vAlign w:val="bottom"/>
            <w:tcBorders>
              <w:top w:val="single" w:sz="8" w:color="0000EE"/>
              <w:bottom w:val="single" w:sz="8" w:color="0000EE"/>
            </w:tcBorders>
            <w:gridSpan w:val="9"/>
          </w:tcPr>
          <w:p>
            <w:pPr>
              <w:spacing w:after="0" w:line="176" w:lineRule="exact"/>
              <w:rPr>
                <w:sz w:val="20"/>
                <w:szCs w:val="20"/>
                <w:color w:val="auto"/>
              </w:rPr>
            </w:pPr>
            <w:r>
              <w:rPr>
                <w:rFonts w:ascii="Arial" w:cs="Arial" w:eastAsia="Arial" w:hAnsi="Arial"/>
                <w:sz w:val="17"/>
                <w:szCs w:val="17"/>
                <w:color w:val="0000EE"/>
                <w:w w:val="91"/>
              </w:rPr>
              <w:t>Cautionary Statement</w:t>
            </w:r>
          </w:p>
        </w:tc>
        <w:tc>
          <w:tcPr>
            <w:tcW w:w="3280" w:type="dxa"/>
            <w:vAlign w:val="bottom"/>
            <w:tcBorders>
              <w:bottom w:val="single" w:sz="8" w:color="0000EE"/>
            </w:tcBorders>
            <w:gridSpan w:val="11"/>
          </w:tcPr>
          <w:p>
            <w:pPr>
              <w:ind w:left="200"/>
              <w:spacing w:after="0" w:line="176" w:lineRule="exact"/>
              <w:rPr>
                <w:sz w:val="20"/>
                <w:szCs w:val="20"/>
                <w:color w:val="auto"/>
              </w:rPr>
            </w:pPr>
            <w:r>
              <w:rPr>
                <w:rFonts w:ascii="Arial" w:cs="Arial" w:eastAsia="Arial" w:hAnsi="Arial"/>
                <w:sz w:val="17"/>
                <w:szCs w:val="17"/>
                <w:color w:val="0000EE"/>
              </w:rPr>
              <w:t>Regarding Forward-Looking Statements</w:t>
            </w: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5"/>
        </w:trPr>
        <w:tc>
          <w:tcPr>
            <w:tcW w:w="4800" w:type="dxa"/>
            <w:vAlign w:val="bottom"/>
            <w:gridSpan w:val="20"/>
          </w:tcPr>
          <w:p>
            <w:pPr>
              <w:spacing w:after="0" w:line="176" w:lineRule="exact"/>
              <w:rPr>
                <w:sz w:val="20"/>
                <w:szCs w:val="20"/>
                <w:color w:val="auto"/>
              </w:rPr>
            </w:pPr>
            <w:r>
              <w:rPr>
                <w:rFonts w:ascii="Arial" w:cs="Arial" w:eastAsia="Arial" w:hAnsi="Arial"/>
                <w:sz w:val="17"/>
                <w:szCs w:val="17"/>
                <w:color w:val="0000EE"/>
              </w:rPr>
              <w:t>Risk Factors</w:t>
            </w: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980" w:type="dxa"/>
            <w:vAlign w:val="bottom"/>
            <w:tcBorders>
              <w:top w:val="single" w:sz="8" w:color="0000EE"/>
              <w:bottom w:val="single" w:sz="8" w:color="0000EE"/>
            </w:tcBorders>
            <w:gridSpan w:val="4"/>
          </w:tcPr>
          <w:p>
            <w:pPr>
              <w:spacing w:after="0" w:line="176" w:lineRule="exact"/>
              <w:rPr>
                <w:sz w:val="20"/>
                <w:szCs w:val="20"/>
                <w:color w:val="auto"/>
              </w:rPr>
            </w:pPr>
            <w:r>
              <w:rPr>
                <w:rFonts w:ascii="Arial" w:cs="Arial" w:eastAsia="Arial" w:hAnsi="Arial"/>
                <w:sz w:val="17"/>
                <w:szCs w:val="17"/>
                <w:color w:val="0000EE"/>
              </w:rPr>
              <w:t>Where You</w:t>
            </w:r>
          </w:p>
        </w:tc>
        <w:tc>
          <w:tcPr>
            <w:tcW w:w="1980" w:type="dxa"/>
            <w:vAlign w:val="bottom"/>
            <w:tcBorders>
              <w:bottom w:val="single" w:sz="8" w:color="0000EE"/>
            </w:tcBorders>
            <w:gridSpan w:val="12"/>
          </w:tcPr>
          <w:p>
            <w:pPr>
              <w:spacing w:after="0" w:line="176" w:lineRule="exact"/>
              <w:rPr>
                <w:sz w:val="20"/>
                <w:szCs w:val="20"/>
                <w:color w:val="auto"/>
              </w:rPr>
            </w:pPr>
            <w:r>
              <w:rPr>
                <w:rFonts w:ascii="Arial" w:cs="Arial" w:eastAsia="Arial" w:hAnsi="Arial"/>
                <w:sz w:val="17"/>
                <w:szCs w:val="17"/>
                <w:color w:val="0000EE"/>
                <w:w w:val="96"/>
              </w:rPr>
              <w:t>Can Find More Information</w:t>
            </w:r>
          </w:p>
        </w:tc>
        <w:tc>
          <w:tcPr>
            <w:tcW w:w="1840" w:type="dxa"/>
            <w:vAlign w:val="bottom"/>
            <w:gridSpan w:val="4"/>
          </w:tcPr>
          <w:p>
            <w:pPr>
              <w:spacing w:after="0"/>
              <w:rPr>
                <w:sz w:val="15"/>
                <w:szCs w:val="15"/>
                <w:color w:val="auto"/>
              </w:rPr>
            </w:pP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4800" w:type="dxa"/>
            <w:vAlign w:val="bottom"/>
            <w:gridSpan w:val="20"/>
          </w:tcPr>
          <w:p>
            <w:pPr>
              <w:spacing w:after="0" w:line="176" w:lineRule="exact"/>
              <w:rPr>
                <w:sz w:val="20"/>
                <w:szCs w:val="20"/>
                <w:color w:val="auto"/>
              </w:rPr>
            </w:pPr>
            <w:r>
              <w:rPr>
                <w:rFonts w:ascii="Arial" w:cs="Arial" w:eastAsia="Arial" w:hAnsi="Arial"/>
                <w:sz w:val="17"/>
                <w:szCs w:val="17"/>
                <w:color w:val="0000EE"/>
              </w:rPr>
              <w:t>Incorporation of Documents by Reference</w:t>
            </w: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1280" w:type="dxa"/>
            <w:vAlign w:val="bottom"/>
            <w:tcBorders>
              <w:top w:val="single" w:sz="8" w:color="0000EE"/>
              <w:bottom w:val="single" w:sz="8" w:color="0000EE"/>
            </w:tcBorders>
            <w:gridSpan w:val="7"/>
          </w:tcPr>
          <w:p>
            <w:pPr>
              <w:spacing w:after="0" w:line="176" w:lineRule="exact"/>
              <w:rPr>
                <w:sz w:val="20"/>
                <w:szCs w:val="20"/>
                <w:color w:val="auto"/>
              </w:rPr>
            </w:pPr>
            <w:r>
              <w:rPr>
                <w:rFonts w:ascii="Arial" w:cs="Arial" w:eastAsia="Arial" w:hAnsi="Arial"/>
                <w:sz w:val="17"/>
                <w:szCs w:val="17"/>
                <w:color w:val="0000EE"/>
              </w:rPr>
              <w:t>Use of Proceeds</w:t>
            </w:r>
          </w:p>
        </w:tc>
        <w:tc>
          <w:tcPr>
            <w:tcW w:w="1920" w:type="dxa"/>
            <w:vAlign w:val="bottom"/>
            <w:tcBorders>
              <w:top w:val="single" w:sz="8" w:color="0000EE"/>
            </w:tcBorders>
            <w:gridSpan w:val="11"/>
          </w:tcPr>
          <w:p>
            <w:pPr>
              <w:spacing w:after="0"/>
              <w:rPr>
                <w:sz w:val="15"/>
                <w:szCs w:val="15"/>
                <w:color w:val="auto"/>
              </w:rPr>
            </w:pPr>
          </w:p>
        </w:tc>
        <w:tc>
          <w:tcPr>
            <w:tcW w:w="1600" w:type="dxa"/>
            <w:vAlign w:val="bottom"/>
            <w:gridSpan w:val="2"/>
          </w:tcPr>
          <w:p>
            <w:pPr>
              <w:spacing w:after="0"/>
              <w:rPr>
                <w:sz w:val="15"/>
                <w:szCs w:val="15"/>
                <w:color w:val="auto"/>
              </w:rPr>
            </w:pP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75"/>
        </w:trPr>
        <w:tc>
          <w:tcPr>
            <w:tcW w:w="4800" w:type="dxa"/>
            <w:vAlign w:val="bottom"/>
            <w:gridSpan w:val="20"/>
          </w:tcPr>
          <w:p>
            <w:pPr>
              <w:spacing w:after="0" w:line="176" w:lineRule="exact"/>
              <w:rPr>
                <w:sz w:val="20"/>
                <w:szCs w:val="20"/>
                <w:color w:val="auto"/>
              </w:rPr>
            </w:pPr>
            <w:r>
              <w:rPr>
                <w:rFonts w:ascii="Arial" w:cs="Arial" w:eastAsia="Arial" w:hAnsi="Arial"/>
                <w:sz w:val="17"/>
                <w:szCs w:val="17"/>
                <w:color w:val="0000EE"/>
              </w:rPr>
              <w:t>Description of Debt Securities</w:t>
            </w: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5"/>
        </w:trPr>
        <w:tc>
          <w:tcPr>
            <w:tcW w:w="228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7"/>
                <w:szCs w:val="17"/>
                <w:color w:val="0000EE"/>
              </w:rPr>
              <w:t>Plan of Distribution</w:t>
            </w:r>
          </w:p>
        </w:tc>
        <w:tc>
          <w:tcPr>
            <w:tcW w:w="2520" w:type="dxa"/>
            <w:vAlign w:val="bottom"/>
            <w:gridSpan w:val="6"/>
          </w:tcPr>
          <w:p>
            <w:pPr>
              <w:spacing w:after="0"/>
              <w:rPr>
                <w:sz w:val="15"/>
                <w:szCs w:val="15"/>
                <w:color w:val="auto"/>
              </w:rPr>
            </w:pP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5780" w:type="dxa"/>
            <w:vAlign w:val="bottom"/>
            <w:gridSpan w:val="4"/>
            <w:vMerge w:val="restart"/>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line="20" w:lineRule="exact"/>
              <w:rPr>
                <w:sz w:val="1"/>
                <w:szCs w:val="1"/>
                <w:color w:val="auto"/>
              </w:rPr>
            </w:pPr>
          </w:p>
        </w:tc>
      </w:tr>
      <w:tr>
        <w:trPr>
          <w:trHeight w:val="175"/>
        </w:trPr>
        <w:tc>
          <w:tcPr>
            <w:tcW w:w="4800" w:type="dxa"/>
            <w:vAlign w:val="bottom"/>
            <w:gridSpan w:val="20"/>
          </w:tcPr>
          <w:p>
            <w:pPr>
              <w:spacing w:after="0" w:line="176" w:lineRule="exact"/>
              <w:rPr>
                <w:sz w:val="20"/>
                <w:szCs w:val="20"/>
                <w:color w:val="auto"/>
              </w:rPr>
            </w:pPr>
            <w:r>
              <w:rPr>
                <w:rFonts w:ascii="Arial" w:cs="Arial" w:eastAsia="Arial" w:hAnsi="Arial"/>
                <w:sz w:val="17"/>
                <w:szCs w:val="17"/>
                <w:color w:val="0000EE"/>
              </w:rPr>
              <w:t>Validity of the Securities</w:t>
            </w:r>
          </w:p>
        </w:tc>
        <w:tc>
          <w:tcPr>
            <w:tcW w:w="5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0000EE"/>
              <w:bottom w:val="single" w:sz="8" w:color="0000EE"/>
            </w:tcBorders>
          </w:tcPr>
          <w:p>
            <w:pPr>
              <w:spacing w:after="0" w:line="176" w:lineRule="exact"/>
              <w:rPr>
                <w:sz w:val="20"/>
                <w:szCs w:val="20"/>
                <w:color w:val="auto"/>
              </w:rPr>
            </w:pPr>
            <w:r>
              <w:rPr>
                <w:rFonts w:ascii="Arial" w:cs="Arial" w:eastAsia="Arial" w:hAnsi="Arial"/>
                <w:sz w:val="17"/>
                <w:szCs w:val="17"/>
                <w:color w:val="0000EE"/>
                <w:w w:val="97"/>
              </w:rPr>
              <w:t>Experts</w:t>
            </w:r>
          </w:p>
        </w:tc>
        <w:tc>
          <w:tcPr>
            <w:tcW w:w="1240" w:type="dxa"/>
            <w:vAlign w:val="bottom"/>
            <w:tcBorders>
              <w:top w:val="single" w:sz="8" w:color="0000EE"/>
            </w:tcBorders>
            <w:gridSpan w:val="11"/>
          </w:tcPr>
          <w:p>
            <w:pPr>
              <w:spacing w:after="0"/>
              <w:rPr>
                <w:sz w:val="15"/>
                <w:szCs w:val="15"/>
                <w:color w:val="auto"/>
              </w:rPr>
            </w:pPr>
          </w:p>
        </w:tc>
        <w:tc>
          <w:tcPr>
            <w:tcW w:w="2980" w:type="dxa"/>
            <w:vAlign w:val="bottom"/>
            <w:gridSpan w:val="8"/>
          </w:tcPr>
          <w:p>
            <w:pPr>
              <w:spacing w:after="0"/>
              <w:rPr>
                <w:sz w:val="15"/>
                <w:szCs w:val="15"/>
                <w:color w:val="auto"/>
              </w:rPr>
            </w:pPr>
          </w:p>
        </w:tc>
        <w:tc>
          <w:tcPr>
            <w:tcW w:w="5780" w:type="dxa"/>
            <w:vAlign w:val="bottom"/>
            <w:gridSpan w:val="4"/>
          </w:tcPr>
          <w:p>
            <w:pPr>
              <w:jc w:val="right"/>
              <w:ind w:right="20"/>
              <w:spacing w:after="0" w:line="176"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S-i</w:t>
      </w:r>
    </w:p>
    <w:p>
      <w:pPr>
        <w:sectPr>
          <w:pgSz w:w="11900" w:h="16838" w:orient="portrait"/>
          <w:cols w:equalWidth="0" w:num="1">
            <w:col w:w="10900"/>
          </w:cols>
          <w:pgMar w:left="320" w:top="445"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As used in this prospectus supplement, unless otherwise stated or the context otherwise requires:</w:t>
      </w:r>
    </w:p>
    <w:p>
      <w:pPr>
        <w:spacing w:after="0" w:line="117" w:lineRule="exact"/>
        <w:rPr>
          <w:sz w:val="20"/>
          <w:szCs w:val="20"/>
          <w:color w:val="auto"/>
        </w:rPr>
      </w:pPr>
    </w:p>
    <w:p>
      <w:pPr>
        <w:ind w:left="1240" w:hanging="409"/>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refers to Schlumberger Investment S.A., as defined on the first page of this prospectus supplement;</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“Guarantor” refers to Schlumberger Limited, the ultimate parent of the Company;</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“SLB Group” or “SLB” refers to Schlumberger Limited and its consolidated subsidiaries, including the Company; and</w:t>
      </w:r>
    </w:p>
    <w:p>
      <w:pPr>
        <w:spacing w:after="0" w:line="117" w:lineRule="exact"/>
        <w:rPr>
          <w:rFonts w:ascii="Arial" w:cs="Arial" w:eastAsia="Arial" w:hAnsi="Arial"/>
          <w:sz w:val="17"/>
          <w:szCs w:val="17"/>
          <w:color w:val="auto"/>
        </w:rPr>
      </w:pPr>
    </w:p>
    <w:p>
      <w:pPr>
        <w:ind w:left="1240" w:right="100" w:hanging="409"/>
        <w:spacing w:after="0" w:line="281"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“us” and “our” and similar expressions refer to the SLB Group, including the Company, except when used in connection with the “Notes,” in which case these terms refer solely to the Company.</w:t>
      </w:r>
    </w:p>
    <w:p>
      <w:pPr>
        <w:spacing w:after="0" w:line="141" w:lineRule="exact"/>
        <w:rPr>
          <w:sz w:val="20"/>
          <w:szCs w:val="20"/>
          <w:color w:val="auto"/>
        </w:rPr>
      </w:pPr>
    </w:p>
    <w:p>
      <w:pPr>
        <w:ind w:left="320" w:right="140" w:firstLine="425"/>
        <w:spacing w:after="0" w:line="248"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69"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any related free writing prospectus issued by us or on our behalf. We have not, and the underwriters have not, authorized any other person to provide you with information other than that contained or incorporated by reference in this prospectus supplement and the accompanying prospectus or in any related free writing prospectus. The information contained or incorporated by reference in this prospectus supplement and the accompanying prospectus is accurate as of the date on the front cover of such documents only. The business, properties, assets, results of operations, financial position or prospects of the Company and the Guarantor may have changed since that date. Neither the delivery of this prospectus supplement nor of the accompanying prospectus, nor any sale made thereunder, will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S-ii</w:t>
      </w:r>
    </w:p>
    <w:p>
      <w:pPr>
        <w:sectPr>
          <w:pgSz w:w="11900" w:h="16838" w:orient="portrait"/>
          <w:cols w:equalWidth="0" w:num="1">
            <w:col w:w="10900"/>
          </w:cols>
          <w:pgMar w:left="320" w:top="445"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06" w:lineRule="exact"/>
        <w:rPr>
          <w:sz w:val="20"/>
          <w:szCs w:val="20"/>
          <w:color w:val="auto"/>
        </w:rPr>
      </w:pPr>
    </w:p>
    <w:p>
      <w:pPr>
        <w:ind w:left="320" w:right="60" w:firstLine="425"/>
        <w:spacing w:after="0" w:line="248"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69" w:lineRule="exact"/>
        <w:rPr>
          <w:sz w:val="20"/>
          <w:szCs w:val="20"/>
          <w:color w:val="auto"/>
        </w:rPr>
      </w:pPr>
    </w:p>
    <w:p>
      <w:pPr>
        <w:ind w:left="320" w:firstLine="425"/>
        <w:spacing w:after="0" w:line="241"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“expect,” “may,” “can,” “believe,” “predict,” “plan,” “potential,” “projected,” “projections,” “precursor,” “forecast,” “outlook,” “expectations,” “estimate,” “intend,” “anticipate,” “ambition,” “goal,” “target,” “scheduled,” “think,” “should,” “could,” “would,” “will,” “see,” “likely,” and other similar words,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the SLB Group’s financial and performance targets and other forecasts or expectations regarding, or dependent on, its business outlook; growth for the SLB Group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the SLB Group and the oil and gas industry; the business strategies of the SLB Group, including digital and “fit for basin,” as well as the strategies of its customers; SLB’s capital allocation plans, including dividend plans and share repurchase programs; SLB’s Asset Performance Solutions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the SLB Group’s customers, and changes in the level of oil and natural gas exploration and development; the results of operations and financial condition of the SLB Group’s customers and suppliers; the SLB Group’s inability to achieve its financial and performance targets and other forecasts and expectations; the SLB Group’s inability to achieve its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the SLB Group’s supply chain; production declines; the extent of future charges; the SLB Group’s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Securities and Exchange Commission (the “SEC”). All subsequent written and oral forward-looking statements attributable to the Company or the Guarantor or to persons acting on their behalf are expressly qualified in their entirety by reference to these risks and uncertainties.</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S-iii</w:t>
      </w:r>
    </w:p>
    <w:p>
      <w:pPr>
        <w:sectPr>
          <w:pgSz w:w="11900" w:h="16838" w:orient="portrait"/>
          <w:cols w:equalWidth="0" w:num="1">
            <w:col w:w="10920"/>
          </w:cols>
          <w:pgMar w:left="320" w:top="44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spacing w:after="0" w:line="281" w:lineRule="auto"/>
        <w:rPr>
          <w:sz w:val="20"/>
          <w:szCs w:val="20"/>
          <w:color w:val="auto"/>
        </w:rPr>
      </w:pPr>
      <w:r>
        <w:rPr>
          <w:rFonts w:ascii="Arial" w:cs="Arial" w:eastAsia="Arial" w:hAnsi="Arial"/>
          <w:sz w:val="17"/>
          <w:szCs w:val="17"/>
          <w:color w:val="auto"/>
        </w:rPr>
        <w:t>Each forward-looking statement speaks only as of the date of the particular statement, and we undertake no obligation to publicly update or revise any forward-looking statements except as required by law.</w:t>
      </w:r>
    </w:p>
    <w:p>
      <w:pPr>
        <w:spacing w:after="0" w:line="7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S-iv</w:t>
      </w:r>
    </w:p>
    <w:p>
      <w:pPr>
        <w:sectPr>
          <w:pgSz w:w="11900" w:h="16838" w:orient="portrait"/>
          <w:cols w:equalWidth="0" w:num="1">
            <w:col w:w="10780"/>
          </w:cols>
          <w:pgMar w:left="320" w:top="445" w:right="7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200660</wp:posOffset>
            </wp:positionV>
            <wp:extent cx="6752590" cy="5594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2590" cy="5594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SUMMARY</w:t>
      </w:r>
    </w:p>
    <w:p>
      <w:pPr>
        <w:spacing w:after="0" w:line="210" w:lineRule="exact"/>
        <w:rPr>
          <w:sz w:val="20"/>
          <w:szCs w:val="20"/>
          <w:color w:val="auto"/>
        </w:rPr>
      </w:pPr>
    </w:p>
    <w:p>
      <w:pPr>
        <w:ind w:left="480" w:right="100" w:firstLine="411"/>
        <w:spacing w:after="0" w:line="253" w:lineRule="auto"/>
        <w:rPr>
          <w:sz w:val="20"/>
          <w:szCs w:val="20"/>
          <w:color w:val="auto"/>
        </w:rPr>
      </w:pPr>
      <w:r>
        <w:rPr>
          <w:rFonts w:ascii="Arial" w:cs="Arial" w:eastAsia="Arial" w:hAnsi="Arial"/>
          <w:sz w:val="17"/>
          <w:szCs w:val="17"/>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the Guarantor’s Annual Report on Form 10-K for the year ended December 31, 2023 and the Guarantor’s Quarterly Report on Form 10-Q for the fiscal quarter ended March 31, 2024.</w:t>
      </w:r>
    </w:p>
    <w:p>
      <w:pPr>
        <w:spacing w:after="0" w:line="26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Business</w:t>
      </w:r>
    </w:p>
    <w:p>
      <w:pPr>
        <w:spacing w:after="0" w:line="106" w:lineRule="exact"/>
        <w:rPr>
          <w:sz w:val="20"/>
          <w:szCs w:val="20"/>
          <w:color w:val="auto"/>
        </w:rPr>
      </w:pPr>
    </w:p>
    <w:p>
      <w:pPr>
        <w:ind w:left="480" w:firstLine="411"/>
        <w:spacing w:after="0" w:line="253" w:lineRule="auto"/>
        <w:rPr>
          <w:sz w:val="20"/>
          <w:szCs w:val="20"/>
          <w:color w:val="auto"/>
        </w:rPr>
      </w:pPr>
      <w:r>
        <w:rPr>
          <w:rFonts w:ascii="Arial" w:cs="Arial" w:eastAsia="Arial" w:hAnsi="Arial"/>
          <w:sz w:val="17"/>
          <w:szCs w:val="17"/>
          <w:color w:val="auto"/>
        </w:rPr>
        <w:t>We are SLB, a global technology company driving energy innovation for a balanced planet. With a global presence in more than 100 countries and employees representing almost twice as many nationalities, we work each day on innovating energy technology, delivering digital at scale, decarbonizing industries, and developing and scaling new energy systems that accelerate the energy transition.</w:t>
      </w:r>
    </w:p>
    <w:p>
      <w:pPr>
        <w:spacing w:after="0" w:line="166" w:lineRule="exact"/>
        <w:rPr>
          <w:sz w:val="20"/>
          <w:szCs w:val="20"/>
          <w:color w:val="auto"/>
        </w:rPr>
      </w:pPr>
    </w:p>
    <w:p>
      <w:pPr>
        <w:ind w:left="480" w:right="260" w:firstLine="411"/>
        <w:spacing w:after="0" w:line="260" w:lineRule="auto"/>
        <w:rPr>
          <w:sz w:val="20"/>
          <w:szCs w:val="20"/>
          <w:color w:val="auto"/>
        </w:rPr>
      </w:pPr>
      <w:r>
        <w:rPr>
          <w:rFonts w:ascii="Arial" w:cs="Arial" w:eastAsia="Arial" w:hAnsi="Arial"/>
          <w:sz w:val="17"/>
          <w:szCs w:val="17"/>
          <w:color w:val="auto"/>
        </w:rPr>
        <w:t>SLB is organized under four Divisions that combine and integrate SLB’s technologies, enhancing our ability to support the emerging long-term growth opportunities in each of these market segments. The four Divisions are Digital &amp; Integration, Reservoir Performance, Well Construction, and Production Systems.</w:t>
      </w:r>
    </w:p>
    <w:p>
      <w:pPr>
        <w:spacing w:after="0" w:line="159" w:lineRule="exact"/>
        <w:rPr>
          <w:sz w:val="20"/>
          <w:szCs w:val="20"/>
          <w:color w:val="auto"/>
        </w:rPr>
      </w:pPr>
    </w:p>
    <w:p>
      <w:pPr>
        <w:ind w:left="480" w:right="40" w:firstLine="411"/>
        <w:spacing w:after="0" w:line="248" w:lineRule="auto"/>
        <w:rPr>
          <w:sz w:val="20"/>
          <w:szCs w:val="20"/>
          <w:color w:val="auto"/>
        </w:rPr>
      </w:pPr>
      <w:r>
        <w:rPr>
          <w:rFonts w:ascii="Arial" w:cs="Arial" w:eastAsia="Arial" w:hAnsi="Arial"/>
          <w:sz w:val="17"/>
          <w:szCs w:val="17"/>
          <w:color w:val="auto"/>
        </w:rPr>
        <w:t>The Divisions operate through a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The Basins are further organized into GeoUnits, which can be a region, a single country or made up of several countries. With a strong focus on customers, the Basins identify opportunities for growth, and are focused on agility, responsiveness, and competitiveness.</w:t>
      </w:r>
    </w:p>
    <w:p>
      <w:pPr>
        <w:spacing w:after="0" w:line="169" w:lineRule="exact"/>
        <w:rPr>
          <w:sz w:val="20"/>
          <w:szCs w:val="20"/>
          <w:color w:val="auto"/>
        </w:rPr>
      </w:pPr>
    </w:p>
    <w:p>
      <w:pPr>
        <w:ind w:left="480" w:right="200" w:firstLine="411"/>
        <w:spacing w:after="0" w:line="253" w:lineRule="auto"/>
        <w:rPr>
          <w:sz w:val="20"/>
          <w:szCs w:val="20"/>
          <w:color w:val="auto"/>
        </w:rPr>
      </w:pPr>
      <w:r>
        <w:rPr>
          <w:rFonts w:ascii="Arial" w:cs="Arial" w:eastAsia="Arial" w:hAnsi="Arial"/>
          <w:sz w:val="17"/>
          <w:szCs w:val="17"/>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 These centers also support SLB’s New Energy investments in lower carbon energy sources and carbon capture technologies.</w:t>
      </w:r>
    </w:p>
    <w:p>
      <w:pPr>
        <w:spacing w:after="0" w:line="26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About the Guarantor</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Guarantor was incorporated in 1956 under the laws of Curaçao. The Guarantor is the ultimate parent of the Company.</w:t>
      </w:r>
    </w:p>
    <w:p>
      <w:pPr>
        <w:spacing w:after="0" w:line="208" w:lineRule="exact"/>
        <w:rPr>
          <w:sz w:val="20"/>
          <w:szCs w:val="20"/>
          <w:color w:val="auto"/>
        </w:rPr>
      </w:pPr>
    </w:p>
    <w:p>
      <w:pPr>
        <w:ind w:left="480" w:right="180" w:firstLine="411"/>
        <w:spacing w:after="0" w:line="281" w:lineRule="auto"/>
        <w:rPr>
          <w:sz w:val="20"/>
          <w:szCs w:val="20"/>
          <w:color w:val="auto"/>
        </w:rPr>
      </w:pPr>
      <w:r>
        <w:rPr>
          <w:rFonts w:ascii="Arial" w:cs="Arial" w:eastAsia="Arial" w:hAnsi="Arial"/>
          <w:sz w:val="17"/>
          <w:szCs w:val="17"/>
          <w:color w:val="auto"/>
        </w:rPr>
        <w:t>The Guarantor has executive offices in Paris, Houston, London and The Hague. The principal U.S. market for the Guarantor’s common stock is the New York Stock Exchange, where it is traded under the symbol “SLB.”</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About the Company</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Legal and organizational status</w:t>
      </w:r>
    </w:p>
    <w:p>
      <w:pPr>
        <w:spacing w:after="0" w:line="104" w:lineRule="exact"/>
        <w:rPr>
          <w:sz w:val="20"/>
          <w:szCs w:val="20"/>
          <w:color w:val="auto"/>
        </w:rPr>
      </w:pPr>
    </w:p>
    <w:p>
      <w:pPr>
        <w:ind w:left="480" w:firstLine="411"/>
        <w:spacing w:after="0" w:line="281" w:lineRule="auto"/>
        <w:rPr>
          <w:sz w:val="20"/>
          <w:szCs w:val="20"/>
          <w:color w:val="auto"/>
        </w:rPr>
      </w:pPr>
      <w:r>
        <w:rPr>
          <w:rFonts w:ascii="Arial" w:cs="Arial" w:eastAsia="Arial" w:hAnsi="Arial"/>
          <w:sz w:val="17"/>
          <w:szCs w:val="17"/>
          <w:color w:val="auto"/>
        </w:rPr>
        <w:t>Schlumberger Investment S.A. is a public limited liability company (société anonyme) incorporated in 2011 under the laws of the Grand Duchy of Luxembourg and registered with the Luxembourg Trade</w:t>
      </w:r>
    </w:p>
    <w:p>
      <w:pPr>
        <w:spacing w:after="0" w:line="246"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10700"/>
          </w:cols>
          <w:pgMar w:left="320" w:top="445"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200660</wp:posOffset>
            </wp:positionV>
            <wp:extent cx="6752590" cy="318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52590" cy="31883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80"/>
        <w:spacing w:after="0" w:line="281" w:lineRule="auto"/>
        <w:rPr>
          <w:sz w:val="20"/>
          <w:szCs w:val="20"/>
          <w:color w:val="auto"/>
        </w:rPr>
      </w:pPr>
      <w:r>
        <w:rPr>
          <w:rFonts w:ascii="Arial" w:cs="Arial" w:eastAsia="Arial" w:hAnsi="Arial"/>
          <w:sz w:val="17"/>
          <w:szCs w:val="17"/>
          <w:color w:val="auto"/>
        </w:rPr>
        <w:t>and Companies Register (Registre de Commerce et des Sociétés, Luxembourg) under number B 163.122. The Company’s registered office is at 5, Place de la Gare, L-1616 Luxembourg and its telephone number is +352 284 878 1045.</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Company is part of the SLB Group and all shares of the Company are owned indirectly by the Guarantor.</w:t>
      </w:r>
    </w:p>
    <w:p>
      <w:pPr>
        <w:spacing w:after="0" w:line="312" w:lineRule="exact"/>
        <w:rPr>
          <w:sz w:val="20"/>
          <w:szCs w:val="20"/>
          <w:color w:val="auto"/>
        </w:rPr>
      </w:pPr>
    </w:p>
    <w:p>
      <w:pPr>
        <w:ind w:left="900"/>
        <w:spacing w:after="0"/>
        <w:rPr>
          <w:sz w:val="20"/>
          <w:szCs w:val="20"/>
          <w:color w:val="auto"/>
        </w:rPr>
      </w:pPr>
      <w:r>
        <w:rPr>
          <w:rFonts w:ascii="Arial" w:cs="Arial" w:eastAsia="Arial" w:hAnsi="Arial"/>
          <w:sz w:val="17"/>
          <w:szCs w:val="17"/>
          <w:b w:val="1"/>
          <w:bCs w:val="1"/>
          <w:i w:val="1"/>
          <w:iCs w:val="1"/>
          <w:color w:val="auto"/>
        </w:rPr>
        <w:t>Activities</w:t>
      </w:r>
    </w:p>
    <w:p>
      <w:pPr>
        <w:spacing w:after="0" w:line="10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Company has no subsidiaries, and its principal activities are debt issuance and intercompany group financing.</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Recent Developments</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Concurrent Private Placement</w:t>
      </w:r>
    </w:p>
    <w:p>
      <w:pPr>
        <w:spacing w:after="0" w:line="104" w:lineRule="exact"/>
        <w:rPr>
          <w:sz w:val="20"/>
          <w:szCs w:val="20"/>
          <w:color w:val="auto"/>
        </w:rPr>
      </w:pPr>
    </w:p>
    <w:p>
      <w:pPr>
        <w:ind w:left="480" w:right="100" w:firstLine="411"/>
        <w:spacing w:after="0" w:line="243" w:lineRule="auto"/>
        <w:rPr>
          <w:sz w:val="20"/>
          <w:szCs w:val="20"/>
          <w:color w:val="auto"/>
        </w:rPr>
      </w:pPr>
      <w:r>
        <w:rPr>
          <w:rFonts w:ascii="Arial" w:cs="Arial" w:eastAsia="Arial" w:hAnsi="Arial"/>
          <w:sz w:val="17"/>
          <w:szCs w:val="17"/>
          <w:color w:val="auto"/>
        </w:rPr>
        <w:t>Concurrently with the commencement of this offering, an indirect, wholly-owned subsidiary of the Guarantor, Schlumberger Holdings Corporation, is offering two new series of senior notes due 2027 and 2029 (the “Concurrent Private Placement”). The Concurrent Private Placement is being made pursuant to a confidential offering memorandum (and not pursuant to this prospectus supplement or the accompanying prospectus) only to qualified institutional buyers (as defined in Rule 144A under the Securities Act) and persons outside the United States as defined in and pursuant to Regulation S under the Securities Act in transactions that are exempt from the registration and prospectus delivery requirements of the Securities Act. We cannot assure you that the Concurrent Private Placement will be completed or, if completed, on what terms it will be completed. The completion of the offering described in this prospectus supplement and the accompanying prospectus is not contingent on the completion of the Concurrent Private Placement (nor is the completion of the Concurrent Private Placement contingent on the completion of this offering). This prospectus supplement and the accompanying prospectus do not constitute an offer to sell, or the solicitation of an offer to buy, any of the notes being offered in the Concurrent Private Placement.</w:t>
      </w:r>
    </w:p>
    <w:p>
      <w:pPr>
        <w:spacing w:after="0" w:line="28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S-2</w:t>
      </w:r>
    </w:p>
    <w:p>
      <w:pPr>
        <w:sectPr>
          <w:pgSz w:w="11900" w:h="16838" w:orient="portrait"/>
          <w:cols w:equalWidth="0" w:num="1">
            <w:col w:w="10740"/>
          </w:cols>
          <w:pgMar w:left="320" w:top="445" w:right="8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200660</wp:posOffset>
            </wp:positionV>
            <wp:extent cx="6752590" cy="5859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2590" cy="58597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THE OFFERING</w:t>
      </w:r>
    </w:p>
    <w:p>
      <w:pPr>
        <w:spacing w:after="0" w:line="210" w:lineRule="exact"/>
        <w:rPr>
          <w:sz w:val="20"/>
          <w:szCs w:val="20"/>
          <w:color w:val="auto"/>
        </w:rPr>
      </w:pPr>
    </w:p>
    <w:p>
      <w:pPr>
        <w:ind w:left="480" w:right="320" w:firstLine="411"/>
        <w:spacing w:after="0" w:line="260" w:lineRule="auto"/>
        <w:rPr>
          <w:sz w:val="20"/>
          <w:szCs w:val="20"/>
          <w:color w:val="auto"/>
        </w:rPr>
      </w:pPr>
      <w:r>
        <w:rPr>
          <w:rFonts w:ascii="Arial" w:cs="Arial" w:eastAsia="Arial" w:hAnsi="Arial"/>
          <w:sz w:val="17"/>
          <w:szCs w:val="17"/>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640" w:type="dxa"/>
            <w:vAlign w:val="bottom"/>
          </w:tcPr>
          <w:p>
            <w:pPr>
              <w:ind w:left="180"/>
              <w:spacing w:after="0"/>
              <w:rPr>
                <w:sz w:val="20"/>
                <w:szCs w:val="20"/>
                <w:color w:val="auto"/>
              </w:rPr>
            </w:pPr>
            <w:r>
              <w:rPr>
                <w:rFonts w:ascii="Arial" w:cs="Arial" w:eastAsia="Arial" w:hAnsi="Arial"/>
                <w:sz w:val="17"/>
                <w:szCs w:val="17"/>
                <w:color w:val="auto"/>
              </w:rPr>
              <w:t>Issuer</w:t>
            </w:r>
          </w:p>
        </w:tc>
        <w:tc>
          <w:tcPr>
            <w:tcW w:w="6980" w:type="dxa"/>
            <w:vAlign w:val="bottom"/>
          </w:tcPr>
          <w:p>
            <w:pPr>
              <w:ind w:left="1980"/>
              <w:spacing w:after="0"/>
              <w:rPr>
                <w:sz w:val="20"/>
                <w:szCs w:val="20"/>
                <w:color w:val="auto"/>
              </w:rPr>
            </w:pPr>
            <w:r>
              <w:rPr>
                <w:rFonts w:ascii="Arial" w:cs="Arial" w:eastAsia="Arial" w:hAnsi="Arial"/>
                <w:sz w:val="17"/>
                <w:szCs w:val="17"/>
                <w:color w:val="auto"/>
              </w:rPr>
              <w:t>Schlumberger Investment S.A.</w:t>
            </w:r>
          </w:p>
        </w:tc>
      </w:tr>
      <w:tr>
        <w:trPr>
          <w:trHeight w:val="300"/>
        </w:trPr>
        <w:tc>
          <w:tcPr>
            <w:tcW w:w="3640" w:type="dxa"/>
            <w:vAlign w:val="bottom"/>
          </w:tcPr>
          <w:p>
            <w:pPr>
              <w:ind w:left="180"/>
              <w:spacing w:after="0"/>
              <w:rPr>
                <w:sz w:val="20"/>
                <w:szCs w:val="20"/>
                <w:color w:val="auto"/>
              </w:rPr>
            </w:pPr>
            <w:r>
              <w:rPr>
                <w:rFonts w:ascii="Arial" w:cs="Arial" w:eastAsia="Arial" w:hAnsi="Arial"/>
                <w:sz w:val="17"/>
                <w:szCs w:val="17"/>
                <w:color w:val="auto"/>
              </w:rPr>
              <w:t>Guarantor</w:t>
            </w:r>
          </w:p>
        </w:tc>
        <w:tc>
          <w:tcPr>
            <w:tcW w:w="6980" w:type="dxa"/>
            <w:vAlign w:val="bottom"/>
          </w:tcPr>
          <w:p>
            <w:pPr>
              <w:ind w:left="1980"/>
              <w:spacing w:after="0"/>
              <w:rPr>
                <w:sz w:val="20"/>
                <w:szCs w:val="20"/>
                <w:color w:val="auto"/>
              </w:rPr>
            </w:pPr>
            <w:r>
              <w:rPr>
                <w:rFonts w:ascii="Arial" w:cs="Arial" w:eastAsia="Arial" w:hAnsi="Arial"/>
                <w:sz w:val="17"/>
                <w:szCs w:val="17"/>
                <w:color w:val="auto"/>
              </w:rPr>
              <w:t>Schlumberger Limited.</w:t>
            </w:r>
          </w:p>
        </w:tc>
      </w:tr>
      <w:tr>
        <w:trPr>
          <w:trHeight w:val="266"/>
        </w:trPr>
        <w:tc>
          <w:tcPr>
            <w:tcW w:w="3640" w:type="dxa"/>
            <w:vAlign w:val="bottom"/>
          </w:tcPr>
          <w:p>
            <w:pPr>
              <w:ind w:left="180"/>
              <w:spacing w:after="0"/>
              <w:rPr>
                <w:sz w:val="20"/>
                <w:szCs w:val="20"/>
                <w:color w:val="auto"/>
              </w:rPr>
            </w:pPr>
            <w:r>
              <w:rPr>
                <w:rFonts w:ascii="Arial" w:cs="Arial" w:eastAsia="Arial" w:hAnsi="Arial"/>
                <w:sz w:val="17"/>
                <w:szCs w:val="17"/>
                <w:color w:val="auto"/>
              </w:rPr>
              <w:t>Notes Offered</w:t>
            </w:r>
          </w:p>
        </w:tc>
        <w:tc>
          <w:tcPr>
            <w:tcW w:w="6980" w:type="dxa"/>
            <w:vAlign w:val="bottom"/>
          </w:tcPr>
          <w:p>
            <w:pPr>
              <w:ind w:left="1980"/>
              <w:spacing w:after="0"/>
              <w:rPr>
                <w:sz w:val="20"/>
                <w:szCs w:val="20"/>
                <w:color w:val="auto"/>
              </w:rPr>
            </w:pPr>
            <w:r>
              <w:rPr>
                <w:rFonts w:ascii="Arial" w:cs="Arial" w:eastAsia="Arial" w:hAnsi="Arial"/>
                <w:sz w:val="17"/>
                <w:szCs w:val="17"/>
                <w:color w:val="auto"/>
              </w:rPr>
              <w:t>U.S.$500,000,000 principal amount of 5.000% Senior Notes</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due 2034.</w:t>
            </w:r>
          </w:p>
        </w:tc>
      </w:tr>
      <w:tr>
        <w:trPr>
          <w:trHeight w:val="300"/>
        </w:trPr>
        <w:tc>
          <w:tcPr>
            <w:tcW w:w="3640" w:type="dxa"/>
            <w:vAlign w:val="bottom"/>
          </w:tcPr>
          <w:p>
            <w:pPr>
              <w:ind w:left="180"/>
              <w:spacing w:after="0"/>
              <w:rPr>
                <w:sz w:val="20"/>
                <w:szCs w:val="20"/>
                <w:color w:val="auto"/>
              </w:rPr>
            </w:pPr>
            <w:r>
              <w:rPr>
                <w:rFonts w:ascii="Arial" w:cs="Arial" w:eastAsia="Arial" w:hAnsi="Arial"/>
                <w:sz w:val="17"/>
                <w:szCs w:val="17"/>
                <w:color w:val="auto"/>
              </w:rPr>
              <w:t>Maturity Date</w:t>
            </w:r>
          </w:p>
        </w:tc>
        <w:tc>
          <w:tcPr>
            <w:tcW w:w="6980" w:type="dxa"/>
            <w:vAlign w:val="bottom"/>
          </w:tcPr>
          <w:p>
            <w:pPr>
              <w:ind w:left="1980"/>
              <w:spacing w:after="0"/>
              <w:rPr>
                <w:sz w:val="20"/>
                <w:szCs w:val="20"/>
                <w:color w:val="auto"/>
              </w:rPr>
            </w:pPr>
            <w:r>
              <w:rPr>
                <w:rFonts w:ascii="Arial" w:cs="Arial" w:eastAsia="Arial" w:hAnsi="Arial"/>
                <w:sz w:val="17"/>
                <w:szCs w:val="17"/>
                <w:color w:val="auto"/>
              </w:rPr>
              <w:t>The Notes will mature on June 1, 2034.</w:t>
            </w:r>
          </w:p>
        </w:tc>
      </w:tr>
      <w:tr>
        <w:trPr>
          <w:trHeight w:val="300"/>
        </w:trPr>
        <w:tc>
          <w:tcPr>
            <w:tcW w:w="3640" w:type="dxa"/>
            <w:vAlign w:val="bottom"/>
          </w:tcPr>
          <w:p>
            <w:pPr>
              <w:ind w:left="180"/>
              <w:spacing w:after="0"/>
              <w:rPr>
                <w:sz w:val="20"/>
                <w:szCs w:val="20"/>
                <w:color w:val="auto"/>
              </w:rPr>
            </w:pPr>
            <w:r>
              <w:rPr>
                <w:rFonts w:ascii="Arial" w:cs="Arial" w:eastAsia="Arial" w:hAnsi="Arial"/>
                <w:sz w:val="17"/>
                <w:szCs w:val="17"/>
                <w:color w:val="auto"/>
              </w:rPr>
              <w:t>Interest</w:t>
            </w:r>
          </w:p>
        </w:tc>
        <w:tc>
          <w:tcPr>
            <w:tcW w:w="6980" w:type="dxa"/>
            <w:vAlign w:val="bottom"/>
          </w:tcPr>
          <w:p>
            <w:pPr>
              <w:ind w:left="1980"/>
              <w:spacing w:after="0"/>
              <w:rPr>
                <w:sz w:val="20"/>
                <w:szCs w:val="20"/>
                <w:color w:val="auto"/>
              </w:rPr>
            </w:pPr>
            <w:r>
              <w:rPr>
                <w:rFonts w:ascii="Arial" w:cs="Arial" w:eastAsia="Arial" w:hAnsi="Arial"/>
                <w:sz w:val="17"/>
                <w:szCs w:val="17"/>
                <w:color w:val="auto"/>
              </w:rPr>
              <w:t>The Notes will bear interest at 5.000% per annum.</w:t>
            </w:r>
          </w:p>
        </w:tc>
      </w:tr>
      <w:tr>
        <w:trPr>
          <w:trHeight w:val="266"/>
        </w:trPr>
        <w:tc>
          <w:tcPr>
            <w:tcW w:w="3640" w:type="dxa"/>
            <w:vAlign w:val="bottom"/>
          </w:tcPr>
          <w:p>
            <w:pPr>
              <w:ind w:left="180"/>
              <w:spacing w:after="0"/>
              <w:rPr>
                <w:sz w:val="20"/>
                <w:szCs w:val="20"/>
                <w:color w:val="auto"/>
              </w:rPr>
            </w:pPr>
            <w:r>
              <w:rPr>
                <w:rFonts w:ascii="Arial" w:cs="Arial" w:eastAsia="Arial" w:hAnsi="Arial"/>
                <w:sz w:val="17"/>
                <w:szCs w:val="17"/>
                <w:color w:val="auto"/>
              </w:rPr>
              <w:t>Interest Payment Dates</w:t>
            </w:r>
          </w:p>
        </w:tc>
        <w:tc>
          <w:tcPr>
            <w:tcW w:w="6980" w:type="dxa"/>
            <w:vAlign w:val="bottom"/>
          </w:tcPr>
          <w:p>
            <w:pPr>
              <w:ind w:left="1980"/>
              <w:spacing w:after="0"/>
              <w:rPr>
                <w:sz w:val="20"/>
                <w:szCs w:val="20"/>
                <w:color w:val="auto"/>
              </w:rPr>
            </w:pPr>
            <w:r>
              <w:rPr>
                <w:rFonts w:ascii="Arial" w:cs="Arial" w:eastAsia="Arial" w:hAnsi="Arial"/>
                <w:sz w:val="17"/>
                <w:szCs w:val="17"/>
                <w:color w:val="auto"/>
              </w:rPr>
              <w:t>Interest on the Notes will be payable semi-annually on June 1</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and December 1 of each year, commencing December 1,</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2024.</w:t>
            </w:r>
          </w:p>
        </w:tc>
      </w:tr>
      <w:tr>
        <w:trPr>
          <w:trHeight w:val="266"/>
        </w:trPr>
        <w:tc>
          <w:tcPr>
            <w:tcW w:w="3640" w:type="dxa"/>
            <w:vAlign w:val="bottom"/>
          </w:tcPr>
          <w:p>
            <w:pPr>
              <w:ind w:left="180"/>
              <w:spacing w:after="0"/>
              <w:rPr>
                <w:sz w:val="20"/>
                <w:szCs w:val="20"/>
                <w:color w:val="auto"/>
              </w:rPr>
            </w:pPr>
            <w:r>
              <w:rPr>
                <w:rFonts w:ascii="Arial" w:cs="Arial" w:eastAsia="Arial" w:hAnsi="Arial"/>
                <w:sz w:val="17"/>
                <w:szCs w:val="17"/>
                <w:color w:val="auto"/>
              </w:rPr>
              <w:t>Guarantee</w:t>
            </w:r>
          </w:p>
        </w:tc>
        <w:tc>
          <w:tcPr>
            <w:tcW w:w="6980" w:type="dxa"/>
            <w:vAlign w:val="bottom"/>
          </w:tcPr>
          <w:p>
            <w:pPr>
              <w:ind w:left="1980"/>
              <w:spacing w:after="0"/>
              <w:rPr>
                <w:sz w:val="20"/>
                <w:szCs w:val="20"/>
                <w:color w:val="auto"/>
              </w:rPr>
            </w:pPr>
            <w:r>
              <w:rPr>
                <w:rFonts w:ascii="Arial" w:cs="Arial" w:eastAsia="Arial" w:hAnsi="Arial"/>
                <w:sz w:val="17"/>
                <w:szCs w:val="17"/>
                <w:color w:val="auto"/>
              </w:rPr>
              <w:t>The Guarantor will fully and unconditionally guarantee the</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principal of, and any premium and interest on, the Notes and</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the Company’s obligations under the indenture, as described</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under “Description of the Notes—Guarantee.”</w:t>
            </w:r>
          </w:p>
        </w:tc>
      </w:tr>
      <w:tr>
        <w:trPr>
          <w:trHeight w:val="279"/>
        </w:trPr>
        <w:tc>
          <w:tcPr>
            <w:tcW w:w="3640" w:type="dxa"/>
            <w:vAlign w:val="bottom"/>
          </w:tcPr>
          <w:p>
            <w:pPr>
              <w:spacing w:after="0"/>
              <w:rPr>
                <w:sz w:val="24"/>
                <w:szCs w:val="24"/>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The Notes will not be guaranteed by any of the Guarantor’s</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subsidiaries.</w:t>
            </w:r>
          </w:p>
        </w:tc>
      </w:tr>
      <w:tr>
        <w:trPr>
          <w:trHeight w:val="279"/>
        </w:trPr>
        <w:tc>
          <w:tcPr>
            <w:tcW w:w="3640" w:type="dxa"/>
            <w:vAlign w:val="bottom"/>
          </w:tcPr>
          <w:p>
            <w:pPr>
              <w:ind w:left="180"/>
              <w:spacing w:after="0"/>
              <w:rPr>
                <w:sz w:val="20"/>
                <w:szCs w:val="20"/>
                <w:color w:val="auto"/>
              </w:rPr>
            </w:pPr>
            <w:r>
              <w:rPr>
                <w:rFonts w:ascii="Arial" w:cs="Arial" w:eastAsia="Arial" w:hAnsi="Arial"/>
                <w:sz w:val="17"/>
                <w:szCs w:val="17"/>
                <w:color w:val="auto"/>
              </w:rPr>
              <w:t>Minimum Denominations</w:t>
            </w:r>
          </w:p>
        </w:tc>
        <w:tc>
          <w:tcPr>
            <w:tcW w:w="6980" w:type="dxa"/>
            <w:vAlign w:val="bottom"/>
          </w:tcPr>
          <w:p>
            <w:pPr>
              <w:ind w:left="1980"/>
              <w:spacing w:after="0"/>
              <w:rPr>
                <w:sz w:val="20"/>
                <w:szCs w:val="20"/>
                <w:color w:val="auto"/>
              </w:rPr>
            </w:pPr>
            <w:r>
              <w:rPr>
                <w:rFonts w:ascii="Arial" w:cs="Arial" w:eastAsia="Arial" w:hAnsi="Arial"/>
                <w:sz w:val="17"/>
                <w:szCs w:val="17"/>
                <w:color w:val="auto"/>
              </w:rPr>
              <w:t>U.S.$2,000 and integral multiples of U.S.$1,000 in excess</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thereof.</w:t>
            </w:r>
          </w:p>
        </w:tc>
      </w:tr>
      <w:tr>
        <w:trPr>
          <w:trHeight w:val="266"/>
        </w:trPr>
        <w:tc>
          <w:tcPr>
            <w:tcW w:w="3640" w:type="dxa"/>
            <w:vAlign w:val="bottom"/>
          </w:tcPr>
          <w:p>
            <w:pPr>
              <w:ind w:left="180"/>
              <w:spacing w:after="0"/>
              <w:rPr>
                <w:sz w:val="20"/>
                <w:szCs w:val="20"/>
                <w:color w:val="auto"/>
              </w:rPr>
            </w:pPr>
            <w:r>
              <w:rPr>
                <w:rFonts w:ascii="Arial" w:cs="Arial" w:eastAsia="Arial" w:hAnsi="Arial"/>
                <w:sz w:val="17"/>
                <w:szCs w:val="17"/>
                <w:color w:val="auto"/>
              </w:rPr>
              <w:t>Optional Redemption</w:t>
            </w:r>
          </w:p>
        </w:tc>
        <w:tc>
          <w:tcPr>
            <w:tcW w:w="6980" w:type="dxa"/>
            <w:vAlign w:val="bottom"/>
          </w:tcPr>
          <w:p>
            <w:pPr>
              <w:ind w:left="1980"/>
              <w:spacing w:after="0"/>
              <w:rPr>
                <w:sz w:val="20"/>
                <w:szCs w:val="20"/>
                <w:color w:val="auto"/>
              </w:rPr>
            </w:pPr>
            <w:r>
              <w:rPr>
                <w:rFonts w:ascii="Arial" w:cs="Arial" w:eastAsia="Arial" w:hAnsi="Arial"/>
                <w:sz w:val="17"/>
                <w:szCs w:val="17"/>
                <w:color w:val="auto"/>
              </w:rPr>
              <w:t>At any time prior to March 1, 2034 (three months prior to the</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maturity date of the Notes), we may redeem some or all of the</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Notes at the “make whole” redemption price described in</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“Description of the Notes—Optional Redemption,” plus</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accrued and unpaid interest, if any, to, but not including, the</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redemption date.</w:t>
            </w:r>
          </w:p>
        </w:tc>
      </w:tr>
      <w:tr>
        <w:trPr>
          <w:trHeight w:val="279"/>
        </w:trPr>
        <w:tc>
          <w:tcPr>
            <w:tcW w:w="3640" w:type="dxa"/>
            <w:vAlign w:val="bottom"/>
          </w:tcPr>
          <w:p>
            <w:pPr>
              <w:spacing w:after="0"/>
              <w:rPr>
                <w:sz w:val="24"/>
                <w:szCs w:val="24"/>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At any time on or after March 1, 2034, we may redeem some</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or all of the Notes at a redemption price equal to 100% of the</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principal amount of such Notes to be redeemed, plus accrued</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and unpaid interest, if any, to, but not including, the</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redemption date. See “Description of the Notes—Optional</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Redemption.”</w:t>
            </w:r>
          </w:p>
        </w:tc>
      </w:tr>
      <w:tr>
        <w:trPr>
          <w:trHeight w:val="279"/>
        </w:trPr>
        <w:tc>
          <w:tcPr>
            <w:tcW w:w="3640" w:type="dxa"/>
            <w:vAlign w:val="bottom"/>
          </w:tcPr>
          <w:p>
            <w:pPr>
              <w:ind w:left="180"/>
              <w:spacing w:after="0"/>
              <w:rPr>
                <w:sz w:val="20"/>
                <w:szCs w:val="20"/>
                <w:color w:val="auto"/>
              </w:rPr>
            </w:pPr>
            <w:r>
              <w:rPr>
                <w:rFonts w:ascii="Arial" w:cs="Arial" w:eastAsia="Arial" w:hAnsi="Arial"/>
                <w:sz w:val="17"/>
                <w:szCs w:val="17"/>
                <w:color w:val="auto"/>
              </w:rPr>
              <w:t>Optional Tax Redemption</w:t>
            </w:r>
          </w:p>
        </w:tc>
        <w:tc>
          <w:tcPr>
            <w:tcW w:w="6980" w:type="dxa"/>
            <w:vAlign w:val="bottom"/>
          </w:tcPr>
          <w:p>
            <w:pPr>
              <w:ind w:left="1980"/>
              <w:spacing w:after="0"/>
              <w:rPr>
                <w:sz w:val="20"/>
                <w:szCs w:val="20"/>
                <w:color w:val="auto"/>
              </w:rPr>
            </w:pPr>
            <w:r>
              <w:rPr>
                <w:rFonts w:ascii="Arial" w:cs="Arial" w:eastAsia="Arial" w:hAnsi="Arial"/>
                <w:sz w:val="17"/>
                <w:szCs w:val="17"/>
                <w:color w:val="auto"/>
              </w:rPr>
              <w:t>In the event that, as a result of certain tax law changes, the</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Company (or the Guarantor) becomes obligated to pay</w:t>
            </w:r>
          </w:p>
        </w:tc>
      </w:tr>
      <w:tr>
        <w:trPr>
          <w:trHeight w:val="195"/>
        </w:trPr>
        <w:tc>
          <w:tcPr>
            <w:tcW w:w="3640" w:type="dxa"/>
            <w:vAlign w:val="bottom"/>
          </w:tcPr>
          <w:p>
            <w:pPr>
              <w:spacing w:after="0"/>
              <w:rPr>
                <w:sz w:val="16"/>
                <w:szCs w:val="16"/>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additional amounts as described under “Description of the</w:t>
            </w:r>
          </w:p>
        </w:tc>
      </w:tr>
      <w:tr>
        <w:trPr>
          <w:trHeight w:val="229"/>
        </w:trPr>
        <w:tc>
          <w:tcPr>
            <w:tcW w:w="3640" w:type="dxa"/>
            <w:vAlign w:val="bottom"/>
          </w:tcPr>
          <w:p>
            <w:pPr>
              <w:spacing w:after="0"/>
              <w:rPr>
                <w:sz w:val="19"/>
                <w:szCs w:val="19"/>
                <w:color w:val="auto"/>
              </w:rPr>
            </w:pPr>
          </w:p>
        </w:tc>
        <w:tc>
          <w:tcPr>
            <w:tcW w:w="6980" w:type="dxa"/>
            <w:vAlign w:val="bottom"/>
          </w:tcPr>
          <w:p>
            <w:pPr>
              <w:ind w:left="1980"/>
              <w:spacing w:after="0"/>
              <w:rPr>
                <w:sz w:val="20"/>
                <w:szCs w:val="20"/>
                <w:color w:val="auto"/>
              </w:rPr>
            </w:pPr>
            <w:r>
              <w:rPr>
                <w:rFonts w:ascii="Arial" w:cs="Arial" w:eastAsia="Arial" w:hAnsi="Arial"/>
                <w:sz w:val="17"/>
                <w:szCs w:val="17"/>
                <w:color w:val="auto"/>
              </w:rPr>
              <w:t>Notes—Additional Amounts,” the Company (or the</w:t>
            </w:r>
          </w:p>
        </w:tc>
      </w:tr>
      <w:tr>
        <w:trPr>
          <w:trHeight w:val="136"/>
        </w:trPr>
        <w:tc>
          <w:tcPr>
            <w:tcW w:w="3640" w:type="dxa"/>
            <w:vAlign w:val="bottom"/>
            <w:tcBorders>
              <w:bottom w:val="single" w:sz="8" w:color="auto"/>
            </w:tcBorders>
          </w:tcPr>
          <w:p>
            <w:pPr>
              <w:spacing w:after="0"/>
              <w:rPr>
                <w:sz w:val="11"/>
                <w:szCs w:val="11"/>
                <w:color w:val="auto"/>
              </w:rPr>
            </w:pPr>
          </w:p>
        </w:tc>
        <w:tc>
          <w:tcPr>
            <w:tcW w:w="6980" w:type="dxa"/>
            <w:vAlign w:val="bottom"/>
            <w:tcBorders>
              <w:bottom w:val="single" w:sz="8" w:color="auto"/>
            </w:tcBorders>
          </w:tcPr>
          <w:p>
            <w:pPr>
              <w:spacing w:after="0"/>
              <w:rPr>
                <w:sz w:val="11"/>
                <w:szCs w:val="11"/>
                <w:color w:val="auto"/>
              </w:rPr>
            </w:pPr>
          </w:p>
        </w:tc>
      </w:tr>
      <w:tr>
        <w:trPr>
          <w:trHeight w:val="352"/>
        </w:trPr>
        <w:tc>
          <w:tcPr>
            <w:tcW w:w="3640" w:type="dxa"/>
            <w:vAlign w:val="bottom"/>
          </w:tcPr>
          <w:p>
            <w:pPr>
              <w:spacing w:after="0"/>
              <w:rPr>
                <w:sz w:val="24"/>
                <w:szCs w:val="24"/>
                <w:color w:val="auto"/>
              </w:rPr>
            </w:pPr>
          </w:p>
        </w:tc>
        <w:tc>
          <w:tcPr>
            <w:tcW w:w="6980" w:type="dxa"/>
            <w:vAlign w:val="bottom"/>
          </w:tcPr>
          <w:p>
            <w:pPr>
              <w:ind w:left="1520"/>
              <w:spacing w:after="0"/>
              <w:rPr>
                <w:sz w:val="20"/>
                <w:szCs w:val="20"/>
                <w:color w:val="auto"/>
              </w:rPr>
            </w:pPr>
            <w:r>
              <w:rPr>
                <w:rFonts w:ascii="Arial" w:cs="Arial" w:eastAsia="Arial" w:hAnsi="Arial"/>
                <w:sz w:val="17"/>
                <w:szCs w:val="17"/>
                <w:color w:val="auto"/>
              </w:rPr>
              <w:t>S-3</w:t>
            </w:r>
          </w:p>
        </w:tc>
      </w:tr>
    </w:tbl>
    <w:p>
      <w:pPr>
        <w:sectPr>
          <w:pgSz w:w="11900" w:h="16838" w:orient="portrait"/>
          <w:cols w:equalWidth="0" w:num="1">
            <w:col w:w="10940"/>
          </w:cols>
          <w:pgMar w:left="320" w:top="44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330" w:type="dxa"/>
        <w:tblCellMar>
          <w:top w:w="0" w:type="dxa"/>
          <w:left w:w="0" w:type="dxa"/>
          <w:bottom w:w="0" w:type="dxa"/>
          <w:right w:w="0" w:type="dxa"/>
        </w:tblCellMar>
      </w:tblPr>
      <w:tr>
        <w:trPr>
          <w:trHeight w:val="364"/>
        </w:trPr>
        <w:tc>
          <w:tcPr>
            <w:tcW w:w="3880" w:type="dxa"/>
            <w:vAlign w:val="bottom"/>
            <w:tcBorders>
              <w:top w:val="single" w:sz="8" w:color="auto"/>
              <w:left w:val="single" w:sz="8" w:color="auto"/>
            </w:tcBorders>
          </w:tcPr>
          <w:p>
            <w:pPr>
              <w:spacing w:after="0"/>
              <w:rPr>
                <w:sz w:val="24"/>
                <w:szCs w:val="24"/>
                <w:color w:val="auto"/>
              </w:rPr>
            </w:pPr>
          </w:p>
        </w:tc>
        <w:tc>
          <w:tcPr>
            <w:tcW w:w="6740" w:type="dxa"/>
            <w:vAlign w:val="bottom"/>
            <w:tcBorders>
              <w:top w:val="single" w:sz="8" w:color="auto"/>
              <w:right w:val="single" w:sz="8" w:color="auto"/>
            </w:tcBorders>
            <w:gridSpan w:val="2"/>
          </w:tcPr>
          <w:p>
            <w:pPr>
              <w:ind w:left="1740"/>
              <w:spacing w:after="0"/>
              <w:rPr>
                <w:sz w:val="20"/>
                <w:szCs w:val="20"/>
                <w:color w:val="auto"/>
              </w:rPr>
            </w:pPr>
            <w:r>
              <w:rPr>
                <w:rFonts w:ascii="Arial" w:cs="Arial" w:eastAsia="Arial" w:hAnsi="Arial"/>
                <w:sz w:val="17"/>
                <w:szCs w:val="17"/>
                <w:color w:val="auto"/>
              </w:rPr>
              <w:t>Guarantor) may redeem all of the Notes prior to maturity at a</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redemption price equal to 100% of their principal amount plus</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accrued interest to the date of redemption as described under</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“Description of the Notes—Redemption Upon Changes in Tax</w:t>
            </w:r>
          </w:p>
        </w:tc>
      </w:tr>
      <w:tr>
        <w:trPr>
          <w:trHeight w:val="229"/>
        </w:trPr>
        <w:tc>
          <w:tcPr>
            <w:tcW w:w="388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Law.”</w:t>
            </w:r>
          </w:p>
        </w:tc>
      </w:tr>
      <w:tr>
        <w:trPr>
          <w:trHeight w:val="266"/>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Payment of Additional Amounts</w:t>
            </w: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Any payments made by the Company, or the Guarantor under</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the Guarantee, will be made without withholding or deduction</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for taxes imposed by any jurisdiction in which the Company or</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the Guarantor is incorporated, organized or resident for tax</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purposes or through which a payment is made on the Notes</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on their behalf, except as required by law. If any such</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withholding or deduction is required with respect to Notes, the</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Company (or the Guarantor, if applicable) will pay, subject to</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certain exceptions, additional amounts necessary so that the</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net amount received by the beneficial owners after the</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withholding is not less than the amount that they would have</w:t>
            </w:r>
          </w:p>
        </w:tc>
      </w:tr>
      <w:tr>
        <w:trPr>
          <w:trHeight w:val="229"/>
        </w:trPr>
        <w:tc>
          <w:tcPr>
            <w:tcW w:w="388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received in the absence of the withholding.</w:t>
            </w:r>
          </w:p>
        </w:tc>
      </w:tr>
      <w:tr>
        <w:trPr>
          <w:trHeight w:val="279"/>
        </w:trPr>
        <w:tc>
          <w:tcPr>
            <w:tcW w:w="3880" w:type="dxa"/>
            <w:vAlign w:val="bottom"/>
            <w:tcBorders>
              <w:left w:val="single" w:sz="8" w:color="auto"/>
            </w:tcBorders>
          </w:tcPr>
          <w:p>
            <w:pPr>
              <w:spacing w:after="0"/>
              <w:rPr>
                <w:sz w:val="24"/>
                <w:szCs w:val="24"/>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For more information on additional amounts and the situations</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in which the Company may be required to pay additional</w:t>
            </w:r>
          </w:p>
        </w:tc>
      </w:tr>
      <w:tr>
        <w:trPr>
          <w:trHeight w:val="229"/>
        </w:trPr>
        <w:tc>
          <w:tcPr>
            <w:tcW w:w="388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amounts, see “Description of the Notes—Additional Amounts.”</w:t>
            </w:r>
          </w:p>
        </w:tc>
      </w:tr>
      <w:tr>
        <w:trPr>
          <w:trHeight w:val="279"/>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Ranking</w:t>
            </w: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The Notes will rank equally and ratably with all other</w:t>
            </w:r>
          </w:p>
        </w:tc>
      </w:tr>
      <w:tr>
        <w:trPr>
          <w:trHeight w:val="229"/>
        </w:trPr>
        <w:tc>
          <w:tcPr>
            <w:tcW w:w="388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unsecured and unsubordinated indebtedness of the Company.</w:t>
            </w:r>
          </w:p>
        </w:tc>
      </w:tr>
      <w:tr>
        <w:trPr>
          <w:trHeight w:val="279"/>
        </w:trPr>
        <w:tc>
          <w:tcPr>
            <w:tcW w:w="3880" w:type="dxa"/>
            <w:vAlign w:val="bottom"/>
            <w:tcBorders>
              <w:left w:val="single" w:sz="8" w:color="auto"/>
            </w:tcBorders>
          </w:tcPr>
          <w:p>
            <w:pPr>
              <w:spacing w:after="0"/>
              <w:rPr>
                <w:sz w:val="24"/>
                <w:szCs w:val="24"/>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The Guarantee will rank equally and ratably with all other</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unsecured and unsubordinated indebtedness of the</w:t>
            </w:r>
          </w:p>
        </w:tc>
      </w:tr>
      <w:tr>
        <w:trPr>
          <w:trHeight w:val="229"/>
        </w:trPr>
        <w:tc>
          <w:tcPr>
            <w:tcW w:w="388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Guarantor.</w:t>
            </w:r>
          </w:p>
        </w:tc>
      </w:tr>
      <w:tr>
        <w:trPr>
          <w:trHeight w:val="279"/>
        </w:trPr>
        <w:tc>
          <w:tcPr>
            <w:tcW w:w="3880" w:type="dxa"/>
            <w:vAlign w:val="bottom"/>
            <w:tcBorders>
              <w:left w:val="single" w:sz="8" w:color="auto"/>
            </w:tcBorders>
          </w:tcPr>
          <w:p>
            <w:pPr>
              <w:spacing w:after="0"/>
              <w:rPr>
                <w:sz w:val="24"/>
                <w:szCs w:val="24"/>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See “Description of the Notes—Ranking of the Notes and</w:t>
            </w:r>
          </w:p>
        </w:tc>
      </w:tr>
      <w:tr>
        <w:trPr>
          <w:trHeight w:val="229"/>
        </w:trPr>
        <w:tc>
          <w:tcPr>
            <w:tcW w:w="388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Guarantee.”</w:t>
            </w:r>
          </w:p>
        </w:tc>
      </w:tr>
      <w:tr>
        <w:trPr>
          <w:trHeight w:val="279"/>
        </w:trPr>
        <w:tc>
          <w:tcPr>
            <w:tcW w:w="38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Certain Covenants</w:t>
            </w: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The Company will issue the Notes under an indenture with</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The Bank of New York Mellon, as trustee, as supplemented by</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one or more supplemental indentures (as supplemented, the</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“Indenture”). The Indenture will, among other things, restrict</w:t>
            </w:r>
          </w:p>
        </w:tc>
      </w:tr>
      <w:tr>
        <w:trPr>
          <w:trHeight w:val="195"/>
        </w:trPr>
        <w:tc>
          <w:tcPr>
            <w:tcW w:w="3880" w:type="dxa"/>
            <w:vAlign w:val="bottom"/>
            <w:tcBorders>
              <w:left w:val="single" w:sz="8" w:color="auto"/>
            </w:tcBorders>
          </w:tcPr>
          <w:p>
            <w:pPr>
              <w:spacing w:after="0"/>
              <w:rPr>
                <w:sz w:val="16"/>
                <w:szCs w:val="16"/>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the ability of the Guarantor, the Company and the Guarantor’s</w:t>
            </w:r>
          </w:p>
        </w:tc>
      </w:tr>
      <w:tr>
        <w:trPr>
          <w:trHeight w:val="229"/>
        </w:trPr>
        <w:tc>
          <w:tcPr>
            <w:tcW w:w="3880" w:type="dxa"/>
            <w:vAlign w:val="bottom"/>
            <w:tcBorders>
              <w:left w:val="single" w:sz="8" w:color="auto"/>
            </w:tcBorders>
          </w:tcPr>
          <w:p>
            <w:pPr>
              <w:spacing w:after="0"/>
              <w:rPr>
                <w:sz w:val="19"/>
                <w:szCs w:val="19"/>
                <w:color w:val="auto"/>
              </w:rPr>
            </w:pPr>
          </w:p>
        </w:tc>
        <w:tc>
          <w:tcPr>
            <w:tcW w:w="6740" w:type="dxa"/>
            <w:vAlign w:val="bottom"/>
            <w:tcBorders>
              <w:right w:val="single" w:sz="8" w:color="auto"/>
            </w:tcBorders>
            <w:gridSpan w:val="2"/>
          </w:tcPr>
          <w:p>
            <w:pPr>
              <w:ind w:left="1740"/>
              <w:spacing w:after="0"/>
              <w:rPr>
                <w:sz w:val="20"/>
                <w:szCs w:val="20"/>
                <w:color w:val="auto"/>
              </w:rPr>
            </w:pPr>
            <w:r>
              <w:rPr>
                <w:rFonts w:ascii="Arial" w:cs="Arial" w:eastAsia="Arial" w:hAnsi="Arial"/>
                <w:sz w:val="17"/>
                <w:szCs w:val="17"/>
                <w:color w:val="auto"/>
              </w:rPr>
              <w:t>other subsidiaries to:</w:t>
            </w:r>
          </w:p>
        </w:tc>
      </w:tr>
      <w:tr>
        <w:trPr>
          <w:trHeight w:val="279"/>
        </w:trPr>
        <w:tc>
          <w:tcPr>
            <w:tcW w:w="3880" w:type="dxa"/>
            <w:vAlign w:val="bottom"/>
            <w:tcBorders>
              <w:left w:val="single" w:sz="8" w:color="auto"/>
            </w:tcBorders>
          </w:tcPr>
          <w:p>
            <w:pPr>
              <w:spacing w:after="0"/>
              <w:rPr>
                <w:sz w:val="24"/>
                <w:szCs w:val="24"/>
                <w:color w:val="auto"/>
              </w:rPr>
            </w:pPr>
          </w:p>
        </w:tc>
        <w:tc>
          <w:tcPr>
            <w:tcW w:w="2000" w:type="dxa"/>
            <w:vAlign w:val="bottom"/>
          </w:tcPr>
          <w:p>
            <w:pPr>
              <w:ind w:left="1820"/>
              <w:spacing w:after="0"/>
              <w:rPr>
                <w:sz w:val="20"/>
                <w:szCs w:val="20"/>
                <w:color w:val="auto"/>
              </w:rPr>
            </w:pPr>
            <w:r>
              <w:rPr>
                <w:rFonts w:ascii="Arial" w:cs="Arial" w:eastAsia="Arial" w:hAnsi="Arial"/>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 incur indebtedness secured by liens on specified</w:t>
            </w:r>
          </w:p>
        </w:tc>
      </w:tr>
      <w:tr>
        <w:trPr>
          <w:trHeight w:val="229"/>
        </w:trPr>
        <w:tc>
          <w:tcPr>
            <w:tcW w:w="3880" w:type="dxa"/>
            <w:vAlign w:val="bottom"/>
            <w:tcBorders>
              <w:left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474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restricted properties; and</w:t>
            </w:r>
          </w:p>
        </w:tc>
      </w:tr>
      <w:tr>
        <w:trPr>
          <w:trHeight w:val="313"/>
        </w:trPr>
        <w:tc>
          <w:tcPr>
            <w:tcW w:w="3880" w:type="dxa"/>
            <w:vAlign w:val="bottom"/>
            <w:tcBorders>
              <w:left w:val="single" w:sz="8" w:color="auto"/>
            </w:tcBorders>
          </w:tcPr>
          <w:p>
            <w:pPr>
              <w:spacing w:after="0"/>
              <w:rPr>
                <w:sz w:val="24"/>
                <w:szCs w:val="24"/>
                <w:color w:val="auto"/>
              </w:rPr>
            </w:pPr>
          </w:p>
        </w:tc>
        <w:tc>
          <w:tcPr>
            <w:tcW w:w="2000" w:type="dxa"/>
            <w:vAlign w:val="bottom"/>
          </w:tcPr>
          <w:p>
            <w:pPr>
              <w:ind w:left="1820"/>
              <w:spacing w:after="0"/>
              <w:rPr>
                <w:sz w:val="20"/>
                <w:szCs w:val="20"/>
                <w:color w:val="auto"/>
              </w:rPr>
            </w:pPr>
            <w:r>
              <w:rPr>
                <w:rFonts w:ascii="Arial" w:cs="Arial" w:eastAsia="Arial" w:hAnsi="Arial"/>
                <w:sz w:val="16"/>
                <w:szCs w:val="16"/>
                <w:color w:val="auto"/>
                <w:w w:val="73"/>
              </w:rPr>
              <w:t>• </w:t>
            </w:r>
          </w:p>
        </w:tc>
        <w:tc>
          <w:tcPr>
            <w:tcW w:w="47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 consolidate or merge under specific circumstances.</w:t>
            </w:r>
          </w:p>
        </w:tc>
      </w:tr>
      <w:tr>
        <w:trPr>
          <w:trHeight w:val="149"/>
        </w:trPr>
        <w:tc>
          <w:tcPr>
            <w:tcW w:w="3880" w:type="dxa"/>
            <w:vAlign w:val="bottom"/>
            <w:tcBorders>
              <w:left w:val="single" w:sz="8" w:color="auto"/>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4740" w:type="dxa"/>
            <w:vAlign w:val="bottom"/>
            <w:tcBorders>
              <w:bottom w:val="single" w:sz="8" w:color="auto"/>
              <w:right w:val="single" w:sz="8" w:color="auto"/>
            </w:tcBorders>
          </w:tcPr>
          <w:p>
            <w:pPr>
              <w:spacing w:after="0"/>
              <w:rPr>
                <w:sz w:val="12"/>
                <w:szCs w:val="12"/>
                <w:color w:val="auto"/>
              </w:rPr>
            </w:pPr>
          </w:p>
        </w:tc>
      </w:tr>
      <w:tr>
        <w:trPr>
          <w:trHeight w:val="352"/>
        </w:trPr>
        <w:tc>
          <w:tcPr>
            <w:tcW w:w="3880" w:type="dxa"/>
            <w:vAlign w:val="bottom"/>
          </w:tcPr>
          <w:p>
            <w:pPr>
              <w:spacing w:after="0"/>
              <w:rPr>
                <w:sz w:val="24"/>
                <w:szCs w:val="24"/>
                <w:color w:val="auto"/>
              </w:rPr>
            </w:pPr>
          </w:p>
        </w:tc>
        <w:tc>
          <w:tcPr>
            <w:tcW w:w="2000" w:type="dxa"/>
            <w:vAlign w:val="bottom"/>
          </w:tcPr>
          <w:p>
            <w:pPr>
              <w:ind w:left="1280"/>
              <w:spacing w:after="0"/>
              <w:rPr>
                <w:sz w:val="20"/>
                <w:szCs w:val="20"/>
                <w:color w:val="auto"/>
              </w:rPr>
            </w:pPr>
            <w:r>
              <w:rPr>
                <w:rFonts w:ascii="Arial" w:cs="Arial" w:eastAsia="Arial" w:hAnsi="Arial"/>
                <w:sz w:val="17"/>
                <w:szCs w:val="17"/>
                <w:color w:val="auto"/>
              </w:rPr>
              <w:t>S-4</w:t>
            </w:r>
          </w:p>
        </w:tc>
        <w:tc>
          <w:tcPr>
            <w:tcW w:w="4740" w:type="dxa"/>
            <w:vAlign w:val="bottom"/>
          </w:tcPr>
          <w:p>
            <w:pPr>
              <w:spacing w:after="0"/>
              <w:rPr>
                <w:sz w:val="24"/>
                <w:szCs w:val="24"/>
                <w:color w:val="auto"/>
              </w:rPr>
            </w:pPr>
          </w:p>
        </w:tc>
      </w:tr>
    </w:tbl>
    <w:p>
      <w:pPr>
        <w:sectPr>
          <w:pgSz w:w="11900" w:h="16838" w:orient="portrait"/>
          <w:cols w:equalWidth="0" w:num="1">
            <w:col w:w="10940"/>
          </w:cols>
          <w:pgMar w:left="320" w:top="44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330" w:type="dxa"/>
        <w:tblCellMar>
          <w:top w:w="0" w:type="dxa"/>
          <w:left w:w="0" w:type="dxa"/>
          <w:bottom w:w="0" w:type="dxa"/>
          <w:right w:w="0" w:type="dxa"/>
        </w:tblCellMar>
      </w:tblPr>
      <w:tr>
        <w:trPr>
          <w:trHeight w:val="469"/>
        </w:trPr>
        <w:tc>
          <w:tcPr>
            <w:tcW w:w="4680" w:type="dxa"/>
            <w:vAlign w:val="bottom"/>
            <w:tcBorders>
              <w:top w:val="single" w:sz="8" w:color="auto"/>
              <w:left w:val="single" w:sz="8" w:color="auto"/>
            </w:tcBorders>
          </w:tcPr>
          <w:p>
            <w:pPr>
              <w:spacing w:after="0"/>
              <w:rPr>
                <w:sz w:val="24"/>
                <w:szCs w:val="24"/>
                <w:color w:val="auto"/>
              </w:rPr>
            </w:pPr>
          </w:p>
        </w:tc>
        <w:tc>
          <w:tcPr>
            <w:tcW w:w="594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7"/>
                <w:szCs w:val="17"/>
                <w:color w:val="auto"/>
              </w:rPr>
              <w:t>For more details, see “Description of the Notes—Certain</w:t>
            </w:r>
          </w:p>
        </w:tc>
      </w:tr>
      <w:tr>
        <w:trPr>
          <w:trHeight w:val="229"/>
        </w:trPr>
        <w:tc>
          <w:tcPr>
            <w:tcW w:w="4680" w:type="dxa"/>
            <w:vAlign w:val="bottom"/>
            <w:tcBorders>
              <w:left w:val="single" w:sz="8" w:color="auto"/>
            </w:tcBorders>
          </w:tcPr>
          <w:p>
            <w:pPr>
              <w:spacing w:after="0"/>
              <w:rPr>
                <w:sz w:val="19"/>
                <w:szCs w:val="19"/>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Covenants.”</w:t>
            </w:r>
          </w:p>
        </w:tc>
      </w:tr>
      <w:tr>
        <w:trPr>
          <w:trHeight w:val="26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We intend to use the net proceeds from the offering to repay</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existing indebtedness, as well as for general corporate</w:t>
            </w:r>
          </w:p>
        </w:tc>
      </w:tr>
      <w:tr>
        <w:trPr>
          <w:trHeight w:val="229"/>
        </w:trPr>
        <w:tc>
          <w:tcPr>
            <w:tcW w:w="4680" w:type="dxa"/>
            <w:vAlign w:val="bottom"/>
            <w:tcBorders>
              <w:left w:val="single" w:sz="8" w:color="auto"/>
            </w:tcBorders>
          </w:tcPr>
          <w:p>
            <w:pPr>
              <w:spacing w:after="0"/>
              <w:rPr>
                <w:sz w:val="19"/>
                <w:szCs w:val="19"/>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purposes.</w:t>
            </w:r>
          </w:p>
        </w:tc>
      </w:tr>
      <w:tr>
        <w:trPr>
          <w:trHeight w:val="26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Absence of a Public Market for the Notes</w:t>
            </w: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The Notes are new securities and there is currently no existing</w:t>
            </w:r>
          </w:p>
        </w:tc>
      </w:tr>
      <w:tr>
        <w:trPr>
          <w:trHeight w:val="229"/>
        </w:trPr>
        <w:tc>
          <w:tcPr>
            <w:tcW w:w="4680" w:type="dxa"/>
            <w:vAlign w:val="bottom"/>
            <w:tcBorders>
              <w:left w:val="single" w:sz="8" w:color="auto"/>
            </w:tcBorders>
          </w:tcPr>
          <w:p>
            <w:pPr>
              <w:spacing w:after="0"/>
              <w:rPr>
                <w:sz w:val="19"/>
                <w:szCs w:val="19"/>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market for the Notes.</w:t>
            </w:r>
          </w:p>
        </w:tc>
      </w:tr>
      <w:tr>
        <w:trPr>
          <w:trHeight w:val="279"/>
        </w:trPr>
        <w:tc>
          <w:tcPr>
            <w:tcW w:w="4680" w:type="dxa"/>
            <w:vAlign w:val="bottom"/>
            <w:tcBorders>
              <w:left w:val="single" w:sz="8" w:color="auto"/>
            </w:tcBorders>
          </w:tcPr>
          <w:p>
            <w:pPr>
              <w:spacing w:after="0"/>
              <w:rPr>
                <w:sz w:val="24"/>
                <w:szCs w:val="24"/>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Accordingly, there can be no assurances as to the</w:t>
            </w:r>
          </w:p>
        </w:tc>
      </w:tr>
      <w:tr>
        <w:trPr>
          <w:trHeight w:val="229"/>
        </w:trPr>
        <w:tc>
          <w:tcPr>
            <w:tcW w:w="4680" w:type="dxa"/>
            <w:vAlign w:val="bottom"/>
            <w:tcBorders>
              <w:left w:val="single" w:sz="8" w:color="auto"/>
            </w:tcBorders>
          </w:tcPr>
          <w:p>
            <w:pPr>
              <w:spacing w:after="0"/>
              <w:rPr>
                <w:sz w:val="19"/>
                <w:szCs w:val="19"/>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development or liquidity of any market for the Notes.</w:t>
            </w:r>
          </w:p>
        </w:tc>
      </w:tr>
      <w:tr>
        <w:trPr>
          <w:trHeight w:val="279"/>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Further Issuances</w:t>
            </w: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The Company may, from time to time, without notice to or the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consent of the registered holders of the Notes, create and</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issue additional Notes having the same terms as, and ranking</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equally and ratably with, any of the outstanding Notes in all</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respects. Such additional Notes will also be fully and</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unconditionally guaranteed by the Guarantor (on the same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terms and with the same ranking as the Guarantee for the</w:t>
            </w:r>
          </w:p>
        </w:tc>
      </w:tr>
      <w:tr>
        <w:trPr>
          <w:trHeight w:val="229"/>
        </w:trPr>
        <w:tc>
          <w:tcPr>
            <w:tcW w:w="4680" w:type="dxa"/>
            <w:vAlign w:val="bottom"/>
            <w:tcBorders>
              <w:left w:val="single" w:sz="8" w:color="auto"/>
            </w:tcBorders>
          </w:tcPr>
          <w:p>
            <w:pPr>
              <w:spacing w:after="0"/>
              <w:rPr>
                <w:sz w:val="19"/>
                <w:szCs w:val="19"/>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Notes). See “Description of the Notes—Further Issuances.”</w:t>
            </w:r>
          </w:p>
        </w:tc>
      </w:tr>
      <w:tr>
        <w:trPr>
          <w:trHeight w:val="26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Assumption by a Subsidiary</w:t>
            </w: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Any subsidiary of the Guarantor may, at its option, assume the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obligations of the Company as the issuer of the Notes and the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Company will be released from its liability as obligor under the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Notes. See “Description of the Notes—Assumption by a</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Subsidiary.” For a description of U.S. federal income tax</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considerations related to these provisions, see “U.S. Federal</w:t>
            </w:r>
          </w:p>
        </w:tc>
      </w:tr>
      <w:tr>
        <w:trPr>
          <w:trHeight w:val="229"/>
        </w:trPr>
        <w:tc>
          <w:tcPr>
            <w:tcW w:w="4680" w:type="dxa"/>
            <w:vAlign w:val="bottom"/>
            <w:tcBorders>
              <w:left w:val="single" w:sz="8" w:color="auto"/>
            </w:tcBorders>
          </w:tcPr>
          <w:p>
            <w:pPr>
              <w:spacing w:after="0"/>
              <w:rPr>
                <w:sz w:val="19"/>
                <w:szCs w:val="19"/>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Income Tax Considerations.”</w:t>
            </w:r>
          </w:p>
        </w:tc>
      </w:tr>
      <w:tr>
        <w:trPr>
          <w:trHeight w:val="26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Governing Law</w:t>
            </w: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The Indenture, including the Guarantee contained therein, and</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the Notes will be governed by, and construed in accordance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with, the laws of the State of New York. The application of the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provisions of articles 470-1 to 470-19 (inclusive) of the</w:t>
            </w:r>
          </w:p>
        </w:tc>
      </w:tr>
      <w:tr>
        <w:trPr>
          <w:trHeight w:val="195"/>
        </w:trPr>
        <w:tc>
          <w:tcPr>
            <w:tcW w:w="4680" w:type="dxa"/>
            <w:vAlign w:val="bottom"/>
            <w:tcBorders>
              <w:left w:val="single" w:sz="8" w:color="auto"/>
            </w:tcBorders>
          </w:tcPr>
          <w:p>
            <w:pPr>
              <w:spacing w:after="0"/>
              <w:rPr>
                <w:sz w:val="16"/>
                <w:szCs w:val="16"/>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Luxembourg law of 10 August 1915 on commercial</w:t>
            </w:r>
          </w:p>
        </w:tc>
      </w:tr>
      <w:tr>
        <w:trPr>
          <w:trHeight w:val="229"/>
        </w:trPr>
        <w:tc>
          <w:tcPr>
            <w:tcW w:w="4680" w:type="dxa"/>
            <w:vAlign w:val="bottom"/>
            <w:tcBorders>
              <w:left w:val="single" w:sz="8" w:color="auto"/>
            </w:tcBorders>
          </w:tcPr>
          <w:p>
            <w:pPr>
              <w:spacing w:after="0"/>
              <w:rPr>
                <w:sz w:val="19"/>
                <w:szCs w:val="19"/>
                <w:color w:val="auto"/>
              </w:rPr>
            </w:pP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companies, as amended, is hereby expressly excluded.</w:t>
            </w:r>
          </w:p>
        </w:tc>
      </w:tr>
      <w:tr>
        <w:trPr>
          <w:trHeight w:val="300"/>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Trustee, Registrar, Paying Agent and Transfer Agent</w:t>
            </w:r>
          </w:p>
        </w:tc>
        <w:tc>
          <w:tcPr>
            <w:tcW w:w="5940" w:type="dxa"/>
            <w:vAlign w:val="bottom"/>
            <w:tcBorders>
              <w:right w:val="single" w:sz="8" w:color="auto"/>
            </w:tcBorders>
          </w:tcPr>
          <w:p>
            <w:pPr>
              <w:ind w:left="940"/>
              <w:spacing w:after="0"/>
              <w:rPr>
                <w:sz w:val="20"/>
                <w:szCs w:val="20"/>
                <w:color w:val="auto"/>
              </w:rPr>
            </w:pPr>
            <w:r>
              <w:rPr>
                <w:rFonts w:ascii="Arial" w:cs="Arial" w:eastAsia="Arial" w:hAnsi="Arial"/>
                <w:sz w:val="17"/>
                <w:szCs w:val="17"/>
                <w:color w:val="auto"/>
              </w:rPr>
              <w:t>The Bank of New York Mellon.</w:t>
            </w:r>
          </w:p>
        </w:tc>
      </w:tr>
      <w:tr>
        <w:trPr>
          <w:trHeight w:val="136"/>
        </w:trPr>
        <w:tc>
          <w:tcPr>
            <w:tcW w:w="4680" w:type="dxa"/>
            <w:vAlign w:val="bottom"/>
            <w:tcBorders>
              <w:left w:val="single" w:sz="8" w:color="auto"/>
              <w:bottom w:val="single" w:sz="8" w:color="auto"/>
            </w:tcBorders>
          </w:tcPr>
          <w:p>
            <w:pPr>
              <w:spacing w:after="0"/>
              <w:rPr>
                <w:sz w:val="11"/>
                <w:szCs w:val="11"/>
                <w:color w:val="auto"/>
              </w:rPr>
            </w:pPr>
          </w:p>
        </w:tc>
        <w:tc>
          <w:tcPr>
            <w:tcW w:w="5940" w:type="dxa"/>
            <w:vAlign w:val="bottom"/>
            <w:tcBorders>
              <w:bottom w:val="single" w:sz="8" w:color="auto"/>
              <w:right w:val="single" w:sz="8" w:color="auto"/>
            </w:tcBorders>
          </w:tcPr>
          <w:p>
            <w:pPr>
              <w:spacing w:after="0"/>
              <w:rPr>
                <w:sz w:val="11"/>
                <w:szCs w:val="11"/>
                <w:color w:val="auto"/>
              </w:rPr>
            </w:pPr>
          </w:p>
        </w:tc>
      </w:tr>
      <w:tr>
        <w:trPr>
          <w:trHeight w:val="352"/>
        </w:trPr>
        <w:tc>
          <w:tcPr>
            <w:tcW w:w="4680" w:type="dxa"/>
            <w:vAlign w:val="bottom"/>
          </w:tcPr>
          <w:p>
            <w:pPr>
              <w:spacing w:after="0"/>
              <w:rPr>
                <w:sz w:val="24"/>
                <w:szCs w:val="24"/>
                <w:color w:val="auto"/>
              </w:rPr>
            </w:pPr>
          </w:p>
        </w:tc>
        <w:tc>
          <w:tcPr>
            <w:tcW w:w="5940" w:type="dxa"/>
            <w:vAlign w:val="bottom"/>
          </w:tcPr>
          <w:p>
            <w:pPr>
              <w:ind w:left="480"/>
              <w:spacing w:after="0"/>
              <w:rPr>
                <w:sz w:val="20"/>
                <w:szCs w:val="20"/>
                <w:color w:val="auto"/>
              </w:rPr>
            </w:pPr>
            <w:r>
              <w:rPr>
                <w:rFonts w:ascii="Arial" w:cs="Arial" w:eastAsia="Arial" w:hAnsi="Arial"/>
                <w:sz w:val="17"/>
                <w:szCs w:val="17"/>
                <w:color w:val="auto"/>
              </w:rPr>
              <w:t>S-5</w:t>
            </w:r>
          </w:p>
        </w:tc>
      </w:tr>
    </w:tbl>
    <w:p>
      <w:pPr>
        <w:sectPr>
          <w:pgSz w:w="11900" w:h="16838" w:orient="portrait"/>
          <w:cols w:equalWidth="0" w:num="1">
            <w:col w:w="10940"/>
          </w:cols>
          <w:pgMar w:left="320" w:top="44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RISK FACTORS</w:t>
      </w:r>
    </w:p>
    <w:p>
      <w:pPr>
        <w:spacing w:after="0" w:line="210" w:lineRule="exact"/>
        <w:rPr>
          <w:sz w:val="20"/>
          <w:szCs w:val="20"/>
          <w:color w:val="auto"/>
        </w:rPr>
      </w:pPr>
    </w:p>
    <w:p>
      <w:pPr>
        <w:ind w:left="320" w:right="20" w:firstLine="425"/>
        <w:spacing w:after="0" w:line="245" w:lineRule="auto"/>
        <w:rPr>
          <w:sz w:val="20"/>
          <w:szCs w:val="20"/>
          <w:color w:val="auto"/>
        </w:rPr>
      </w:pPr>
      <w:r>
        <w:rPr>
          <w:rFonts w:ascii="Arial" w:cs="Arial" w:eastAsia="Arial" w:hAnsi="Arial"/>
          <w:sz w:val="17"/>
          <w:szCs w:val="17"/>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2023 and the Guarantor’s Quarterly Report on Form 10-Q for the fiscal quarter ended March 31, 2024, before making a decision to invest in the Notes. If any of the matters included in the “Risk Factors” sections were to occur, the SLB Group’s business, properties, assets, financial condition, results of operations, cash flows or prospects could be materially adversely affected. Additional risks and uncertainties not currently known to the SLB Group or that the SLB Group currently deems immaterial may also adversely affect the SLB Group’s business, reputation, financial condition, results of operations, cash flows and prospects.</w:t>
      </w:r>
    </w:p>
    <w:p>
      <w:pPr>
        <w:spacing w:after="0" w:line="277" w:lineRule="exact"/>
        <w:rPr>
          <w:sz w:val="20"/>
          <w:szCs w:val="20"/>
          <w:color w:val="auto"/>
        </w:rPr>
      </w:pPr>
    </w:p>
    <w:p>
      <w:pPr>
        <w:ind w:left="320"/>
        <w:spacing w:after="0" w:line="293" w:lineRule="auto"/>
        <w:rPr>
          <w:sz w:val="20"/>
          <w:szCs w:val="20"/>
          <w:color w:val="auto"/>
        </w:rPr>
      </w:pPr>
      <w:r>
        <w:rPr>
          <w:rFonts w:ascii="Arial" w:cs="Arial" w:eastAsia="Arial" w:hAnsi="Arial"/>
          <w:sz w:val="17"/>
          <w:szCs w:val="17"/>
          <w:b w:val="1"/>
          <w:bCs w:val="1"/>
          <w:color w:val="auto"/>
        </w:rPr>
        <w:t>The Company’s and the Guarantor’s ability to service their debt depends on the SLB Group’s future performance, which may not generate cash required to service their debt.</w:t>
      </w:r>
    </w:p>
    <w:p>
      <w:pPr>
        <w:spacing w:after="0" w:line="20" w:lineRule="exact"/>
        <w:rPr>
          <w:sz w:val="20"/>
          <w:szCs w:val="20"/>
          <w:color w:val="auto"/>
        </w:rPr>
      </w:pPr>
    </w:p>
    <w:p>
      <w:pPr>
        <w:ind w:left="320" w:right="40" w:firstLine="425"/>
        <w:spacing w:after="0" w:line="245" w:lineRule="auto"/>
        <w:rPr>
          <w:sz w:val="20"/>
          <w:szCs w:val="20"/>
          <w:color w:val="auto"/>
        </w:rPr>
      </w:pPr>
      <w:r>
        <w:rPr>
          <w:rFonts w:ascii="Arial" w:cs="Arial" w:eastAsia="Arial" w:hAnsi="Arial"/>
          <w:sz w:val="17"/>
          <w:szCs w:val="17"/>
          <w:color w:val="auto"/>
        </w:rPr>
        <w:t>The Company’s ability to make scheduled payments on the Notes depends on the SLB Group’s future operating and financial performance and ability to generate cash. This will be affected by the SLB Group’s ability to successfully implement its business strategy, as well as by general economic, financial, competitive, regulatory, technical and other factors beyond its control. If the SLB Group cannot generate sufficient cash to meet its debt service obligations or fund its other business needs, the Company or the Guarantor may, among other things, need to refinance all or a portion of its obligations, including the 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Notes and the Guarantee will be subordinated to any secured indebtedness of the Company and the Guarantor.</w:t>
      </w:r>
    </w:p>
    <w:p>
      <w:pPr>
        <w:spacing w:after="0" w:line="106" w:lineRule="exact"/>
        <w:rPr>
          <w:sz w:val="20"/>
          <w:szCs w:val="20"/>
          <w:color w:val="auto"/>
        </w:rPr>
      </w:pPr>
    </w:p>
    <w:p>
      <w:pPr>
        <w:ind w:left="320" w:right="100" w:firstLine="425"/>
        <w:spacing w:after="0" w:line="245" w:lineRule="auto"/>
        <w:rPr>
          <w:sz w:val="20"/>
          <w:szCs w:val="20"/>
          <w:color w:val="auto"/>
        </w:rPr>
      </w:pPr>
      <w:r>
        <w:rPr>
          <w:rFonts w:ascii="Arial" w:cs="Arial" w:eastAsia="Arial" w:hAnsi="Arial"/>
          <w:sz w:val="17"/>
          <w:szCs w:val="17"/>
          <w:color w:val="auto"/>
        </w:rPr>
        <w:t xml:space="preserve">The Notes will be unsecured and unsubordinated obligations of the Company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to all other existing and future unsecured and unsubordinated indebtedness of the Guarantor, and senior in</w:t>
      </w:r>
      <w:r>
        <w:rPr>
          <w:rFonts w:ascii="Arial" w:cs="Arial" w:eastAsia="Arial" w:hAnsi="Arial"/>
          <w:sz w:val="17"/>
          <w:szCs w:val="17"/>
          <w:i w:val="1"/>
          <w:iCs w:val="1"/>
          <w:color w:val="auto"/>
        </w:rPr>
        <w:t xml:space="preserve"> </w:t>
      </w:r>
      <w:r>
        <w:rPr>
          <w:rFonts w:ascii="Arial" w:cs="Arial" w:eastAsia="Arial" w:hAnsi="Arial"/>
          <w:sz w:val="17"/>
          <w:szCs w:val="17"/>
          <w:color w:val="auto"/>
        </w:rPr>
        <w:t>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273" w:lineRule="exact"/>
        <w:rPr>
          <w:sz w:val="20"/>
          <w:szCs w:val="20"/>
          <w:color w:val="auto"/>
        </w:rPr>
      </w:pPr>
    </w:p>
    <w:p>
      <w:pPr>
        <w:ind w:left="320" w:right="160"/>
        <w:spacing w:after="0" w:line="293" w:lineRule="auto"/>
        <w:rPr>
          <w:sz w:val="20"/>
          <w:szCs w:val="20"/>
          <w:color w:val="auto"/>
        </w:rPr>
      </w:pPr>
      <w:r>
        <w:rPr>
          <w:rFonts w:ascii="Arial" w:cs="Arial" w:eastAsia="Arial" w:hAnsi="Arial"/>
          <w:sz w:val="17"/>
          <w:szCs w:val="17"/>
          <w:b w:val="1"/>
          <w:bCs w:val="1"/>
          <w:color w:val="auto"/>
        </w:rPr>
        <w:t>The Guarantee and the Notes will be structurally subordinated to the obligations of the Guarantor’s subsidiaries other than the Company</w:t>
      </w:r>
      <w:r>
        <w:rPr>
          <w:rFonts w:ascii="Arial" w:cs="Arial" w:eastAsia="Arial" w:hAnsi="Arial"/>
          <w:sz w:val="17"/>
          <w:szCs w:val="17"/>
          <w:color w:val="auto"/>
        </w:rPr>
        <w:t>.</w:t>
      </w:r>
    </w:p>
    <w:p>
      <w:pPr>
        <w:spacing w:after="0" w:line="20" w:lineRule="exact"/>
        <w:rPr>
          <w:sz w:val="20"/>
          <w:szCs w:val="20"/>
          <w:color w:val="auto"/>
        </w:rPr>
      </w:pPr>
    </w:p>
    <w:p>
      <w:pPr>
        <w:jc w:val="both"/>
        <w:ind w:left="320" w:right="620" w:firstLine="425"/>
        <w:spacing w:after="0" w:line="260" w:lineRule="auto"/>
        <w:rPr>
          <w:sz w:val="20"/>
          <w:szCs w:val="20"/>
          <w:color w:val="auto"/>
        </w:rPr>
      </w:pPr>
      <w:r>
        <w:rPr>
          <w:rFonts w:ascii="Arial" w:cs="Arial" w:eastAsia="Arial" w:hAnsi="Arial"/>
          <w:sz w:val="17"/>
          <w:szCs w:val="17"/>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S-6</w:t>
      </w:r>
    </w:p>
    <w:p>
      <w:pPr>
        <w:sectPr>
          <w:pgSz w:w="11900" w:h="16838" w:orient="portrait"/>
          <w:cols w:equalWidth="0" w:num="1">
            <w:col w:w="10920"/>
          </w:cols>
          <w:pgMar w:left="320" w:top="44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60"/>
        <w:spacing w:after="0" w:line="248" w:lineRule="auto"/>
        <w:rPr>
          <w:sz w:val="20"/>
          <w:szCs w:val="20"/>
          <w:color w:val="auto"/>
        </w:rPr>
      </w:pPr>
      <w:r>
        <w:rPr>
          <w:rFonts w:ascii="Arial" w:cs="Arial" w:eastAsia="Arial" w:hAnsi="Arial"/>
          <w:sz w:val="17"/>
          <w:szCs w:val="17"/>
          <w:color w:val="auto"/>
        </w:rPr>
        <w:t>(including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69" w:lineRule="exact"/>
        <w:rPr>
          <w:sz w:val="20"/>
          <w:szCs w:val="20"/>
          <w:color w:val="auto"/>
        </w:rPr>
      </w:pPr>
    </w:p>
    <w:p>
      <w:pPr>
        <w:ind w:left="320" w:right="460" w:firstLine="425"/>
        <w:spacing w:after="0" w:line="248" w:lineRule="auto"/>
        <w:rPr>
          <w:sz w:val="20"/>
          <w:szCs w:val="20"/>
          <w:color w:val="auto"/>
        </w:rPr>
      </w:pPr>
      <w:r>
        <w:rPr>
          <w:rFonts w:ascii="Arial" w:cs="Arial" w:eastAsia="Arial" w:hAnsi="Arial"/>
          <w:sz w:val="17"/>
          <w:szCs w:val="17"/>
          <w:color w:val="auto"/>
        </w:rPr>
        <w:t>As a result, the Guarantee will be structurally subordinated to the obligations and liabilities of all of the Guarantor’s subsidiaries (other than the Company’s obligations and liabilities with respect to the Notes). As of March 31, 2024, the Guarantor had accounts payable and accrued liabilities of approximately U.S.$10.1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271" w:lineRule="exact"/>
        <w:rPr>
          <w:sz w:val="20"/>
          <w:szCs w:val="20"/>
          <w:color w:val="auto"/>
        </w:rPr>
      </w:pPr>
    </w:p>
    <w:p>
      <w:pPr>
        <w:ind w:left="320"/>
        <w:spacing w:after="0" w:line="293" w:lineRule="auto"/>
        <w:rPr>
          <w:sz w:val="20"/>
          <w:szCs w:val="20"/>
          <w:color w:val="auto"/>
        </w:rPr>
      </w:pPr>
      <w:r>
        <w:rPr>
          <w:rFonts w:ascii="Arial" w:cs="Arial" w:eastAsia="Arial" w:hAnsi="Arial"/>
          <w:sz w:val="17"/>
          <w:szCs w:val="17"/>
          <w:b w:val="1"/>
          <w:bCs w:val="1"/>
          <w:color w:val="auto"/>
        </w:rPr>
        <w:t>There is currently no trading market for the Notes and an active trading market for the Notes may not develop, in which case you may not be able to resell the Notes.</w:t>
      </w:r>
    </w:p>
    <w:p>
      <w:pPr>
        <w:spacing w:after="0" w:line="20" w:lineRule="exact"/>
        <w:rPr>
          <w:sz w:val="20"/>
          <w:szCs w:val="20"/>
          <w:color w:val="auto"/>
        </w:rPr>
      </w:pPr>
    </w:p>
    <w:p>
      <w:pPr>
        <w:ind w:left="320" w:right="140" w:firstLine="425"/>
        <w:spacing w:after="0" w:line="245" w:lineRule="auto"/>
        <w:rPr>
          <w:sz w:val="20"/>
          <w:szCs w:val="20"/>
          <w:color w:val="auto"/>
        </w:rPr>
      </w:pPr>
      <w:r>
        <w:rPr>
          <w:rFonts w:ascii="Arial" w:cs="Arial" w:eastAsia="Arial" w:hAnsi="Arial"/>
          <w:sz w:val="17"/>
          <w:szCs w:val="17"/>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the Company’s and the Guarantor’s financial performance, the market for similar securities and the interest of securities dealers in making a market in the Notes. In addition, changes in the overall market for investment grade securities and changes in the Company’s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You may be unable to recover in civil proceedings for U.S. securities laws violations</w:t>
      </w:r>
      <w:r>
        <w:rPr>
          <w:rFonts w:ascii="Arial" w:cs="Arial" w:eastAsia="Arial" w:hAnsi="Arial"/>
          <w:sz w:val="17"/>
          <w:szCs w:val="17"/>
          <w:color w:val="auto"/>
        </w:rPr>
        <w:t>.</w:t>
      </w:r>
    </w:p>
    <w:p>
      <w:pPr>
        <w:spacing w:after="0" w:line="106" w:lineRule="exact"/>
        <w:rPr>
          <w:sz w:val="20"/>
          <w:szCs w:val="20"/>
          <w:color w:val="auto"/>
        </w:rPr>
      </w:pPr>
    </w:p>
    <w:p>
      <w:pPr>
        <w:ind w:left="320" w:right="60" w:firstLine="425"/>
        <w:spacing w:after="0" w:line="248" w:lineRule="auto"/>
        <w:rPr>
          <w:sz w:val="20"/>
          <w:szCs w:val="20"/>
          <w:color w:val="auto"/>
        </w:rPr>
      </w:pPr>
      <w:r>
        <w:rPr>
          <w:rFonts w:ascii="Arial" w:cs="Arial" w:eastAsia="Arial" w:hAnsi="Arial"/>
          <w:sz w:val="17"/>
          <w:szCs w:val="17"/>
          <w:color w:val="auto"/>
        </w:rPr>
        <w:t>The Company is organized under the laws of Luxembourg and does not have any assets in the United States. It is anticipated that some or all of the directors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S-7</w:t>
      </w:r>
    </w:p>
    <w:p>
      <w:pPr>
        <w:sectPr>
          <w:pgSz w:w="11900" w:h="16838" w:orient="portrait"/>
          <w:cols w:equalWidth="0" w:num="1">
            <w:col w:w="10920"/>
          </w:cols>
          <w:pgMar w:left="320" w:top="44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USE OF PROCEEDS</w:t>
      </w:r>
    </w:p>
    <w:p>
      <w:pPr>
        <w:spacing w:after="0" w:line="210" w:lineRule="exact"/>
        <w:rPr>
          <w:sz w:val="20"/>
          <w:szCs w:val="20"/>
          <w:color w:val="auto"/>
        </w:rPr>
      </w:pPr>
    </w:p>
    <w:p>
      <w:pPr>
        <w:ind w:left="320" w:firstLine="425"/>
        <w:spacing w:after="0" w:line="260" w:lineRule="auto"/>
        <w:rPr>
          <w:sz w:val="20"/>
          <w:szCs w:val="20"/>
          <w:color w:val="auto"/>
        </w:rPr>
      </w:pPr>
      <w:r>
        <w:rPr>
          <w:rFonts w:ascii="Arial" w:cs="Arial" w:eastAsia="Arial" w:hAnsi="Arial"/>
          <w:sz w:val="17"/>
          <w:szCs w:val="17"/>
          <w:color w:val="auto"/>
        </w:rPr>
        <w:t>We estimate that the net proceeds (after deducting the underwriting discount and the estimated expenses of the offering payable by us) from the sale of the Notes will be approximately U.S.$488,410,000. We intend to use the net proceeds from the offering to repay existing indebtedness, as well as for general corporate purposes.</w:t>
      </w:r>
    </w:p>
    <w:p>
      <w:pPr>
        <w:spacing w:after="0" w:line="9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S-8</w:t>
      </w:r>
    </w:p>
    <w:p>
      <w:pPr>
        <w:sectPr>
          <w:pgSz w:w="11900" w:h="16838" w:orient="portrait"/>
          <w:cols w:equalWidth="0" w:num="1">
            <w:col w:w="10820"/>
          </w:cols>
          <w:pgMar w:left="320" w:top="445" w:right="7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DESCRIPTION OF THE NOTES</w:t>
      </w:r>
    </w:p>
    <w:p>
      <w:pPr>
        <w:spacing w:after="0" w:line="210" w:lineRule="exact"/>
        <w:rPr>
          <w:sz w:val="20"/>
          <w:szCs w:val="20"/>
          <w:color w:val="auto"/>
        </w:rPr>
      </w:pPr>
    </w:p>
    <w:p>
      <w:pPr>
        <w:ind w:left="320" w:right="80" w:firstLine="425"/>
        <w:spacing w:after="0" w:line="245" w:lineRule="auto"/>
        <w:rPr>
          <w:sz w:val="20"/>
          <w:szCs w:val="20"/>
          <w:color w:val="auto"/>
        </w:rPr>
      </w:pPr>
      <w:r>
        <w:rPr>
          <w:rFonts w:ascii="Arial" w:cs="Arial" w:eastAsia="Arial" w:hAnsi="Arial"/>
          <w:sz w:val="17"/>
          <w:szCs w:val="17"/>
          <w:color w:val="auto"/>
        </w:rPr>
        <w:t>Schlumberger Investment S.A. (the “Company”) is offering U.S.$500,000,000 principal amount of its 5.000% Senior Notes due 2034 (the “Notes”). The Notes are to be issued under an indenture, dated December 3, 2013, as supplemented by the second supplemental indenture, dated June 26, 2020, and a supplemental indenture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175" w:lineRule="exact"/>
        <w:rPr>
          <w:sz w:val="20"/>
          <w:szCs w:val="20"/>
          <w:color w:val="auto"/>
        </w:rPr>
      </w:pPr>
    </w:p>
    <w:p>
      <w:pPr>
        <w:ind w:left="320" w:firstLine="425"/>
        <w:spacing w:after="0" w:line="260" w:lineRule="auto"/>
        <w:rPr>
          <w:sz w:val="20"/>
          <w:szCs w:val="20"/>
          <w:color w:val="auto"/>
        </w:rPr>
      </w:pPr>
      <w:r>
        <w:rPr>
          <w:rFonts w:ascii="Arial" w:cs="Arial" w:eastAsia="Arial" w:hAnsi="Arial"/>
          <w:sz w:val="17"/>
          <w:szCs w:val="17"/>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w:t>
      </w:r>
    </w:p>
    <w:p>
      <w:pPr>
        <w:spacing w:after="0" w:line="159" w:lineRule="exact"/>
        <w:rPr>
          <w:sz w:val="20"/>
          <w:szCs w:val="20"/>
          <w:color w:val="auto"/>
        </w:rPr>
      </w:pPr>
    </w:p>
    <w:p>
      <w:pPr>
        <w:ind w:left="320" w:right="80" w:firstLine="425"/>
        <w:spacing w:after="0" w:line="260" w:lineRule="auto"/>
        <w:rPr>
          <w:sz w:val="20"/>
          <w:szCs w:val="20"/>
          <w:color w:val="auto"/>
        </w:rPr>
      </w:pPr>
      <w:r>
        <w:rPr>
          <w:rFonts w:ascii="Arial" w:cs="Arial" w:eastAsia="Arial" w:hAnsi="Arial"/>
          <w:sz w:val="17"/>
          <w:szCs w:val="17"/>
          <w:color w:val="auto"/>
        </w:rPr>
        <w:t>As used in this “Description of the Notes,” the terms “we,” “us” and “our” and similar expressions refer to the Company; and the term “Guarantor” refers to our parent company, the Guarantor, and not to any of its subsidiaries, in each case unless otherwise stated or the context otherwise requires.</w:t>
      </w:r>
    </w:p>
    <w:p>
      <w:pPr>
        <w:spacing w:after="0" w:line="159" w:lineRule="exact"/>
        <w:rPr>
          <w:sz w:val="20"/>
          <w:szCs w:val="20"/>
          <w:color w:val="auto"/>
        </w:rPr>
      </w:pPr>
    </w:p>
    <w:p>
      <w:pPr>
        <w:jc w:val="both"/>
        <w:ind w:left="320" w:right="20" w:firstLine="425"/>
        <w:spacing w:after="0" w:line="260" w:lineRule="auto"/>
        <w:rPr>
          <w:sz w:val="20"/>
          <w:szCs w:val="20"/>
          <w:color w:val="auto"/>
        </w:rPr>
      </w:pPr>
      <w:r>
        <w:rPr>
          <w:rFonts w:ascii="Arial" w:cs="Arial" w:eastAsia="Arial" w:hAnsi="Arial"/>
          <w:sz w:val="17"/>
          <w:szCs w:val="17"/>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59" w:lineRule="exact"/>
        <w:rPr>
          <w:sz w:val="20"/>
          <w:szCs w:val="20"/>
          <w:color w:val="auto"/>
        </w:rPr>
      </w:pPr>
    </w:p>
    <w:p>
      <w:pPr>
        <w:ind w:left="320" w:right="200" w:firstLine="425"/>
        <w:spacing w:after="0" w:line="281" w:lineRule="auto"/>
        <w:rPr>
          <w:sz w:val="20"/>
          <w:szCs w:val="20"/>
          <w:color w:val="auto"/>
        </w:rPr>
      </w:pPr>
      <w:r>
        <w:rPr>
          <w:rFonts w:ascii="Arial" w:cs="Arial" w:eastAsia="Arial" w:hAnsi="Arial"/>
          <w:sz w:val="17"/>
          <w:szCs w:val="17"/>
          <w:color w:val="auto"/>
        </w:rPr>
        <w:t>The registered holder of a Note will be treated as the owner of it for all purposes. Only registered holders will have rights under the Indenture.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General Terms of the Notes</w:t>
      </w:r>
    </w:p>
    <w:p>
      <w:pPr>
        <w:spacing w:after="0" w:line="106" w:lineRule="exact"/>
        <w:rPr>
          <w:sz w:val="20"/>
          <w:szCs w:val="20"/>
          <w:color w:val="auto"/>
        </w:rPr>
      </w:pPr>
    </w:p>
    <w:p>
      <w:pPr>
        <w:ind w:left="320" w:firstLine="425"/>
        <w:spacing w:after="0" w:line="246" w:lineRule="auto"/>
        <w:rPr>
          <w:sz w:val="20"/>
          <w:szCs w:val="20"/>
          <w:color w:val="auto"/>
        </w:rPr>
      </w:pPr>
      <w:r>
        <w:rPr>
          <w:rFonts w:ascii="Arial" w:cs="Arial" w:eastAsia="Arial" w:hAnsi="Arial"/>
          <w:sz w:val="17"/>
          <w:szCs w:val="17"/>
          <w:color w:val="auto"/>
        </w:rPr>
        <w:t>The Notes are initially issuable in an aggregate principal amount of U.S.$500,000,000 and will mature on June 1, 2034. Interest on the Notes will be 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maturity date.</w:t>
      </w:r>
    </w:p>
    <w:p>
      <w:pPr>
        <w:spacing w:after="0" w:line="173" w:lineRule="exact"/>
        <w:rPr>
          <w:sz w:val="20"/>
          <w:szCs w:val="20"/>
          <w:color w:val="auto"/>
        </w:rPr>
      </w:pPr>
    </w:p>
    <w:p>
      <w:pPr>
        <w:ind w:left="320" w:right="60" w:firstLine="425"/>
        <w:spacing w:after="0" w:line="253" w:lineRule="auto"/>
        <w:rPr>
          <w:sz w:val="20"/>
          <w:szCs w:val="20"/>
          <w:color w:val="auto"/>
        </w:rPr>
      </w:pPr>
      <w:r>
        <w:rPr>
          <w:rFonts w:ascii="Arial" w:cs="Arial" w:eastAsia="Arial" w:hAnsi="Arial"/>
          <w:sz w:val="17"/>
          <w:szCs w:val="17"/>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66" w:lineRule="exact"/>
        <w:rPr>
          <w:sz w:val="20"/>
          <w:szCs w:val="20"/>
          <w:color w:val="auto"/>
        </w:rPr>
      </w:pPr>
    </w:p>
    <w:p>
      <w:pPr>
        <w:ind w:left="320" w:right="200" w:firstLine="425"/>
        <w:spacing w:after="0" w:line="281" w:lineRule="auto"/>
        <w:rPr>
          <w:sz w:val="20"/>
          <w:szCs w:val="20"/>
          <w:color w:val="auto"/>
        </w:rPr>
      </w:pPr>
      <w:r>
        <w:rPr>
          <w:rFonts w:ascii="Arial" w:cs="Arial" w:eastAsia="Arial" w:hAnsi="Arial"/>
          <w:sz w:val="17"/>
          <w:szCs w:val="17"/>
          <w:color w:val="auto"/>
        </w:rPr>
        <w:t>The Notes will be issued only in registered form without interest coupons, in minimum denominations of U.S.$2,000 and in integral multiples of U.S.$1,000 in excess thereof.</w:t>
      </w:r>
    </w:p>
    <w:p>
      <w:pPr>
        <w:spacing w:after="0" w:line="141" w:lineRule="exact"/>
        <w:rPr>
          <w:sz w:val="20"/>
          <w:szCs w:val="20"/>
          <w:color w:val="auto"/>
        </w:rPr>
      </w:pPr>
    </w:p>
    <w:p>
      <w:pPr>
        <w:ind w:left="320" w:right="260" w:firstLine="425"/>
        <w:spacing w:after="0" w:line="281" w:lineRule="auto"/>
        <w:rPr>
          <w:sz w:val="20"/>
          <w:szCs w:val="20"/>
          <w:color w:val="auto"/>
        </w:rPr>
      </w:pPr>
      <w:r>
        <w:rPr>
          <w:rFonts w:ascii="Arial" w:cs="Arial" w:eastAsia="Arial" w:hAnsi="Arial"/>
          <w:sz w:val="17"/>
          <w:szCs w:val="17"/>
          <w:color w:val="auto"/>
        </w:rPr>
        <w:t>The Notes will bear interest at 5.000% per annum. Interest on the Notes will accrue from May 29, 2024 and will be payable by the Company on June 1 and December 1 of each year, beginning on</w:t>
      </w:r>
    </w:p>
    <w:p>
      <w:pPr>
        <w:spacing w:after="0" w:line="7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S-9</w:t>
      </w:r>
    </w:p>
    <w:p>
      <w:pPr>
        <w:sectPr>
          <w:pgSz w:w="11900" w:h="16838" w:orient="portrait"/>
          <w:cols w:equalWidth="0" w:num="1">
            <w:col w:w="10920"/>
          </w:cols>
          <w:pgMar w:left="320" w:top="44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80"/>
        <w:spacing w:after="0" w:line="281" w:lineRule="auto"/>
        <w:rPr>
          <w:sz w:val="20"/>
          <w:szCs w:val="20"/>
          <w:color w:val="auto"/>
        </w:rPr>
      </w:pPr>
      <w:r>
        <w:rPr>
          <w:rFonts w:ascii="Arial" w:cs="Arial" w:eastAsia="Arial" w:hAnsi="Arial"/>
          <w:sz w:val="17"/>
          <w:szCs w:val="17"/>
          <w:color w:val="auto"/>
        </w:rPr>
        <w:t>December 1, 2024 to the person in whose name such Note is registered, subject to certain exceptions as provided in the Indenture, at the close of business on the May 15 and November 15 immediately preceding such interest payment date (whether or not a business day).</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Notes are not subject to any mandatory redemption or any sinking fund provision.</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Guarantee</w:t>
      </w:r>
    </w:p>
    <w:p>
      <w:pPr>
        <w:spacing w:after="0" w:line="106" w:lineRule="exact"/>
        <w:rPr>
          <w:sz w:val="20"/>
          <w:szCs w:val="20"/>
          <w:color w:val="auto"/>
        </w:rPr>
      </w:pPr>
    </w:p>
    <w:p>
      <w:pPr>
        <w:ind w:left="320" w:right="180" w:firstLine="425"/>
        <w:spacing w:after="0" w:line="253" w:lineRule="auto"/>
        <w:rPr>
          <w:sz w:val="20"/>
          <w:szCs w:val="20"/>
          <w:color w:val="auto"/>
        </w:rPr>
      </w:pPr>
      <w:r>
        <w:rPr>
          <w:rFonts w:ascii="Arial" w:cs="Arial" w:eastAsia="Arial" w:hAnsi="Arial"/>
          <w:sz w:val="17"/>
          <w:szCs w:val="17"/>
          <w:color w:val="auto"/>
        </w:rPr>
        <w:t>The Guarantor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Guarantor will:</w:t>
      </w:r>
    </w:p>
    <w:p>
      <w:pPr>
        <w:spacing w:after="0" w:line="117" w:lineRule="exact"/>
        <w:rPr>
          <w:sz w:val="20"/>
          <w:szCs w:val="20"/>
          <w:color w:val="auto"/>
        </w:rPr>
      </w:pPr>
    </w:p>
    <w:p>
      <w:pPr>
        <w:jc w:val="both"/>
        <w:ind w:left="1240" w:right="460" w:hanging="409"/>
        <w:spacing w:after="0" w:line="260"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68" w:lineRule="exact"/>
        <w:rPr>
          <w:rFonts w:ascii="Arial" w:cs="Arial" w:eastAsia="Arial" w:hAnsi="Arial"/>
          <w:sz w:val="17"/>
          <w:szCs w:val="17"/>
          <w:color w:val="auto"/>
        </w:rPr>
      </w:pPr>
    </w:p>
    <w:p>
      <w:pPr>
        <w:ind w:left="1240" w:right="180" w:hanging="409"/>
        <w:spacing w:after="0" w:line="281"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waive its right to require the Trustee or the holders of any of the Notes to pursue or exhaust their legal or equitable remedies against the Company before exercising their rights under the Guarantee.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Ranking of the Notes and Guarantee</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Notes will be:</w:t>
      </w:r>
    </w:p>
    <w:p>
      <w:pPr>
        <w:spacing w:after="0" w:line="117" w:lineRule="exact"/>
        <w:rPr>
          <w:sz w:val="20"/>
          <w:szCs w:val="20"/>
          <w:color w:val="auto"/>
        </w:rPr>
      </w:pPr>
    </w:p>
    <w:p>
      <w:pPr>
        <w:ind w:left="1240" w:right="80" w:hanging="409"/>
        <w:spacing w:after="0" w:line="28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senior unsecured obligations of the Company and will rank equally and ratably with all of the Company’s other unsecured and unsubordinated indebtedness; and</w:t>
      </w:r>
    </w:p>
    <w:p>
      <w:pPr>
        <w:spacing w:after="0" w:line="50" w:lineRule="exact"/>
        <w:rPr>
          <w:rFonts w:ascii="Arial" w:cs="Arial" w:eastAsia="Arial" w:hAnsi="Arial"/>
          <w:sz w:val="17"/>
          <w:szCs w:val="17"/>
          <w:color w:val="auto"/>
        </w:rPr>
      </w:pPr>
    </w:p>
    <w:p>
      <w:pPr>
        <w:ind w:left="1240" w:right="640" w:hanging="409"/>
        <w:spacing w:after="0" w:line="28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guaranteed on a senior unsecured basis by the Guarantor, which Guarantee will rank equally and ratably with all other unsecured and unsubordinated indebtedness of the Guarantor.</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Additional Amounts</w:t>
      </w:r>
    </w:p>
    <w:p>
      <w:pPr>
        <w:spacing w:after="0" w:line="106" w:lineRule="exact"/>
        <w:rPr>
          <w:sz w:val="20"/>
          <w:szCs w:val="20"/>
          <w:color w:val="auto"/>
        </w:rPr>
      </w:pPr>
    </w:p>
    <w:p>
      <w:pPr>
        <w:ind w:left="320" w:firstLine="425"/>
        <w:spacing w:after="0" w:line="243" w:lineRule="auto"/>
        <w:rPr>
          <w:sz w:val="20"/>
          <w:szCs w:val="20"/>
          <w:color w:val="auto"/>
        </w:rPr>
      </w:pPr>
      <w:r>
        <w:rPr>
          <w:rFonts w:ascii="Arial" w:cs="Arial" w:eastAsia="Arial" w:hAnsi="Arial"/>
          <w:sz w:val="17"/>
          <w:szCs w:val="17"/>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or (2) any jurisdiction from or through which payment is made or deemed made by or on behalf of the Company, or the Guarantor (including the jurisdiction of any Paying Agent for the Notes) or any political subdivision thereof or therein (each of clauses (1) and (2), a “Relevant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S-10</w:t>
      </w:r>
    </w:p>
    <w:p>
      <w:pPr>
        <w:sectPr>
          <w:pgSz w:w="11900" w:h="16838" w:orient="portrait"/>
          <w:cols w:equalWidth="0" w:num="1">
            <w:col w:w="10940"/>
          </w:cols>
          <w:pgMar w:left="320" w:top="44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200"/>
        <w:spacing w:after="0" w:line="281" w:lineRule="auto"/>
        <w:rPr>
          <w:sz w:val="20"/>
          <w:szCs w:val="20"/>
          <w:color w:val="auto"/>
        </w:rPr>
      </w:pPr>
      <w:r>
        <w:rPr>
          <w:rFonts w:ascii="Arial" w:cs="Arial" w:eastAsia="Arial" w:hAnsi="Arial"/>
          <w:sz w:val="17"/>
          <w:szCs w:val="17"/>
          <w:color w:val="auto"/>
        </w:rPr>
        <w:t>have been received in respect of such payments in the absence of such withholding or deduction; provided, however, that no Additional Amounts will be payable with respect to:</w:t>
      </w:r>
    </w:p>
    <w:p>
      <w:pPr>
        <w:spacing w:after="0" w:line="50" w:lineRule="exact"/>
        <w:rPr>
          <w:sz w:val="20"/>
          <w:szCs w:val="20"/>
          <w:color w:val="auto"/>
        </w:rPr>
      </w:pPr>
    </w:p>
    <w:p>
      <w:pPr>
        <w:ind w:left="1240" w:right="180" w:hanging="513"/>
        <w:spacing w:after="0" w:line="248"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Taxes, to the extent such Taxes would not have been imposed but for the existence of any actual or deemed present or former connection between the holder or the beneficial owner of such Notes or Guarantee,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77" w:lineRule="exact"/>
        <w:rPr>
          <w:rFonts w:ascii="Arial" w:cs="Arial" w:eastAsia="Arial" w:hAnsi="Arial"/>
          <w:sz w:val="17"/>
          <w:szCs w:val="17"/>
          <w:color w:val="auto"/>
        </w:rPr>
      </w:pPr>
    </w:p>
    <w:p>
      <w:pPr>
        <w:ind w:left="1240" w:right="40" w:hanging="513"/>
        <w:spacing w:after="0" w:line="253"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4" w:lineRule="exact"/>
        <w:rPr>
          <w:rFonts w:ascii="Arial" w:cs="Arial" w:eastAsia="Arial" w:hAnsi="Arial"/>
          <w:sz w:val="17"/>
          <w:szCs w:val="17"/>
          <w:color w:val="auto"/>
        </w:rPr>
      </w:pPr>
    </w:p>
    <w:p>
      <w:pPr>
        <w:ind w:left="1240" w:hanging="513"/>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estate, inheritance, gift, sales, transfer, personal property or similar Taxes;</w:t>
      </w:r>
    </w:p>
    <w:p>
      <w:pPr>
        <w:spacing w:after="0" w:line="117" w:lineRule="exact"/>
        <w:rPr>
          <w:rFonts w:ascii="Arial" w:cs="Arial" w:eastAsia="Arial" w:hAnsi="Arial"/>
          <w:sz w:val="17"/>
          <w:szCs w:val="17"/>
          <w:color w:val="auto"/>
        </w:rPr>
      </w:pPr>
    </w:p>
    <w:p>
      <w:pPr>
        <w:ind w:left="1240" w:right="300" w:hanging="513"/>
        <w:spacing w:after="0" w:line="253"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74" w:lineRule="exact"/>
        <w:rPr>
          <w:rFonts w:ascii="Arial" w:cs="Arial" w:eastAsia="Arial" w:hAnsi="Arial"/>
          <w:sz w:val="17"/>
          <w:szCs w:val="17"/>
          <w:color w:val="auto"/>
        </w:rPr>
      </w:pPr>
    </w:p>
    <w:p>
      <w:pPr>
        <w:ind w:left="1240" w:right="180" w:hanging="513"/>
        <w:spacing w:after="0" w:line="28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Taxes withheld, deducted or imposed pursuant to the Luxembourg law of 23 December 2005, as amended from time to time;</w:t>
      </w:r>
    </w:p>
    <w:p>
      <w:pPr>
        <w:spacing w:after="0" w:line="50" w:lineRule="exact"/>
        <w:rPr>
          <w:rFonts w:ascii="Arial" w:cs="Arial" w:eastAsia="Arial" w:hAnsi="Arial"/>
          <w:sz w:val="17"/>
          <w:szCs w:val="17"/>
          <w:color w:val="auto"/>
        </w:rPr>
      </w:pPr>
    </w:p>
    <w:p>
      <w:pPr>
        <w:ind w:left="1240" w:right="460" w:hanging="513"/>
        <w:spacing w:after="0" w:line="28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50" w:lineRule="exact"/>
        <w:rPr>
          <w:rFonts w:ascii="Arial" w:cs="Arial" w:eastAsia="Arial" w:hAnsi="Arial"/>
          <w:sz w:val="17"/>
          <w:szCs w:val="17"/>
          <w:color w:val="auto"/>
        </w:rPr>
      </w:pPr>
    </w:p>
    <w:p>
      <w:pPr>
        <w:ind w:left="1240" w:right="660" w:hanging="513"/>
        <w:spacing w:after="0" w:line="28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Taxes payable other than by deduction or withholding from payments under, or with respect to, such Notes or the Guarantee;</w:t>
      </w:r>
    </w:p>
    <w:p>
      <w:pPr>
        <w:spacing w:after="0" w:line="50" w:lineRule="exact"/>
        <w:rPr>
          <w:rFonts w:ascii="Arial" w:cs="Arial" w:eastAsia="Arial" w:hAnsi="Arial"/>
          <w:sz w:val="17"/>
          <w:szCs w:val="17"/>
          <w:color w:val="auto"/>
        </w:rPr>
      </w:pPr>
    </w:p>
    <w:p>
      <w:pPr>
        <w:ind w:left="1240" w:hanging="513"/>
        <w:spacing w:after="0" w:line="24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w:t>
      </w:r>
    </w:p>
    <w:p>
      <w:pPr>
        <w:spacing w:after="0" w:line="82" w:lineRule="exact"/>
        <w:rPr>
          <w:rFonts w:ascii="Arial" w:cs="Arial" w:eastAsia="Arial" w:hAnsi="Arial"/>
          <w:sz w:val="17"/>
          <w:szCs w:val="17"/>
          <w:color w:val="auto"/>
        </w:rPr>
      </w:pPr>
    </w:p>
    <w:p>
      <w:pPr>
        <w:ind w:left="1240" w:right="300" w:hanging="513"/>
        <w:spacing w:after="0" w:line="250"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Taxes imposed, deducted or withheld pursuant to section 1471(b) of the U.S. Internal Revenue Code of 1986, as amended (the “Code”), or otherwise imposed pursuant to sections 1471 through 1474 of the Code, in each case, as of the date of the original issuance of the Notes (the “Issue Date”) (and any amended or successor version that is substantively comparable), any current or future regulations or agreements thereunder, official interpretations thereof or any law implementing an intergovernmental agreement relating thereto; or</w:t>
      </w:r>
    </w:p>
    <w:p>
      <w:pPr>
        <w:spacing w:after="0" w:line="75" w:lineRule="exact"/>
        <w:rPr>
          <w:rFonts w:ascii="Arial" w:cs="Arial" w:eastAsia="Arial" w:hAnsi="Arial"/>
          <w:sz w:val="17"/>
          <w:szCs w:val="17"/>
          <w:color w:val="auto"/>
        </w:rPr>
      </w:pPr>
    </w:p>
    <w:p>
      <w:pPr>
        <w:ind w:left="1240" w:hanging="513"/>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combination of items (1) through (9) above.</w:t>
      </w:r>
    </w:p>
    <w:p>
      <w:pPr>
        <w:spacing w:after="0" w:line="208" w:lineRule="exact"/>
        <w:rPr>
          <w:sz w:val="20"/>
          <w:szCs w:val="20"/>
          <w:color w:val="auto"/>
        </w:rPr>
      </w:pPr>
    </w:p>
    <w:p>
      <w:pPr>
        <w:ind w:left="320" w:right="160" w:firstLine="425"/>
        <w:spacing w:after="0" w:line="281" w:lineRule="auto"/>
        <w:rPr>
          <w:sz w:val="20"/>
          <w:szCs w:val="20"/>
          <w:color w:val="auto"/>
        </w:rPr>
      </w:pPr>
      <w:r>
        <w:rPr>
          <w:rFonts w:ascii="Arial" w:cs="Arial" w:eastAsia="Arial" w:hAnsi="Arial"/>
          <w:sz w:val="17"/>
          <w:szCs w:val="17"/>
          <w:color w:val="auto"/>
        </w:rPr>
        <w:t>In addition to the foregoing, the Company and the Guarantor, as the case may be, will also pay and indemnify the beneficial owner for any present or future stamp, issue, registration, court or</w:t>
      </w:r>
    </w:p>
    <w:p>
      <w:pPr>
        <w:spacing w:after="0" w:line="7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S-11</w:t>
      </w:r>
    </w:p>
    <w:p>
      <w:pPr>
        <w:sectPr>
          <w:pgSz w:w="11900" w:h="16838" w:orient="portrait"/>
          <w:cols w:equalWidth="0" w:num="1">
            <w:col w:w="10880"/>
          </w:cols>
          <w:pgMar w:left="320" w:top="445"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20"/>
        <w:spacing w:after="0" w:line="250" w:lineRule="auto"/>
        <w:rPr>
          <w:sz w:val="20"/>
          <w:szCs w:val="20"/>
          <w:color w:val="auto"/>
        </w:rPr>
      </w:pPr>
      <w:r>
        <w:rPr>
          <w:rFonts w:ascii="Arial" w:cs="Arial" w:eastAsia="Arial" w:hAnsi="Arial"/>
          <w:sz w:val="17"/>
          <w:szCs w:val="17"/>
          <w:color w:val="auto"/>
        </w:rPr>
        <w:t>documentary Taxes, or any other excise or property Taxes, charges or similar levies (including penalties, interest and any other reasonable expenses related thereto) which are levied by a Relevant Tax Jurisdiction on the execution, delivery, issuance, or registration of its Notes, or the Indenture, Guarantee or any other document or instrument referred to therein, except in the case of Luxembourg, any registration duties (droits d’enregistrement) that would become payable upon a voluntary registration made by any party in Luxembourg of the Notes, the Indenture, Guarantee or any other document or instrument referred to therein.</w:t>
      </w:r>
    </w:p>
    <w:p>
      <w:pPr>
        <w:spacing w:after="0" w:line="167" w:lineRule="exact"/>
        <w:rPr>
          <w:sz w:val="20"/>
          <w:szCs w:val="20"/>
          <w:color w:val="auto"/>
        </w:rPr>
      </w:pPr>
    </w:p>
    <w:p>
      <w:pPr>
        <w:ind w:left="320" w:right="20" w:firstLine="425"/>
        <w:spacing w:after="0" w:line="245" w:lineRule="auto"/>
        <w:rPr>
          <w:sz w:val="20"/>
          <w:szCs w:val="20"/>
          <w:color w:val="auto"/>
        </w:rPr>
      </w:pPr>
      <w:r>
        <w:rPr>
          <w:rFonts w:ascii="Arial" w:cs="Arial" w:eastAsia="Arial" w:hAnsi="Arial"/>
          <w:sz w:val="17"/>
          <w:szCs w:val="17"/>
          <w:color w:val="auto"/>
        </w:rPr>
        <w:t>If the Company or the Guarantor, as the case may be, becomes aware that it will be obligated to pay Additional Amounts with respect to any payment under or with respect to its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75"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color w:val="auto"/>
        </w:rPr>
        <w:t>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w:t>
      </w:r>
    </w:p>
    <w:p>
      <w:pPr>
        <w:spacing w:after="0" w:line="374" w:lineRule="exact"/>
        <w:rPr>
          <w:sz w:val="20"/>
          <w:szCs w:val="20"/>
          <w:color w:val="auto"/>
        </w:rPr>
      </w:pPr>
    </w:p>
    <w:p>
      <w:pPr>
        <w:ind w:left="320" w:right="140" w:firstLine="425"/>
        <w:spacing w:after="0" w:line="253" w:lineRule="auto"/>
        <w:rPr>
          <w:sz w:val="20"/>
          <w:szCs w:val="20"/>
          <w:color w:val="auto"/>
        </w:rPr>
      </w:pPr>
      <w:r>
        <w:rPr>
          <w:rFonts w:ascii="Arial" w:cs="Arial" w:eastAsia="Arial" w:hAnsi="Arial"/>
          <w:sz w:val="17"/>
          <w:szCs w:val="17"/>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will be deemed to include mention of the payment of Additional Amounts to the extent that, in such context, Additional Amounts are, were or would be payable in respect thereof.</w:t>
      </w:r>
    </w:p>
    <w:p>
      <w:pPr>
        <w:spacing w:after="0" w:line="166" w:lineRule="exact"/>
        <w:rPr>
          <w:sz w:val="20"/>
          <w:szCs w:val="20"/>
          <w:color w:val="auto"/>
        </w:rPr>
      </w:pPr>
    </w:p>
    <w:p>
      <w:pPr>
        <w:ind w:left="320" w:right="40" w:firstLine="425"/>
        <w:spacing w:after="0" w:line="253" w:lineRule="auto"/>
        <w:rPr>
          <w:sz w:val="20"/>
          <w:szCs w:val="20"/>
          <w:color w:val="auto"/>
        </w:rPr>
      </w:pPr>
      <w:r>
        <w:rPr>
          <w:rFonts w:ascii="Arial" w:cs="Arial" w:eastAsia="Arial" w:hAnsi="Arial"/>
          <w:sz w:val="17"/>
          <w:szCs w:val="17"/>
          <w:color w:val="auto"/>
        </w:rPr>
        <w:t xml:space="preserve">The above obligations will survive any termination, defeasance or discharge of the Indenture, any transfer by a holder or beneficial owner of its Notes, and will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66" w:lineRule="exact"/>
        <w:rPr>
          <w:sz w:val="20"/>
          <w:szCs w:val="20"/>
          <w:color w:val="auto"/>
        </w:rPr>
      </w:pPr>
    </w:p>
    <w:p>
      <w:pPr>
        <w:jc w:val="both"/>
        <w:ind w:left="320" w:right="560" w:firstLine="425"/>
        <w:spacing w:after="0" w:line="260" w:lineRule="auto"/>
        <w:rPr>
          <w:sz w:val="20"/>
          <w:szCs w:val="20"/>
          <w:color w:val="auto"/>
        </w:rPr>
      </w:pPr>
      <w:r>
        <w:rPr>
          <w:rFonts w:ascii="Arial" w:cs="Arial" w:eastAsia="Arial" w:hAnsi="Arial"/>
          <w:sz w:val="17"/>
          <w:szCs w:val="17"/>
          <w:color w:val="auto"/>
        </w:rPr>
        <w:t>Notwithstanding any provision herein or in the Indenture, the Notes or the Guarantee to the contrary, none of the Trustee, the Registrar, any transfer agent or any Paying Agent will be required to determine the identity of a beneficial owner or be liable for any determination thereof by the Company or the Guarantor.</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S-12</w:t>
      </w:r>
    </w:p>
    <w:p>
      <w:pPr>
        <w:sectPr>
          <w:pgSz w:w="11900" w:h="16838" w:orient="portrait"/>
          <w:cols w:equalWidth="0" w:num="1">
            <w:col w:w="10900"/>
          </w:cols>
          <w:pgMar w:left="320" w:top="445"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Optional Redemption</w:t>
      </w:r>
    </w:p>
    <w:p>
      <w:pPr>
        <w:spacing w:after="0" w:line="106" w:lineRule="exact"/>
        <w:rPr>
          <w:sz w:val="20"/>
          <w:szCs w:val="20"/>
          <w:color w:val="auto"/>
        </w:rPr>
      </w:pPr>
    </w:p>
    <w:p>
      <w:pPr>
        <w:ind w:left="320" w:firstLine="425"/>
        <w:spacing w:after="0" w:line="281" w:lineRule="auto"/>
        <w:rPr>
          <w:sz w:val="20"/>
          <w:szCs w:val="20"/>
          <w:color w:val="auto"/>
        </w:rPr>
      </w:pPr>
      <w:r>
        <w:rPr>
          <w:rFonts w:ascii="Arial" w:cs="Arial" w:eastAsia="Arial" w:hAnsi="Arial"/>
          <w:sz w:val="17"/>
          <w:szCs w:val="17"/>
          <w:color w:val="auto"/>
        </w:rPr>
        <w:t>At any time prior to the Par Call Date, we may, at our option, redeem the Notes, in whole or in part, at any time and from time to time, at a redemption price (expressed as a percentage of principal amount and rounded to three decimal places) equal to the greater of:</w:t>
      </w:r>
    </w:p>
    <w:p>
      <w:pPr>
        <w:spacing w:after="0" w:line="50" w:lineRule="exact"/>
        <w:rPr>
          <w:sz w:val="20"/>
          <w:szCs w:val="20"/>
          <w:color w:val="auto"/>
        </w:rPr>
      </w:pPr>
    </w:p>
    <w:p>
      <w:pPr>
        <w:ind w:left="1240" w:right="360" w:hanging="513"/>
        <w:spacing w:after="0" w:line="253"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and</w:t>
      </w:r>
    </w:p>
    <w:p>
      <w:pPr>
        <w:spacing w:after="0" w:line="74" w:lineRule="exact"/>
        <w:rPr>
          <w:rFonts w:ascii="Arial" w:cs="Arial" w:eastAsia="Arial" w:hAnsi="Arial"/>
          <w:sz w:val="17"/>
          <w:szCs w:val="17"/>
          <w:color w:val="auto"/>
        </w:rPr>
      </w:pPr>
    </w:p>
    <w:p>
      <w:pPr>
        <w:ind w:left="1240" w:hanging="513"/>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100% of the principal amount of the Notes to be redeemed,</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plus, in either case, accrued and unpaid interest thereon, if any, to, but not including, the redemption date.</w:t>
      </w:r>
    </w:p>
    <w:p>
      <w:pPr>
        <w:spacing w:after="0" w:line="208" w:lineRule="exact"/>
        <w:rPr>
          <w:sz w:val="20"/>
          <w:szCs w:val="20"/>
          <w:color w:val="auto"/>
        </w:rPr>
      </w:pPr>
    </w:p>
    <w:p>
      <w:pPr>
        <w:jc w:val="both"/>
        <w:ind w:left="320" w:right="100" w:firstLine="425"/>
        <w:spacing w:after="0" w:line="260" w:lineRule="auto"/>
        <w:rPr>
          <w:sz w:val="20"/>
          <w:szCs w:val="20"/>
          <w:color w:val="auto"/>
        </w:rPr>
      </w:pPr>
      <w:r>
        <w:rPr>
          <w:rFonts w:ascii="Arial" w:cs="Arial" w:eastAsia="Arial" w:hAnsi="Arial"/>
          <w:sz w:val="17"/>
          <w:szCs w:val="17"/>
          <w:color w:val="auto"/>
        </w:rPr>
        <w:t>At any time on or after the Par Call Date, we may, at our option, redeem the Notes, in whole or in part, at any time and from time to time, at a redemption price equal to 100% of the principal amount of the Notes to be redeemed plus accrued and unpaid interest thereon, if any, to, but not including, the redemption date.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“Par Call Date” means March 1, 2034.</w:t>
      </w:r>
    </w:p>
    <w:p>
      <w:pPr>
        <w:spacing w:after="0" w:line="208" w:lineRule="exact"/>
        <w:rPr>
          <w:sz w:val="20"/>
          <w:szCs w:val="20"/>
          <w:color w:val="auto"/>
        </w:rPr>
      </w:pPr>
    </w:p>
    <w:p>
      <w:pPr>
        <w:jc w:val="both"/>
        <w:ind w:left="320" w:right="80" w:firstLine="425"/>
        <w:spacing w:after="0" w:line="281" w:lineRule="auto"/>
        <w:rPr>
          <w:sz w:val="20"/>
          <w:szCs w:val="20"/>
          <w:color w:val="auto"/>
        </w:rPr>
      </w:pPr>
      <w:r>
        <w:rPr>
          <w:rFonts w:ascii="Arial" w:cs="Arial" w:eastAsia="Arial" w:hAnsi="Arial"/>
          <w:sz w:val="17"/>
          <w:szCs w:val="17"/>
          <w:color w:val="auto"/>
        </w:rPr>
        <w:t>“Treasury Rate” means, with respect to any redemption date, the yield determined by the Company in accordance with the following two paragraphs.</w:t>
      </w:r>
    </w:p>
    <w:p>
      <w:pPr>
        <w:spacing w:after="0" w:line="141" w:lineRule="exact"/>
        <w:rPr>
          <w:sz w:val="20"/>
          <w:szCs w:val="20"/>
          <w:color w:val="auto"/>
        </w:rPr>
      </w:pPr>
    </w:p>
    <w:p>
      <w:pPr>
        <w:ind w:left="320" w:right="100" w:firstLine="425"/>
        <w:spacing w:after="0" w:line="243" w:lineRule="auto"/>
        <w:rPr>
          <w:sz w:val="20"/>
          <w:szCs w:val="20"/>
          <w:color w:val="auto"/>
        </w:rPr>
      </w:pPr>
      <w:r>
        <w:rPr>
          <w:rFonts w:ascii="Arial" w:cs="Arial" w:eastAsia="Arial" w:hAnsi="Arial"/>
          <w:sz w:val="17"/>
          <w:szCs w:val="17"/>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will select, as applicable:</w:t>
      </w:r>
    </w:p>
    <w:p>
      <w:pPr>
        <w:spacing w:after="0" w:line="1" w:lineRule="exact"/>
        <w:rPr>
          <w:sz w:val="20"/>
          <w:szCs w:val="20"/>
          <w:color w:val="auto"/>
        </w:rPr>
      </w:pPr>
    </w:p>
    <w:p>
      <w:pPr>
        <w:ind w:left="320" w:right="140" w:hanging="10"/>
        <w:spacing w:after="0" w:line="242"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177"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S-13</w:t>
      </w:r>
    </w:p>
    <w:p>
      <w:pPr>
        <w:sectPr>
          <w:pgSz w:w="11900" w:h="16838" w:orient="portrait"/>
          <w:cols w:equalWidth="0" w:num="1">
            <w:col w:w="10920"/>
          </w:cols>
          <w:pgMar w:left="320" w:top="44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60"/>
        <w:spacing w:after="0" w:line="245" w:lineRule="auto"/>
        <w:rPr>
          <w:sz w:val="20"/>
          <w:szCs w:val="20"/>
          <w:color w:val="auto"/>
        </w:rPr>
      </w:pPr>
      <w:r>
        <w:rPr>
          <w:rFonts w:ascii="Arial" w:cs="Arial" w:eastAsia="Arial" w:hAnsi="Arial"/>
          <w:sz w:val="17"/>
          <w:szCs w:val="17"/>
          <w:color w:val="auto"/>
        </w:rPr>
        <w:t>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w:t>
      </w:r>
    </w:p>
    <w:p>
      <w:pPr>
        <w:spacing w:after="0" w:line="171" w:lineRule="exact"/>
        <w:rPr>
          <w:sz w:val="20"/>
          <w:szCs w:val="20"/>
          <w:color w:val="auto"/>
        </w:rPr>
      </w:pPr>
    </w:p>
    <w:p>
      <w:pPr>
        <w:ind w:left="320" w:right="60" w:firstLine="425"/>
        <w:spacing w:after="0" w:line="260" w:lineRule="auto"/>
        <w:rPr>
          <w:sz w:val="20"/>
          <w:szCs w:val="20"/>
          <w:color w:val="auto"/>
        </w:rPr>
      </w:pPr>
      <w:r>
        <w:rPr>
          <w:rFonts w:ascii="Arial" w:cs="Arial" w:eastAsia="Arial" w:hAnsi="Arial"/>
          <w:sz w:val="17"/>
          <w:szCs w:val="17"/>
          <w:color w:val="auto"/>
        </w:rPr>
        <w:t>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Redemption Upon Changes in Tax Law</w:t>
      </w:r>
    </w:p>
    <w:p>
      <w:pPr>
        <w:spacing w:after="0" w:line="106" w:lineRule="exact"/>
        <w:rPr>
          <w:sz w:val="20"/>
          <w:szCs w:val="20"/>
          <w:color w:val="auto"/>
        </w:rPr>
      </w:pPr>
    </w:p>
    <w:p>
      <w:pPr>
        <w:ind w:left="320" w:firstLine="425"/>
        <w:spacing w:after="0" w:line="244" w:lineRule="auto"/>
        <w:rPr>
          <w:sz w:val="20"/>
          <w:szCs w:val="20"/>
          <w:color w:val="auto"/>
        </w:rPr>
      </w:pPr>
      <w:r>
        <w:rPr>
          <w:rFonts w:ascii="Arial" w:cs="Arial" w:eastAsia="Arial" w:hAnsi="Arial"/>
          <w:sz w:val="17"/>
          <w:szCs w:val="17"/>
          <w:color w:val="auto"/>
        </w:rPr>
        <w:t>The Company or the Guarantor may redeem the Notes, in whole but not in part, at its discretion at any time upon giving not fewer than 10 nor more than 60 days’ prior notice to the holders of the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the Notes on the relevant record date to receive interest due on the relevant interest payment date and Additional Amounts (if any) in respect thereof), if on the next date on which any amount would be payable in respect of the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w:t>
      </w:r>
    </w:p>
    <w:p>
      <w:pPr>
        <w:spacing w:after="0" w:line="83" w:lineRule="exact"/>
        <w:rPr>
          <w:sz w:val="20"/>
          <w:szCs w:val="20"/>
          <w:color w:val="auto"/>
        </w:rPr>
      </w:pPr>
    </w:p>
    <w:p>
      <w:pPr>
        <w:ind w:left="1240" w:right="160" w:hanging="513"/>
        <w:spacing w:after="0" w:line="253"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74" w:lineRule="exact"/>
        <w:rPr>
          <w:rFonts w:ascii="Arial" w:cs="Arial" w:eastAsia="Arial" w:hAnsi="Arial"/>
          <w:sz w:val="17"/>
          <w:szCs w:val="17"/>
          <w:color w:val="auto"/>
        </w:rPr>
      </w:pPr>
    </w:p>
    <w:p>
      <w:pPr>
        <w:ind w:left="1240" w:right="20" w:hanging="513"/>
        <w:spacing w:after="0" w:line="253"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66" w:lineRule="exact"/>
        <w:rPr>
          <w:sz w:val="20"/>
          <w:szCs w:val="20"/>
          <w:color w:val="auto"/>
        </w:rPr>
      </w:pPr>
    </w:p>
    <w:p>
      <w:pPr>
        <w:ind w:left="320" w:right="280" w:firstLine="425"/>
        <w:spacing w:after="0" w:line="253" w:lineRule="auto"/>
        <w:rPr>
          <w:sz w:val="20"/>
          <w:szCs w:val="20"/>
          <w:color w:val="auto"/>
        </w:rPr>
      </w:pPr>
      <w:r>
        <w:rPr>
          <w:rFonts w:ascii="Arial" w:cs="Arial" w:eastAsia="Arial" w:hAnsi="Arial"/>
          <w:sz w:val="17"/>
          <w:szCs w:val="17"/>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S-14</w:t>
      </w:r>
    </w:p>
    <w:p>
      <w:pPr>
        <w:sectPr>
          <w:pgSz w:w="11900" w:h="16838" w:orient="portrait"/>
          <w:cols w:equalWidth="0" w:num="1">
            <w:col w:w="10940"/>
          </w:cols>
          <w:pgMar w:left="320" w:top="44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220"/>
        <w:spacing w:after="0" w:line="250" w:lineRule="auto"/>
        <w:rPr>
          <w:sz w:val="20"/>
          <w:szCs w:val="20"/>
          <w:color w:val="auto"/>
        </w:rPr>
      </w:pPr>
      <w:r>
        <w:rPr>
          <w:rFonts w:ascii="Arial" w:cs="Arial" w:eastAsia="Arial" w:hAnsi="Arial"/>
          <w:sz w:val="17"/>
          <w:szCs w:val="17"/>
          <w:color w:val="auto"/>
        </w:rPr>
        <w:t>Guarantor, as applicable, will deliver to the Trustee an opinion of independent tax counsel to the effect that there has been such amendment or change which would entitle the Company or the Guarantor to redeem the Notes hereunder. In addition, before the Company or the Guarantor, as applicable, gives notice of redemption of the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w:t>
      </w:r>
    </w:p>
    <w:p>
      <w:pPr>
        <w:spacing w:after="0" w:line="167" w:lineRule="exact"/>
        <w:rPr>
          <w:sz w:val="20"/>
          <w:szCs w:val="20"/>
          <w:color w:val="auto"/>
        </w:rPr>
      </w:pPr>
    </w:p>
    <w:p>
      <w:pPr>
        <w:ind w:left="320" w:right="140" w:firstLine="425"/>
        <w:spacing w:after="0" w:line="260" w:lineRule="auto"/>
        <w:rPr>
          <w:sz w:val="20"/>
          <w:szCs w:val="20"/>
          <w:color w:val="auto"/>
        </w:rPr>
      </w:pPr>
      <w:r>
        <w:rPr>
          <w:rFonts w:ascii="Arial" w:cs="Arial" w:eastAsia="Arial" w:hAnsi="Arial"/>
          <w:sz w:val="17"/>
          <w:szCs w:val="17"/>
          <w:color w:val="auto"/>
        </w:rPr>
        <w:t>The Trustee will accept and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159" w:lineRule="exact"/>
        <w:rPr>
          <w:sz w:val="20"/>
          <w:szCs w:val="20"/>
          <w:color w:val="auto"/>
        </w:rPr>
      </w:pPr>
    </w:p>
    <w:p>
      <w:pPr>
        <w:ind w:left="320" w:right="80" w:firstLine="425"/>
        <w:spacing w:after="0" w:line="260" w:lineRule="auto"/>
        <w:rPr>
          <w:sz w:val="20"/>
          <w:szCs w:val="20"/>
          <w:color w:val="auto"/>
        </w:rPr>
      </w:pPr>
      <w:r>
        <w:rPr>
          <w:rFonts w:ascii="Arial" w:cs="Arial" w:eastAsia="Arial" w:hAnsi="Arial"/>
          <w:sz w:val="17"/>
          <w:szCs w:val="17"/>
          <w:color w:val="auto"/>
        </w:rPr>
        <w:t xml:space="preserve">The foregoing will also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Selection and Notice</w:t>
      </w:r>
    </w:p>
    <w:p>
      <w:pPr>
        <w:spacing w:after="0" w:line="106" w:lineRule="exact"/>
        <w:rPr>
          <w:sz w:val="20"/>
          <w:szCs w:val="20"/>
          <w:color w:val="auto"/>
        </w:rPr>
      </w:pPr>
    </w:p>
    <w:p>
      <w:pPr>
        <w:ind w:left="320" w:right="40" w:firstLine="425"/>
        <w:spacing w:after="0" w:line="253" w:lineRule="auto"/>
        <w:rPr>
          <w:sz w:val="20"/>
          <w:szCs w:val="20"/>
          <w:color w:val="auto"/>
        </w:rPr>
      </w:pPr>
      <w:r>
        <w:rPr>
          <w:rFonts w:ascii="Arial" w:cs="Arial" w:eastAsia="Arial" w:hAnsi="Arial"/>
          <w:sz w:val="17"/>
          <w:szCs w:val="17"/>
          <w:color w:val="auto"/>
        </w:rPr>
        <w:t>If fewer than all of the Notes are to be redeemed at any time, the Trustee will select Notes in definitive, non -global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w:t>
      </w:r>
    </w:p>
    <w:p>
      <w:pPr>
        <w:spacing w:after="0" w:line="166" w:lineRule="exact"/>
        <w:rPr>
          <w:sz w:val="20"/>
          <w:szCs w:val="20"/>
          <w:color w:val="auto"/>
        </w:rPr>
      </w:pPr>
    </w:p>
    <w:p>
      <w:pPr>
        <w:ind w:left="320" w:right="160" w:firstLine="425"/>
        <w:spacing w:after="0" w:line="253" w:lineRule="auto"/>
        <w:rPr>
          <w:sz w:val="20"/>
          <w:szCs w:val="20"/>
          <w:color w:val="auto"/>
        </w:rPr>
      </w:pPr>
      <w:r>
        <w:rPr>
          <w:rFonts w:ascii="Arial" w:cs="Arial" w:eastAsia="Arial" w:hAnsi="Arial"/>
          <w:sz w:val="17"/>
          <w:szCs w:val="17"/>
          <w:color w:val="auto"/>
        </w:rPr>
        <w:t>No Notes in principal amount of U.S.$2,000 or less can be redeemed in part. Notices of redemption will be given at least 10 but not more than 60 days before the redemption date to each holder of Notes to be redeemed, except that redemption notices may be given more than 60 days prior to a redemption date if the notice is issued in connection with a defeasance of the Notes or a satisfaction and discharge of the Indenture.</w:t>
      </w:r>
    </w:p>
    <w:p>
      <w:pPr>
        <w:spacing w:after="0" w:line="166"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67" w:lineRule="exact"/>
        <w:rPr>
          <w:sz w:val="20"/>
          <w:szCs w:val="20"/>
          <w:color w:val="auto"/>
        </w:rPr>
      </w:pPr>
    </w:p>
    <w:p>
      <w:pPr>
        <w:jc w:val="both"/>
        <w:ind w:left="320" w:right="200" w:firstLine="425"/>
        <w:spacing w:after="0" w:line="246" w:lineRule="auto"/>
        <w:rPr>
          <w:sz w:val="20"/>
          <w:szCs w:val="20"/>
          <w:color w:val="auto"/>
        </w:rPr>
      </w:pPr>
      <w:r>
        <w:rPr>
          <w:rFonts w:ascii="Arial" w:cs="Arial" w:eastAsia="Arial" w:hAnsi="Arial"/>
          <w:sz w:val="17"/>
          <w:szCs w:val="17"/>
          <w:color w:val="auto"/>
        </w:rPr>
        <w:t>The Trustee will not be liable for selections made as contemplated in this section. Notices to holders of definitive, non-global Notes will be mailed to them at their registered addresses. For Notes which are represented by global Notes held on behalf of The Depository Trust Company (“DTC”), Euroclear Bank SA/NV, as operator of the Euroclear System (“Euroclear”) and Clearstream Banking S.A.</w:t>
      </w:r>
    </w:p>
    <w:p>
      <w:pPr>
        <w:spacing w:after="0" w:line="1" w:lineRule="exact"/>
        <w:rPr>
          <w:sz w:val="20"/>
          <w:szCs w:val="20"/>
          <w:color w:val="auto"/>
        </w:rPr>
      </w:pPr>
    </w:p>
    <w:p>
      <w:pPr>
        <w:jc w:val="both"/>
        <w:ind w:left="320" w:right="200"/>
        <w:spacing w:after="0" w:line="261" w:lineRule="auto"/>
        <w:rPr>
          <w:sz w:val="20"/>
          <w:szCs w:val="20"/>
          <w:color w:val="auto"/>
        </w:rPr>
      </w:pPr>
      <w:r>
        <w:rPr>
          <w:rFonts w:ascii="Arial" w:cs="Arial" w:eastAsia="Arial" w:hAnsi="Arial"/>
          <w:sz w:val="17"/>
          <w:szCs w:val="17"/>
          <w:color w:val="auto"/>
        </w:rPr>
        <w:t>(“Clearstream”), notices may be given by delivery of the relevant notices to DTC, Euroclear or Clearstream for communication to entitled account holders in substitution for the aforesaid mailing.</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Certain Covenants</w:t>
      </w:r>
    </w:p>
    <w:p>
      <w:pPr>
        <w:spacing w:after="0" w:line="106" w:lineRule="exact"/>
        <w:rPr>
          <w:sz w:val="20"/>
          <w:szCs w:val="20"/>
          <w:color w:val="auto"/>
        </w:rPr>
      </w:pPr>
    </w:p>
    <w:p>
      <w:pPr>
        <w:jc w:val="both"/>
        <w:ind w:left="320" w:right="240" w:firstLine="425"/>
        <w:spacing w:after="0" w:line="260" w:lineRule="auto"/>
        <w:rPr>
          <w:sz w:val="20"/>
          <w:szCs w:val="20"/>
          <w:color w:val="auto"/>
        </w:rPr>
      </w:pPr>
      <w:r>
        <w:rPr>
          <w:rFonts w:ascii="Arial" w:cs="Arial" w:eastAsia="Arial" w:hAnsi="Arial"/>
          <w:sz w:val="17"/>
          <w:szCs w:val="17"/>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S-15</w:t>
      </w:r>
    </w:p>
    <w:p>
      <w:pPr>
        <w:sectPr>
          <w:pgSz w:w="11900" w:h="16838" w:orient="portrait"/>
          <w:cols w:equalWidth="0" w:num="1">
            <w:col w:w="10940"/>
          </w:cols>
          <w:pgMar w:left="320" w:top="44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80"/>
        <w:spacing w:after="0" w:line="260" w:lineRule="auto"/>
        <w:rPr>
          <w:sz w:val="20"/>
          <w:szCs w:val="20"/>
          <w:color w:val="auto"/>
        </w:rPr>
      </w:pPr>
      <w:r>
        <w:rPr>
          <w:rFonts w:ascii="Arial" w:cs="Arial" w:eastAsia="Arial" w:hAnsi="Arial"/>
          <w:sz w:val="17"/>
          <w:szCs w:val="17"/>
          <w:color w:val="auto"/>
        </w:rPr>
        <w:t>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Limitation on Liens</w:t>
      </w:r>
    </w:p>
    <w:p>
      <w:pPr>
        <w:spacing w:after="0" w:line="106" w:lineRule="exact"/>
        <w:rPr>
          <w:sz w:val="20"/>
          <w:szCs w:val="20"/>
          <w:color w:val="auto"/>
        </w:rPr>
      </w:pPr>
    </w:p>
    <w:p>
      <w:pPr>
        <w:ind w:left="320" w:right="40" w:firstLine="425"/>
        <w:spacing w:after="0" w:line="244" w:lineRule="auto"/>
        <w:rPr>
          <w:sz w:val="20"/>
          <w:szCs w:val="20"/>
          <w:color w:val="auto"/>
        </w:rPr>
      </w:pPr>
      <w:r>
        <w:rPr>
          <w:rFonts w:ascii="Arial" w:cs="Arial" w:eastAsia="Arial" w:hAnsi="Arial"/>
          <w:sz w:val="17"/>
          <w:szCs w:val="17"/>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 indebtedness of any such restricted subsidiary then existing or thereafter created ranking on a parity with the Notes or Guarantee)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3" w:lineRule="exact"/>
        <w:rPr>
          <w:sz w:val="20"/>
          <w:szCs w:val="20"/>
          <w:color w:val="auto"/>
        </w:rPr>
      </w:pPr>
    </w:p>
    <w:p>
      <w:pPr>
        <w:ind w:left="1240" w:hanging="513"/>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mortgages existing on the date of original issuance of the Notes;</w:t>
      </w:r>
    </w:p>
    <w:p>
      <w:pPr>
        <w:spacing w:after="0" w:line="117" w:lineRule="exact"/>
        <w:rPr>
          <w:rFonts w:ascii="Arial" w:cs="Arial" w:eastAsia="Arial" w:hAnsi="Arial"/>
          <w:sz w:val="17"/>
          <w:szCs w:val="17"/>
          <w:color w:val="auto"/>
        </w:rPr>
      </w:pPr>
    </w:p>
    <w:p>
      <w:pPr>
        <w:ind w:left="1240" w:right="100" w:hanging="513"/>
        <w:spacing w:after="0" w:line="281"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0" w:lineRule="exact"/>
        <w:rPr>
          <w:rFonts w:ascii="Arial" w:cs="Arial" w:eastAsia="Arial" w:hAnsi="Arial"/>
          <w:sz w:val="17"/>
          <w:szCs w:val="17"/>
          <w:color w:val="auto"/>
        </w:rPr>
      </w:pPr>
    </w:p>
    <w:p>
      <w:pPr>
        <w:ind w:left="1240" w:right="260" w:hanging="513"/>
        <w:spacing w:after="0" w:line="248"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77" w:lineRule="exact"/>
        <w:rPr>
          <w:rFonts w:ascii="Arial" w:cs="Arial" w:eastAsia="Arial" w:hAnsi="Arial"/>
          <w:sz w:val="17"/>
          <w:szCs w:val="17"/>
          <w:color w:val="auto"/>
        </w:rPr>
      </w:pPr>
    </w:p>
    <w:p>
      <w:pPr>
        <w:ind w:left="1240" w:hanging="513"/>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mortgages in favor of the Company, the Guarantor or any other subsidiary of the Guarantor;</w:t>
      </w:r>
    </w:p>
    <w:p>
      <w:pPr>
        <w:spacing w:after="0" w:line="117" w:lineRule="exact"/>
        <w:rPr>
          <w:rFonts w:ascii="Arial" w:cs="Arial" w:eastAsia="Arial" w:hAnsi="Arial"/>
          <w:sz w:val="17"/>
          <w:szCs w:val="17"/>
          <w:color w:val="auto"/>
        </w:rPr>
      </w:pPr>
    </w:p>
    <w:p>
      <w:pPr>
        <w:ind w:left="1240" w:hanging="513"/>
        <w:spacing w:after="0" w:line="253"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4" w:lineRule="exact"/>
        <w:rPr>
          <w:rFonts w:ascii="Arial" w:cs="Arial" w:eastAsia="Arial" w:hAnsi="Arial"/>
          <w:sz w:val="17"/>
          <w:szCs w:val="17"/>
          <w:color w:val="auto"/>
        </w:rPr>
      </w:pPr>
    </w:p>
    <w:p>
      <w:pPr>
        <w:ind w:left="1240" w:right="320" w:hanging="513"/>
        <w:spacing w:after="0" w:line="281"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50" w:lineRule="exact"/>
        <w:rPr>
          <w:rFonts w:ascii="Arial" w:cs="Arial" w:eastAsia="Arial" w:hAnsi="Arial"/>
          <w:sz w:val="17"/>
          <w:szCs w:val="17"/>
          <w:color w:val="auto"/>
        </w:rPr>
      </w:pPr>
    </w:p>
    <w:p>
      <w:pPr>
        <w:ind w:left="1240" w:right="100" w:hanging="513"/>
        <w:spacing w:after="0" w:line="253"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4" w:lineRule="exact"/>
        <w:rPr>
          <w:rFonts w:ascii="Arial" w:cs="Arial" w:eastAsia="Arial" w:hAnsi="Arial"/>
          <w:sz w:val="17"/>
          <w:szCs w:val="17"/>
          <w:color w:val="auto"/>
        </w:rPr>
      </w:pPr>
    </w:p>
    <w:p>
      <w:pPr>
        <w:ind w:left="1240" w:right="240" w:hanging="513"/>
        <w:spacing w:after="0" w:line="281"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S-16</w:t>
      </w:r>
    </w:p>
    <w:p>
      <w:pPr>
        <w:sectPr>
          <w:pgSz w:w="11900" w:h="16838" w:orient="portrait"/>
          <w:cols w:equalWidth="0" w:num="1">
            <w:col w:w="10920"/>
          </w:cols>
          <w:pgMar w:left="320" w:top="44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hanging="513"/>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property or assets, or a project financed with, non-recourse debt; and</w:t>
      </w:r>
    </w:p>
    <w:p>
      <w:pPr>
        <w:spacing w:after="0" w:line="117" w:lineRule="exact"/>
        <w:rPr>
          <w:rFonts w:ascii="Arial" w:cs="Arial" w:eastAsia="Arial" w:hAnsi="Arial"/>
          <w:sz w:val="17"/>
          <w:szCs w:val="17"/>
          <w:color w:val="auto"/>
        </w:rPr>
      </w:pPr>
    </w:p>
    <w:p>
      <w:pPr>
        <w:ind w:left="1240" w:right="140" w:hanging="513"/>
        <w:spacing w:after="0" w:line="253"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foregoing covenant and certain other provisions of the Indenture use the following defined terms.</w:t>
      </w:r>
    </w:p>
    <w:p>
      <w:pPr>
        <w:spacing w:after="0" w:line="208" w:lineRule="exact"/>
        <w:rPr>
          <w:sz w:val="20"/>
          <w:szCs w:val="20"/>
          <w:color w:val="auto"/>
        </w:rPr>
      </w:pPr>
    </w:p>
    <w:p>
      <w:pPr>
        <w:ind w:left="320" w:right="60" w:firstLine="425"/>
        <w:spacing w:after="0" w:line="248" w:lineRule="auto"/>
        <w:rPr>
          <w:sz w:val="20"/>
          <w:szCs w:val="20"/>
          <w:color w:val="auto"/>
        </w:rPr>
      </w:pPr>
      <w:r>
        <w:rPr>
          <w:rFonts w:ascii="Arial" w:cs="Arial" w:eastAsia="Arial" w:hAnsi="Arial"/>
          <w:sz w:val="17"/>
          <w:szCs w:val="17"/>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9" w:lineRule="exact"/>
        <w:rPr>
          <w:sz w:val="20"/>
          <w:szCs w:val="20"/>
          <w:color w:val="auto"/>
        </w:rPr>
      </w:pPr>
    </w:p>
    <w:p>
      <w:pPr>
        <w:ind w:left="320" w:right="40" w:firstLine="425"/>
        <w:spacing w:after="0" w:line="281" w:lineRule="auto"/>
        <w:rPr>
          <w:sz w:val="20"/>
          <w:szCs w:val="20"/>
          <w:color w:val="auto"/>
        </w:rPr>
      </w:pPr>
      <w:r>
        <w:rPr>
          <w:rFonts w:ascii="Arial" w:cs="Arial" w:eastAsia="Arial" w:hAnsi="Arial"/>
          <w:sz w:val="17"/>
          <w:szCs w:val="17"/>
          <w:color w:val="auto"/>
        </w:rPr>
        <w:t>“consolidated net worth” means the amount of total stockholders’ equity shown in the Guarantor’s most recent quarterly consolidated statement of financial position.</w:t>
      </w:r>
    </w:p>
    <w:p>
      <w:pPr>
        <w:spacing w:after="0" w:line="141" w:lineRule="exact"/>
        <w:rPr>
          <w:sz w:val="20"/>
          <w:szCs w:val="20"/>
          <w:color w:val="auto"/>
        </w:rPr>
      </w:pPr>
    </w:p>
    <w:p>
      <w:pPr>
        <w:ind w:left="320" w:right="300" w:firstLine="425"/>
        <w:spacing w:after="0" w:line="281" w:lineRule="auto"/>
        <w:rPr>
          <w:sz w:val="20"/>
          <w:szCs w:val="20"/>
          <w:color w:val="auto"/>
        </w:rPr>
      </w:pPr>
      <w:r>
        <w:rPr>
          <w:rFonts w:ascii="Arial" w:cs="Arial" w:eastAsia="Arial" w:hAnsi="Arial"/>
          <w:sz w:val="17"/>
          <w:szCs w:val="17"/>
          <w:color w:val="auto"/>
        </w:rPr>
        <w:t>“mortgage” means and includes any mortgage, pledge, lien, security interest, conditional sale or other title retention agreement or other similar encumbrance.</w:t>
      </w:r>
    </w:p>
    <w:p>
      <w:pPr>
        <w:spacing w:after="0" w:line="141" w:lineRule="exact"/>
        <w:rPr>
          <w:sz w:val="20"/>
          <w:szCs w:val="20"/>
          <w:color w:val="auto"/>
        </w:rPr>
      </w:pPr>
    </w:p>
    <w:p>
      <w:pPr>
        <w:ind w:left="320" w:right="40" w:firstLine="425"/>
        <w:spacing w:after="0" w:line="260"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9" w:lineRule="exact"/>
        <w:rPr>
          <w:sz w:val="20"/>
          <w:szCs w:val="20"/>
          <w:color w:val="auto"/>
        </w:rPr>
      </w:pPr>
    </w:p>
    <w:p>
      <w:pPr>
        <w:ind w:left="320" w:right="600" w:firstLine="425"/>
        <w:spacing w:after="0" w:line="28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41"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37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“restricted subsidiary” means any subsidiary of the Guarantor which owns a restricted property.</w:t>
      </w:r>
    </w:p>
    <w:p>
      <w:pPr>
        <w:spacing w:after="0" w:line="208" w:lineRule="exact"/>
        <w:rPr>
          <w:sz w:val="20"/>
          <w:szCs w:val="20"/>
          <w:color w:val="auto"/>
        </w:rPr>
      </w:pPr>
    </w:p>
    <w:p>
      <w:pPr>
        <w:ind w:left="320" w:firstLine="425"/>
        <w:spacing w:after="0" w:line="248" w:lineRule="auto"/>
        <w:rPr>
          <w:sz w:val="20"/>
          <w:szCs w:val="20"/>
          <w:color w:val="auto"/>
        </w:rPr>
      </w:pPr>
      <w:r>
        <w:rPr>
          <w:rFonts w:ascii="Arial" w:cs="Arial" w:eastAsia="Arial" w:hAnsi="Arial"/>
          <w:sz w:val="17"/>
          <w:szCs w:val="17"/>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S-17</w:t>
      </w:r>
    </w:p>
    <w:p>
      <w:pPr>
        <w:sectPr>
          <w:pgSz w:w="11900" w:h="16838" w:orient="portrait"/>
          <w:cols w:equalWidth="0" w:num="1">
            <w:col w:w="10940"/>
          </w:cols>
          <w:pgMar w:left="320" w:top="44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00"/>
        <w:spacing w:after="0" w:line="253" w:lineRule="auto"/>
        <w:rPr>
          <w:sz w:val="20"/>
          <w:szCs w:val="20"/>
          <w:color w:val="auto"/>
        </w:rPr>
      </w:pPr>
      <w:r>
        <w:rPr>
          <w:rFonts w:ascii="Arial" w:cs="Arial" w:eastAsia="Arial" w:hAnsi="Arial"/>
          <w:sz w:val="17"/>
          <w:szCs w:val="17"/>
          <w:color w:val="auto"/>
        </w:rPr>
        <w:t>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Consolidation, Merger and Sale of Assets</w:t>
      </w:r>
    </w:p>
    <w:p>
      <w:pPr>
        <w:spacing w:after="0" w:line="106" w:lineRule="exact"/>
        <w:rPr>
          <w:sz w:val="20"/>
          <w:szCs w:val="20"/>
          <w:color w:val="auto"/>
        </w:rPr>
      </w:pPr>
    </w:p>
    <w:p>
      <w:pPr>
        <w:ind w:left="320" w:right="20" w:firstLine="425"/>
        <w:spacing w:after="0" w:line="246" w:lineRule="auto"/>
        <w:rPr>
          <w:sz w:val="20"/>
          <w:szCs w:val="20"/>
          <w:color w:val="auto"/>
        </w:rPr>
      </w:pPr>
      <w:r>
        <w:rPr>
          <w:rFonts w:ascii="Arial" w:cs="Arial" w:eastAsia="Arial" w:hAnsi="Arial"/>
          <w:sz w:val="17"/>
          <w:szCs w:val="17"/>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374"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It is possible that a merger, transfer, or other transaction could be treated for U.S. federal income tax purposes as a taxable exchange by the beneficial owners of the Notes for new securities, which could result in beneficial owners of the Notes being required to recognize taxable gain or loss for U.S. federal income tax purposes. A merger, transfer, lease or other transaction could also have adverse tax consequences to beneficial owners of the Notes under other tax laws to which the beneficial owners are subject.</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Assumption by a Subsidiary</w:t>
      </w:r>
    </w:p>
    <w:p>
      <w:pPr>
        <w:spacing w:after="0" w:line="106" w:lineRule="exact"/>
        <w:rPr>
          <w:sz w:val="20"/>
          <w:szCs w:val="20"/>
          <w:color w:val="auto"/>
        </w:rPr>
      </w:pPr>
    </w:p>
    <w:p>
      <w:pPr>
        <w:ind w:left="320" w:right="500" w:firstLine="425"/>
        <w:spacing w:after="0" w:line="281" w:lineRule="auto"/>
        <w:rPr>
          <w:sz w:val="20"/>
          <w:szCs w:val="20"/>
          <w:color w:val="auto"/>
        </w:rPr>
      </w:pPr>
      <w:r>
        <w:rPr>
          <w:rFonts w:ascii="Arial" w:cs="Arial" w:eastAsia="Arial" w:hAnsi="Arial"/>
          <w:sz w:val="17"/>
          <w:szCs w:val="17"/>
          <w:color w:val="auto"/>
        </w:rPr>
        <w:t>Any subsidiary of the Guarantor may, at its option, assume the obligations of the Company under the Indenture and the Notes, provided that:</w:t>
      </w:r>
    </w:p>
    <w:p>
      <w:pPr>
        <w:spacing w:after="0" w:line="50" w:lineRule="exact"/>
        <w:rPr>
          <w:sz w:val="20"/>
          <w:szCs w:val="20"/>
          <w:color w:val="auto"/>
        </w:rPr>
      </w:pPr>
    </w:p>
    <w:p>
      <w:pPr>
        <w:ind w:left="1240" w:right="240" w:hanging="513"/>
        <w:spacing w:after="0" w:line="281"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such subsidiary expressly assumes such obligations in an assumption agreement or supplemental indenture duly executed and delivered to the Trustee, and</w:t>
      </w:r>
    </w:p>
    <w:p>
      <w:pPr>
        <w:spacing w:after="0" w:line="50" w:lineRule="exact"/>
        <w:rPr>
          <w:rFonts w:ascii="Arial" w:cs="Arial" w:eastAsia="Arial" w:hAnsi="Arial"/>
          <w:sz w:val="17"/>
          <w:szCs w:val="17"/>
          <w:color w:val="auto"/>
        </w:rPr>
      </w:pPr>
    </w:p>
    <w:p>
      <w:pPr>
        <w:ind w:left="1240" w:right="320" w:hanging="513"/>
        <w:spacing w:after="0" w:line="281"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immediately after giving effect to such assumption, no Event of Default and no event which, after notice or lapse of time or both, would become an Event of Default, shall have occurred and be continuing.</w:t>
      </w:r>
    </w:p>
    <w:p>
      <w:pPr>
        <w:spacing w:after="0" w:line="141"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Upon any such assumption, the person so assuming the Company’s obligations under the Indenture and the Notes will succeed to, and be substituted for, and may exercise any right and power of, the Company under the Notes and the Indenture with the same effect as if such person had been the issuer thereof, and the Company will be released from its liability as obligor under the Notes. An Officer’s Certificate and an opinion of counsel will be delivered to the Trustee, which will serve as conclusive evidence of compliance with these provisions.</w:t>
      </w:r>
    </w:p>
    <w:p>
      <w:pPr>
        <w:spacing w:after="0" w:line="271" w:lineRule="exact"/>
        <w:rPr>
          <w:sz w:val="20"/>
          <w:szCs w:val="20"/>
          <w:color w:val="auto"/>
        </w:rPr>
      </w:pPr>
    </w:p>
    <w:p>
      <w:pPr>
        <w:ind w:left="320" w:right="100" w:firstLine="425"/>
        <w:spacing w:after="0" w:line="245" w:lineRule="auto"/>
        <w:rPr>
          <w:sz w:val="20"/>
          <w:szCs w:val="20"/>
          <w:color w:val="auto"/>
        </w:rPr>
      </w:pPr>
      <w:r>
        <w:rPr>
          <w:rFonts w:ascii="Arial" w:cs="Arial" w:eastAsia="Arial" w:hAnsi="Arial"/>
          <w:sz w:val="17"/>
          <w:szCs w:val="17"/>
          <w:i w:val="1"/>
          <w:iCs w:val="1"/>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U.S. Holders (as defined in “U.S. Federal Income Tax Considerations”) of such Notes may recognize taxable gain for U.S. federal income tax purposes, generally in an amount equal to the excess (if any) of the “issue price” of the new Notes over their basis in the old Notes, even though such U.S. Holders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“U.S. Federal Income Tax Considerations.”</w:t>
      </w:r>
    </w:p>
    <w:p>
      <w:pPr>
        <w:spacing w:after="0" w:line="1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S-18</w:t>
      </w:r>
    </w:p>
    <w:p>
      <w:pPr>
        <w:sectPr>
          <w:pgSz w:w="11900" w:h="16838" w:orient="portrait"/>
          <w:cols w:equalWidth="0" w:num="1">
            <w:col w:w="10920"/>
          </w:cols>
          <w:pgMar w:left="320" w:top="44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firstLine="425"/>
        <w:spacing w:after="0" w:line="246" w:lineRule="auto"/>
        <w:rPr>
          <w:sz w:val="20"/>
          <w:szCs w:val="20"/>
          <w:color w:val="auto"/>
        </w:rPr>
      </w:pPr>
      <w:r>
        <w:rPr>
          <w:rFonts w:ascii="Arial" w:cs="Arial" w:eastAsia="Arial" w:hAnsi="Arial"/>
          <w:sz w:val="17"/>
          <w:szCs w:val="17"/>
          <w:color w:val="auto"/>
        </w:rPr>
        <w:t>Pursuant to the Indenture, the Trustee will notify holders of an assumption of the Company’s obligations as the issuer of the Notes by a subsidiary of the Guarantor. Upon an assumption treated as a taxable exchange,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Events of Default</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are “Events of Default” with respect to the Notes:</w:t>
      </w:r>
    </w:p>
    <w:p>
      <w:pPr>
        <w:spacing w:after="0" w:line="117" w:lineRule="exact"/>
        <w:rPr>
          <w:sz w:val="20"/>
          <w:szCs w:val="20"/>
          <w:color w:val="auto"/>
        </w:rPr>
      </w:pPr>
    </w:p>
    <w:p>
      <w:pPr>
        <w:ind w:left="1240" w:hanging="409"/>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failure to pay any interest on the Notes within 30 days after such interest becomes due and payable;</w:t>
      </w:r>
    </w:p>
    <w:p>
      <w:pPr>
        <w:spacing w:after="0" w:line="117" w:lineRule="exact"/>
        <w:rPr>
          <w:rFonts w:ascii="Arial" w:cs="Arial" w:eastAsia="Arial" w:hAnsi="Arial"/>
          <w:sz w:val="17"/>
          <w:szCs w:val="17"/>
          <w:color w:val="auto"/>
        </w:rPr>
      </w:pPr>
    </w:p>
    <w:p>
      <w:pPr>
        <w:ind w:left="1240" w:right="120" w:hanging="409"/>
        <w:spacing w:after="0" w:line="281"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failure to pay principal of the Notes at maturity, or if applicable, the redemption price, when the same become due and payable;</w:t>
      </w:r>
    </w:p>
    <w:p>
      <w:pPr>
        <w:spacing w:after="0" w:line="50" w:lineRule="exact"/>
        <w:rPr>
          <w:rFonts w:ascii="Arial" w:cs="Arial" w:eastAsia="Arial" w:hAnsi="Arial"/>
          <w:sz w:val="17"/>
          <w:szCs w:val="17"/>
          <w:color w:val="auto"/>
        </w:rPr>
      </w:pPr>
    </w:p>
    <w:p>
      <w:pPr>
        <w:ind w:left="1240" w:right="40" w:hanging="409"/>
        <w:spacing w:after="0" w:line="253"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74" w:lineRule="exact"/>
        <w:rPr>
          <w:rFonts w:ascii="Arial" w:cs="Arial" w:eastAsia="Arial" w:hAnsi="Arial"/>
          <w:sz w:val="17"/>
          <w:szCs w:val="17"/>
          <w:color w:val="auto"/>
        </w:rPr>
      </w:pPr>
    </w:p>
    <w:p>
      <w:pPr>
        <w:ind w:left="1240" w:right="240" w:hanging="409"/>
        <w:spacing w:after="0" w:line="260"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events involving bankruptcy, insolvency or reorganization of the Company or the Guarantor.</w:t>
      </w:r>
    </w:p>
    <w:p>
      <w:pPr>
        <w:spacing w:after="0" w:line="208"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166"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color w:val="auto"/>
        </w:rPr>
        <w:t>If an Event of Default for the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 holder of Notes may pursue any remedy under the Indenture applicable to such Notes only if:</w:t>
      </w:r>
    </w:p>
    <w:p>
      <w:pPr>
        <w:spacing w:after="0" w:line="117" w:lineRule="exact"/>
        <w:rPr>
          <w:sz w:val="20"/>
          <w:szCs w:val="20"/>
          <w:color w:val="auto"/>
        </w:rPr>
      </w:pPr>
    </w:p>
    <w:p>
      <w:pPr>
        <w:ind w:left="5440" w:right="2780" w:hanging="4609"/>
        <w:spacing w:after="0" w:line="457" w:lineRule="auto"/>
        <w:tabs>
          <w:tab w:leader="none" w:pos="12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holder gives the Trustee written notice of a continuing Event of Default for such Notes; S-19</w:t>
      </w:r>
    </w:p>
    <w:p>
      <w:pPr>
        <w:sectPr>
          <w:pgSz w:w="11900" w:h="16838" w:orient="portrait"/>
          <w:cols w:equalWidth="0" w:num="1">
            <w:col w:w="10920"/>
          </w:cols>
          <w:pgMar w:left="320" w:top="44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right="40" w:hanging="409"/>
        <w:spacing w:after="0" w:line="281"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such outstanding Notes make a written request to the Trustee to pursue the remedy;</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holder furnishes to the Trustee indemnity reasonably satisfactory to the Trustee;</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Trustee fails to act for a period of 60 days after receipt of notice and furnishing of indemnity; and</w:t>
      </w:r>
    </w:p>
    <w:p>
      <w:pPr>
        <w:spacing w:after="0" w:line="117" w:lineRule="exact"/>
        <w:rPr>
          <w:rFonts w:ascii="Arial" w:cs="Arial" w:eastAsia="Arial" w:hAnsi="Arial"/>
          <w:sz w:val="17"/>
          <w:szCs w:val="17"/>
          <w:color w:val="auto"/>
        </w:rPr>
      </w:pPr>
    </w:p>
    <w:p>
      <w:pPr>
        <w:ind w:left="1240" w:right="240" w:hanging="409"/>
        <w:spacing w:after="0" w:line="281"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that 60-day period, the holders of a majority in principal amount of such outstanding Notes do not give the Trustee a direction inconsistent with the request.</w:t>
      </w:r>
    </w:p>
    <w:p>
      <w:pPr>
        <w:spacing w:after="0" w:line="141" w:lineRule="exact"/>
        <w:rPr>
          <w:sz w:val="20"/>
          <w:szCs w:val="20"/>
          <w:color w:val="auto"/>
        </w:rPr>
      </w:pPr>
    </w:p>
    <w:p>
      <w:pPr>
        <w:ind w:left="320" w:firstLine="425"/>
        <w:spacing w:after="0" w:line="281" w:lineRule="auto"/>
        <w:rPr>
          <w:sz w:val="20"/>
          <w:szCs w:val="20"/>
          <w:color w:val="auto"/>
        </w:rPr>
      </w:pPr>
      <w:r>
        <w:rPr>
          <w:rFonts w:ascii="Arial" w:cs="Arial" w:eastAsia="Arial" w:hAnsi="Arial"/>
          <w:sz w:val="17"/>
          <w:szCs w:val="17"/>
          <w:color w:val="auto"/>
        </w:rPr>
        <w:t>This provision does not, however, affect the right of a holder of Notes to sue for enforcement of any overdue payment with respect to such Notes.</w:t>
      </w:r>
    </w:p>
    <w:p>
      <w:pPr>
        <w:spacing w:after="0" w:line="141" w:lineRule="exact"/>
        <w:rPr>
          <w:sz w:val="20"/>
          <w:szCs w:val="20"/>
          <w:color w:val="auto"/>
        </w:rPr>
      </w:pPr>
    </w:p>
    <w:p>
      <w:pPr>
        <w:ind w:left="320" w:right="560" w:firstLine="425"/>
        <w:spacing w:after="0" w:line="281" w:lineRule="auto"/>
        <w:rPr>
          <w:sz w:val="20"/>
          <w:szCs w:val="20"/>
          <w:color w:val="auto"/>
        </w:rPr>
      </w:pPr>
      <w:r>
        <w:rPr>
          <w:rFonts w:ascii="Arial" w:cs="Arial" w:eastAsia="Arial" w:hAnsi="Arial"/>
          <w:sz w:val="17"/>
          <w:szCs w:val="17"/>
          <w:color w:val="auto"/>
        </w:rPr>
        <w:t>In most cases, holders of a majority in principal amount of the outstanding Notes issued by the Company may direct the time, method and place of:</w:t>
      </w:r>
    </w:p>
    <w:p>
      <w:pPr>
        <w:spacing w:after="0" w:line="50" w:lineRule="exact"/>
        <w:rPr>
          <w:sz w:val="20"/>
          <w:szCs w:val="20"/>
          <w:color w:val="auto"/>
        </w:rPr>
      </w:pPr>
    </w:p>
    <w:p>
      <w:pPr>
        <w:ind w:left="1240" w:hanging="409"/>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conducting any proceeding for any remedy available to the Trustee with respect to such Notes; and</w:t>
      </w:r>
    </w:p>
    <w:p>
      <w:pPr>
        <w:spacing w:after="0" w:line="117" w:lineRule="exact"/>
        <w:rPr>
          <w:rFonts w:ascii="Arial" w:cs="Arial" w:eastAsia="Arial" w:hAnsi="Arial"/>
          <w:sz w:val="17"/>
          <w:szCs w:val="17"/>
          <w:color w:val="auto"/>
        </w:rPr>
      </w:pPr>
    </w:p>
    <w:p>
      <w:pPr>
        <w:ind w:left="1240" w:hanging="409"/>
        <w:spacing w:after="0" w:line="281"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exercising any trust or power conferred on the Trustee not relating to or arising under an Event of Default with respect to such Notes.</w:t>
      </w:r>
    </w:p>
    <w:p>
      <w:pPr>
        <w:spacing w:after="0" w:line="141" w:lineRule="exact"/>
        <w:rPr>
          <w:sz w:val="20"/>
          <w:szCs w:val="20"/>
          <w:color w:val="auto"/>
        </w:rPr>
      </w:pPr>
    </w:p>
    <w:p>
      <w:pPr>
        <w:ind w:left="320" w:right="180" w:firstLine="425"/>
        <w:spacing w:after="0" w:line="281" w:lineRule="auto"/>
        <w:rPr>
          <w:sz w:val="20"/>
          <w:szCs w:val="20"/>
          <w:color w:val="auto"/>
        </w:rPr>
      </w:pPr>
      <w:r>
        <w:rPr>
          <w:rFonts w:ascii="Arial" w:cs="Arial" w:eastAsia="Arial" w:hAnsi="Arial"/>
          <w:sz w:val="17"/>
          <w:szCs w:val="17"/>
          <w:color w:val="auto"/>
        </w:rPr>
        <w:t>The Indenture requires the Company to file with the Trustee each year a written statement as to its compliance with the covenants contained in the Indenture.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Modification and Waiver</w:t>
      </w:r>
    </w:p>
    <w:p>
      <w:pPr>
        <w:spacing w:after="0" w:line="106" w:lineRule="exact"/>
        <w:rPr>
          <w:sz w:val="20"/>
          <w:szCs w:val="20"/>
          <w:color w:val="auto"/>
        </w:rPr>
      </w:pPr>
    </w:p>
    <w:p>
      <w:pPr>
        <w:ind w:left="320" w:right="120" w:firstLine="425"/>
        <w:spacing w:after="0" w:line="245" w:lineRule="auto"/>
        <w:rPr>
          <w:sz w:val="20"/>
          <w:szCs w:val="20"/>
          <w:color w:val="auto"/>
        </w:rPr>
      </w:pPr>
      <w:r>
        <w:rPr>
          <w:rFonts w:ascii="Arial" w:cs="Arial" w:eastAsia="Arial" w:hAnsi="Arial"/>
          <w:sz w:val="17"/>
          <w:szCs w:val="17"/>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Without the consent of each holder of Notes affected thereby, an amendment, supplement or waiver may not (with respect to any</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Notes held by a non-consenting holder):</w:t>
      </w:r>
    </w:p>
    <w:p>
      <w:pPr>
        <w:spacing w:after="0" w:line="101" w:lineRule="exact"/>
        <w:rPr>
          <w:sz w:val="20"/>
          <w:szCs w:val="20"/>
          <w:color w:val="auto"/>
        </w:rPr>
      </w:pPr>
    </w:p>
    <w:p>
      <w:pPr>
        <w:ind w:left="1240" w:hanging="40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the amount of Notes whose holders must consent to an amendment, supplement or waiver;</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the rate of or change the time for payment of interest on the Notes;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the principal or change the stated maturity of the Notes;</w:t>
      </w:r>
    </w:p>
    <w:p>
      <w:pPr>
        <w:spacing w:after="0" w:line="117" w:lineRule="exact"/>
        <w:rPr>
          <w:rFonts w:ascii="Arial" w:cs="Arial" w:eastAsia="Arial" w:hAnsi="Arial"/>
          <w:sz w:val="17"/>
          <w:szCs w:val="17"/>
          <w:color w:val="auto"/>
        </w:rPr>
      </w:pPr>
    </w:p>
    <w:p>
      <w:pPr>
        <w:ind w:left="1240" w:right="760" w:hanging="409"/>
        <w:spacing w:after="0" w:line="281"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any premium payable on the redemption of the Notes or change the time at which the Notes may or must be redeemed;</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 any obligation to pay Additional Amounts on the Notes;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make payments on the Notes payable in currency other than as originally stated in the Notes;</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S-20</w:t>
      </w:r>
    </w:p>
    <w:p>
      <w:pPr>
        <w:sectPr>
          <w:pgSz w:w="11900" w:h="16838" w:orient="portrait"/>
          <w:cols w:equalWidth="0" w:num="1">
            <w:col w:w="10880"/>
          </w:cols>
          <w:pgMar w:left="320" w:top="445" w:right="6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hanging="409"/>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impair the holder’s right to institute suit for the enforcement of any payment on the Notes;</w:t>
      </w:r>
    </w:p>
    <w:p>
      <w:pPr>
        <w:spacing w:after="0" w:line="117" w:lineRule="exact"/>
        <w:rPr>
          <w:rFonts w:ascii="Arial" w:cs="Arial" w:eastAsia="Arial" w:hAnsi="Arial"/>
          <w:sz w:val="17"/>
          <w:szCs w:val="17"/>
          <w:color w:val="auto"/>
        </w:rPr>
      </w:pPr>
    </w:p>
    <w:p>
      <w:pPr>
        <w:ind w:left="1240" w:right="20" w:hanging="409"/>
        <w:spacing w:after="0" w:line="281"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make any change in the percentage of principal amount of the Notes necessary to waive compliance with certain provisions of the Indenture such Notes were issued under or to make any change in this provision for modification; or</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waive a continuing default or Event of Default regarding any payment on the Notes.</w:t>
      </w:r>
    </w:p>
    <w:p>
      <w:pPr>
        <w:spacing w:after="0" w:line="208" w:lineRule="exact"/>
        <w:rPr>
          <w:sz w:val="20"/>
          <w:szCs w:val="20"/>
          <w:color w:val="auto"/>
        </w:rPr>
      </w:pPr>
    </w:p>
    <w:p>
      <w:pPr>
        <w:ind w:left="320" w:right="20" w:firstLine="425"/>
        <w:spacing w:after="0" w:line="281" w:lineRule="auto"/>
        <w:rPr>
          <w:sz w:val="20"/>
          <w:szCs w:val="20"/>
          <w:color w:val="auto"/>
        </w:rPr>
      </w:pPr>
      <w:r>
        <w:rPr>
          <w:rFonts w:ascii="Arial" w:cs="Arial" w:eastAsia="Arial" w:hAnsi="Arial"/>
          <w:sz w:val="17"/>
          <w:szCs w:val="17"/>
          <w:color w:val="auto"/>
        </w:rPr>
        <w:t>Notwithstanding the preceding, without the consent of any holder of Notes, the Company, the Guarantor and the Trustee may amend or supplement the Indenture or the Notes or Guarantee in certain circumstances, including:</w:t>
      </w:r>
    </w:p>
    <w:p>
      <w:pPr>
        <w:spacing w:after="0" w:line="50" w:lineRule="exact"/>
        <w:rPr>
          <w:sz w:val="20"/>
          <w:szCs w:val="20"/>
          <w:color w:val="auto"/>
        </w:rPr>
      </w:pPr>
    </w:p>
    <w:p>
      <w:pPr>
        <w:ind w:left="1240" w:hanging="4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cure any ambiguity, omission, defect or inconsistency;</w:t>
      </w:r>
    </w:p>
    <w:p>
      <w:pPr>
        <w:spacing w:after="0" w:line="117" w:lineRule="exact"/>
        <w:rPr>
          <w:rFonts w:ascii="Arial" w:cs="Arial" w:eastAsia="Arial" w:hAnsi="Arial"/>
          <w:sz w:val="17"/>
          <w:szCs w:val="17"/>
          <w:color w:val="auto"/>
        </w:rPr>
      </w:pPr>
    </w:p>
    <w:p>
      <w:pPr>
        <w:ind w:left="1240" w:right="20" w:hanging="409"/>
        <w:spacing w:after="0" w:line="250"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 the assumption of the Company’s obligations under the Indenture and the Notes by a subsidiary of the Guarantor in accordance with the requirements under “— Assumption by a Subsidiary” above;</w:t>
      </w:r>
    </w:p>
    <w:p>
      <w:pPr>
        <w:spacing w:after="0" w:line="75" w:lineRule="exact"/>
        <w:rPr>
          <w:rFonts w:ascii="Arial" w:cs="Arial" w:eastAsia="Arial" w:hAnsi="Arial"/>
          <w:sz w:val="17"/>
          <w:szCs w:val="17"/>
          <w:color w:val="auto"/>
        </w:rPr>
      </w:pPr>
    </w:p>
    <w:p>
      <w:pPr>
        <w:ind w:left="1240" w:hanging="4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provide for uncertificated Notes in addition to or in place of certificated Notes;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provide any security for or guarantee of the Notes or for the addition of an additional obligor on the Notes;</w:t>
      </w:r>
    </w:p>
    <w:p>
      <w:pPr>
        <w:spacing w:after="0" w:line="117" w:lineRule="exact"/>
        <w:rPr>
          <w:rFonts w:ascii="Arial" w:cs="Arial" w:eastAsia="Arial" w:hAnsi="Arial"/>
          <w:sz w:val="17"/>
          <w:szCs w:val="17"/>
          <w:color w:val="auto"/>
        </w:rPr>
      </w:pPr>
    </w:p>
    <w:p>
      <w:pPr>
        <w:ind w:left="1240" w:right="200" w:hanging="409"/>
        <w:spacing w:after="0" w:line="281"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comply with any requirement to effect or maintain the qualification of the Indenture under the Trust Indenture Act of 1939, as amended (the “Trust Indenture Act”), if applicable;</w:t>
      </w:r>
    </w:p>
    <w:p>
      <w:pPr>
        <w:spacing w:after="0" w:line="50" w:lineRule="exact"/>
        <w:rPr>
          <w:rFonts w:ascii="Arial" w:cs="Arial" w:eastAsia="Arial" w:hAnsi="Arial"/>
          <w:sz w:val="17"/>
          <w:szCs w:val="17"/>
          <w:color w:val="auto"/>
        </w:rPr>
      </w:pPr>
    </w:p>
    <w:p>
      <w:pPr>
        <w:ind w:left="1240" w:right="220" w:hanging="409"/>
        <w:spacing w:after="0" w:line="281"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add covenants that would benefit the holders of the outstanding Notes or to surrender any rights the Company has under the Indenture;</w:t>
      </w:r>
    </w:p>
    <w:p>
      <w:pPr>
        <w:spacing w:after="0" w:line="50" w:lineRule="exact"/>
        <w:rPr>
          <w:rFonts w:ascii="Arial" w:cs="Arial" w:eastAsia="Arial" w:hAnsi="Arial"/>
          <w:sz w:val="17"/>
          <w:szCs w:val="17"/>
          <w:color w:val="auto"/>
        </w:rPr>
      </w:pPr>
    </w:p>
    <w:p>
      <w:pPr>
        <w:ind w:left="1240" w:right="280" w:hanging="409"/>
        <w:spacing w:after="0" w:line="260"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change or eliminate any of the provisions of the Indenture, provided that any such change or elimination will not become effective with respect to any the outstanding Notes created prior to the execution of such supplemental indenture which is entitled to the benefit of such provision;</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provide for the issuance of and establish forms and terms and conditions of a new series of debt securities;</w:t>
      </w:r>
    </w:p>
    <w:p>
      <w:pPr>
        <w:spacing w:after="0" w:line="117" w:lineRule="exact"/>
        <w:rPr>
          <w:rFonts w:ascii="Arial" w:cs="Arial" w:eastAsia="Arial" w:hAnsi="Arial"/>
          <w:sz w:val="17"/>
          <w:szCs w:val="17"/>
          <w:color w:val="auto"/>
        </w:rPr>
      </w:pPr>
    </w:p>
    <w:p>
      <w:pPr>
        <w:ind w:left="1240" w:right="180" w:hanging="409"/>
        <w:spacing w:after="0" w:line="281"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issue additional Notes; provided that such additional Notes have the same terms as, and will be deemed part of the same series as, the Notes to the extent required under the Indenture;</w:t>
      </w:r>
    </w:p>
    <w:p>
      <w:pPr>
        <w:spacing w:after="0" w:line="50" w:lineRule="exact"/>
        <w:rPr>
          <w:rFonts w:ascii="Arial" w:cs="Arial" w:eastAsia="Arial" w:hAnsi="Arial"/>
          <w:sz w:val="17"/>
          <w:szCs w:val="17"/>
          <w:color w:val="auto"/>
        </w:rPr>
      </w:pPr>
    </w:p>
    <w:p>
      <w:pPr>
        <w:ind w:left="1240" w:right="140" w:hanging="409"/>
        <w:spacing w:after="0" w:line="260"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by a successor trustee with respect to the Notes and to add to or change any of the provisions of the Indenture as are necessary to provide for or facilitate the administration of the trust by more than one trustee;</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add additional Events of Default with respect to the Notes; and</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any of the outstanding Notes in any material respect.</w:t>
      </w:r>
    </w:p>
    <w:p>
      <w:pPr>
        <w:spacing w:after="0" w:line="208" w:lineRule="exact"/>
        <w:rPr>
          <w:sz w:val="20"/>
          <w:szCs w:val="20"/>
          <w:color w:val="auto"/>
        </w:rPr>
      </w:pPr>
    </w:p>
    <w:p>
      <w:pPr>
        <w:ind w:left="320" w:firstLine="425"/>
        <w:spacing w:after="0" w:line="260" w:lineRule="auto"/>
        <w:rPr>
          <w:sz w:val="20"/>
          <w:szCs w:val="20"/>
          <w:color w:val="auto"/>
        </w:rPr>
      </w:pPr>
      <w:r>
        <w:rPr>
          <w:rFonts w:ascii="Arial" w:cs="Arial" w:eastAsia="Arial" w:hAnsi="Arial"/>
          <w:sz w:val="17"/>
          <w:szCs w:val="17"/>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S-21</w:t>
      </w:r>
    </w:p>
    <w:p>
      <w:pPr>
        <w:sectPr>
          <w:pgSz w:w="11900" w:h="16838" w:orient="portrait"/>
          <w:cols w:equalWidth="0" w:num="1">
            <w:col w:w="10920"/>
          </w:cols>
          <w:pgMar w:left="320" w:top="445"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Personal Liability of Directors, Officers, Employees, Stockholders and Certain Others</w:t>
      </w:r>
    </w:p>
    <w:p>
      <w:pPr>
        <w:spacing w:after="0" w:line="106"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Defeasance</w:t>
      </w:r>
    </w:p>
    <w:p>
      <w:pPr>
        <w:spacing w:after="0" w:line="106" w:lineRule="exact"/>
        <w:rPr>
          <w:sz w:val="20"/>
          <w:szCs w:val="20"/>
          <w:color w:val="auto"/>
        </w:rPr>
      </w:pPr>
    </w:p>
    <w:p>
      <w:pPr>
        <w:jc w:val="both"/>
        <w:ind w:left="320" w:right="140" w:firstLine="425"/>
        <w:spacing w:after="0" w:line="260" w:lineRule="auto"/>
        <w:rPr>
          <w:sz w:val="20"/>
          <w:szCs w:val="20"/>
          <w:color w:val="auto"/>
        </w:rPr>
      </w:pPr>
      <w:r>
        <w:rPr>
          <w:rFonts w:ascii="Arial" w:cs="Arial" w:eastAsia="Arial" w:hAnsi="Arial"/>
          <w:sz w:val="17"/>
          <w:szCs w:val="17"/>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68" w:lineRule="exact"/>
        <w:rPr>
          <w:sz w:val="20"/>
          <w:szCs w:val="20"/>
          <w:color w:val="auto"/>
        </w:rPr>
      </w:pPr>
    </w:p>
    <w:p>
      <w:pPr>
        <w:ind w:left="1240" w:right="240" w:hanging="409"/>
        <w:spacing w:after="0" w:line="281"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will be discharged from its obligations with respect to the Notes, except as described in the paragraph immediately below (“legal defeasance”); or</w:t>
      </w:r>
    </w:p>
    <w:p>
      <w:pPr>
        <w:spacing w:after="0" w:line="50" w:lineRule="exact"/>
        <w:rPr>
          <w:rFonts w:ascii="Arial" w:cs="Arial" w:eastAsia="Arial" w:hAnsi="Arial"/>
          <w:sz w:val="17"/>
          <w:szCs w:val="17"/>
          <w:color w:val="auto"/>
        </w:rPr>
      </w:pPr>
    </w:p>
    <w:p>
      <w:pPr>
        <w:ind w:left="1240" w:right="280" w:hanging="409"/>
        <w:spacing w:after="0" w:line="281"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will no longer have any obligation to comply with the restrictive covenants under the Indenture, and the related Events of Default will no longer apply to the Company (“covenant defeasance”).</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may exercise our legal defeasance option notwithstanding our prior exercise of our covenant defeasance option.</w:t>
      </w:r>
    </w:p>
    <w:p>
      <w:pPr>
        <w:spacing w:after="0" w:line="208" w:lineRule="exact"/>
        <w:rPr>
          <w:sz w:val="20"/>
          <w:szCs w:val="20"/>
          <w:color w:val="auto"/>
        </w:rPr>
      </w:pPr>
    </w:p>
    <w:p>
      <w:pPr>
        <w:ind w:left="320" w:right="160" w:firstLine="425"/>
        <w:spacing w:after="0" w:line="250" w:lineRule="auto"/>
        <w:rPr>
          <w:sz w:val="20"/>
          <w:szCs w:val="20"/>
          <w:color w:val="auto"/>
        </w:rPr>
      </w:pPr>
      <w:r>
        <w:rPr>
          <w:rFonts w:ascii="Arial" w:cs="Arial" w:eastAsia="Arial" w:hAnsi="Arial"/>
          <w:sz w:val="17"/>
          <w:szCs w:val="17"/>
          <w:color w:val="auto"/>
        </w:rPr>
        <w:t>If we exercise our legal defeasance option with respect to the Notes, the Company and the Guarantor will be deemed to have paid and discharged the entire indebtedness represented by the outstanding Notes and the Guarantee, and to have satisfied all other obligations under the Notes, the Guarantee and the Indenture, except as to (i) the Company’s obligations to register the transfer or exchange of the Notes, replace stolen, lost or mutilated Notes, pay Additional Amounts, maintain paying agencies, and hold moneys for payment in trust, and (ii) the obligation of the Company and the Guarantor to compensate and indemnify the Trustee.</w:t>
      </w:r>
    </w:p>
    <w:p>
      <w:pPr>
        <w:spacing w:after="0" w:line="167" w:lineRule="exact"/>
        <w:rPr>
          <w:sz w:val="20"/>
          <w:szCs w:val="20"/>
          <w:color w:val="auto"/>
        </w:rPr>
      </w:pPr>
    </w:p>
    <w:p>
      <w:pPr>
        <w:ind w:left="320" w:right="20" w:firstLine="425"/>
        <w:spacing w:after="0" w:line="248" w:lineRule="auto"/>
        <w:rPr>
          <w:sz w:val="20"/>
          <w:szCs w:val="20"/>
          <w:color w:val="auto"/>
        </w:rPr>
      </w:pPr>
      <w:r>
        <w:rPr>
          <w:rFonts w:ascii="Arial" w:cs="Arial" w:eastAsia="Arial" w:hAnsi="Arial"/>
          <w:sz w:val="17"/>
          <w:szCs w:val="17"/>
          <w:color w:val="auto"/>
        </w:rPr>
        <w:t>If we exercise our covenant defeasance option with respect to the Notes, the Company will no longer have any obligation to comply with the restrictive covenants under the Indenture, and the related Events of Default will no longer apply to the Company. Except as specified in the Indenture, however, the remainder of the Indenture and the Notes and the Guarantee will be unaffected by the occurrence of covenant defeasance, and the Notes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69" w:lineRule="exact"/>
        <w:rPr>
          <w:sz w:val="20"/>
          <w:szCs w:val="20"/>
          <w:color w:val="auto"/>
        </w:rPr>
      </w:pPr>
    </w:p>
    <w:p>
      <w:pPr>
        <w:ind w:left="320" w:right="100" w:firstLine="425"/>
        <w:spacing w:after="0" w:line="253" w:lineRule="auto"/>
        <w:rPr>
          <w:sz w:val="20"/>
          <w:szCs w:val="20"/>
          <w:color w:val="auto"/>
        </w:rPr>
      </w:pPr>
      <w:r>
        <w:rPr>
          <w:rFonts w:ascii="Arial" w:cs="Arial" w:eastAsia="Arial" w:hAnsi="Arial"/>
          <w:sz w:val="17"/>
          <w:szCs w:val="17"/>
          <w:color w:val="auto"/>
        </w:rPr>
        <w:t>In addition to the other requirements, we will be required to deliver to the Trustee an opinion of counsel or a tax ruling to the effect that the deposit and related defeasance would not cause the beneficial owners of the Notes to recognize income, gain or loss for U.S. federal income tax purposes. If the Company elects legal defeasance, that opinion of counsel must be based upon a ruling from the U.S. Internal Revenue Service (or successor agency) or changes in law to that effect.</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Concerning the Trustee</w:t>
      </w:r>
    </w:p>
    <w:p>
      <w:pPr>
        <w:spacing w:after="0" w:line="106" w:lineRule="exact"/>
        <w:rPr>
          <w:sz w:val="20"/>
          <w:szCs w:val="20"/>
          <w:color w:val="auto"/>
        </w:rPr>
      </w:pPr>
    </w:p>
    <w:p>
      <w:pPr>
        <w:ind w:left="320" w:right="20" w:firstLine="425"/>
        <w:spacing w:after="0" w:line="281" w:lineRule="auto"/>
        <w:rPr>
          <w:sz w:val="20"/>
          <w:szCs w:val="20"/>
          <w:color w:val="auto"/>
        </w:rPr>
      </w:pPr>
      <w:r>
        <w:rPr>
          <w:rFonts w:ascii="Arial" w:cs="Arial" w:eastAsia="Arial" w:hAnsi="Arial"/>
          <w:sz w:val="17"/>
          <w:szCs w:val="17"/>
          <w:color w:val="auto"/>
        </w:rPr>
        <w:t>The Bank of New York Mellon is trustee under the Indenture. The Trustee performs services for the Guarantor and its subsidiaries in the ordinary course of business.</w:t>
      </w:r>
    </w:p>
    <w:p>
      <w:pPr>
        <w:spacing w:after="0" w:line="7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S-22</w:t>
      </w:r>
    </w:p>
    <w:p>
      <w:pPr>
        <w:sectPr>
          <w:pgSz w:w="11900" w:h="16838" w:orient="portrait"/>
          <w:cols w:equalWidth="0" w:num="1">
            <w:col w:w="10880"/>
          </w:cols>
          <w:pgMar w:left="320" w:top="445" w:right="6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or security reasonably satisfactory to it.</w:t>
      </w:r>
    </w:p>
    <w:p>
      <w:pPr>
        <w:spacing w:after="0" w:line="166" w:lineRule="exact"/>
        <w:rPr>
          <w:sz w:val="20"/>
          <w:szCs w:val="20"/>
          <w:color w:val="auto"/>
        </w:rPr>
      </w:pPr>
    </w:p>
    <w:p>
      <w:pPr>
        <w:ind w:left="320" w:right="160" w:firstLine="425"/>
        <w:spacing w:after="0" w:line="253" w:lineRule="auto"/>
        <w:rPr>
          <w:sz w:val="20"/>
          <w:szCs w:val="20"/>
          <w:color w:val="auto"/>
        </w:rPr>
      </w:pPr>
      <w:r>
        <w:rPr>
          <w:rFonts w:ascii="Arial" w:cs="Arial" w:eastAsia="Arial" w:hAnsi="Arial"/>
          <w:sz w:val="17"/>
          <w:szCs w:val="17"/>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Paying Agent and Registrar for the Notes</w:t>
      </w:r>
    </w:p>
    <w:p>
      <w:pPr>
        <w:spacing w:after="0" w:line="106" w:lineRule="exact"/>
        <w:rPr>
          <w:sz w:val="20"/>
          <w:szCs w:val="20"/>
          <w:color w:val="auto"/>
        </w:rPr>
      </w:pPr>
    </w:p>
    <w:p>
      <w:pPr>
        <w:ind w:left="320" w:right="120" w:firstLine="425"/>
        <w:spacing w:after="0" w:line="245" w:lineRule="auto"/>
        <w:rPr>
          <w:sz w:val="20"/>
          <w:szCs w:val="20"/>
          <w:color w:val="auto"/>
        </w:rPr>
      </w:pPr>
      <w:r>
        <w:rPr>
          <w:rFonts w:ascii="Arial" w:cs="Arial" w:eastAsia="Arial" w:hAnsi="Arial"/>
          <w:sz w:val="17"/>
          <w:szCs w:val="17"/>
          <w:color w:val="auto"/>
        </w:rPr>
        <w:t>We will maintain one or more paying agents (each a “Paying Agent”) for the Notes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the Notes. If we fail to appoint or maintain another entity as Paying Agent, the Trustee will act as such. The Company, the Guarantor or any of the Guarantor’s subsidiaries, upon notice to the Trustee, may act as Paying Agent. The initial Paying Agent will be The Bank of New York Mellon in New York.</w:t>
      </w:r>
    </w:p>
    <w:p>
      <w:pPr>
        <w:spacing w:after="0" w:line="175"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w:t>
      </w:r>
    </w:p>
    <w:p>
      <w:pPr>
        <w:spacing w:after="0" w:line="166" w:lineRule="exact"/>
        <w:rPr>
          <w:sz w:val="20"/>
          <w:szCs w:val="20"/>
          <w:color w:val="auto"/>
        </w:rPr>
      </w:pPr>
    </w:p>
    <w:p>
      <w:pPr>
        <w:jc w:val="both"/>
        <w:ind w:left="320" w:right="60" w:firstLine="425"/>
        <w:spacing w:after="0" w:line="250" w:lineRule="auto"/>
        <w:rPr>
          <w:sz w:val="20"/>
          <w:szCs w:val="20"/>
          <w:color w:val="auto"/>
        </w:rPr>
      </w:pPr>
      <w:r>
        <w:rPr>
          <w:rFonts w:ascii="Arial" w:cs="Arial" w:eastAsia="Arial" w:hAnsi="Arial"/>
          <w:sz w:val="17"/>
          <w:szCs w:val="17"/>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w:t>
      </w:r>
    </w:p>
    <w:p>
      <w:pPr>
        <w:spacing w:after="0" w:line="167" w:lineRule="exact"/>
        <w:rPr>
          <w:sz w:val="20"/>
          <w:szCs w:val="20"/>
          <w:color w:val="auto"/>
        </w:rPr>
      </w:pPr>
    </w:p>
    <w:p>
      <w:pPr>
        <w:ind w:left="320" w:right="300" w:firstLine="425"/>
        <w:spacing w:after="0" w:line="281" w:lineRule="auto"/>
        <w:rPr>
          <w:sz w:val="20"/>
          <w:szCs w:val="20"/>
          <w:color w:val="auto"/>
        </w:rPr>
      </w:pPr>
      <w:r>
        <w:rPr>
          <w:rFonts w:ascii="Arial" w:cs="Arial" w:eastAsia="Arial" w:hAnsi="Arial"/>
          <w:sz w:val="17"/>
          <w:szCs w:val="17"/>
          <w:color w:val="auto"/>
        </w:rPr>
        <w:t>The Registrar will maintain a register reflecting ownership of Notes outstanding from time to time and the Paying Agent will make payments on and facilitate transfer of Notes on our behalf.</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may change any Paying Agents, Registrars or transfer agents without prior notice to the holders of Notes.</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Further Issuances</w:t>
      </w:r>
    </w:p>
    <w:p>
      <w:pPr>
        <w:spacing w:after="0" w:line="106" w:lineRule="exact"/>
        <w:rPr>
          <w:sz w:val="20"/>
          <w:szCs w:val="20"/>
          <w:color w:val="auto"/>
        </w:rPr>
      </w:pPr>
    </w:p>
    <w:p>
      <w:pPr>
        <w:ind w:left="320" w:right="100" w:firstLine="425"/>
        <w:spacing w:after="0" w:line="260" w:lineRule="auto"/>
        <w:rPr>
          <w:sz w:val="20"/>
          <w:szCs w:val="20"/>
          <w:color w:val="auto"/>
        </w:rPr>
      </w:pPr>
      <w:r>
        <w:rPr>
          <w:rFonts w:ascii="Arial" w:cs="Arial" w:eastAsia="Arial" w:hAnsi="Arial"/>
          <w:sz w:val="17"/>
          <w:szCs w:val="17"/>
          <w:color w:val="auto"/>
        </w:rPr>
        <w:t>The Company may, from time to time, without notice to or consent of the registered holders of the Notes, increase the principal amount of the Notes that may be issued under the Indenture and issue such increased principal amount (or any portion thereof), in which case any such additional Notes so</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S-23</w:t>
      </w:r>
    </w:p>
    <w:p>
      <w:pPr>
        <w:sectPr>
          <w:pgSz w:w="11900" w:h="16838" w:orient="portrait"/>
          <w:cols w:equalWidth="0" w:num="1">
            <w:col w:w="10900"/>
          </w:cols>
          <w:pgMar w:left="320" w:top="445"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40"/>
        <w:spacing w:after="0" w:line="248" w:lineRule="auto"/>
        <w:rPr>
          <w:sz w:val="20"/>
          <w:szCs w:val="20"/>
          <w:color w:val="auto"/>
        </w:rPr>
      </w:pPr>
      <w:r>
        <w:rPr>
          <w:rFonts w:ascii="Arial" w:cs="Arial" w:eastAsia="Arial" w:hAnsi="Arial"/>
          <w:sz w:val="17"/>
          <w:szCs w:val="17"/>
          <w:color w:val="auto"/>
        </w:rPr>
        <w:t>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Book-Entry, Delivery and Form</w:t>
      </w:r>
    </w:p>
    <w:p>
      <w:pPr>
        <w:spacing w:after="0" w:line="106" w:lineRule="exact"/>
        <w:rPr>
          <w:sz w:val="20"/>
          <w:szCs w:val="20"/>
          <w:color w:val="auto"/>
        </w:rPr>
      </w:pPr>
    </w:p>
    <w:p>
      <w:pPr>
        <w:jc w:val="both"/>
        <w:ind w:left="320" w:firstLine="425"/>
        <w:spacing w:after="0" w:line="260" w:lineRule="auto"/>
        <w:rPr>
          <w:sz w:val="20"/>
          <w:szCs w:val="20"/>
          <w:color w:val="auto"/>
        </w:rPr>
      </w:pPr>
      <w:r>
        <w:rPr>
          <w:rFonts w:ascii="Arial" w:cs="Arial" w:eastAsia="Arial" w:hAnsi="Arial"/>
          <w:sz w:val="17"/>
          <w:szCs w:val="17"/>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59" w:lineRule="exact"/>
        <w:rPr>
          <w:sz w:val="20"/>
          <w:szCs w:val="20"/>
          <w:color w:val="auto"/>
        </w:rPr>
      </w:pPr>
    </w:p>
    <w:p>
      <w:pPr>
        <w:ind w:left="320" w:right="280" w:firstLine="425"/>
        <w:spacing w:after="0" w:line="281" w:lineRule="auto"/>
        <w:rPr>
          <w:sz w:val="20"/>
          <w:szCs w:val="20"/>
          <w:color w:val="auto"/>
        </w:rPr>
      </w:pPr>
      <w:r>
        <w:rPr>
          <w:rFonts w:ascii="Arial" w:cs="Arial" w:eastAsia="Arial" w:hAnsi="Arial"/>
          <w:sz w:val="17"/>
          <w:szCs w:val="17"/>
          <w:color w:val="auto"/>
        </w:rPr>
        <w:t>Beneficial interests in the global Notes will be represented through book-entry accounts of financial institutions acting on behalf of beneficial owners as direct or indirect participants in DTC.</w:t>
      </w:r>
    </w:p>
    <w:p>
      <w:pPr>
        <w:spacing w:after="0" w:line="141" w:lineRule="exact"/>
        <w:rPr>
          <w:sz w:val="20"/>
          <w:szCs w:val="20"/>
          <w:color w:val="auto"/>
        </w:rPr>
      </w:pPr>
    </w:p>
    <w:p>
      <w:pPr>
        <w:ind w:left="320" w:right="20" w:firstLine="425"/>
        <w:spacing w:after="0" w:line="246" w:lineRule="auto"/>
        <w:rPr>
          <w:sz w:val="20"/>
          <w:szCs w:val="20"/>
          <w:color w:val="auto"/>
        </w:rPr>
      </w:pPr>
      <w:r>
        <w:rPr>
          <w:rFonts w:ascii="Arial" w:cs="Arial" w:eastAsia="Arial" w:hAnsi="Arial"/>
          <w:sz w:val="17"/>
          <w:szCs w:val="17"/>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Notes represented by a global Note can be exchanged for definitive securities in registered form only if:</w:t>
      </w:r>
    </w:p>
    <w:p>
      <w:pPr>
        <w:spacing w:after="0" w:line="117" w:lineRule="exact"/>
        <w:rPr>
          <w:sz w:val="20"/>
          <w:szCs w:val="20"/>
          <w:color w:val="auto"/>
        </w:rPr>
      </w:pPr>
    </w:p>
    <w:p>
      <w:pPr>
        <w:ind w:left="1240" w:right="40" w:hanging="409"/>
        <w:spacing w:after="0" w:line="260"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68" w:lineRule="exact"/>
        <w:rPr>
          <w:rFonts w:ascii="Arial" w:cs="Arial" w:eastAsia="Arial" w:hAnsi="Arial"/>
          <w:sz w:val="17"/>
          <w:szCs w:val="17"/>
          <w:color w:val="auto"/>
        </w:rPr>
      </w:pPr>
    </w:p>
    <w:p>
      <w:pPr>
        <w:ind w:left="1240" w:hanging="409"/>
        <w:spacing w:after="0" w:line="281"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determine that the Notes will no longer be represented by a global Note and execute and deliver to the Trustee an Officer’s Certificate to such effect.</w:t>
      </w:r>
    </w:p>
    <w:p>
      <w:pPr>
        <w:spacing w:after="0" w:line="141" w:lineRule="exact"/>
        <w:rPr>
          <w:sz w:val="20"/>
          <w:szCs w:val="20"/>
          <w:color w:val="auto"/>
        </w:rPr>
      </w:pPr>
    </w:p>
    <w:p>
      <w:pPr>
        <w:ind w:left="320" w:right="240" w:firstLine="425"/>
        <w:spacing w:after="0" w:line="260" w:lineRule="auto"/>
        <w:rPr>
          <w:sz w:val="20"/>
          <w:szCs w:val="20"/>
          <w:color w:val="auto"/>
        </w:rPr>
      </w:pPr>
      <w:r>
        <w:rPr>
          <w:rFonts w:ascii="Arial" w:cs="Arial" w:eastAsia="Arial" w:hAnsi="Arial"/>
          <w:sz w:val="17"/>
          <w:szCs w:val="17"/>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59" w:lineRule="exact"/>
        <w:rPr>
          <w:sz w:val="20"/>
          <w:szCs w:val="20"/>
          <w:color w:val="auto"/>
        </w:rPr>
      </w:pPr>
    </w:p>
    <w:p>
      <w:pPr>
        <w:ind w:left="320" w:right="260" w:firstLine="425"/>
        <w:spacing w:after="0" w:line="253" w:lineRule="auto"/>
        <w:rPr>
          <w:sz w:val="20"/>
          <w:szCs w:val="20"/>
          <w:color w:val="auto"/>
        </w:rPr>
      </w:pPr>
      <w:r>
        <w:rPr>
          <w:rFonts w:ascii="Arial" w:cs="Arial" w:eastAsia="Arial" w:hAnsi="Arial"/>
          <w:sz w:val="17"/>
          <w:szCs w:val="17"/>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74" w:lineRule="exact"/>
        <w:rPr>
          <w:sz w:val="20"/>
          <w:szCs w:val="20"/>
          <w:color w:val="auto"/>
        </w:rPr>
      </w:pPr>
    </w:p>
    <w:p>
      <w:pPr>
        <w:ind w:left="1240" w:right="940" w:hanging="409"/>
        <w:spacing w:after="0" w:line="281" w:lineRule="auto"/>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aspect of DTC’s records relating to, or payments made on account of, beneficial ownership interests in a Note represented by a global Note;</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S-24</w:t>
      </w:r>
    </w:p>
    <w:p>
      <w:pPr>
        <w:sectPr>
          <w:pgSz w:w="11900" w:h="16838" w:orient="portrait"/>
          <w:cols w:equalWidth="0" w:num="1">
            <w:col w:w="10920"/>
          </w:cols>
          <w:pgMar w:left="320" w:top="445"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right="160" w:hanging="409"/>
        <w:spacing w:after="0" w:line="281"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aspect of the relationship between DTC and its participants or the relationship between those participants and the owners of beneficial interests in a global Note held through those participants; or</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maintenance, supervision or review of any of DTC’s records relating to those beneficial ownership interests.</w:t>
      </w:r>
    </w:p>
    <w:p>
      <w:pPr>
        <w:spacing w:after="0" w:line="208" w:lineRule="exact"/>
        <w:rPr>
          <w:sz w:val="20"/>
          <w:szCs w:val="20"/>
          <w:color w:val="auto"/>
        </w:rPr>
      </w:pPr>
    </w:p>
    <w:p>
      <w:pPr>
        <w:ind w:left="320" w:right="120" w:firstLine="425"/>
        <w:spacing w:after="0" w:line="246"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DTC</w:t>
      </w:r>
    </w:p>
    <w:p>
      <w:pPr>
        <w:spacing w:after="0" w:line="104" w:lineRule="exact"/>
        <w:rPr>
          <w:sz w:val="20"/>
          <w:szCs w:val="20"/>
          <w:color w:val="auto"/>
        </w:rPr>
      </w:pPr>
    </w:p>
    <w:p>
      <w:pPr>
        <w:ind w:left="320" w:firstLine="425"/>
        <w:spacing w:after="0" w:line="244" w:lineRule="auto"/>
        <w:rPr>
          <w:sz w:val="20"/>
          <w:szCs w:val="20"/>
          <w:color w:val="auto"/>
        </w:rPr>
      </w:pPr>
      <w:r>
        <w:rPr>
          <w:rFonts w:ascii="Arial" w:cs="Arial" w:eastAsia="Arial" w:hAnsi="Arial"/>
          <w:sz w:val="17"/>
          <w:szCs w:val="17"/>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75" w:lineRule="exact"/>
        <w:rPr>
          <w:sz w:val="20"/>
          <w:szCs w:val="20"/>
          <w:color w:val="auto"/>
        </w:rPr>
      </w:pPr>
    </w:p>
    <w:p>
      <w:pPr>
        <w:ind w:left="320" w:right="60" w:firstLine="425"/>
        <w:spacing w:after="0" w:line="250"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371"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66" w:lineRule="exact"/>
        <w:rPr>
          <w:sz w:val="20"/>
          <w:szCs w:val="20"/>
          <w:color w:val="auto"/>
        </w:rPr>
      </w:pPr>
    </w:p>
    <w:p>
      <w:pPr>
        <w:jc w:val="both"/>
        <w:ind w:left="320" w:right="40" w:firstLine="425"/>
        <w:spacing w:after="0" w:line="260"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9" w:lineRule="exact"/>
        <w:rPr>
          <w:sz w:val="20"/>
          <w:szCs w:val="20"/>
          <w:color w:val="auto"/>
        </w:rPr>
      </w:pPr>
    </w:p>
    <w:p>
      <w:pPr>
        <w:ind w:left="320" w:right="760" w:firstLine="425"/>
        <w:spacing w:after="0" w:line="281" w:lineRule="auto"/>
        <w:rPr>
          <w:sz w:val="20"/>
          <w:szCs w:val="20"/>
          <w:color w:val="auto"/>
        </w:rPr>
      </w:pPr>
      <w:r>
        <w:rPr>
          <w:rFonts w:ascii="Arial" w:cs="Arial" w:eastAsia="Arial" w:hAnsi="Arial"/>
          <w:sz w:val="17"/>
          <w:szCs w:val="17"/>
          <w:color w:val="auto"/>
        </w:rPr>
        <w:t>DTC holds the securities of its participants and facilitates the clearance and settlement of securities transactions among its participants in such securities through electronic book-entry changes</w:t>
      </w:r>
    </w:p>
    <w:p>
      <w:pPr>
        <w:spacing w:after="0" w:line="7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S-25</w:t>
      </w:r>
    </w:p>
    <w:p>
      <w:pPr>
        <w:sectPr>
          <w:pgSz w:w="11900" w:h="16838" w:orient="portrait"/>
          <w:cols w:equalWidth="0" w:num="1">
            <w:col w:w="10880"/>
          </w:cols>
          <w:pgMar w:left="320" w:top="445" w:right="6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jc w:val="both"/>
        <w:ind w:left="320" w:right="180"/>
        <w:spacing w:after="0" w:line="260" w:lineRule="auto"/>
        <w:rPr>
          <w:sz w:val="20"/>
          <w:szCs w:val="20"/>
          <w:color w:val="auto"/>
        </w:rPr>
      </w:pPr>
      <w:r>
        <w:rPr>
          <w:rFonts w:ascii="Arial" w:cs="Arial" w:eastAsia="Arial" w:hAnsi="Arial"/>
          <w:sz w:val="17"/>
          <w:szCs w:val="17"/>
          <w:color w:val="auto"/>
        </w:rPr>
        <w:t>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w:t>
      </w:r>
    </w:p>
    <w:p>
      <w:pPr>
        <w:spacing w:after="0" w:line="159" w:lineRule="exact"/>
        <w:rPr>
          <w:sz w:val="20"/>
          <w:szCs w:val="20"/>
          <w:color w:val="auto"/>
        </w:rPr>
      </w:pPr>
    </w:p>
    <w:p>
      <w:pPr>
        <w:ind w:left="320" w:right="40" w:firstLine="425"/>
        <w:spacing w:after="0" w:line="250" w:lineRule="auto"/>
        <w:rPr>
          <w:sz w:val="20"/>
          <w:szCs w:val="20"/>
          <w:color w:val="auto"/>
        </w:rPr>
      </w:pPr>
      <w:r>
        <w:rPr>
          <w:rFonts w:ascii="Arial" w:cs="Arial" w:eastAsia="Arial" w:hAnsi="Arial"/>
          <w:sz w:val="17"/>
          <w:szCs w:val="17"/>
          <w:color w:val="auto"/>
        </w:rPr>
        <w:t>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7" w:lineRule="exact"/>
        <w:rPr>
          <w:sz w:val="20"/>
          <w:szCs w:val="20"/>
          <w:color w:val="auto"/>
        </w:rPr>
      </w:pPr>
    </w:p>
    <w:p>
      <w:pPr>
        <w:ind w:left="320" w:right="80" w:firstLine="425"/>
        <w:spacing w:after="0" w:line="281" w:lineRule="auto"/>
        <w:rPr>
          <w:sz w:val="20"/>
          <w:szCs w:val="20"/>
          <w:color w:val="auto"/>
        </w:rPr>
      </w:pPr>
      <w:r>
        <w:rPr>
          <w:rFonts w:ascii="Arial" w:cs="Arial" w:eastAsia="Arial" w:hAnsi="Arial"/>
          <w:sz w:val="17"/>
          <w:szCs w:val="17"/>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Clearstream</w:t>
      </w:r>
    </w:p>
    <w:p>
      <w:pPr>
        <w:spacing w:after="0" w:line="104" w:lineRule="exact"/>
        <w:rPr>
          <w:sz w:val="20"/>
          <w:szCs w:val="20"/>
          <w:color w:val="auto"/>
        </w:rPr>
      </w:pPr>
    </w:p>
    <w:p>
      <w:pPr>
        <w:ind w:left="320" w:firstLine="425"/>
        <w:spacing w:after="0" w:line="243"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376" w:lineRule="exact"/>
        <w:rPr>
          <w:sz w:val="20"/>
          <w:szCs w:val="20"/>
          <w:color w:val="auto"/>
        </w:rPr>
      </w:pPr>
    </w:p>
    <w:p>
      <w:pPr>
        <w:ind w:left="320" w:right="920" w:firstLine="425"/>
        <w:spacing w:after="0" w:line="281" w:lineRule="auto"/>
        <w:rPr>
          <w:sz w:val="20"/>
          <w:szCs w:val="20"/>
          <w:color w:val="auto"/>
        </w:rPr>
      </w:pPr>
      <w:r>
        <w:rPr>
          <w:rFonts w:ascii="Arial" w:cs="Arial" w:eastAsia="Arial" w:hAnsi="Arial"/>
          <w:sz w:val="17"/>
          <w:szCs w:val="17"/>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Euroclear</w:t>
      </w:r>
    </w:p>
    <w:p>
      <w:pPr>
        <w:spacing w:after="0" w:line="104" w:lineRule="exact"/>
        <w:rPr>
          <w:sz w:val="20"/>
          <w:szCs w:val="20"/>
          <w:color w:val="auto"/>
        </w:rPr>
      </w:pPr>
    </w:p>
    <w:p>
      <w:pPr>
        <w:ind w:left="320" w:right="80" w:firstLine="425"/>
        <w:spacing w:after="0" w:line="245" w:lineRule="auto"/>
        <w:rPr>
          <w:sz w:val="20"/>
          <w:szCs w:val="20"/>
          <w:color w:val="auto"/>
        </w:rPr>
      </w:pPr>
      <w:r>
        <w:rPr>
          <w:rFonts w:ascii="Arial" w:cs="Arial" w:eastAsia="Arial" w:hAnsi="Arial"/>
          <w:sz w:val="17"/>
          <w:szCs w:val="17"/>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S-26</w:t>
      </w:r>
    </w:p>
    <w:p>
      <w:pPr>
        <w:sectPr>
          <w:pgSz w:w="11900" w:h="16838" w:orient="portrait"/>
          <w:cols w:equalWidth="0" w:num="1">
            <w:col w:w="10920"/>
          </w:cols>
          <w:pgMar w:left="320" w:top="445" w:right="6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20"/>
        <w:spacing w:after="0" w:line="260" w:lineRule="auto"/>
        <w:rPr>
          <w:sz w:val="20"/>
          <w:szCs w:val="20"/>
          <w:color w:val="auto"/>
        </w:rPr>
      </w:pPr>
      <w:r>
        <w:rPr>
          <w:rFonts w:ascii="Arial" w:cs="Arial" w:eastAsia="Arial" w:hAnsi="Arial"/>
          <w:sz w:val="17"/>
          <w:szCs w:val="17"/>
          <w:color w:val="auto"/>
        </w:rPr>
        <w:t>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59" w:lineRule="exact"/>
        <w:rPr>
          <w:sz w:val="20"/>
          <w:szCs w:val="20"/>
          <w:color w:val="auto"/>
        </w:rPr>
      </w:pPr>
    </w:p>
    <w:p>
      <w:pPr>
        <w:ind w:left="320" w:right="520" w:firstLine="425"/>
        <w:spacing w:after="0" w:line="281" w:lineRule="auto"/>
        <w:rPr>
          <w:sz w:val="20"/>
          <w:szCs w:val="20"/>
          <w:color w:val="auto"/>
        </w:rPr>
      </w:pPr>
      <w:r>
        <w:rPr>
          <w:rFonts w:ascii="Arial" w:cs="Arial" w:eastAsia="Arial" w:hAnsi="Arial"/>
          <w:sz w:val="17"/>
          <w:szCs w:val="17"/>
          <w:color w:val="auto"/>
        </w:rPr>
        <w:t>The Euroclear Operator advises us that it is regulated and examined by the Belgian banking and Finance Commission and the National Bank of Belgium.</w:t>
      </w:r>
    </w:p>
    <w:p>
      <w:pPr>
        <w:spacing w:after="0" w:line="141" w:lineRule="exact"/>
        <w:rPr>
          <w:sz w:val="20"/>
          <w:szCs w:val="20"/>
          <w:color w:val="auto"/>
        </w:rPr>
      </w:pPr>
    </w:p>
    <w:p>
      <w:pPr>
        <w:ind w:left="320" w:right="60" w:firstLine="425"/>
        <w:spacing w:after="0" w:line="248"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69" w:lineRule="exact"/>
        <w:rPr>
          <w:sz w:val="20"/>
          <w:szCs w:val="20"/>
          <w:color w:val="auto"/>
        </w:rPr>
      </w:pPr>
    </w:p>
    <w:p>
      <w:pPr>
        <w:ind w:left="320" w:right="100" w:firstLine="425"/>
        <w:spacing w:after="0" w:line="281" w:lineRule="auto"/>
        <w:rPr>
          <w:sz w:val="20"/>
          <w:szCs w:val="20"/>
          <w:color w:val="auto"/>
        </w:rPr>
      </w:pPr>
      <w:r>
        <w:rPr>
          <w:rFonts w:ascii="Arial" w:cs="Arial" w:eastAsia="Arial" w:hAnsi="Arial"/>
          <w:sz w:val="17"/>
          <w:szCs w:val="17"/>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41" w:lineRule="exact"/>
        <w:rPr>
          <w:sz w:val="20"/>
          <w:szCs w:val="20"/>
          <w:color w:val="auto"/>
        </w:rPr>
      </w:pPr>
    </w:p>
    <w:p>
      <w:pPr>
        <w:ind w:left="320" w:right="120" w:firstLine="425"/>
        <w:spacing w:after="0" w:line="253" w:lineRule="auto"/>
        <w:rPr>
          <w:sz w:val="20"/>
          <w:szCs w:val="20"/>
          <w:color w:val="auto"/>
        </w:rPr>
      </w:pPr>
      <w:r>
        <w:rPr>
          <w:rFonts w:ascii="Arial" w:cs="Arial" w:eastAsia="Arial" w:hAnsi="Arial"/>
          <w:sz w:val="17"/>
          <w:szCs w:val="17"/>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Global Clearance and Settlement Procedures</w:t>
      </w:r>
    </w:p>
    <w:p>
      <w:pPr>
        <w:spacing w:after="0" w:line="106" w:lineRule="exact"/>
        <w:rPr>
          <w:sz w:val="20"/>
          <w:szCs w:val="20"/>
          <w:color w:val="auto"/>
        </w:rPr>
      </w:pPr>
    </w:p>
    <w:p>
      <w:pPr>
        <w:ind w:left="320" w:right="120" w:firstLine="425"/>
        <w:spacing w:after="0" w:line="250" w:lineRule="auto"/>
        <w:rPr>
          <w:sz w:val="20"/>
          <w:szCs w:val="20"/>
          <w:color w:val="auto"/>
        </w:rPr>
      </w:pPr>
      <w:r>
        <w:rPr>
          <w:rFonts w:ascii="Arial" w:cs="Arial" w:eastAsia="Arial" w:hAnsi="Arial"/>
          <w:sz w:val="17"/>
          <w:szCs w:val="17"/>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67" w:lineRule="exact"/>
        <w:rPr>
          <w:sz w:val="20"/>
          <w:szCs w:val="20"/>
          <w:color w:val="auto"/>
        </w:rPr>
      </w:pPr>
    </w:p>
    <w:p>
      <w:pPr>
        <w:ind w:left="320" w:right="60" w:firstLine="425"/>
        <w:spacing w:after="0" w:line="245"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1" w:lineRule="exact"/>
        <w:rPr>
          <w:sz w:val="20"/>
          <w:szCs w:val="20"/>
          <w:color w:val="auto"/>
        </w:rPr>
      </w:pPr>
    </w:p>
    <w:p>
      <w:pPr>
        <w:ind w:left="320" w:firstLine="425"/>
        <w:spacing w:after="0" w:line="281" w:lineRule="auto"/>
        <w:rPr>
          <w:sz w:val="20"/>
          <w:szCs w:val="20"/>
          <w:color w:val="auto"/>
        </w:rPr>
      </w:pPr>
      <w:r>
        <w:rPr>
          <w:rFonts w:ascii="Arial" w:cs="Arial" w:eastAsia="Arial" w:hAnsi="Arial"/>
          <w:sz w:val="17"/>
          <w:szCs w:val="17"/>
          <w:color w:val="auto"/>
        </w:rPr>
        <w:t>Because of time-zone differences, credits of Notes received through Clearstream or Euroclear as a result of a transaction with a DTC participant will be made during subsequent securities settlement</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S-27</w:t>
      </w:r>
    </w:p>
    <w:p>
      <w:pPr>
        <w:sectPr>
          <w:pgSz w:w="11900" w:h="16838" w:orient="portrait"/>
          <w:cols w:equalWidth="0" w:num="1">
            <w:col w:w="10940"/>
          </w:cols>
          <w:pgMar w:left="320" w:top="44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spacing w:after="0" w:line="250" w:lineRule="auto"/>
        <w:rPr>
          <w:sz w:val="20"/>
          <w:szCs w:val="20"/>
          <w:color w:val="auto"/>
        </w:rPr>
      </w:pPr>
      <w:r>
        <w:rPr>
          <w:rFonts w:ascii="Arial" w:cs="Arial" w:eastAsia="Arial" w:hAnsi="Arial"/>
          <w:sz w:val="17"/>
          <w:szCs w:val="17"/>
          <w:color w:val="auto"/>
        </w:rPr>
        <w:t>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67" w:lineRule="exact"/>
        <w:rPr>
          <w:sz w:val="20"/>
          <w:szCs w:val="20"/>
          <w:color w:val="auto"/>
        </w:rPr>
      </w:pPr>
    </w:p>
    <w:p>
      <w:pPr>
        <w:ind w:left="320" w:right="40" w:firstLine="425"/>
        <w:spacing w:after="0" w:line="245" w:lineRule="auto"/>
        <w:rPr>
          <w:sz w:val="20"/>
          <w:szCs w:val="20"/>
          <w:color w:val="auto"/>
        </w:rPr>
      </w:pPr>
      <w:r>
        <w:rPr>
          <w:rFonts w:ascii="Arial" w:cs="Arial" w:eastAsia="Arial" w:hAnsi="Arial"/>
          <w:sz w:val="17"/>
          <w:szCs w:val="17"/>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75" w:lineRule="exact"/>
        <w:rPr>
          <w:sz w:val="20"/>
          <w:szCs w:val="20"/>
          <w:color w:val="auto"/>
        </w:rPr>
      </w:pPr>
    </w:p>
    <w:p>
      <w:pPr>
        <w:ind w:left="320" w:right="40" w:firstLine="425"/>
        <w:spacing w:after="0" w:line="250" w:lineRule="auto"/>
        <w:rPr>
          <w:sz w:val="20"/>
          <w:szCs w:val="20"/>
          <w:color w:val="auto"/>
        </w:rPr>
      </w:pPr>
      <w:r>
        <w:rPr>
          <w:rFonts w:ascii="Arial" w:cs="Arial" w:eastAsia="Arial" w:hAnsi="Arial"/>
          <w:sz w:val="17"/>
          <w:szCs w:val="17"/>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S-28</w:t>
      </w:r>
    </w:p>
    <w:p>
      <w:pPr>
        <w:sectPr>
          <w:pgSz w:w="11900" w:h="16838" w:orient="portrait"/>
          <w:cols w:equalWidth="0" w:num="1">
            <w:col w:w="10920"/>
          </w:cols>
          <w:pgMar w:left="320" w:top="445"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NON-U.S. FEDERAL INCOME TAX CONSIDERATIONS</w:t>
      </w:r>
    </w:p>
    <w:p>
      <w:pPr>
        <w:spacing w:after="0" w:line="210"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This summary solely addresses the principal Luxembourg tax consequences of the acquisition, ownership and disposal of the Notes and does not purport to describe every aspect of taxation that may be relevant to a particular holder. Tax matters are complex, and the tax consequences of the offer to a particular holder of Notes will depend in part on such holder’s circumstances. Accordingly, a holder is urged to consult his tax advisor for a full understanding of the tax consequences of the offer to him, including the applicability and effect of Luxembourg tax laws.</w:t>
      </w:r>
    </w:p>
    <w:p>
      <w:pPr>
        <w:spacing w:after="0" w:line="167" w:lineRule="exact"/>
        <w:rPr>
          <w:sz w:val="20"/>
          <w:szCs w:val="20"/>
          <w:color w:val="auto"/>
        </w:rPr>
      </w:pPr>
    </w:p>
    <w:p>
      <w:pPr>
        <w:ind w:left="320" w:right="280" w:firstLine="425"/>
        <w:spacing w:after="0" w:line="281" w:lineRule="auto"/>
        <w:rPr>
          <w:sz w:val="20"/>
          <w:szCs w:val="20"/>
          <w:color w:val="auto"/>
        </w:rPr>
      </w:pPr>
      <w:r>
        <w:rPr>
          <w:rFonts w:ascii="Arial" w:cs="Arial" w:eastAsia="Arial" w:hAnsi="Arial"/>
          <w:sz w:val="17"/>
          <w:szCs w:val="17"/>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141" w:lineRule="exact"/>
        <w:rPr>
          <w:sz w:val="20"/>
          <w:szCs w:val="20"/>
          <w:color w:val="auto"/>
        </w:rPr>
      </w:pPr>
    </w:p>
    <w:p>
      <w:pPr>
        <w:jc w:val="both"/>
        <w:ind w:left="320" w:right="60" w:firstLine="425"/>
        <w:spacing w:after="0" w:line="260" w:lineRule="auto"/>
        <w:rPr>
          <w:sz w:val="20"/>
          <w:szCs w:val="20"/>
          <w:color w:val="auto"/>
        </w:rPr>
      </w:pPr>
      <w:r>
        <w:rPr>
          <w:rFonts w:ascii="Arial" w:cs="Arial" w:eastAsia="Arial" w:hAnsi="Arial"/>
          <w:sz w:val="17"/>
          <w:szCs w:val="17"/>
          <w:color w:val="auto"/>
        </w:rPr>
        <w:t>This summary is based on the tax law of Luxembourg (unpublished case law not included) as it stands at the date of this prospectus supplement. The tax law upon which this summary is based, is subject to changes, possibly with retroactive effect. Any such change may invalidate the contents of this summary, which will not be updated to reflect such change.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This overview assumes that each transaction with respect to the Notes is at arm’s length.</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summary in this Luxembourg taxation paragraph does not address the Luxembourg tax consequences for a noteholder who:</w:t>
      </w:r>
    </w:p>
    <w:p>
      <w:pPr>
        <w:spacing w:after="0" w:line="117" w:lineRule="exact"/>
        <w:rPr>
          <w:sz w:val="20"/>
          <w:szCs w:val="20"/>
          <w:color w:val="auto"/>
        </w:rPr>
      </w:pPr>
    </w:p>
    <w:p>
      <w:pPr>
        <w:ind w:left="1240" w:hanging="513"/>
        <w:spacing w:after="0" w:line="250"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 an investor as defined in a specific law (such as the law on family wealth management companies of 11 May 2007, as amended, the law on undertakings for collective investment of 17 December 2010, as amended, the law on specialized investment funds of 13 February 2007, as amended, the law on reserved alternative investment funds of 23 July 2016, the law on securitisation of 22 March 2004, as amended, the law on venture capital vehicles of 15 June 2004, as amended and the law on pension saving companies and associations of 13 July 2005);</w:t>
      </w:r>
    </w:p>
    <w:p>
      <w:pPr>
        <w:spacing w:after="0" w:line="75" w:lineRule="exact"/>
        <w:rPr>
          <w:rFonts w:ascii="Arial" w:cs="Arial" w:eastAsia="Arial" w:hAnsi="Arial"/>
          <w:sz w:val="17"/>
          <w:szCs w:val="17"/>
          <w:color w:val="auto"/>
        </w:rPr>
      </w:pPr>
    </w:p>
    <w:p>
      <w:pPr>
        <w:ind w:left="1240" w:hanging="513"/>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 in whole or in part, exempt from tax;</w:t>
      </w:r>
    </w:p>
    <w:p>
      <w:pPr>
        <w:spacing w:after="0" w:line="117" w:lineRule="exact"/>
        <w:rPr>
          <w:rFonts w:ascii="Arial" w:cs="Arial" w:eastAsia="Arial" w:hAnsi="Arial"/>
          <w:sz w:val="17"/>
          <w:szCs w:val="17"/>
          <w:color w:val="auto"/>
        </w:rPr>
      </w:pPr>
    </w:p>
    <w:p>
      <w:pPr>
        <w:ind w:left="1240" w:right="220" w:hanging="513"/>
        <w:spacing w:after="0" w:line="281"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acquires, owns or disposes of the Notes in connection with a membership of a management board, a supervisory board, an employment relationship, a deemed employment relationship or management role; or</w:t>
      </w:r>
    </w:p>
    <w:p>
      <w:pPr>
        <w:spacing w:after="0" w:line="50" w:lineRule="exact"/>
        <w:rPr>
          <w:rFonts w:ascii="Arial" w:cs="Arial" w:eastAsia="Arial" w:hAnsi="Arial"/>
          <w:sz w:val="17"/>
          <w:szCs w:val="17"/>
          <w:color w:val="auto"/>
        </w:rPr>
      </w:pPr>
    </w:p>
    <w:p>
      <w:pPr>
        <w:ind w:left="1240" w:right="20" w:hanging="513"/>
        <w:spacing w:after="0" w:line="260"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has a substantial interest in the Company or a deemed substantial interest in the Company for Luxembourg tax purposes. Generally, a person holds a substantial interest if such person owns or is deemed to own, directly or indirectly, more than 10% of the shares or interest in an entity.</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Withholding Tax</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Non-resident noteholders</w:t>
      </w:r>
    </w:p>
    <w:p>
      <w:pPr>
        <w:spacing w:after="0" w:line="104" w:lineRule="exact"/>
        <w:rPr>
          <w:sz w:val="20"/>
          <w:szCs w:val="20"/>
          <w:color w:val="auto"/>
        </w:rPr>
      </w:pPr>
    </w:p>
    <w:p>
      <w:pPr>
        <w:ind w:left="320" w:right="120" w:firstLine="425"/>
        <w:spacing w:after="0" w:line="260" w:lineRule="auto"/>
        <w:rPr>
          <w:sz w:val="20"/>
          <w:szCs w:val="20"/>
          <w:color w:val="auto"/>
        </w:rPr>
      </w:pPr>
      <w:r>
        <w:rPr>
          <w:rFonts w:ascii="Arial" w:cs="Arial" w:eastAsia="Arial" w:hAnsi="Arial"/>
          <w:sz w:val="17"/>
          <w:szCs w:val="17"/>
          <w:color w:val="auto"/>
        </w:rPr>
        <w:t>All payments of interest and principal under the Notes made to non-residents of Luxembourg may be made free from withholding or deduction of or for any taxes of whatever nature imposed, levied, withheld or assessed by Luxembourg or any political subdivision or taxing authority of or in Luxembourg.</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Individual resident noteholders</w:t>
      </w:r>
    </w:p>
    <w:p>
      <w:pPr>
        <w:spacing w:after="0" w:line="104" w:lineRule="exact"/>
        <w:rPr>
          <w:sz w:val="20"/>
          <w:szCs w:val="20"/>
          <w:color w:val="auto"/>
        </w:rPr>
      </w:pPr>
    </w:p>
    <w:p>
      <w:pPr>
        <w:ind w:left="320" w:right="80" w:firstLine="425"/>
        <w:spacing w:after="0" w:line="281" w:lineRule="auto"/>
        <w:rPr>
          <w:sz w:val="20"/>
          <w:szCs w:val="20"/>
          <w:color w:val="auto"/>
        </w:rPr>
      </w:pPr>
      <w:r>
        <w:rPr>
          <w:rFonts w:ascii="Arial" w:cs="Arial" w:eastAsia="Arial" w:hAnsi="Arial"/>
          <w:sz w:val="17"/>
          <w:szCs w:val="17"/>
          <w:color w:val="auto"/>
        </w:rPr>
        <w:t>Under the law of 23 December 2005 as amended (the “Relibi Law”), payments of interest and similar income made or deemed to be made to an individual who is resident in Luxembourg are subject to a withholding tax of 20% of the payment.</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S-29</w:t>
      </w:r>
    </w:p>
    <w:p>
      <w:pPr>
        <w:sectPr>
          <w:pgSz w:w="11900" w:h="16838" w:orient="portrait"/>
          <w:cols w:equalWidth="0" w:num="1">
            <w:col w:w="10920"/>
          </w:cols>
          <w:pgMar w:left="320" w:top="445"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Taxes on Income and Capital Gains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Non-resident noteholders</w:t>
      </w:r>
    </w:p>
    <w:p>
      <w:pPr>
        <w:spacing w:after="0" w:line="104" w:lineRule="exact"/>
        <w:rPr>
          <w:sz w:val="20"/>
          <w:szCs w:val="20"/>
          <w:color w:val="auto"/>
        </w:rPr>
      </w:pPr>
    </w:p>
    <w:p>
      <w:pPr>
        <w:ind w:left="320" w:right="60" w:firstLine="425"/>
        <w:spacing w:after="0" w:line="260" w:lineRule="auto"/>
        <w:rPr>
          <w:sz w:val="20"/>
          <w:szCs w:val="20"/>
          <w:color w:val="auto"/>
        </w:rPr>
      </w:pPr>
      <w:r>
        <w:rPr>
          <w:rFonts w:ascii="Arial" w:cs="Arial" w:eastAsia="Arial" w:hAnsi="Arial"/>
          <w:sz w:val="17"/>
          <w:szCs w:val="17"/>
          <w:color w:val="auto"/>
        </w:rPr>
        <w:t>Non-resident noteholders that do not have a permanent establishment in Luxembourg to which the Notes or income thereon are attributable are not subject to Luxembourg income taxes in respect of any benefits derived or deemed to be derived in connection with the Notes.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Resident noteholders</w:t>
      </w:r>
    </w:p>
    <w:p>
      <w:pPr>
        <w:spacing w:after="0" w:line="104" w:lineRule="exact"/>
        <w:rPr>
          <w:sz w:val="20"/>
          <w:szCs w:val="20"/>
          <w:color w:val="auto"/>
        </w:rPr>
      </w:pPr>
    </w:p>
    <w:p>
      <w:pPr>
        <w:ind w:left="320" w:right="60" w:firstLine="425"/>
        <w:spacing w:after="0" w:line="246" w:lineRule="auto"/>
        <w:rPr>
          <w:sz w:val="20"/>
          <w:szCs w:val="20"/>
          <w:color w:val="auto"/>
        </w:rPr>
      </w:pPr>
      <w:r>
        <w:rPr>
          <w:rFonts w:ascii="Arial" w:cs="Arial" w:eastAsia="Arial" w:hAnsi="Arial"/>
          <w:sz w:val="17"/>
          <w:szCs w:val="17"/>
          <w:color w:val="auto"/>
        </w:rPr>
        <w:t>Individuals. Any benefits derived or deemed to be derived from or in connection with Notes that are attributable to an enterprise from which an individual derives profits, whether as an entrepreneur or pursuant to a co-entitlement to the net value of an enterprise, are generally subject to Luxembourg income tax. A resident individual who invests in the Notes as part of such person’s private wealth management, is subject to Luxembourg income tax in respect of interest and similar income (such as premiums or issue discounts) derived from the Notes, except if tax is levied on such income in accordance with the Relibi Law. A gain realised by a resident individual, acting in the course of the management of that person’s private wealth, upon the sale or disposal, in any form whatsoever, of Notes is not subject to Luxembourg income tax, provided this sale or disposal takes place more than six months after the Notes are acquired.</w:t>
      </w:r>
    </w:p>
    <w:p>
      <w:pPr>
        <w:spacing w:after="0" w:line="173" w:lineRule="exact"/>
        <w:rPr>
          <w:sz w:val="20"/>
          <w:szCs w:val="20"/>
          <w:color w:val="auto"/>
        </w:rPr>
      </w:pPr>
    </w:p>
    <w:p>
      <w:pPr>
        <w:ind w:left="320" w:right="40" w:firstLine="425"/>
        <w:spacing w:after="0" w:line="260" w:lineRule="auto"/>
        <w:rPr>
          <w:sz w:val="20"/>
          <w:szCs w:val="20"/>
          <w:color w:val="auto"/>
        </w:rPr>
      </w:pPr>
      <w:r>
        <w:rPr>
          <w:rFonts w:ascii="Arial" w:cs="Arial" w:eastAsia="Arial" w:hAnsi="Arial"/>
          <w:sz w:val="17"/>
          <w:szCs w:val="17"/>
          <w:color w:val="auto"/>
        </w:rPr>
        <w:t>However, any portion of such gain corresponding to accrued but unpaid interest is subject to Luxembourg income tax, except if tax is levied on such interest in accordance with the Relibi Law. Any benefit derived by a resident individual from the disposal of Notes prior to their acquisition is subject to income tax as well.</w:t>
      </w:r>
    </w:p>
    <w:p>
      <w:pPr>
        <w:spacing w:after="0" w:line="159" w:lineRule="exact"/>
        <w:rPr>
          <w:sz w:val="20"/>
          <w:szCs w:val="20"/>
          <w:color w:val="auto"/>
        </w:rPr>
      </w:pPr>
    </w:p>
    <w:p>
      <w:pPr>
        <w:ind w:left="320" w:right="100" w:firstLine="425"/>
        <w:spacing w:after="0" w:line="260" w:lineRule="auto"/>
        <w:rPr>
          <w:sz w:val="20"/>
          <w:szCs w:val="20"/>
          <w:color w:val="auto"/>
        </w:rPr>
      </w:pPr>
      <w:r>
        <w:rPr>
          <w:rFonts w:ascii="Arial" w:cs="Arial" w:eastAsia="Arial" w:hAnsi="Arial"/>
          <w:sz w:val="17"/>
          <w:szCs w:val="17"/>
          <w:i w:val="1"/>
          <w:iCs w:val="1"/>
          <w:color w:val="auto"/>
        </w:rPr>
        <w:t>Corporations</w:t>
      </w:r>
      <w:r>
        <w:rPr>
          <w:rFonts w:ascii="Arial" w:cs="Arial" w:eastAsia="Arial" w:hAnsi="Arial"/>
          <w:sz w:val="17"/>
          <w:szCs w:val="17"/>
          <w:color w:val="auto"/>
        </w:rPr>
        <w:t>. A corporate resident noteholder must include any benefits derived or deemed to be derived from or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such as interest accrued or received, any redemption premium or issue discount, as well as any gain realized on the sale or disposal, in any form whatsoever, of the Notes, in its taxable income for Luxembourg income tax purposes.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General</w:t>
      </w:r>
    </w:p>
    <w:p>
      <w:pPr>
        <w:spacing w:after="0" w:line="104" w:lineRule="exact"/>
        <w:rPr>
          <w:sz w:val="20"/>
          <w:szCs w:val="20"/>
          <w:color w:val="auto"/>
        </w:rPr>
      </w:pPr>
    </w:p>
    <w:p>
      <w:pPr>
        <w:ind w:left="320" w:right="100" w:firstLine="425"/>
        <w:spacing w:after="0" w:line="253" w:lineRule="auto"/>
        <w:rPr>
          <w:sz w:val="20"/>
          <w:szCs w:val="20"/>
          <w:color w:val="auto"/>
        </w:rPr>
      </w:pPr>
      <w:r>
        <w:rPr>
          <w:rFonts w:ascii="Arial" w:cs="Arial" w:eastAsia="Arial" w:hAnsi="Arial"/>
          <w:sz w:val="17"/>
          <w:szCs w:val="17"/>
          <w:color w:val="auto"/>
        </w:rPr>
        <w:t>If a noteholder is neither resident nor deemed to be resident in Luxembourg, such holder will for Luxembourg tax purposes not carry on or be deemed to carry on an enterprise, in whole or in part, through a permanent establishment or a permanent representative in Luxembourg by reason only of the execution of the documents relating to the issue of Notes or the performance by the Company of its obligations under such documents or under the Notes.</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Net Wealth Tax</w:t>
      </w:r>
    </w:p>
    <w:p>
      <w:pPr>
        <w:spacing w:after="0" w:line="106"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 xml:space="preserve">Corporate noteholders resident in Luxembourg and non-resident corporate noteholders that maintain a permanent establishment in Luxembourg to which such Notes are attributable are subject to annual net wealth tax on their unitary value (i.e., non-exempt assets minus liabilities and certain provisions as valued according to the Luxembourg valuation rules), levied at a rate of 0.5% if the unitary value does not exceed </w:t>
      </w:r>
      <w:r>
        <w:rPr>
          <w:rFonts w:ascii="Times New Roman" w:cs="Times New Roman" w:eastAsia="Times New Roman" w:hAnsi="Times New Roman"/>
          <w:sz w:val="17"/>
          <w:szCs w:val="17"/>
          <w:color w:val="auto"/>
        </w:rPr>
        <w:t>€</w:t>
      </w:r>
      <w:r>
        <w:rPr>
          <w:rFonts w:ascii="Arial" w:cs="Arial" w:eastAsia="Arial" w:hAnsi="Arial"/>
          <w:sz w:val="17"/>
          <w:szCs w:val="17"/>
          <w:color w:val="auto"/>
        </w:rPr>
        <w:t>500,000,000.</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Individuals are not subject to Luxembourg net wealth tax.</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Inheritance and Gift Tax</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Where the Notes are transferred for non-consideration:</w:t>
      </w:r>
    </w:p>
    <w:p>
      <w:pPr>
        <w:spacing w:after="0" w:line="117" w:lineRule="exact"/>
        <w:rPr>
          <w:sz w:val="20"/>
          <w:szCs w:val="20"/>
          <w:color w:val="auto"/>
        </w:rPr>
      </w:pPr>
    </w:p>
    <w:p>
      <w:pPr>
        <w:ind w:left="1240" w:right="580" w:hanging="513"/>
        <w:spacing w:after="0" w:line="281" w:lineRule="auto"/>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Luxembourg inheritance tax is levied on the transfer of the Notes upon the death of a noteholder in cases where the deceased was not a resident or a deemed resident of Luxembourg for inheritance tax purposes;</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S-30</w:t>
      </w:r>
    </w:p>
    <w:p>
      <w:pPr>
        <w:sectPr>
          <w:pgSz w:w="11900" w:h="16838" w:orient="portrait"/>
          <w:cols w:equalWidth="0" w:num="1">
            <w:col w:w="10940"/>
          </w:cols>
          <w:pgMar w:left="320" w:top="44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right="120" w:hanging="513"/>
        <w:spacing w:after="0" w:line="260" w:lineRule="auto"/>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by way of gift, Luxembourg gift tax will be levied in the event that the gift is made pursuant to a notarial deed signed before a Luxembourg notary or produced for registration, directly or indirectly, before the Registration and Estates Department (</w:t>
      </w:r>
      <w:r>
        <w:rPr>
          <w:rFonts w:ascii="Arial" w:cs="Arial" w:eastAsia="Arial" w:hAnsi="Arial"/>
          <w:sz w:val="17"/>
          <w:szCs w:val="17"/>
          <w:i w:val="1"/>
          <w:iCs w:val="1"/>
          <w:color w:val="auto"/>
        </w:rPr>
        <w:t>Administration de l’enregistrement, des domaines et de la TVA</w:t>
      </w:r>
      <w:r>
        <w:rPr>
          <w:rFonts w:ascii="Arial" w:cs="Arial" w:eastAsia="Arial" w:hAnsi="Arial"/>
          <w:sz w:val="17"/>
          <w:szCs w:val="17"/>
          <w:color w:val="auto"/>
        </w:rPr>
        <w:t>).</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Other Taxes and Duties</w:t>
      </w:r>
    </w:p>
    <w:p>
      <w:pPr>
        <w:spacing w:after="0" w:line="106" w:lineRule="exact"/>
        <w:rPr>
          <w:sz w:val="20"/>
          <w:szCs w:val="20"/>
          <w:color w:val="auto"/>
        </w:rPr>
      </w:pPr>
    </w:p>
    <w:p>
      <w:pPr>
        <w:ind w:left="320" w:firstLine="425"/>
        <w:spacing w:after="0" w:line="260" w:lineRule="auto"/>
        <w:rPr>
          <w:sz w:val="20"/>
          <w:szCs w:val="20"/>
          <w:color w:val="auto"/>
        </w:rPr>
      </w:pPr>
      <w:r>
        <w:rPr>
          <w:rFonts w:ascii="Arial" w:cs="Arial" w:eastAsia="Arial" w:hAnsi="Arial"/>
          <w:sz w:val="17"/>
          <w:szCs w:val="17"/>
          <w:color w:val="auto"/>
        </w:rPr>
        <w:t>It is not compulsory that the Notes be filed, recorded, or enrolled with any court or other authority in Luxembourg. No registration tax, stamp duty or any other similar documentary tax or duty is due in respect of or in connection with the issue of Notes, the performance by the Company of its obligations under the Notes, or the transfer of the Notes.</w:t>
      </w:r>
    </w:p>
    <w:p>
      <w:pPr>
        <w:spacing w:after="0" w:line="159" w:lineRule="exact"/>
        <w:rPr>
          <w:sz w:val="20"/>
          <w:szCs w:val="20"/>
          <w:color w:val="auto"/>
        </w:rPr>
      </w:pPr>
    </w:p>
    <w:p>
      <w:pPr>
        <w:ind w:left="320" w:right="120" w:firstLine="425"/>
        <w:spacing w:after="0" w:line="253" w:lineRule="auto"/>
        <w:rPr>
          <w:sz w:val="20"/>
          <w:szCs w:val="20"/>
          <w:color w:val="auto"/>
        </w:rPr>
      </w:pPr>
      <w:r>
        <w:rPr>
          <w:rFonts w:ascii="Arial" w:cs="Arial" w:eastAsia="Arial" w:hAnsi="Arial"/>
          <w:sz w:val="17"/>
          <w:szCs w:val="17"/>
          <w:color w:val="auto"/>
        </w:rPr>
        <w:t>A fixed or proportional registration duty in Luxembourg may however apply (i) upon registration of the Notes before the Registration and Estates Department (Administration de l’enregistrement, des domaines et de la TVA) in Luxembourg where this registration is not required by law, or (ii) if the Notes are (a) enclosed to a compulsory registrable deed under Luxembourg law, or (b) deposited with the official records of a notary.</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FATCA</w:t>
      </w:r>
    </w:p>
    <w:p>
      <w:pPr>
        <w:spacing w:after="0" w:line="106" w:lineRule="exact"/>
        <w:rPr>
          <w:sz w:val="20"/>
          <w:szCs w:val="20"/>
          <w:color w:val="auto"/>
        </w:rPr>
      </w:pPr>
    </w:p>
    <w:p>
      <w:pPr>
        <w:ind w:left="320" w:right="20" w:firstLine="425"/>
        <w:spacing w:after="0" w:line="253" w:lineRule="auto"/>
        <w:rPr>
          <w:sz w:val="20"/>
          <w:szCs w:val="20"/>
          <w:color w:val="auto"/>
        </w:rPr>
      </w:pPr>
      <w:r>
        <w:rPr>
          <w:rFonts w:ascii="Arial" w:cs="Arial" w:eastAsia="Arial" w:hAnsi="Arial"/>
          <w:sz w:val="17"/>
          <w:szCs w:val="17"/>
          <w:color w:val="auto"/>
        </w:rPr>
        <w:t>The Foreign Account Tax Compliance Act (“FATCA”) was enacted into U.S. law in March 2010 as part of the Hiring Incentives to Restore Employment Act. FATCA aims at reducing tax evasion by U.S. citizens and requires, among other things, foreign financial institutions outside the U.S. (“FFIs”) to provide information about financial accounts held, directly or indirectly, by specified U.S. persons or face a 30% U.S. federal withholding tax imposed on certain U.S.-source payment (“FATCA Withholding”).</w:t>
      </w:r>
    </w:p>
    <w:p>
      <w:pPr>
        <w:spacing w:after="0" w:line="166"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To implement FATCA in Luxembourg, Luxembourg entered into a so-called Model 1 Intergovernmental Agreement (the “IGA”) with the U.S., and a memorandum of understanding in respect thereof, on 28 March 2014. The IGA was implemented under Luxembourg domestic law by Law of 24 July 2015 (the “Luxembourg FATCA Law”). Luxembourg FFIs that comply with the requirements of the IGA and the Luxembourg FATCA Law will not be subject to FATCA Withholding.</w:t>
      </w:r>
    </w:p>
    <w:p>
      <w:pPr>
        <w:spacing w:after="0" w:line="166" w:lineRule="exact"/>
        <w:rPr>
          <w:sz w:val="20"/>
          <w:szCs w:val="20"/>
          <w:color w:val="auto"/>
        </w:rPr>
      </w:pPr>
    </w:p>
    <w:p>
      <w:pPr>
        <w:ind w:left="320" w:right="200" w:firstLine="425"/>
        <w:spacing w:after="0" w:line="249" w:lineRule="auto"/>
        <w:rPr>
          <w:sz w:val="20"/>
          <w:szCs w:val="20"/>
          <w:color w:val="auto"/>
        </w:rPr>
      </w:pPr>
      <w:r>
        <w:rPr>
          <w:rFonts w:ascii="Arial" w:cs="Arial" w:eastAsia="Arial" w:hAnsi="Arial"/>
          <w:sz w:val="17"/>
          <w:szCs w:val="17"/>
          <w:color w:val="auto"/>
        </w:rPr>
        <w:t>Under the IGA and the Luxembourg FATCA Law, Luxembourg FFIs are required to perform certain necessary due diligence and monitoring of investors, and to report to the Luxembourg tax authorities on an annual basis information about financial accounts held by</w:t>
      </w:r>
    </w:p>
    <w:p>
      <w:pPr>
        <w:spacing w:after="0" w:line="1" w:lineRule="exact"/>
        <w:rPr>
          <w:sz w:val="20"/>
          <w:szCs w:val="20"/>
          <w:color w:val="auto"/>
        </w:rPr>
      </w:pPr>
    </w:p>
    <w:p>
      <w:pPr>
        <w:ind w:left="320" w:right="240" w:hanging="10"/>
        <w:spacing w:after="0" w:line="261"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specified U.S. investors, (b) certain U.S.-controlled entity investors and (c) non-U.S. financial institution investors that do not comply with FATCA. Such information will subsequently be remitted by the Luxembourg tax authorities to the U.S. Internal Revenue Service.</w:t>
      </w:r>
    </w:p>
    <w:p>
      <w:pPr>
        <w:spacing w:after="0" w:line="158" w:lineRule="exact"/>
        <w:rPr>
          <w:sz w:val="20"/>
          <w:szCs w:val="20"/>
          <w:color w:val="auto"/>
        </w:rPr>
      </w:pPr>
    </w:p>
    <w:p>
      <w:pPr>
        <w:jc w:val="both"/>
        <w:ind w:left="320" w:right="420" w:firstLine="425"/>
        <w:spacing w:after="0" w:line="260" w:lineRule="auto"/>
        <w:rPr>
          <w:sz w:val="20"/>
          <w:szCs w:val="20"/>
          <w:color w:val="auto"/>
        </w:rPr>
      </w:pPr>
      <w:r>
        <w:rPr>
          <w:rFonts w:ascii="Arial" w:cs="Arial" w:eastAsia="Arial" w:hAnsi="Arial"/>
          <w:sz w:val="17"/>
          <w:szCs w:val="17"/>
          <w:color w:val="auto"/>
        </w:rPr>
        <w:t>Noteholders may be required to provide information to the Company to ensure the Company’s compliance with the IGA and the Luxembourg FATCA Law. In the event that a noteholder does not provide the required information, the Company may need to report financial account information of such noteholder to Luxembourg tax authorities.</w:t>
      </w:r>
    </w:p>
    <w:p>
      <w:pPr>
        <w:spacing w:after="0" w:line="159" w:lineRule="exact"/>
        <w:rPr>
          <w:sz w:val="20"/>
          <w:szCs w:val="20"/>
          <w:color w:val="auto"/>
        </w:rPr>
      </w:pPr>
    </w:p>
    <w:p>
      <w:pPr>
        <w:ind w:left="320" w:right="660" w:firstLine="425"/>
        <w:spacing w:after="0" w:line="281" w:lineRule="auto"/>
        <w:rPr>
          <w:sz w:val="20"/>
          <w:szCs w:val="20"/>
          <w:color w:val="auto"/>
        </w:rPr>
      </w:pPr>
      <w:r>
        <w:rPr>
          <w:rFonts w:ascii="Arial" w:cs="Arial" w:eastAsia="Arial" w:hAnsi="Arial"/>
          <w:sz w:val="17"/>
          <w:szCs w:val="17"/>
          <w:color w:val="auto"/>
        </w:rPr>
        <w:t>Noteholders should consult with their tax advisers regarding the effects of the IGA and the Luxembourg FATCA Law on their investment in the Notes.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Common Reporting Standard</w:t>
      </w:r>
    </w:p>
    <w:p>
      <w:pPr>
        <w:spacing w:after="0" w:line="106" w:lineRule="exact"/>
        <w:rPr>
          <w:sz w:val="20"/>
          <w:szCs w:val="20"/>
          <w:color w:val="auto"/>
        </w:rPr>
      </w:pPr>
    </w:p>
    <w:p>
      <w:pPr>
        <w:ind w:left="320" w:right="60" w:firstLine="425"/>
        <w:spacing w:after="0" w:line="281" w:lineRule="auto"/>
        <w:rPr>
          <w:sz w:val="20"/>
          <w:szCs w:val="20"/>
          <w:color w:val="auto"/>
        </w:rPr>
      </w:pPr>
      <w:r>
        <w:rPr>
          <w:rFonts w:ascii="Arial" w:cs="Arial" w:eastAsia="Arial" w:hAnsi="Arial"/>
          <w:sz w:val="17"/>
          <w:szCs w:val="17"/>
          <w:color w:val="auto"/>
        </w:rPr>
        <w:t>The Organisation for Economic Co-operation and Development has developed a new global standard for the automatic exchange of financial information between tax authorities (the “CRS”).</w:t>
      </w:r>
    </w:p>
    <w:p>
      <w:pPr>
        <w:spacing w:after="0" w:line="7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S-31</w:t>
      </w:r>
    </w:p>
    <w:p>
      <w:pPr>
        <w:sectPr>
          <w:pgSz w:w="11900" w:h="16838" w:orient="portrait"/>
          <w:cols w:equalWidth="0" w:num="1">
            <w:col w:w="10900"/>
          </w:cols>
          <w:pgMar w:left="320" w:top="445" w:right="6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40"/>
        <w:spacing w:after="0" w:line="253" w:lineRule="auto"/>
        <w:rPr>
          <w:sz w:val="20"/>
          <w:szCs w:val="20"/>
          <w:color w:val="auto"/>
        </w:rPr>
      </w:pPr>
      <w:r>
        <w:rPr>
          <w:rFonts w:ascii="Arial" w:cs="Arial" w:eastAsia="Arial" w:hAnsi="Arial"/>
          <w:sz w:val="17"/>
          <w:szCs w:val="17"/>
          <w:color w:val="auto"/>
        </w:rPr>
        <w:t>Luxembourg is a signatory jurisdiction to the CRS and has conducted its first exchange of information with tax authorities of other signatory jurisdictions in September 2017, as regards reportable financial information gathered in relation to fiscal year 2016. The CRS has been implemented in Luxembourg via the law dated 18 December 2015 concerning the automatic exchange of information on financial accounts and tax matters and implementing the EU Directive 2014/107/EU.</w:t>
      </w:r>
    </w:p>
    <w:p>
      <w:pPr>
        <w:spacing w:after="0" w:line="166"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The regulations may impose obligations on the Company and the noteholders, if the Company is considered as a Reporting Financial Institution (e.g., an Investment Entity) under the CRS, so that the latter could be required to conduct due diligence and obtain (among other things) confirmation of the tax residency, tax identification number and CRS classification of noteholders in order to fulfil its own legal obligations.</w:t>
      </w:r>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S-32</w:t>
      </w:r>
    </w:p>
    <w:p>
      <w:pPr>
        <w:sectPr>
          <w:pgSz w:w="11900" w:h="16838" w:orient="portrait"/>
          <w:cols w:equalWidth="0" w:num="1">
            <w:col w:w="10760"/>
          </w:cols>
          <w:pgMar w:left="320" w:top="445" w:right="8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U.S. FEDERAL INCOME TAX CONSIDERATIONS</w:t>
      </w:r>
    </w:p>
    <w:p>
      <w:pPr>
        <w:spacing w:after="0" w:line="210" w:lineRule="exact"/>
        <w:rPr>
          <w:sz w:val="20"/>
          <w:szCs w:val="20"/>
          <w:color w:val="auto"/>
        </w:rPr>
      </w:pPr>
    </w:p>
    <w:p>
      <w:pPr>
        <w:ind w:left="320" w:right="140" w:firstLine="425"/>
        <w:spacing w:after="0" w:line="248" w:lineRule="auto"/>
        <w:rPr>
          <w:sz w:val="20"/>
          <w:szCs w:val="20"/>
          <w:color w:val="auto"/>
        </w:rPr>
      </w:pPr>
      <w:r>
        <w:rPr>
          <w:rFonts w:ascii="Arial" w:cs="Arial" w:eastAsia="Arial" w:hAnsi="Arial"/>
          <w:sz w:val="17"/>
          <w:szCs w:val="17"/>
          <w:color w:val="auto"/>
        </w:rPr>
        <w:t>The following is a summary of U.S. federal income tax considerations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w:t>
      </w:r>
    </w:p>
    <w:p>
      <w:pPr>
        <w:spacing w:after="0" w:line="169" w:lineRule="exact"/>
        <w:rPr>
          <w:sz w:val="20"/>
          <w:szCs w:val="20"/>
          <w:color w:val="auto"/>
        </w:rPr>
      </w:pPr>
    </w:p>
    <w:p>
      <w:pPr>
        <w:ind w:left="320" w:firstLine="425"/>
        <w:spacing w:after="0" w:line="248" w:lineRule="auto"/>
        <w:rPr>
          <w:sz w:val="20"/>
          <w:szCs w:val="20"/>
          <w:color w:val="auto"/>
        </w:rPr>
      </w:pPr>
      <w:r>
        <w:rPr>
          <w:rFonts w:ascii="Arial" w:cs="Arial" w:eastAsia="Arial" w:hAnsi="Arial"/>
          <w:sz w:val="17"/>
          <w:szCs w:val="17"/>
          <w:color w:val="auto"/>
        </w:rPr>
        <w:t>For purposes of this summary, a “U.S. Holder” is a beneficial owner of a Note that, for U.S. federal income tax purposes, is, or is treated as: (a) an individual citizen or resident of the United States; (b) a corporation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69" w:lineRule="exact"/>
        <w:rPr>
          <w:sz w:val="20"/>
          <w:szCs w:val="20"/>
          <w:color w:val="auto"/>
        </w:rPr>
      </w:pPr>
    </w:p>
    <w:p>
      <w:pPr>
        <w:ind w:left="320" w:right="60" w:firstLine="425"/>
        <w:spacing w:after="0" w:line="253" w:lineRule="auto"/>
        <w:rPr>
          <w:sz w:val="20"/>
          <w:szCs w:val="20"/>
          <w:color w:val="auto"/>
        </w:rPr>
      </w:pPr>
      <w:r>
        <w:rPr>
          <w:rFonts w:ascii="Arial" w:cs="Arial" w:eastAsia="Arial" w:hAnsi="Arial"/>
          <w:sz w:val="17"/>
          <w:szCs w:val="17"/>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166" w:lineRule="exact"/>
        <w:rPr>
          <w:sz w:val="20"/>
          <w:szCs w:val="20"/>
          <w:color w:val="auto"/>
        </w:rPr>
      </w:pPr>
    </w:p>
    <w:p>
      <w:pPr>
        <w:ind w:left="320" w:right="40" w:firstLine="425"/>
        <w:spacing w:after="0" w:line="242" w:lineRule="auto"/>
        <w:rPr>
          <w:sz w:val="20"/>
          <w:szCs w:val="20"/>
          <w:color w:val="auto"/>
        </w:rPr>
      </w:pPr>
      <w:r>
        <w:rPr>
          <w:rFonts w:ascii="Arial" w:cs="Arial" w:eastAsia="Arial" w:hAnsi="Arial"/>
          <w:sz w:val="17"/>
          <w:szCs w:val="17"/>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S-33</w:t>
      </w:r>
    </w:p>
    <w:p>
      <w:pPr>
        <w:sectPr>
          <w:pgSz w:w="11900" w:h="16838" w:orient="portrait"/>
          <w:cols w:equalWidth="0" w:num="1">
            <w:col w:w="10940"/>
          </w:cols>
          <w:pgMar w:left="320" w:top="44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both"/>
        <w:ind w:left="320" w:right="200" w:firstLine="425"/>
        <w:spacing w:after="0" w:line="266" w:lineRule="auto"/>
        <w:rPr>
          <w:sz w:val="20"/>
          <w:szCs w:val="20"/>
          <w:color w:val="auto"/>
        </w:rPr>
      </w:pPr>
      <w:r>
        <w:rPr>
          <w:rFonts w:ascii="Arial" w:cs="Arial" w:eastAsia="Arial" w:hAnsi="Arial"/>
          <w:sz w:val="17"/>
          <w:szCs w:val="17"/>
          <w:b w:val="1"/>
          <w:bCs w:val="1"/>
          <w:color w:val="auto"/>
        </w:rPr>
        <w:t>If you are considering the purchase of Notes, you should consult your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U.S. Holders</w:t>
      </w:r>
    </w:p>
    <w:p>
      <w:pPr>
        <w:spacing w:after="0" w:line="106" w:lineRule="exact"/>
        <w:rPr>
          <w:sz w:val="20"/>
          <w:szCs w:val="20"/>
          <w:color w:val="auto"/>
        </w:rPr>
      </w:pPr>
    </w:p>
    <w:p>
      <w:pPr>
        <w:ind w:left="320" w:right="40" w:firstLine="425"/>
        <w:spacing w:after="0" w:line="242" w:lineRule="auto"/>
        <w:rPr>
          <w:sz w:val="20"/>
          <w:szCs w:val="20"/>
          <w:color w:val="auto"/>
        </w:rPr>
      </w:pPr>
      <w:r>
        <w:rPr>
          <w:rFonts w:ascii="Arial" w:cs="Arial" w:eastAsia="Arial" w:hAnsi="Arial"/>
          <w:sz w:val="17"/>
          <w:szCs w:val="17"/>
          <w:b w:val="1"/>
          <w:bCs w:val="1"/>
          <w:i w:val="1"/>
          <w:iCs w:val="1"/>
          <w:color w:val="auto"/>
        </w:rPr>
        <w:t>Assumption by Subsidiary</w:t>
      </w:r>
      <w:r>
        <w:rPr>
          <w:rFonts w:ascii="Arial" w:cs="Arial" w:eastAsia="Arial" w:hAnsi="Arial"/>
          <w:sz w:val="17"/>
          <w:szCs w:val="17"/>
          <w:color w:val="auto"/>
        </w:rPr>
        <w:t>. An assumption of the Company’s obligations as the issuer of the Notes by a subsidiary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Guarantor may be treated for U.S. federal income tax purposes as a taxable exchange of the Notes for new Notes issued by such subsidiary of the Guarantor. In that event, you may be required to recognize taxable gain or loss for U.S. federal income tax purposes, generally in an amount equal to the difference between the “issue price” of the new Notes (which will be the trading price of the Notes at such time if they are treated as traded on an established securities market) and your basis in the old Notes, even though you continue to hold the Notes and receive no distribution in connection with the deemed disposition. Such gain or loss generally will be capital, and any loss could be disallowed under the wash sale rules. In addition, the new Notes deemed issued in such a deemed exchange could be treated as issued with original issue discount (“OID”) if the new Notes or the Notes are treated as traded on an established securities market at such time and the principal amount of the new Notes were to exceed the new Notes or the Notes’ trading price, as applicable. See “Description of the Notes—Assumption by a Subsidiary” for the information to be made available to holders in this regard. In such a case, U.S. Holders would be required to include such OID in their income as it accrues, in advance of the receipt of cash corresponding to such income, regardless of their regular method of tax accounting. Beneficial owners of Notes who are U.S. Holders should consult their tax advisors regarding the non-U.S., U.S. federal, state and local income tax consequences of an assumption of the Company’s obligations as issuer of Notes by a subsidiary of the Guarantor. See “</w:t>
      </w:r>
      <w:r>
        <w:rPr>
          <w:rFonts w:ascii="Arial" w:cs="Arial" w:eastAsia="Arial" w:hAnsi="Arial"/>
          <w:sz w:val="17"/>
          <w:szCs w:val="17"/>
          <w:i w:val="1"/>
          <w:iCs w:val="1"/>
          <w:color w:val="auto"/>
        </w:rPr>
        <w:t>Description of the Notes—Assumption by a Subsidiary</w:t>
      </w:r>
      <w:r>
        <w:rPr>
          <w:rFonts w:ascii="Arial" w:cs="Arial" w:eastAsia="Arial" w:hAnsi="Arial"/>
          <w:sz w:val="17"/>
          <w:szCs w:val="17"/>
          <w:color w:val="auto"/>
        </w:rPr>
        <w:t>” for additional information.</w:t>
      </w:r>
    </w:p>
    <w:p>
      <w:pPr>
        <w:spacing w:after="0" w:line="379" w:lineRule="exact"/>
        <w:rPr>
          <w:sz w:val="20"/>
          <w:szCs w:val="20"/>
          <w:color w:val="auto"/>
        </w:rPr>
      </w:pPr>
    </w:p>
    <w:p>
      <w:pPr>
        <w:ind w:left="320" w:right="260" w:firstLine="425"/>
        <w:spacing w:after="0" w:line="281" w:lineRule="auto"/>
        <w:rPr>
          <w:sz w:val="20"/>
          <w:szCs w:val="20"/>
          <w:color w:val="auto"/>
        </w:rPr>
      </w:pPr>
      <w:r>
        <w:rPr>
          <w:rFonts w:ascii="Arial" w:cs="Arial" w:eastAsia="Arial" w:hAnsi="Arial"/>
          <w:sz w:val="17"/>
          <w:szCs w:val="17"/>
          <w:b w:val="1"/>
          <w:bCs w:val="1"/>
          <w:i w:val="1"/>
          <w:iCs w:val="1"/>
          <w:color w:val="auto"/>
        </w:rPr>
        <w:t>Interest</w:t>
      </w:r>
      <w:r>
        <w:rPr>
          <w:rFonts w:ascii="Arial" w:cs="Arial" w:eastAsia="Arial" w:hAnsi="Arial"/>
          <w:sz w:val="17"/>
          <w:szCs w:val="17"/>
          <w:color w:val="auto"/>
        </w:rPr>
        <w:t>. Interest on a Note (including Additional Amounts, if any) will generally be taxable to you as ordinary interest income as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accrues or is received by you in accordance with your usual method of accounting for U.S. federal income tax purposes.</w:t>
      </w:r>
    </w:p>
    <w:p>
      <w:pPr>
        <w:spacing w:after="0" w:line="141" w:lineRule="exact"/>
        <w:rPr>
          <w:sz w:val="20"/>
          <w:szCs w:val="20"/>
          <w:color w:val="auto"/>
        </w:rPr>
      </w:pPr>
    </w:p>
    <w:p>
      <w:pPr>
        <w:ind w:left="320" w:right="120" w:firstLine="425"/>
        <w:spacing w:after="0" w:line="253" w:lineRule="auto"/>
        <w:rPr>
          <w:sz w:val="20"/>
          <w:szCs w:val="20"/>
          <w:color w:val="auto"/>
        </w:rPr>
      </w:pPr>
      <w:r>
        <w:rPr>
          <w:rFonts w:ascii="Arial" w:cs="Arial" w:eastAsia="Arial" w:hAnsi="Arial"/>
          <w:sz w:val="17"/>
          <w:szCs w:val="17"/>
          <w:color w:val="auto"/>
        </w:rPr>
        <w:t>If withholding taxes are imposed in Luxembourg or in another jurisdiction, you will be treated as having actually received an amount equal to the amount of such taxes and as having paid such amount to the relevant taxing authority. As a result, the amount of income included in gross income may be greater than the amount of cash actually received. You should consult your tax advisors concerning the U.S. federal income tax consequences of the imposition of such taxes and the availability of any credit or deduction.</w:t>
      </w:r>
    </w:p>
    <w:p>
      <w:pPr>
        <w:spacing w:after="0" w:line="166"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Interest income (and Additional Amounts, if any) from the Notes generally will constitute foreign-source income, and will generally constitute “passive category income,” which may be relevant to you in calculating your foreign tax credit limitation. The limitation on foreign taxes eligible for credit is calculated separately with respect to specific classes of income. You should consult your tax advisors regarding the application of the U.S. foreign tax credit rules.</w:t>
      </w:r>
    </w:p>
    <w:p>
      <w:pPr>
        <w:spacing w:after="0" w:line="166" w:lineRule="exact"/>
        <w:rPr>
          <w:sz w:val="20"/>
          <w:szCs w:val="20"/>
          <w:color w:val="auto"/>
        </w:rPr>
      </w:pPr>
    </w:p>
    <w:p>
      <w:pPr>
        <w:ind w:left="320" w:right="60" w:firstLine="425"/>
        <w:spacing w:after="0" w:line="248" w:lineRule="auto"/>
        <w:rPr>
          <w:sz w:val="20"/>
          <w:szCs w:val="20"/>
          <w:color w:val="auto"/>
        </w:rPr>
      </w:pPr>
      <w:r>
        <w:rPr>
          <w:rFonts w:ascii="Arial" w:cs="Arial" w:eastAsia="Arial" w:hAnsi="Arial"/>
          <w:sz w:val="17"/>
          <w:szCs w:val="17"/>
          <w:b w:val="1"/>
          <w:bCs w:val="1"/>
          <w:i w:val="1"/>
          <w:iCs w:val="1"/>
          <w:color w:val="auto"/>
        </w:rPr>
        <w:t xml:space="preserve">Sale, Exchange or Other Taxable Dispositions of Notes. </w:t>
      </w:r>
      <w:r>
        <w:rPr>
          <w:rFonts w:ascii="Arial" w:cs="Arial" w:eastAsia="Arial" w:hAnsi="Arial"/>
          <w:sz w:val="17"/>
          <w:szCs w:val="17"/>
          <w:color w:val="auto"/>
        </w:rPr>
        <w:t>If you are a U.S. Holder, upon the sale, exchange, redemption,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S-34</w:t>
      </w:r>
    </w:p>
    <w:p>
      <w:pPr>
        <w:sectPr>
          <w:pgSz w:w="11900" w:h="16838" w:orient="portrait"/>
          <w:cols w:equalWidth="0" w:num="1">
            <w:col w:w="10920"/>
          </w:cols>
          <w:pgMar w:left="320" w:top="445" w:right="6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40" w:firstLine="425"/>
        <w:spacing w:after="0" w:line="250" w:lineRule="auto"/>
        <w:rPr>
          <w:sz w:val="20"/>
          <w:szCs w:val="20"/>
          <w:color w:val="auto"/>
        </w:rPr>
      </w:pPr>
      <w:r>
        <w:rPr>
          <w:rFonts w:ascii="Arial" w:cs="Arial" w:eastAsia="Arial" w:hAnsi="Arial"/>
          <w:sz w:val="17"/>
          <w:szCs w:val="17"/>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 You should consult your tax advisors as to the U.S. federal income tax and foreign tax credit implications of such sale, redemption, retirement or other disposition of a Note.</w:t>
      </w:r>
    </w:p>
    <w:p>
      <w:pPr>
        <w:spacing w:after="0" w:line="167"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b w:val="1"/>
          <w:bCs w:val="1"/>
          <w:i w:val="1"/>
          <w:iCs w:val="1"/>
          <w:color w:val="auto"/>
        </w:rPr>
        <w:t>Additional Tax on Net Investment Income</w:t>
      </w:r>
      <w:r>
        <w:rPr>
          <w:rFonts w:ascii="Arial" w:cs="Arial" w:eastAsia="Arial" w:hAnsi="Arial"/>
          <w:sz w:val="17"/>
          <w:szCs w:val="17"/>
          <w:color w:val="auto"/>
        </w:rPr>
        <w:t>. U.S. persons that are individuals, estates, or certain trusts are generally subject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3.8% tax on the 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75" w:lineRule="exact"/>
        <w:rPr>
          <w:sz w:val="20"/>
          <w:szCs w:val="20"/>
          <w:color w:val="auto"/>
        </w:rPr>
      </w:pPr>
    </w:p>
    <w:p>
      <w:pPr>
        <w:jc w:val="both"/>
        <w:ind w:left="320" w:right="120" w:firstLine="425"/>
        <w:spacing w:after="0" w:line="253" w:lineRule="auto"/>
        <w:rPr>
          <w:sz w:val="20"/>
          <w:szCs w:val="20"/>
          <w:color w:val="auto"/>
        </w:rPr>
      </w:pPr>
      <w:r>
        <w:rPr>
          <w:rFonts w:ascii="Arial" w:cs="Arial" w:eastAsia="Arial" w:hAnsi="Arial"/>
          <w:sz w:val="17"/>
          <w:szCs w:val="17"/>
          <w:b w:val="1"/>
          <w:bCs w:val="1"/>
          <w:i w:val="1"/>
          <w:iCs w:val="1"/>
          <w:color w:val="auto"/>
        </w:rPr>
        <w:t>Information With Respect to Foreign Financial Assets</w:t>
      </w:r>
      <w:r>
        <w:rPr>
          <w:rFonts w:ascii="Arial" w:cs="Arial" w:eastAsia="Arial" w:hAnsi="Arial"/>
          <w:sz w:val="17"/>
          <w:szCs w:val="17"/>
          <w:color w:val="auto"/>
        </w:rPr>
        <w:t>. Certain U.S. Holders who are individuals (and certain specified entities)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hold certain foreign financial assets (which may include the Notes) other than in an account at a financial institution may be required to report information relating to such assets to the IRS. Failure to report such information, if required, may result in substantial penalties. You should consult your tax advisor regarding the application of these rules to your ownership of the Notes.</w:t>
      </w:r>
    </w:p>
    <w:p>
      <w:pPr>
        <w:spacing w:after="0" w:line="166"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color w:val="auto"/>
        </w:rPr>
        <w:t>. Payments of interest and sales proceeds that are made within the United States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through certain U.S.-related financial intermediaries may be subject to information reporting and backup withholding unless the U.S. Holder is an exempt recipient or, in the case of backup withholding, provides a correct taxpayer identification number and certifies that it is not subject to backup withholding and otherwise complies with applicable requirements of the backup withholding rules.</w:t>
      </w:r>
    </w:p>
    <w:p>
      <w:pPr>
        <w:spacing w:after="0" w:line="166" w:lineRule="exact"/>
        <w:rPr>
          <w:sz w:val="20"/>
          <w:szCs w:val="20"/>
          <w:color w:val="auto"/>
        </w:rPr>
      </w:pPr>
    </w:p>
    <w:p>
      <w:pPr>
        <w:jc w:val="both"/>
        <w:ind w:left="320" w:right="200" w:firstLine="425"/>
        <w:spacing w:after="0" w:line="260"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credit against your U.S. federal income tax liability and may entitle you to a refund, provided the required information is timely furnished to the IRS.</w:t>
      </w:r>
    </w:p>
    <w:p>
      <w:pPr>
        <w:spacing w:after="0" w:line="157" w:lineRule="exact"/>
        <w:rPr>
          <w:sz w:val="20"/>
          <w:szCs w:val="20"/>
          <w:color w:val="auto"/>
        </w:rPr>
      </w:pPr>
    </w:p>
    <w:p>
      <w:pPr>
        <w:jc w:val="both"/>
        <w:ind w:left="320" w:right="120" w:firstLine="425"/>
        <w:spacing w:after="0" w:line="257" w:lineRule="auto"/>
        <w:rPr>
          <w:sz w:val="20"/>
          <w:szCs w:val="20"/>
          <w:color w:val="auto"/>
        </w:rPr>
      </w:pPr>
      <w:r>
        <w:rPr>
          <w:rFonts w:ascii="Arial" w:cs="Arial" w:eastAsia="Arial" w:hAnsi="Arial"/>
          <w:sz w:val="17"/>
          <w:szCs w:val="17"/>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w:t>
      </w:r>
      <w:r>
        <w:rPr>
          <w:rFonts w:ascii="Arial" w:cs="Arial" w:eastAsia="Arial" w:hAnsi="Arial"/>
          <w:sz w:val="17"/>
          <w:szCs w:val="17"/>
          <w:color w:val="auto"/>
        </w:rPr>
        <w:t>.</w:t>
      </w:r>
    </w:p>
    <w:p>
      <w:pPr>
        <w:spacing w:after="0" w:line="8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S-35</w:t>
      </w:r>
    </w:p>
    <w:p>
      <w:pPr>
        <w:sectPr>
          <w:pgSz w:w="11900" w:h="16838" w:orient="portrait"/>
          <w:cols w:equalWidth="0" w:num="1">
            <w:col w:w="10880"/>
          </w:cols>
          <w:pgMar w:left="320" w:top="445" w:right="6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UNDERWRITING</w:t>
      </w:r>
    </w:p>
    <w:p>
      <w:pPr>
        <w:spacing w:after="0" w:line="210" w:lineRule="exact"/>
        <w:rPr>
          <w:sz w:val="20"/>
          <w:szCs w:val="20"/>
          <w:color w:val="auto"/>
        </w:rPr>
      </w:pPr>
    </w:p>
    <w:p>
      <w:pPr>
        <w:ind w:left="320" w:right="120" w:firstLine="425"/>
        <w:spacing w:after="0" w:line="253" w:lineRule="auto"/>
        <w:rPr>
          <w:sz w:val="20"/>
          <w:szCs w:val="20"/>
          <w:color w:val="auto"/>
        </w:rPr>
      </w:pPr>
      <w:r>
        <w:rPr>
          <w:rFonts w:ascii="Arial" w:cs="Arial" w:eastAsia="Arial" w:hAnsi="Arial"/>
          <w:sz w:val="17"/>
          <w:szCs w:val="17"/>
          <w:color w:val="auto"/>
        </w:rPr>
        <w:t>Subject to the terms and conditions contained in an underwriting agreement, dated as of the date of this prospectus supplement among us, the Guarantor and the underwriters named below, for whom Citigroup Global Markets Inc., HSBC Securities (USA) Inc. and J.P. Morgan Securities LLC are acting as representatives, we have agreed to sell to each underwriter, and each underwriter has severally agreed to purchase from us, the principal amount of Notes that appears opposite its name in the table below:</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Underwriters</w:t>
            </w:r>
          </w:p>
        </w:tc>
        <w:tc>
          <w:tcPr>
            <w:tcW w:w="7960" w:type="dxa"/>
            <w:vAlign w:val="bottom"/>
          </w:tcPr>
          <w:p>
            <w:pPr>
              <w:spacing w:after="0"/>
              <w:rPr>
                <w:sz w:val="16"/>
                <w:szCs w:val="16"/>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Principal Amount of Notes</w:t>
            </w:r>
          </w:p>
        </w:tc>
      </w:tr>
      <w:tr>
        <w:trPr>
          <w:trHeight w:val="181"/>
        </w:trPr>
        <w:tc>
          <w:tcPr>
            <w:tcW w:w="882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7"/>
                <w:szCs w:val="17"/>
                <w:color w:val="auto"/>
              </w:rPr>
              <w:t>Citigroup Global Markets Inc.</w:t>
            </w: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95,000,000</w:t>
            </w:r>
          </w:p>
        </w:tc>
        <w:tc>
          <w:tcPr>
            <w:tcW w:w="40" w:type="dxa"/>
            <w:vAlign w:val="bottom"/>
            <w:tcBorders>
              <w:top w:val="single" w:sz="8" w:color="CCEEFF"/>
            </w:tcBorders>
            <w:shd w:val="clear" w:color="auto" w:fill="CCEEFF"/>
          </w:tcPr>
          <w:p>
            <w:pPr>
              <w:spacing w:after="0"/>
              <w:rPr>
                <w:sz w:val="15"/>
                <w:szCs w:val="15"/>
                <w:color w:val="auto"/>
              </w:rPr>
            </w:pPr>
          </w:p>
        </w:tc>
      </w:tr>
      <w:tr>
        <w:trPr>
          <w:trHeight w:val="195"/>
        </w:trPr>
        <w:tc>
          <w:tcPr>
            <w:tcW w:w="8820" w:type="dxa"/>
            <w:vAlign w:val="bottom"/>
            <w:gridSpan w:val="2"/>
          </w:tcPr>
          <w:p>
            <w:pPr>
              <w:spacing w:after="0"/>
              <w:rPr>
                <w:sz w:val="20"/>
                <w:szCs w:val="20"/>
                <w:color w:val="auto"/>
              </w:rPr>
            </w:pPr>
            <w:r>
              <w:rPr>
                <w:rFonts w:ascii="Arial" w:cs="Arial" w:eastAsia="Arial" w:hAnsi="Arial"/>
                <w:sz w:val="17"/>
                <w:szCs w:val="17"/>
                <w:color w:val="auto"/>
              </w:rPr>
              <w:t>HSBC Securities (USA) Inc.</w:t>
            </w: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95,000,000</w:t>
            </w:r>
          </w:p>
        </w:tc>
        <w:tc>
          <w:tcPr>
            <w:tcW w:w="40" w:type="dxa"/>
            <w:vAlign w:val="bottom"/>
          </w:tcPr>
          <w:p>
            <w:pPr>
              <w:spacing w:after="0"/>
              <w:rPr>
                <w:sz w:val="16"/>
                <w:szCs w:val="16"/>
                <w:color w:val="auto"/>
              </w:rPr>
            </w:pPr>
          </w:p>
        </w:tc>
      </w:tr>
      <w:tr>
        <w:trPr>
          <w:trHeight w:val="195"/>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J.P. Morgan Securities LLC</w:t>
            </w:r>
          </w:p>
        </w:tc>
        <w:tc>
          <w:tcPr>
            <w:tcW w:w="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95,000,000</w:t>
            </w:r>
          </w:p>
        </w:tc>
        <w:tc>
          <w:tcPr>
            <w:tcW w:w="40" w:type="dxa"/>
            <w:vAlign w:val="bottom"/>
            <w:shd w:val="clear" w:color="auto" w:fill="CCEEFF"/>
          </w:tcPr>
          <w:p>
            <w:pPr>
              <w:spacing w:after="0"/>
              <w:rPr>
                <w:sz w:val="16"/>
                <w:szCs w:val="16"/>
                <w:color w:val="auto"/>
              </w:rPr>
            </w:pPr>
          </w:p>
        </w:tc>
      </w:tr>
      <w:tr>
        <w:trPr>
          <w:trHeight w:val="195"/>
        </w:trPr>
        <w:tc>
          <w:tcPr>
            <w:tcW w:w="8820" w:type="dxa"/>
            <w:vAlign w:val="bottom"/>
            <w:gridSpan w:val="2"/>
          </w:tcPr>
          <w:p>
            <w:pPr>
              <w:spacing w:after="0"/>
              <w:rPr>
                <w:sz w:val="20"/>
                <w:szCs w:val="20"/>
                <w:color w:val="auto"/>
              </w:rPr>
            </w:pPr>
            <w:r>
              <w:rPr>
                <w:rFonts w:ascii="Arial" w:cs="Arial" w:eastAsia="Arial" w:hAnsi="Arial"/>
                <w:sz w:val="17"/>
                <w:szCs w:val="17"/>
                <w:color w:val="auto"/>
              </w:rPr>
              <w:t>BBVA Securities Inc.</w:t>
            </w: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30,000,000</w:t>
            </w:r>
          </w:p>
        </w:tc>
        <w:tc>
          <w:tcPr>
            <w:tcW w:w="40" w:type="dxa"/>
            <w:vAlign w:val="bottom"/>
          </w:tcPr>
          <w:p>
            <w:pPr>
              <w:spacing w:after="0"/>
              <w:rPr>
                <w:sz w:val="16"/>
                <w:szCs w:val="16"/>
                <w:color w:val="auto"/>
              </w:rPr>
            </w:pPr>
          </w:p>
        </w:tc>
      </w:tr>
      <w:tr>
        <w:trPr>
          <w:trHeight w:val="195"/>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Goldman Sachs &amp; Co. LLC</w:t>
            </w:r>
          </w:p>
        </w:tc>
        <w:tc>
          <w:tcPr>
            <w:tcW w:w="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40" w:type="dxa"/>
            <w:vAlign w:val="bottom"/>
            <w:shd w:val="clear" w:color="auto" w:fill="CCEEFF"/>
          </w:tcPr>
          <w:p>
            <w:pPr>
              <w:spacing w:after="0"/>
              <w:rPr>
                <w:sz w:val="16"/>
                <w:szCs w:val="16"/>
                <w:color w:val="auto"/>
              </w:rPr>
            </w:pPr>
          </w:p>
        </w:tc>
      </w:tr>
      <w:tr>
        <w:trPr>
          <w:trHeight w:val="195"/>
        </w:trPr>
        <w:tc>
          <w:tcPr>
            <w:tcW w:w="8820" w:type="dxa"/>
            <w:vAlign w:val="bottom"/>
            <w:gridSpan w:val="2"/>
          </w:tcPr>
          <w:p>
            <w:pPr>
              <w:spacing w:after="0"/>
              <w:rPr>
                <w:sz w:val="20"/>
                <w:szCs w:val="20"/>
                <w:color w:val="auto"/>
              </w:rPr>
            </w:pPr>
            <w:r>
              <w:rPr>
                <w:rFonts w:ascii="Arial" w:cs="Arial" w:eastAsia="Arial" w:hAnsi="Arial"/>
                <w:sz w:val="17"/>
                <w:szCs w:val="17"/>
                <w:color w:val="auto"/>
              </w:rPr>
              <w:t>Morgan Stanley &amp; Co. LLC</w:t>
            </w: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30,000,000</w:t>
            </w:r>
          </w:p>
        </w:tc>
        <w:tc>
          <w:tcPr>
            <w:tcW w:w="40" w:type="dxa"/>
            <w:vAlign w:val="bottom"/>
          </w:tcPr>
          <w:p>
            <w:pPr>
              <w:spacing w:after="0"/>
              <w:rPr>
                <w:sz w:val="16"/>
                <w:szCs w:val="16"/>
                <w:color w:val="auto"/>
              </w:rPr>
            </w:pPr>
          </w:p>
        </w:tc>
      </w:tr>
      <w:tr>
        <w:trPr>
          <w:trHeight w:val="195"/>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SG Americas Securities, LLC</w:t>
            </w:r>
          </w:p>
        </w:tc>
        <w:tc>
          <w:tcPr>
            <w:tcW w:w="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40" w:type="dxa"/>
            <w:vAlign w:val="bottom"/>
            <w:shd w:val="clear" w:color="auto" w:fill="CCEEFF"/>
          </w:tcPr>
          <w:p>
            <w:pPr>
              <w:spacing w:after="0"/>
              <w:rPr>
                <w:sz w:val="16"/>
                <w:szCs w:val="16"/>
                <w:color w:val="auto"/>
              </w:rPr>
            </w:pPr>
          </w:p>
        </w:tc>
      </w:tr>
      <w:tr>
        <w:trPr>
          <w:trHeight w:val="195"/>
        </w:trPr>
        <w:tc>
          <w:tcPr>
            <w:tcW w:w="8820" w:type="dxa"/>
            <w:vAlign w:val="bottom"/>
            <w:gridSpan w:val="2"/>
          </w:tcPr>
          <w:p>
            <w:pPr>
              <w:spacing w:after="0"/>
              <w:rPr>
                <w:sz w:val="20"/>
                <w:szCs w:val="20"/>
                <w:color w:val="auto"/>
              </w:rPr>
            </w:pPr>
            <w:r>
              <w:rPr>
                <w:rFonts w:ascii="Arial" w:cs="Arial" w:eastAsia="Arial" w:hAnsi="Arial"/>
                <w:sz w:val="17"/>
                <w:szCs w:val="17"/>
                <w:color w:val="auto"/>
              </w:rPr>
              <w:t>Standard Chartered Bank</w:t>
            </w: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30,000,000</w:t>
            </w:r>
          </w:p>
        </w:tc>
        <w:tc>
          <w:tcPr>
            <w:tcW w:w="40" w:type="dxa"/>
            <w:vAlign w:val="bottom"/>
          </w:tcPr>
          <w:p>
            <w:pPr>
              <w:spacing w:after="0"/>
              <w:rPr>
                <w:sz w:val="16"/>
                <w:szCs w:val="16"/>
                <w:color w:val="auto"/>
              </w:rPr>
            </w:pPr>
          </w:p>
        </w:tc>
      </w:tr>
      <w:tr>
        <w:trPr>
          <w:trHeight w:val="195"/>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BNP Paribas Securities Corp.</w:t>
            </w:r>
          </w:p>
        </w:tc>
        <w:tc>
          <w:tcPr>
            <w:tcW w:w="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13,000,000</w:t>
            </w:r>
          </w:p>
        </w:tc>
        <w:tc>
          <w:tcPr>
            <w:tcW w:w="40" w:type="dxa"/>
            <w:vAlign w:val="bottom"/>
            <w:shd w:val="clear" w:color="auto" w:fill="CCEEFF"/>
          </w:tcPr>
          <w:p>
            <w:pPr>
              <w:spacing w:after="0"/>
              <w:rPr>
                <w:sz w:val="16"/>
                <w:szCs w:val="16"/>
                <w:color w:val="auto"/>
              </w:rPr>
            </w:pPr>
          </w:p>
        </w:tc>
      </w:tr>
      <w:tr>
        <w:trPr>
          <w:trHeight w:val="195"/>
        </w:trPr>
        <w:tc>
          <w:tcPr>
            <w:tcW w:w="8820" w:type="dxa"/>
            <w:vAlign w:val="bottom"/>
            <w:gridSpan w:val="2"/>
          </w:tcPr>
          <w:p>
            <w:pPr>
              <w:spacing w:after="0"/>
              <w:rPr>
                <w:sz w:val="20"/>
                <w:szCs w:val="20"/>
                <w:color w:val="auto"/>
              </w:rPr>
            </w:pPr>
            <w:r>
              <w:rPr>
                <w:rFonts w:ascii="Arial" w:cs="Arial" w:eastAsia="Arial" w:hAnsi="Arial"/>
                <w:sz w:val="17"/>
                <w:szCs w:val="17"/>
                <w:color w:val="auto"/>
              </w:rPr>
              <w:t>BofA Securities, Inc.</w:t>
            </w: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13,000,000</w:t>
            </w:r>
          </w:p>
        </w:tc>
        <w:tc>
          <w:tcPr>
            <w:tcW w:w="40" w:type="dxa"/>
            <w:vAlign w:val="bottom"/>
          </w:tcPr>
          <w:p>
            <w:pPr>
              <w:spacing w:after="0"/>
              <w:rPr>
                <w:sz w:val="16"/>
                <w:szCs w:val="16"/>
                <w:color w:val="auto"/>
              </w:rPr>
            </w:pPr>
          </w:p>
        </w:tc>
      </w:tr>
      <w:tr>
        <w:trPr>
          <w:trHeight w:val="195"/>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Deutsche Bank Securities Inc.</w:t>
            </w:r>
          </w:p>
        </w:tc>
        <w:tc>
          <w:tcPr>
            <w:tcW w:w="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13,000,000</w:t>
            </w:r>
          </w:p>
        </w:tc>
        <w:tc>
          <w:tcPr>
            <w:tcW w:w="40" w:type="dxa"/>
            <w:vAlign w:val="bottom"/>
            <w:shd w:val="clear" w:color="auto" w:fill="CCEEFF"/>
          </w:tcPr>
          <w:p>
            <w:pPr>
              <w:spacing w:after="0"/>
              <w:rPr>
                <w:sz w:val="16"/>
                <w:szCs w:val="16"/>
                <w:color w:val="auto"/>
              </w:rPr>
            </w:pPr>
          </w:p>
        </w:tc>
      </w:tr>
      <w:tr>
        <w:trPr>
          <w:trHeight w:val="195"/>
        </w:trPr>
        <w:tc>
          <w:tcPr>
            <w:tcW w:w="8820" w:type="dxa"/>
            <w:vAlign w:val="bottom"/>
            <w:gridSpan w:val="2"/>
          </w:tcPr>
          <w:p>
            <w:pPr>
              <w:spacing w:after="0"/>
              <w:rPr>
                <w:sz w:val="20"/>
                <w:szCs w:val="20"/>
                <w:color w:val="auto"/>
              </w:rPr>
            </w:pPr>
            <w:r>
              <w:rPr>
                <w:rFonts w:ascii="Arial" w:cs="Arial" w:eastAsia="Arial" w:hAnsi="Arial"/>
                <w:sz w:val="17"/>
                <w:szCs w:val="17"/>
                <w:color w:val="auto"/>
              </w:rPr>
              <w:t>MUFG Securities Americas Inc.</w:t>
            </w: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13,000,000</w:t>
            </w:r>
          </w:p>
        </w:tc>
        <w:tc>
          <w:tcPr>
            <w:tcW w:w="40" w:type="dxa"/>
            <w:vAlign w:val="bottom"/>
          </w:tcPr>
          <w:p>
            <w:pPr>
              <w:spacing w:after="0"/>
              <w:rPr>
                <w:sz w:val="16"/>
                <w:szCs w:val="16"/>
                <w:color w:val="auto"/>
              </w:rPr>
            </w:pPr>
          </w:p>
        </w:tc>
      </w:tr>
      <w:tr>
        <w:trPr>
          <w:trHeight w:val="195"/>
        </w:trPr>
        <w:tc>
          <w:tcPr>
            <w:tcW w:w="8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UniCredit Capital Markets LLC</w:t>
            </w:r>
          </w:p>
        </w:tc>
        <w:tc>
          <w:tcPr>
            <w:tcW w:w="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13,000,000</w:t>
            </w:r>
          </w:p>
        </w:tc>
        <w:tc>
          <w:tcPr>
            <w:tcW w:w="40" w:type="dxa"/>
            <w:vAlign w:val="bottom"/>
            <w:shd w:val="clear" w:color="auto" w:fill="CCEEFF"/>
          </w:tcPr>
          <w:p>
            <w:pPr>
              <w:spacing w:after="0"/>
              <w:rPr>
                <w:sz w:val="16"/>
                <w:szCs w:val="16"/>
                <w:color w:val="auto"/>
              </w:rPr>
            </w:pPr>
          </w:p>
        </w:tc>
      </w:tr>
      <w:tr>
        <w:trPr>
          <w:trHeight w:val="201"/>
        </w:trPr>
        <w:tc>
          <w:tcPr>
            <w:tcW w:w="882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500,000,000</w:t>
            </w:r>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320" w:right="60" w:firstLine="425"/>
        <w:spacing w:after="0" w:line="253" w:lineRule="auto"/>
        <w:rPr>
          <w:sz w:val="20"/>
          <w:szCs w:val="20"/>
          <w:color w:val="auto"/>
        </w:rPr>
      </w:pPr>
      <w:r>
        <w:rPr>
          <w:rFonts w:ascii="Arial" w:cs="Arial" w:eastAsia="Arial" w:hAnsi="Arial"/>
          <w:sz w:val="17"/>
          <w:szCs w:val="17"/>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66" w:lineRule="exact"/>
        <w:rPr>
          <w:sz w:val="20"/>
          <w:szCs w:val="20"/>
          <w:color w:val="auto"/>
        </w:rPr>
      </w:pPr>
    </w:p>
    <w:p>
      <w:pPr>
        <w:ind w:left="320" w:right="120" w:firstLine="425"/>
        <w:spacing w:after="0" w:line="248" w:lineRule="auto"/>
        <w:rPr>
          <w:sz w:val="20"/>
          <w:szCs w:val="20"/>
          <w:color w:val="auto"/>
        </w:rPr>
      </w:pPr>
      <w:r>
        <w:rPr>
          <w:rFonts w:ascii="Arial" w:cs="Arial" w:eastAsia="Arial" w:hAnsi="Arial"/>
          <w:sz w:val="17"/>
          <w:szCs w:val="17"/>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0.300% of the principal amount of the Notes. Any underwriter may allow, and any such dealer may reallow, a concession not in excess of 0.125%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 shows the underwriting discount that we will pay to the underwriters in connection with the offering of the Notes:</w:t>
      </w: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520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Paid by Us</w:t>
            </w:r>
          </w:p>
        </w:tc>
        <w:tc>
          <w:tcPr>
            <w:tcW w:w="200" w:type="dxa"/>
            <w:vAlign w:val="bottom"/>
            <w:tcBorders>
              <w:bottom w:val="single" w:sz="8" w:color="CCEEFF"/>
            </w:tcBorders>
          </w:tcPr>
          <w:p>
            <w:pPr>
              <w:spacing w:after="0"/>
              <w:rPr>
                <w:sz w:val="14"/>
                <w:szCs w:val="14"/>
                <w:color w:val="auto"/>
              </w:rPr>
            </w:pPr>
          </w:p>
        </w:tc>
      </w:tr>
      <w:tr>
        <w:trPr>
          <w:trHeight w:val="188"/>
        </w:trPr>
        <w:tc>
          <w:tcPr>
            <w:tcW w:w="5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 Note</w:t>
            </w:r>
          </w:p>
        </w:tc>
        <w:tc>
          <w:tcPr>
            <w:tcW w:w="4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0.450%</w:t>
            </w:r>
          </w:p>
        </w:tc>
      </w:tr>
      <w:tr>
        <w:trPr>
          <w:trHeight w:val="229"/>
        </w:trPr>
        <w:tc>
          <w:tcPr>
            <w:tcW w:w="5200" w:type="dxa"/>
            <w:vAlign w:val="bottom"/>
          </w:tcPr>
          <w:p>
            <w:pPr>
              <w:spacing w:after="0"/>
              <w:rPr>
                <w:sz w:val="20"/>
                <w:szCs w:val="20"/>
                <w:color w:val="auto"/>
              </w:rPr>
            </w:pPr>
            <w:r>
              <w:rPr>
                <w:rFonts w:ascii="Arial" w:cs="Arial" w:eastAsia="Arial" w:hAnsi="Arial"/>
                <w:sz w:val="17"/>
                <w:szCs w:val="17"/>
                <w:color w:val="auto"/>
              </w:rPr>
              <w:t>Notes Total</w:t>
            </w:r>
          </w:p>
        </w:tc>
        <w:tc>
          <w:tcPr>
            <w:tcW w:w="5220" w:type="dxa"/>
            <w:vAlign w:val="bottom"/>
            <w:gridSpan w:val="2"/>
          </w:tcPr>
          <w:p>
            <w:pPr>
              <w:jc w:val="right"/>
              <w:spacing w:after="0"/>
              <w:rPr>
                <w:sz w:val="20"/>
                <w:szCs w:val="20"/>
                <w:color w:val="auto"/>
              </w:rPr>
            </w:pPr>
            <w:r>
              <w:rPr>
                <w:rFonts w:ascii="Arial" w:cs="Arial" w:eastAsia="Arial" w:hAnsi="Arial"/>
                <w:sz w:val="17"/>
                <w:szCs w:val="17"/>
                <w:color w:val="auto"/>
              </w:rPr>
              <w:t>$2,250,000</w:t>
            </w:r>
          </w:p>
        </w:tc>
        <w:tc>
          <w:tcPr>
            <w:tcW w:w="200" w:type="dxa"/>
            <w:vAlign w:val="bottom"/>
          </w:tcPr>
          <w:p>
            <w:pPr>
              <w:spacing w:after="0"/>
              <w:rPr>
                <w:sz w:val="19"/>
                <w:szCs w:val="19"/>
                <w:color w:val="auto"/>
              </w:rPr>
            </w:pPr>
          </w:p>
        </w:tc>
      </w:tr>
    </w:tbl>
    <w:p>
      <w:pPr>
        <w:spacing w:after="0" w:line="158" w:lineRule="exact"/>
        <w:rPr>
          <w:sz w:val="20"/>
          <w:szCs w:val="20"/>
          <w:color w:val="auto"/>
        </w:rPr>
      </w:pPr>
    </w:p>
    <w:p>
      <w:pPr>
        <w:jc w:val="both"/>
        <w:ind w:left="320" w:right="40" w:firstLine="425"/>
        <w:spacing w:after="0" w:line="281" w:lineRule="auto"/>
        <w:rPr>
          <w:sz w:val="20"/>
          <w:szCs w:val="20"/>
          <w:color w:val="auto"/>
        </w:rPr>
      </w:pPr>
      <w:r>
        <w:rPr>
          <w:rFonts w:ascii="Arial" w:cs="Arial" w:eastAsia="Arial" w:hAnsi="Arial"/>
          <w:sz w:val="17"/>
          <w:szCs w:val="17"/>
          <w:color w:val="auto"/>
        </w:rPr>
        <w:t>Expenses associated with this offering to be paid by us, other than underwriting discounts, are estimated to be approximately U.S.$1 million.</w:t>
      </w:r>
    </w:p>
    <w:p>
      <w:pPr>
        <w:spacing w:after="0" w:line="141" w:lineRule="exact"/>
        <w:rPr>
          <w:sz w:val="20"/>
          <w:szCs w:val="20"/>
          <w:color w:val="auto"/>
        </w:rPr>
      </w:pPr>
    </w:p>
    <w:p>
      <w:pPr>
        <w:ind w:left="320" w:right="120" w:firstLine="425"/>
        <w:spacing w:after="0" w:line="281" w:lineRule="auto"/>
        <w:rPr>
          <w:sz w:val="20"/>
          <w:szCs w:val="20"/>
          <w:color w:val="auto"/>
        </w:rPr>
      </w:pPr>
      <w:r>
        <w:rPr>
          <w:rFonts w:ascii="Arial" w:cs="Arial" w:eastAsia="Arial" w:hAnsi="Arial"/>
          <w:sz w:val="17"/>
          <w:szCs w:val="17"/>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7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S-36</w:t>
      </w:r>
    </w:p>
    <w:p>
      <w:pPr>
        <w:sectPr>
          <w:pgSz w:w="11900" w:h="16838" w:orient="portrait"/>
          <w:cols w:equalWidth="0" w:num="1">
            <w:col w:w="10940"/>
          </w:cols>
          <w:pgMar w:left="320" w:top="44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Standard Chartered Bank will not effect any offers or sales of any notes in the United States unless it is through one or more U.S.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registered broker-dealers as permitted by the regulations of FINRA.</w:t>
      </w:r>
    </w:p>
    <w:p>
      <w:pPr>
        <w:spacing w:after="0" w:line="192"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The Notes are new issues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67" w:lineRule="exact"/>
        <w:rPr>
          <w:sz w:val="20"/>
          <w:szCs w:val="20"/>
          <w:color w:val="auto"/>
        </w:rPr>
      </w:pPr>
    </w:p>
    <w:p>
      <w:pPr>
        <w:ind w:left="320" w:right="20" w:firstLine="425"/>
        <w:spacing w:after="0" w:line="246" w:lineRule="auto"/>
        <w:rPr>
          <w:sz w:val="20"/>
          <w:szCs w:val="20"/>
          <w:color w:val="auto"/>
        </w:rPr>
      </w:pPr>
      <w:r>
        <w:rPr>
          <w:rFonts w:ascii="Arial" w:cs="Arial" w:eastAsia="Arial" w:hAnsi="Arial"/>
          <w:sz w:val="17"/>
          <w:szCs w:val="17"/>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Selling Restrictions</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Canada</w:t>
      </w:r>
    </w:p>
    <w:p>
      <w:pPr>
        <w:spacing w:after="0" w:line="104"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67"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left="320" w:right="380" w:firstLine="425"/>
        <w:spacing w:after="0" w:line="281"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46"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04" w:lineRule="exact"/>
        <w:rPr>
          <w:sz w:val="20"/>
          <w:szCs w:val="20"/>
          <w:color w:val="auto"/>
        </w:rPr>
      </w:pPr>
    </w:p>
    <w:p>
      <w:pPr>
        <w:ind w:left="320" w:right="160" w:firstLine="425"/>
        <w:spacing w:after="0" w:line="253"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S-37</w:t>
      </w:r>
    </w:p>
    <w:p>
      <w:pPr>
        <w:sectPr>
          <w:pgSz w:w="11900" w:h="16838" w:orient="portrait"/>
          <w:cols w:equalWidth="0" w:num="1">
            <w:col w:w="10920"/>
          </w:cols>
          <w:pgMar w:left="320" w:top="445"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60"/>
        <w:spacing w:after="0" w:line="250" w:lineRule="auto"/>
        <w:rPr>
          <w:sz w:val="20"/>
          <w:szCs w:val="20"/>
          <w:color w:val="auto"/>
        </w:rPr>
      </w:pPr>
      <w:r>
        <w:rPr>
          <w:rFonts w:ascii="Arial" w:cs="Arial" w:eastAsia="Arial" w:hAnsi="Arial"/>
          <w:sz w:val="17"/>
          <w:szCs w:val="17"/>
          <w:color w:val="auto"/>
        </w:rPr>
        <w:t>Directive”),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67" w:lineRule="exact"/>
        <w:rPr>
          <w:sz w:val="20"/>
          <w:szCs w:val="20"/>
          <w:color w:val="auto"/>
        </w:rPr>
      </w:pPr>
    </w:p>
    <w:p>
      <w:pPr>
        <w:ind w:left="320" w:right="240" w:firstLine="425"/>
        <w:spacing w:after="0" w:line="260" w:lineRule="auto"/>
        <w:rPr>
          <w:sz w:val="20"/>
          <w:szCs w:val="20"/>
          <w:color w:val="auto"/>
        </w:rPr>
      </w:pPr>
      <w:r>
        <w:rPr>
          <w:rFonts w:ascii="Arial" w:cs="Arial" w:eastAsia="Arial" w:hAnsi="Arial"/>
          <w:sz w:val="17"/>
          <w:szCs w:val="17"/>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63"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United Kingdom</w:t>
      </w:r>
    </w:p>
    <w:p>
      <w:pPr>
        <w:spacing w:after="0" w:line="104" w:lineRule="exact"/>
        <w:rPr>
          <w:sz w:val="20"/>
          <w:szCs w:val="20"/>
          <w:color w:val="auto"/>
        </w:rPr>
      </w:pPr>
    </w:p>
    <w:p>
      <w:pPr>
        <w:ind w:left="320" w:firstLine="425"/>
        <w:spacing w:after="0" w:line="243"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370"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color w:val="auto"/>
        </w:rPr>
        <w:t>This prospectus supplement is for distribution only to persons who (i) have professional experience in matters relating to investments and who qualify as investment professionals within the meaning of Article 19 (5)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75"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Luxembourg</w:t>
      </w:r>
    </w:p>
    <w:p>
      <w:pPr>
        <w:spacing w:after="0" w:line="104" w:lineRule="exact"/>
        <w:rPr>
          <w:sz w:val="20"/>
          <w:szCs w:val="20"/>
          <w:color w:val="auto"/>
        </w:rPr>
      </w:pPr>
    </w:p>
    <w:p>
      <w:pPr>
        <w:ind w:left="320" w:right="240" w:firstLine="425"/>
        <w:spacing w:after="0" w:line="281" w:lineRule="auto"/>
        <w:rPr>
          <w:sz w:val="20"/>
          <w:szCs w:val="20"/>
          <w:color w:val="auto"/>
        </w:rPr>
      </w:pPr>
      <w:r>
        <w:rPr>
          <w:rFonts w:ascii="Arial" w:cs="Arial" w:eastAsia="Arial" w:hAnsi="Arial"/>
          <w:sz w:val="17"/>
          <w:szCs w:val="17"/>
          <w:color w:val="auto"/>
        </w:rPr>
        <w:t>This prospectus supplement has not been approved by and will not be submitted for approval to the Luxembourg Financial Sector Authority (</w:t>
      </w:r>
      <w:r>
        <w:rPr>
          <w:rFonts w:ascii="Arial" w:cs="Arial" w:eastAsia="Arial" w:hAnsi="Arial"/>
          <w:sz w:val="17"/>
          <w:szCs w:val="17"/>
          <w:i w:val="1"/>
          <w:iCs w:val="1"/>
          <w:color w:val="auto"/>
        </w:rPr>
        <w:t>Commission de Surveillance du Secteur Financier</w:t>
      </w:r>
      <w:r>
        <w:rPr>
          <w:rFonts w:ascii="Arial" w:cs="Arial" w:eastAsia="Arial" w:hAnsi="Arial"/>
          <w:sz w:val="17"/>
          <w:szCs w:val="17"/>
          <w:color w:val="auto"/>
        </w:rPr>
        <w:t>) (the</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S-38</w:t>
      </w:r>
    </w:p>
    <w:p>
      <w:pPr>
        <w:sectPr>
          <w:pgSz w:w="11900" w:h="16838" w:orient="portrait"/>
          <w:cols w:equalWidth="0" w:num="1">
            <w:col w:w="10920"/>
          </w:cols>
          <w:pgMar w:left="320" w:top="445"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00"/>
        <w:spacing w:after="0" w:line="248" w:lineRule="auto"/>
        <w:rPr>
          <w:sz w:val="20"/>
          <w:szCs w:val="20"/>
          <w:color w:val="auto"/>
        </w:rPr>
      </w:pPr>
      <w:r>
        <w:rPr>
          <w:rFonts w:ascii="Arial" w:cs="Arial" w:eastAsia="Arial" w:hAnsi="Arial"/>
          <w:sz w:val="17"/>
          <w:szCs w:val="17"/>
          <w:color w:val="auto"/>
        </w:rPr>
        <w:t>“CSSF”),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Switzerland</w:t>
      </w:r>
    </w:p>
    <w:p>
      <w:pPr>
        <w:spacing w:after="0" w:line="104" w:lineRule="exact"/>
        <w:rPr>
          <w:sz w:val="20"/>
          <w:szCs w:val="20"/>
          <w:color w:val="auto"/>
        </w:rPr>
      </w:pPr>
    </w:p>
    <w:p>
      <w:pPr>
        <w:ind w:left="320" w:right="40" w:firstLine="425"/>
        <w:spacing w:after="0" w:line="248" w:lineRule="auto"/>
        <w:rPr>
          <w:sz w:val="20"/>
          <w:szCs w:val="20"/>
          <w:color w:val="auto"/>
        </w:rPr>
      </w:pPr>
      <w:r>
        <w:rPr>
          <w:rFonts w:ascii="Arial" w:cs="Arial" w:eastAsia="Arial" w:hAnsi="Arial"/>
          <w:sz w:val="17"/>
          <w:szCs w:val="17"/>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Hong Kong</w:t>
      </w:r>
    </w:p>
    <w:p>
      <w:pPr>
        <w:spacing w:after="0" w:line="104" w:lineRule="exact"/>
        <w:rPr>
          <w:sz w:val="20"/>
          <w:szCs w:val="20"/>
          <w:color w:val="auto"/>
        </w:rPr>
      </w:pPr>
    </w:p>
    <w:p>
      <w:pPr>
        <w:ind w:left="320" w:right="140" w:firstLine="425"/>
        <w:spacing w:after="0" w:line="249" w:lineRule="auto"/>
        <w:rPr>
          <w:sz w:val="20"/>
          <w:szCs w:val="20"/>
          <w:color w:val="auto"/>
        </w:rPr>
      </w:pPr>
      <w:r>
        <w:rPr>
          <w:rFonts w:ascii="Arial" w:cs="Arial" w:eastAsia="Arial" w:hAnsi="Arial"/>
          <w:sz w:val="17"/>
          <w:szCs w:val="17"/>
          <w:color w:val="auto"/>
        </w:rPr>
        <w:t>The Notes have not and may not be offered or sold in Hong Kong by means of any document other than (i) to “professional investors” as defined in the Securities and Futures Ordinance (Cap.571, Laws of Hong Kong) (“SFO”) and any rules made thereunder, or</w:t>
      </w:r>
    </w:p>
    <w:p>
      <w:pPr>
        <w:spacing w:after="0" w:line="1" w:lineRule="exact"/>
        <w:rPr>
          <w:sz w:val="20"/>
          <w:szCs w:val="20"/>
          <w:color w:val="auto"/>
        </w:rPr>
      </w:pPr>
    </w:p>
    <w:p>
      <w:pPr>
        <w:ind w:left="320" w:hanging="10"/>
        <w:spacing w:after="0" w:line="243" w:lineRule="auto"/>
        <w:tabs>
          <w:tab w:leader="none" w:pos="56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(Winding Up and Miscellaneous Provisions) Ordinance (Cap.32,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79"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Japan</w:t>
      </w:r>
    </w:p>
    <w:p>
      <w:pPr>
        <w:spacing w:after="0" w:line="104" w:lineRule="exact"/>
        <w:rPr>
          <w:sz w:val="20"/>
          <w:szCs w:val="20"/>
          <w:color w:val="auto"/>
        </w:rPr>
      </w:pPr>
    </w:p>
    <w:p>
      <w:pPr>
        <w:ind w:left="320" w:right="100" w:firstLine="425"/>
        <w:spacing w:after="0" w:line="248"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Singapore</w:t>
      </w:r>
    </w:p>
    <w:p>
      <w:pPr>
        <w:spacing w:after="0" w:line="104" w:lineRule="exact"/>
        <w:rPr>
          <w:sz w:val="20"/>
          <w:szCs w:val="20"/>
          <w:color w:val="auto"/>
        </w:rPr>
      </w:pPr>
    </w:p>
    <w:p>
      <w:pPr>
        <w:ind w:left="320" w:right="320" w:firstLine="425"/>
        <w:spacing w:after="0" w:line="260" w:lineRule="auto"/>
        <w:rPr>
          <w:sz w:val="20"/>
          <w:szCs w:val="20"/>
          <w:color w:val="auto"/>
        </w:rPr>
      </w:pPr>
      <w:r>
        <w:rPr>
          <w:rFonts w:ascii="Arial" w:cs="Arial" w:eastAsia="Arial" w:hAnsi="Arial"/>
          <w:sz w:val="17"/>
          <w:szCs w:val="17"/>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S-39</w:t>
      </w:r>
    </w:p>
    <w:p>
      <w:pPr>
        <w:sectPr>
          <w:pgSz w:w="11900" w:h="16838" w:orient="portrait"/>
          <w:cols w:equalWidth="0" w:num="1">
            <w:col w:w="10920"/>
          </w:cols>
          <w:pgMar w:left="320" w:top="44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60"/>
        <w:spacing w:after="0" w:line="250" w:lineRule="auto"/>
        <w:rPr>
          <w:sz w:val="20"/>
          <w:szCs w:val="20"/>
          <w:color w:val="auto"/>
        </w:rPr>
      </w:pPr>
      <w:r>
        <w:rPr>
          <w:rFonts w:ascii="Arial" w:cs="Arial" w:eastAsia="Arial" w:hAnsi="Arial"/>
          <w:sz w:val="17"/>
          <w:szCs w:val="17"/>
          <w:color w:val="auto"/>
        </w:rPr>
        <w:t>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left="320" w:right="80" w:firstLine="425"/>
        <w:spacing w:after="0" w:line="244" w:lineRule="auto"/>
        <w:rPr>
          <w:sz w:val="20"/>
          <w:szCs w:val="20"/>
          <w:color w:val="auto"/>
        </w:rPr>
      </w:pPr>
      <w:r>
        <w:rPr>
          <w:rFonts w:ascii="Arial" w:cs="Arial" w:eastAsia="Arial" w:hAnsi="Arial"/>
          <w:sz w:val="17"/>
          <w:szCs w:val="17"/>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w:t>
      </w:r>
    </w:p>
    <w:p>
      <w:pPr>
        <w:spacing w:after="0" w:line="37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Singapore Securities and Futures Act Product Classification—Solely for the purposes of its obligations pursuant to sections 309B(1)</w:t>
      </w:r>
    </w:p>
    <w:p>
      <w:pPr>
        <w:spacing w:after="0" w:line="16" w:lineRule="exact"/>
        <w:rPr>
          <w:sz w:val="20"/>
          <w:szCs w:val="20"/>
          <w:color w:val="auto"/>
        </w:rPr>
      </w:pPr>
    </w:p>
    <w:p>
      <w:pPr>
        <w:ind w:left="320" w:hanging="10"/>
        <w:spacing w:after="0" w:line="245"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and 309B(1 )(c)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75"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Taiwan</w:t>
      </w:r>
    </w:p>
    <w:p>
      <w:pPr>
        <w:spacing w:after="0" w:line="104" w:lineRule="exact"/>
        <w:rPr>
          <w:sz w:val="20"/>
          <w:szCs w:val="20"/>
          <w:color w:val="auto"/>
        </w:rPr>
      </w:pPr>
    </w:p>
    <w:p>
      <w:pPr>
        <w:ind w:left="320" w:right="40" w:firstLine="425"/>
        <w:spacing w:after="0" w:line="245"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79"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United Arab Emirates</w:t>
      </w:r>
    </w:p>
    <w:p>
      <w:pPr>
        <w:spacing w:after="0" w:line="104"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S-40</w:t>
      </w:r>
    </w:p>
    <w:p>
      <w:pPr>
        <w:sectPr>
          <w:pgSz w:w="11900" w:h="16838" w:orient="portrait"/>
          <w:cols w:equalWidth="0" w:num="1">
            <w:col w:w="10920"/>
          </w:cols>
          <w:pgMar w:left="320" w:top="445"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60"/>
        <w:spacing w:after="0" w:line="253" w:lineRule="auto"/>
        <w:rPr>
          <w:sz w:val="20"/>
          <w:szCs w:val="20"/>
          <w:color w:val="auto"/>
        </w:rPr>
      </w:pPr>
      <w:r>
        <w:rPr>
          <w:rFonts w:ascii="Arial" w:cs="Arial" w:eastAsia="Arial" w:hAnsi="Arial"/>
          <w:sz w:val="17"/>
          <w:szCs w:val="17"/>
          <w:color w:val="auto"/>
        </w:rPr>
        <w:t>constitute a public offer of securities in the United Arab Emirates (including the Abu Dhabi Global Market and the Dubai International Financial Centre) and are not intended to be a public offer. This prospectus supplement and the accompanying prospectus have not been approved by or filed with the Central Bank of the United Arab Emirates, the Securities Commodities Authority, the Financial Services Regulatory Authority or the Dubai Financial Services Authority.</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Settlement and Sale of the Notes</w:t>
      </w:r>
    </w:p>
    <w:p>
      <w:pPr>
        <w:spacing w:after="0" w:line="106"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two business days, purchasers who wish to trade Notes on the date of pricing or the next two succeeding business days will be required, by virtue of the fact that the Notes initially will settle in T+5, to specify alternative settlement arrangements to prevent a failed settlement.</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Other Relationships</w:t>
      </w:r>
    </w:p>
    <w:p>
      <w:pPr>
        <w:spacing w:after="0" w:line="106" w:lineRule="exact"/>
        <w:rPr>
          <w:sz w:val="20"/>
          <w:szCs w:val="20"/>
          <w:color w:val="auto"/>
        </w:rPr>
      </w:pPr>
    </w:p>
    <w:p>
      <w:pPr>
        <w:ind w:left="320" w:right="100" w:firstLine="425"/>
        <w:spacing w:after="0" w:line="260" w:lineRule="auto"/>
        <w:rPr>
          <w:sz w:val="20"/>
          <w:szCs w:val="20"/>
          <w:color w:val="auto"/>
        </w:rPr>
      </w:pPr>
      <w:r>
        <w:rPr>
          <w:rFonts w:ascii="Arial" w:cs="Arial" w:eastAsia="Arial" w:hAnsi="Arial"/>
          <w:sz w:val="17"/>
          <w:szCs w:val="17"/>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59" w:lineRule="exact"/>
        <w:rPr>
          <w:sz w:val="20"/>
          <w:szCs w:val="20"/>
          <w:color w:val="auto"/>
        </w:rPr>
      </w:pPr>
    </w:p>
    <w:p>
      <w:pPr>
        <w:ind w:left="320" w:firstLine="425"/>
        <w:spacing w:after="0" w:line="243"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S-41</w:t>
      </w:r>
    </w:p>
    <w:p>
      <w:pPr>
        <w:sectPr>
          <w:pgSz w:w="11900" w:h="16838" w:orient="portrait"/>
          <w:cols w:equalWidth="0" w:num="1">
            <w:col w:w="10900"/>
          </w:cols>
          <w:pgMar w:left="320" w:top="445" w:right="6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LEGAL MATTERS</w:t>
      </w:r>
    </w:p>
    <w:p>
      <w:pPr>
        <w:spacing w:after="0" w:line="210" w:lineRule="exact"/>
        <w:rPr>
          <w:sz w:val="20"/>
          <w:szCs w:val="20"/>
          <w:color w:val="auto"/>
        </w:rPr>
      </w:pPr>
    </w:p>
    <w:p>
      <w:pPr>
        <w:ind w:left="320" w:right="480" w:firstLine="425"/>
        <w:spacing w:after="0" w:line="260" w:lineRule="auto"/>
        <w:rPr>
          <w:sz w:val="20"/>
          <w:szCs w:val="20"/>
          <w:color w:val="auto"/>
        </w:rPr>
      </w:pPr>
      <w:r>
        <w:rPr>
          <w:rFonts w:ascii="Arial" w:cs="Arial" w:eastAsia="Arial" w:hAnsi="Arial"/>
          <w:sz w:val="17"/>
          <w:szCs w:val="17"/>
          <w:color w:val="auto"/>
        </w:rPr>
        <w:t>Certain legal matters in connection with the notes and guarantee offered hereby will be passed upon for us by Gibson, Dunn &amp; Crutcher LLP, New York, New York, LOYENS &amp; LOEFF LUXEMBOURG SARL, Luxembourg, and STvB Advocaten (Europe) N.V., Amsterdam, The Netherlands, and for the underwriters by Davis Polk &amp; Wardwell LLP, New York, New York.</w:t>
      </w: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EXPERTS</w:t>
      </w:r>
    </w:p>
    <w:p>
      <w:pPr>
        <w:spacing w:after="0" w:line="210"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0" w:lineRule="exact"/>
        <w:rPr>
          <w:sz w:val="20"/>
          <w:szCs w:val="20"/>
          <w:color w:val="auto"/>
        </w:rPr>
      </w:pPr>
    </w:p>
    <w:p>
      <w:pPr>
        <w:ind w:left="320" w:right="160" w:firstLine="425"/>
        <w:spacing w:after="0" w:line="260" w:lineRule="auto"/>
        <w:rPr>
          <w:sz w:val="20"/>
          <w:szCs w:val="20"/>
          <w:color w:val="auto"/>
        </w:rPr>
      </w:pPr>
      <w:r>
        <w:rPr>
          <w:rFonts w:ascii="Arial" w:cs="Arial" w:eastAsia="Arial" w:hAnsi="Arial"/>
          <w:sz w:val="17"/>
          <w:szCs w:val="17"/>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59" w:lineRule="exact"/>
        <w:rPr>
          <w:sz w:val="20"/>
          <w:szCs w:val="20"/>
          <w:color w:val="auto"/>
        </w:rPr>
      </w:pPr>
    </w:p>
    <w:p>
      <w:pPr>
        <w:ind w:left="320" w:right="200" w:firstLine="425"/>
        <w:spacing w:after="0" w:line="260" w:lineRule="auto"/>
        <w:rPr>
          <w:sz w:val="20"/>
          <w:szCs w:val="20"/>
          <w:color w:val="auto"/>
        </w:rPr>
      </w:pPr>
      <w:r>
        <w:rPr>
          <w:rFonts w:ascii="Arial" w:cs="Arial" w:eastAsia="Arial" w:hAnsi="Arial"/>
          <w:sz w:val="17"/>
          <w:szCs w:val="17"/>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59" w:lineRule="exact"/>
        <w:rPr>
          <w:sz w:val="20"/>
          <w:szCs w:val="20"/>
          <w:color w:val="auto"/>
        </w:rPr>
      </w:pPr>
    </w:p>
    <w:p>
      <w:pPr>
        <w:ind w:left="320" w:right="400" w:firstLine="425"/>
        <w:spacing w:after="0" w:line="260" w:lineRule="auto"/>
        <w:rPr>
          <w:sz w:val="20"/>
          <w:szCs w:val="20"/>
          <w:color w:val="auto"/>
        </w:rPr>
      </w:pPr>
      <w:r>
        <w:rPr>
          <w:rFonts w:ascii="Arial" w:cs="Arial" w:eastAsia="Arial" w:hAnsi="Arial"/>
          <w:sz w:val="17"/>
          <w:szCs w:val="17"/>
          <w:color w:val="auto"/>
        </w:rPr>
        <w:t>Please note that any internet addresses provided in this prospectus supplement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INCORPORATION OF DOCUMENTS BY REFERENCE</w:t>
      </w:r>
    </w:p>
    <w:p>
      <w:pPr>
        <w:spacing w:after="0" w:line="210" w:lineRule="exact"/>
        <w:rPr>
          <w:sz w:val="20"/>
          <w:szCs w:val="20"/>
          <w:color w:val="auto"/>
        </w:rPr>
      </w:pPr>
    </w:p>
    <w:p>
      <w:pPr>
        <w:ind w:left="320" w:right="20" w:firstLine="425"/>
        <w:spacing w:after="0" w:line="248" w:lineRule="auto"/>
        <w:rPr>
          <w:sz w:val="20"/>
          <w:szCs w:val="20"/>
          <w:color w:val="auto"/>
        </w:rPr>
      </w:pPr>
      <w:r>
        <w:rPr>
          <w:rFonts w:ascii="Arial" w:cs="Arial" w:eastAsia="Arial" w:hAnsi="Arial"/>
          <w:sz w:val="17"/>
          <w:szCs w:val="17"/>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SLB Group and its financial condition, business and results.</w:t>
      </w:r>
    </w:p>
    <w:p>
      <w:pPr>
        <w:spacing w:after="0" w:line="371"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We are incorporating by reference into this prospectus supplement and the accompanying prospectus the following documents listed below and any other filings made by the Guarantor under Section 13(a), 13(c), 14 or 15(d) of the Exchange Act on or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76" w:lineRule="exact"/>
        <w:rPr>
          <w:sz w:val="20"/>
          <w:szCs w:val="20"/>
          <w:color w:val="auto"/>
        </w:rPr>
      </w:pPr>
    </w:p>
    <w:p>
      <w:pPr>
        <w:ind w:left="1240" w:right="80" w:hanging="409"/>
        <w:spacing w:after="0" w:line="260"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Guarantor’s Annual Report on </w:t>
      </w:r>
      <w:hyperlink r:id="rId6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2023, as filed with the SEC on January 24, 2024 (including the portions of our proxy statement for our 2024 annual meeting of shareholders incorporated by reference therein);</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S-42</w:t>
      </w:r>
    </w:p>
    <w:p>
      <w:pPr>
        <w:sectPr>
          <w:pgSz w:w="11900" w:h="16838" w:orient="portrait"/>
          <w:cols w:equalWidth="0" w:num="1">
            <w:col w:w="10900"/>
          </w:cols>
          <w:pgMar w:left="320" w:top="445" w:right="6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hanging="409"/>
        <w:spacing w:after="0" w:line="281" w:lineRule="auto"/>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Guarantor’s Quarterly Report on </w:t>
      </w:r>
      <w:hyperlink r:id="rId65">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quarter ended March 31, 2024, as filed with the SEC on April 24, 2024; and</w:t>
      </w:r>
    </w:p>
    <w:p>
      <w:pPr>
        <w:spacing w:after="0" w:line="50" w:lineRule="exact"/>
        <w:rPr>
          <w:rFonts w:ascii="Arial" w:cs="Arial" w:eastAsia="Arial" w:hAnsi="Arial"/>
          <w:sz w:val="17"/>
          <w:szCs w:val="17"/>
          <w:color w:val="auto"/>
        </w:rPr>
      </w:pPr>
    </w:p>
    <w:p>
      <w:pPr>
        <w:ind w:left="1240" w:right="80" w:hanging="409"/>
        <w:spacing w:after="0" w:line="281" w:lineRule="auto"/>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Guarantor’s Current Reports on Form 8-K as filed with the SEC on </w:t>
      </w:r>
      <w:hyperlink r:id="rId66">
        <w:r>
          <w:rPr>
            <w:rFonts w:ascii="Arial" w:cs="Arial" w:eastAsia="Arial" w:hAnsi="Arial"/>
            <w:sz w:val="17"/>
            <w:szCs w:val="17"/>
            <w:u w:val="single" w:color="auto"/>
            <w:color w:val="0000EE"/>
          </w:rPr>
          <w:t>April 2, 2024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(as amended by the Guarantor’s Current Report on Form 8-K/A filed on </w:t>
      </w:r>
      <w:hyperlink r:id="rId67">
        <w:r>
          <w:rPr>
            <w:rFonts w:ascii="Arial" w:cs="Arial" w:eastAsia="Arial" w:hAnsi="Arial"/>
            <w:sz w:val="17"/>
            <w:szCs w:val="17"/>
            <w:u w:val="single" w:color="auto"/>
            <w:color w:val="0000EE"/>
          </w:rPr>
          <w:t>April 3, 2024</w:t>
        </w:r>
      </w:hyperlink>
      <w:r>
        <w:rPr>
          <w:rFonts w:ascii="Arial" w:cs="Arial" w:eastAsia="Arial" w:hAnsi="Arial"/>
          <w:sz w:val="17"/>
          <w:szCs w:val="17"/>
          <w:color w:val="auto"/>
        </w:rPr>
        <w:t xml:space="preserve">) and </w:t>
      </w:r>
      <w:hyperlink r:id="rId68">
        <w:r>
          <w:rPr>
            <w:rFonts w:ascii="Arial" w:cs="Arial" w:eastAsia="Arial" w:hAnsi="Arial"/>
            <w:sz w:val="17"/>
            <w:szCs w:val="17"/>
            <w:u w:val="single" w:color="auto"/>
            <w:color w:val="0000EE"/>
          </w:rPr>
          <w:t>April 3, 2024</w:t>
        </w:r>
      </w:hyperlink>
      <w:r>
        <w:rPr>
          <w:rFonts w:ascii="Arial" w:cs="Arial" w:eastAsia="Arial" w:hAnsi="Arial"/>
          <w:sz w:val="17"/>
          <w:szCs w:val="17"/>
          <w:color w:val="auto"/>
        </w:rPr>
        <w:t>.</w:t>
      </w:r>
    </w:p>
    <w:p>
      <w:pPr>
        <w:spacing w:after="0" w:line="141" w:lineRule="exact"/>
        <w:rPr>
          <w:rFonts w:ascii="Arial" w:cs="Arial" w:eastAsia="Arial" w:hAnsi="Arial"/>
          <w:sz w:val="17"/>
          <w:szCs w:val="17"/>
          <w:color w:val="auto"/>
        </w:rPr>
      </w:pPr>
    </w:p>
    <w:p>
      <w:pPr>
        <w:ind w:left="320" w:right="80" w:firstLine="425"/>
        <w:spacing w:after="0" w:line="246" w:lineRule="auto"/>
        <w:rPr>
          <w:sz w:val="20"/>
          <w:szCs w:val="20"/>
          <w:color w:val="auto"/>
        </w:rPr>
      </w:pPr>
      <w:r>
        <w:rPr>
          <w:rFonts w:ascii="Arial" w:cs="Arial" w:eastAsia="Arial" w:hAnsi="Arial"/>
          <w:sz w:val="17"/>
          <w:szCs w:val="17"/>
          <w:color w:val="auto"/>
        </w:rPr>
        <w:t>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w:t>
      </w:r>
    </w:p>
    <w:p>
      <w:pPr>
        <w:spacing w:after="0" w:line="173" w:lineRule="exact"/>
        <w:rPr>
          <w:rFonts w:ascii="Arial" w:cs="Arial" w:eastAsia="Arial" w:hAnsi="Arial"/>
          <w:sz w:val="17"/>
          <w:szCs w:val="17"/>
          <w:color w:val="auto"/>
        </w:rPr>
      </w:pPr>
    </w:p>
    <w:p>
      <w:pPr>
        <w:ind w:left="320" w:right="20" w:firstLine="425"/>
        <w:spacing w:after="0" w:line="260" w:lineRule="auto"/>
        <w:rPr>
          <w:sz w:val="20"/>
          <w:szCs w:val="20"/>
          <w:color w:val="auto"/>
        </w:rPr>
      </w:pPr>
      <w:r>
        <w:rPr>
          <w:rFonts w:ascii="Arial" w:cs="Arial" w:eastAsia="Arial" w:hAnsi="Arial"/>
          <w:sz w:val="17"/>
          <w:szCs w:val="17"/>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59" w:lineRule="exact"/>
        <w:rPr>
          <w:rFonts w:ascii="Arial" w:cs="Arial" w:eastAsia="Arial" w:hAnsi="Arial"/>
          <w:sz w:val="17"/>
          <w:szCs w:val="17"/>
          <w:color w:val="auto"/>
        </w:rPr>
      </w:pPr>
    </w:p>
    <w:p>
      <w:pPr>
        <w:ind w:left="320" w:right="40" w:firstLine="425"/>
        <w:spacing w:after="0" w:line="260" w:lineRule="auto"/>
        <w:rPr>
          <w:sz w:val="20"/>
          <w:szCs w:val="20"/>
          <w:color w:val="auto"/>
        </w:rPr>
      </w:pPr>
      <w:r>
        <w:rPr>
          <w:rFonts w:ascii="Arial" w:cs="Arial" w:eastAsia="Arial" w:hAnsi="Arial"/>
          <w:sz w:val="17"/>
          <w:szCs w:val="17"/>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59" w:lineRule="exact"/>
        <w:rPr>
          <w:rFonts w:ascii="Arial" w:cs="Arial" w:eastAsia="Arial" w:hAnsi="Arial"/>
          <w:sz w:val="17"/>
          <w:szCs w:val="17"/>
          <w:color w:val="auto"/>
        </w:rPr>
      </w:pPr>
    </w:p>
    <w:p>
      <w:pPr>
        <w:jc w:val="center"/>
        <w:ind w:right="-339"/>
        <w:spacing w:after="0"/>
        <w:rPr>
          <w:sz w:val="20"/>
          <w:szCs w:val="20"/>
          <w:color w:val="auto"/>
        </w:rPr>
      </w:pPr>
      <w:r>
        <w:rPr>
          <w:rFonts w:ascii="Arial" w:cs="Arial" w:eastAsia="Arial" w:hAnsi="Arial"/>
          <w:sz w:val="17"/>
          <w:szCs w:val="17"/>
          <w:color w:val="auto"/>
        </w:rPr>
        <w:t>Schlumberger Limited</w:t>
      </w:r>
    </w:p>
    <w:p>
      <w:pPr>
        <w:spacing w:after="0" w:line="16" w:lineRule="exact"/>
        <w:rPr>
          <w:rFonts w:ascii="Arial" w:cs="Arial" w:eastAsia="Arial" w:hAnsi="Arial"/>
          <w:sz w:val="17"/>
          <w:szCs w:val="17"/>
          <w:color w:val="auto"/>
        </w:rPr>
      </w:pPr>
    </w:p>
    <w:p>
      <w:pPr>
        <w:jc w:val="center"/>
        <w:ind w:right="-339"/>
        <w:spacing w:after="0"/>
        <w:rPr>
          <w:sz w:val="20"/>
          <w:szCs w:val="20"/>
          <w:color w:val="auto"/>
        </w:rPr>
      </w:pPr>
      <w:r>
        <w:rPr>
          <w:rFonts w:ascii="Arial" w:cs="Arial" w:eastAsia="Arial" w:hAnsi="Arial"/>
          <w:sz w:val="17"/>
          <w:szCs w:val="17"/>
          <w:color w:val="auto"/>
        </w:rPr>
        <w:t>5599 San Felipe</w:t>
      </w:r>
    </w:p>
    <w:p>
      <w:pPr>
        <w:jc w:val="center"/>
        <w:ind w:right="-339"/>
        <w:spacing w:after="0"/>
        <w:rPr>
          <w:sz w:val="20"/>
          <w:szCs w:val="20"/>
          <w:color w:val="auto"/>
        </w:rPr>
      </w:pPr>
      <w:r>
        <w:rPr>
          <w:rFonts w:ascii="Arial" w:cs="Arial" w:eastAsia="Arial" w:hAnsi="Arial"/>
          <w:sz w:val="17"/>
          <w:szCs w:val="17"/>
          <w:color w:val="auto"/>
        </w:rPr>
        <w:t>Houston, Texas 77056</w:t>
      </w:r>
    </w:p>
    <w:p>
      <w:pPr>
        <w:ind w:left="5480" w:hanging="449"/>
        <w:spacing w:after="0"/>
        <w:tabs>
          <w:tab w:leader="none" w:pos="5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375-3535</w:t>
      </w:r>
    </w:p>
    <w:p>
      <w:pPr>
        <w:ind w:left="4540"/>
        <w:spacing w:after="0"/>
        <w:rPr>
          <w:rFonts w:ascii="Arial" w:cs="Arial" w:eastAsia="Arial" w:hAnsi="Arial"/>
          <w:sz w:val="17"/>
          <w:szCs w:val="17"/>
          <w:color w:val="auto"/>
        </w:rPr>
      </w:pPr>
      <w:r>
        <w:rPr>
          <w:rFonts w:ascii="Arial" w:cs="Arial" w:eastAsia="Arial" w:hAnsi="Arial"/>
          <w:sz w:val="17"/>
          <w:szCs w:val="17"/>
          <w:color w:val="auto"/>
        </w:rPr>
        <w:t>Attention: Investor Relations</w:t>
      </w:r>
    </w:p>
    <w:p>
      <w:pPr>
        <w:spacing w:after="0" w:line="192" w:lineRule="exact"/>
        <w:rPr>
          <w:rFonts w:ascii="Arial" w:cs="Arial" w:eastAsia="Arial" w:hAnsi="Arial"/>
          <w:sz w:val="17"/>
          <w:szCs w:val="17"/>
          <w:color w:val="auto"/>
        </w:rPr>
      </w:pPr>
    </w:p>
    <w:p>
      <w:pPr>
        <w:ind w:left="320" w:right="740" w:firstLine="425"/>
        <w:spacing w:after="0" w:line="281" w:lineRule="auto"/>
        <w:rPr>
          <w:sz w:val="20"/>
          <w:szCs w:val="20"/>
          <w:color w:val="auto"/>
        </w:rPr>
      </w:pPr>
      <w:r>
        <w:rPr>
          <w:rFonts w:ascii="Arial" w:cs="Arial" w:eastAsia="Arial" w:hAnsi="Arial"/>
          <w:sz w:val="17"/>
          <w:szCs w:val="17"/>
          <w:color w:val="auto"/>
        </w:rPr>
        <w:t>Except as provided above, no other information (including information on our website) is incorporated by reference into this prospectus supplement and accompanying prospectus.</w:t>
      </w:r>
    </w:p>
    <w:p>
      <w:pPr>
        <w:spacing w:after="0" w:line="76" w:lineRule="exact"/>
        <w:rPr>
          <w:rFonts w:ascii="Arial" w:cs="Arial" w:eastAsia="Arial" w:hAnsi="Arial"/>
          <w:sz w:val="17"/>
          <w:szCs w:val="17"/>
          <w:color w:val="auto"/>
        </w:rPr>
      </w:pPr>
    </w:p>
    <w:p>
      <w:pPr>
        <w:jc w:val="center"/>
        <w:ind w:right="-339"/>
        <w:spacing w:after="0"/>
        <w:rPr>
          <w:sz w:val="20"/>
          <w:szCs w:val="20"/>
          <w:color w:val="auto"/>
        </w:rPr>
      </w:pPr>
      <w:r>
        <w:rPr>
          <w:rFonts w:ascii="Arial" w:cs="Arial" w:eastAsia="Arial" w:hAnsi="Arial"/>
          <w:sz w:val="17"/>
          <w:szCs w:val="17"/>
          <w:color w:val="auto"/>
        </w:rPr>
        <w:t>S-43</w:t>
      </w:r>
    </w:p>
    <w:p>
      <w:pPr>
        <w:sectPr>
          <w:pgSz w:w="11900" w:h="16838" w:orient="portrait"/>
          <w:cols w:equalWidth="0" w:num="1">
            <w:col w:w="10900"/>
          </w:cols>
          <w:pgMar w:left="320" w:top="445" w:right="6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160655</wp:posOffset>
            </wp:positionV>
            <wp:extent cx="1182370" cy="711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118237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42"/>
          <w:szCs w:val="42"/>
          <w:b w:val="1"/>
          <w:bCs w:val="1"/>
          <w:color w:val="auto"/>
        </w:rPr>
        <w:t>Schlumberger Investment S.A.</w:t>
      </w: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Senior Debt Securities</w:t>
      </w:r>
    </w:p>
    <w:p>
      <w:pPr>
        <w:spacing w:after="0" w:line="35"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Fully and Unconditionally Guaranteed by</w:t>
      </w:r>
    </w:p>
    <w:p>
      <w:pPr>
        <w:spacing w:after="0" w:line="11"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154940</wp:posOffset>
            </wp:positionV>
            <wp:extent cx="1414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4"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color w:val="auto"/>
        </w:rPr>
        <w:t>Schlumberger Investment S.A., a public limited liability company (</w:t>
      </w:r>
      <w:r>
        <w:rPr>
          <w:rFonts w:ascii="Arial" w:cs="Arial" w:eastAsia="Arial" w:hAnsi="Arial"/>
          <w:sz w:val="17"/>
          <w:szCs w:val="17"/>
          <w:i w:val="1"/>
          <w:iCs w:val="1"/>
          <w:color w:val="auto"/>
        </w:rPr>
        <w:t>société anonyme</w:t>
      </w:r>
      <w:r>
        <w:rPr>
          <w:rFonts w:ascii="Arial" w:cs="Arial" w:eastAsia="Arial" w:hAnsi="Arial"/>
          <w:sz w:val="17"/>
          <w:szCs w:val="17"/>
          <w:color w:val="auto"/>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cs="Arial" w:eastAsia="Arial" w:hAnsi="Arial"/>
          <w:sz w:val="17"/>
          <w:szCs w:val="17"/>
          <w:i w:val="1"/>
          <w:iCs w:val="1"/>
          <w:color w:val="auto"/>
        </w:rPr>
        <w:t>Registre de Commerce et des Sociétés</w:t>
      </w:r>
      <w:r>
        <w:rPr>
          <w:rFonts w:ascii="Arial" w:cs="Arial" w:eastAsia="Arial" w:hAnsi="Arial"/>
          <w:sz w:val="17"/>
          <w:szCs w:val="17"/>
          <w:color w:val="auto"/>
        </w:rPr>
        <w:t>) under number B 163.122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65" w:lineRule="exact"/>
        <w:rPr>
          <w:sz w:val="20"/>
          <w:szCs w:val="20"/>
          <w:color w:val="auto"/>
        </w:rPr>
      </w:pPr>
    </w:p>
    <w:p>
      <w:pPr>
        <w:ind w:left="320" w:right="100" w:firstLine="531"/>
        <w:spacing w:after="0" w:line="247" w:lineRule="auto"/>
        <w:rPr>
          <w:sz w:val="20"/>
          <w:szCs w:val="20"/>
          <w:color w:val="auto"/>
        </w:rPr>
      </w:pPr>
      <w:r>
        <w:rPr>
          <w:rFonts w:ascii="Arial" w:cs="Arial" w:eastAsia="Arial" w:hAnsi="Arial"/>
          <w:sz w:val="21"/>
          <w:szCs w:val="21"/>
          <w:b w:val="1"/>
          <w:bCs w:val="1"/>
          <w:color w:val="auto"/>
        </w:rPr>
        <w:t>Investing in the securities involves risks. You should carefully consider the information in the “</w:t>
      </w:r>
      <w:r>
        <w:rPr>
          <w:rFonts w:ascii="Arial" w:cs="Arial" w:eastAsia="Arial" w:hAnsi="Arial"/>
          <w:sz w:val="21"/>
          <w:szCs w:val="21"/>
          <w:b w:val="1"/>
          <w:bCs w:val="1"/>
          <w:u w:val="single" w:color="auto"/>
          <w:color w:val="0000EE"/>
        </w:rPr>
        <w:t>Risk</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0000EE"/>
        </w:rPr>
        <w:t>Factors</w:t>
      </w:r>
      <w:r>
        <w:rPr>
          <w:rFonts w:ascii="Arial" w:cs="Arial" w:eastAsia="Arial" w:hAnsi="Arial"/>
          <w:sz w:val="21"/>
          <w:szCs w:val="21"/>
          <w:b w:val="1"/>
          <w:bCs w:val="1"/>
          <w:color w:val="0000EE"/>
        </w:rPr>
        <w:t xml:space="preserve"> </w:t>
      </w:r>
      <w:r>
        <w:rPr>
          <w:rFonts w:ascii="Arial" w:cs="Arial" w:eastAsia="Arial" w:hAnsi="Arial"/>
          <w:sz w:val="21"/>
          <w:szCs w:val="21"/>
          <w:b w:val="1"/>
          <w:bCs w:val="1"/>
          <w:color w:val="000000"/>
        </w:rPr>
        <w:t>” section beginning on page 5 of this prospectus, including those risks incorporated by reference</w:t>
      </w:r>
      <w:r>
        <w:rPr>
          <w:rFonts w:ascii="Arial" w:cs="Arial" w:eastAsia="Arial" w:hAnsi="Arial"/>
          <w:sz w:val="21"/>
          <w:szCs w:val="21"/>
          <w:b w:val="1"/>
          <w:bCs w:val="1"/>
          <w:color w:val="0000EE"/>
        </w:rPr>
        <w:t xml:space="preserve"> </w:t>
      </w:r>
      <w:r>
        <w:rPr>
          <w:rFonts w:ascii="Arial" w:cs="Arial" w:eastAsia="Arial" w:hAnsi="Arial"/>
          <w:sz w:val="21"/>
          <w:szCs w:val="21"/>
          <w:b w:val="1"/>
          <w:bCs w:val="1"/>
          <w:color w:val="000000"/>
        </w:rPr>
        <w:t>in this prospectus and in any prospectus supplement, before deciding whether to invest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121285</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72" w:lineRule="exact"/>
        <w:rPr>
          <w:sz w:val="20"/>
          <w:szCs w:val="20"/>
          <w:color w:val="auto"/>
        </w:rPr>
      </w:pPr>
    </w:p>
    <w:p>
      <w:pPr>
        <w:ind w:left="320" w:firstLine="425"/>
        <w:spacing w:after="0" w:line="290"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1" w:lineRule="exact"/>
        <w:rPr>
          <w:sz w:val="20"/>
          <w:szCs w:val="20"/>
          <w:color w:val="auto"/>
        </w:rPr>
      </w:pPr>
    </w:p>
    <w:p>
      <w:pPr>
        <w:ind w:left="740"/>
        <w:spacing w:after="0"/>
        <w:rPr>
          <w:sz w:val="20"/>
          <w:szCs w:val="20"/>
          <w:color w:val="auto"/>
        </w:rPr>
      </w:pPr>
      <w:r>
        <w:rPr>
          <w:rFonts w:ascii="Arial" w:cs="Arial" w:eastAsia="Arial" w:hAnsi="Arial"/>
          <w:sz w:val="17"/>
          <w:szCs w:val="17"/>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151130</wp:posOffset>
            </wp:positionV>
            <wp:extent cx="1414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The date of this prospectus is May 8, 2023</w:t>
      </w:r>
    </w:p>
    <w:p>
      <w:pPr>
        <w:sectPr>
          <w:pgSz w:w="11900" w:h="16838" w:orient="portrait"/>
          <w:cols w:equalWidth="0" w:num="1">
            <w:col w:w="10900"/>
          </w:cols>
          <w:pgMar w:left="320" w:top="445" w:right="6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852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6"/>
        </w:trPr>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0" w:type="dxa"/>
            <w:vAlign w:val="bottom"/>
            <w:gridSpan w:val="2"/>
          </w:tcPr>
          <w:p>
            <w:pPr>
              <w:ind w:left="1380"/>
              <w:spacing w:after="0"/>
              <w:rPr>
                <w:sz w:val="20"/>
                <w:szCs w:val="20"/>
                <w:color w:val="auto"/>
              </w:rPr>
            </w:pPr>
            <w:r>
              <w:rPr>
                <w:rFonts w:ascii="Arial" w:cs="Arial" w:eastAsia="Arial" w:hAnsi="Arial"/>
                <w:sz w:val="17"/>
                <w:szCs w:val="17"/>
                <w:b w:val="1"/>
                <w:bCs w:val="1"/>
                <w:color w:val="auto"/>
              </w:rPr>
              <w:t>Table of Contents</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20" w:type="dxa"/>
            <w:vAlign w:val="bottom"/>
          </w:tcPr>
          <w:p>
            <w:pPr>
              <w:spacing w:after="0"/>
              <w:rPr>
                <w:sz w:val="24"/>
                <w:szCs w:val="24"/>
                <w:color w:val="auto"/>
              </w:rPr>
            </w:pPr>
          </w:p>
        </w:tc>
        <w:tc>
          <w:tcPr>
            <w:tcW w:w="8200" w:type="dxa"/>
            <w:vAlign w:val="bottom"/>
            <w:gridSpan w:val="14"/>
          </w:tcPr>
          <w:p>
            <w:pPr>
              <w:spacing w:after="0"/>
              <w:rPr>
                <w:sz w:val="20"/>
                <w:szCs w:val="20"/>
                <w:color w:val="auto"/>
              </w:rPr>
            </w:pPr>
            <w:r>
              <w:rPr>
                <w:rFonts w:ascii="Arial" w:cs="Arial" w:eastAsia="Arial" w:hAnsi="Arial"/>
                <w:sz w:val="17"/>
                <w:szCs w:val="17"/>
                <w:color w:val="0000EE"/>
              </w:rPr>
              <w:t>About this Prospectus</w:t>
            </w:r>
          </w:p>
        </w:tc>
        <w:tc>
          <w:tcPr>
            <w:tcW w:w="23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68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7"/>
                <w:szCs w:val="17"/>
                <w:color w:val="0000EE"/>
              </w:rPr>
              <w:t>About the Guarantor</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560" w:type="dxa"/>
            <w:vAlign w:val="bottom"/>
            <w:tcBorders>
              <w:top w:val="single" w:sz="8" w:color="0000EE"/>
            </w:tcBorders>
            <w:gridSpan w:val="7"/>
          </w:tcPr>
          <w:p>
            <w:pPr>
              <w:spacing w:after="0" w:line="176" w:lineRule="exact"/>
              <w:rPr>
                <w:sz w:val="20"/>
                <w:szCs w:val="20"/>
                <w:color w:val="auto"/>
              </w:rPr>
            </w:pPr>
            <w:r>
              <w:rPr>
                <w:rFonts w:ascii="Arial" w:cs="Arial" w:eastAsia="Arial" w:hAnsi="Arial"/>
                <w:sz w:val="17"/>
                <w:szCs w:val="17"/>
                <w:color w:val="0000EE"/>
              </w:rPr>
              <w:t>About the Company</w:t>
            </w:r>
          </w:p>
        </w:tc>
        <w:tc>
          <w:tcPr>
            <w:tcW w:w="26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52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7"/>
                <w:szCs w:val="17"/>
                <w:color w:val="0000EE"/>
                <w:w w:val="91"/>
              </w:rPr>
              <w:t>Cautionary Statement</w:t>
            </w:r>
          </w:p>
        </w:tc>
        <w:tc>
          <w:tcPr>
            <w:tcW w:w="6680" w:type="dxa"/>
            <w:vAlign w:val="bottom"/>
            <w:gridSpan w:val="8"/>
          </w:tcPr>
          <w:p>
            <w:pPr>
              <w:ind w:left="200"/>
              <w:spacing w:after="0" w:line="176" w:lineRule="exact"/>
              <w:rPr>
                <w:sz w:val="20"/>
                <w:szCs w:val="20"/>
                <w:color w:val="auto"/>
              </w:rPr>
            </w:pPr>
            <w:r>
              <w:rPr>
                <w:rFonts w:ascii="Arial" w:cs="Arial" w:eastAsia="Arial" w:hAnsi="Arial"/>
                <w:sz w:val="17"/>
                <w:szCs w:val="17"/>
                <w:color w:val="0000EE"/>
              </w:rPr>
              <w:t>Regarding Forward-Looking Statements</w:t>
            </w: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480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7"/>
                <w:szCs w:val="17"/>
                <w:color w:val="0000EE"/>
              </w:rPr>
              <w:t>Risk Factors</w:t>
            </w:r>
          </w:p>
        </w:tc>
        <w:tc>
          <w:tcPr>
            <w:tcW w:w="3400" w:type="dxa"/>
            <w:vAlign w:val="bottom"/>
          </w:tcPr>
          <w:p>
            <w:pPr>
              <w:spacing w:after="0"/>
              <w:rPr>
                <w:sz w:val="15"/>
                <w:szCs w:val="15"/>
                <w:color w:val="auto"/>
              </w:rPr>
            </w:pP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60" w:type="dxa"/>
            <w:vAlign w:val="bottom"/>
            <w:tcBorders>
              <w:top w:val="single" w:sz="8" w:color="0000EE"/>
              <w:bottom w:val="single" w:sz="8" w:color="0000EE"/>
            </w:tcBorders>
            <w:gridSpan w:val="2"/>
          </w:tcPr>
          <w:p>
            <w:pPr>
              <w:spacing w:after="0" w:line="176" w:lineRule="exact"/>
              <w:rPr>
                <w:sz w:val="20"/>
                <w:szCs w:val="20"/>
                <w:color w:val="auto"/>
              </w:rPr>
            </w:pPr>
            <w:r>
              <w:rPr>
                <w:rFonts w:ascii="Arial" w:cs="Arial" w:eastAsia="Arial" w:hAnsi="Arial"/>
                <w:sz w:val="17"/>
                <w:szCs w:val="17"/>
                <w:color w:val="0000EE"/>
              </w:rPr>
              <w:t>Where You</w:t>
            </w:r>
          </w:p>
        </w:tc>
        <w:tc>
          <w:tcPr>
            <w:tcW w:w="2000" w:type="dxa"/>
            <w:vAlign w:val="bottom"/>
            <w:tcBorders>
              <w:bottom w:val="single" w:sz="8" w:color="0000EE"/>
            </w:tcBorders>
            <w:gridSpan w:val="9"/>
          </w:tcPr>
          <w:p>
            <w:pPr>
              <w:spacing w:after="0" w:line="176" w:lineRule="exact"/>
              <w:rPr>
                <w:sz w:val="20"/>
                <w:szCs w:val="20"/>
                <w:color w:val="auto"/>
              </w:rPr>
            </w:pPr>
            <w:r>
              <w:rPr>
                <w:rFonts w:ascii="Arial" w:cs="Arial" w:eastAsia="Arial" w:hAnsi="Arial"/>
                <w:sz w:val="17"/>
                <w:szCs w:val="17"/>
                <w:color w:val="0000EE"/>
                <w:w w:val="97"/>
              </w:rPr>
              <w:t>Can Find More Information</w:t>
            </w:r>
          </w:p>
        </w:tc>
        <w:tc>
          <w:tcPr>
            <w:tcW w:w="5240" w:type="dxa"/>
            <w:vAlign w:val="bottom"/>
            <w:gridSpan w:val="3"/>
          </w:tcPr>
          <w:p>
            <w:pPr>
              <w:spacing w:after="0"/>
              <w:rPr>
                <w:sz w:val="15"/>
                <w:szCs w:val="15"/>
                <w:color w:val="auto"/>
              </w:rPr>
            </w:pP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8200" w:type="dxa"/>
            <w:vAlign w:val="bottom"/>
            <w:gridSpan w:val="14"/>
          </w:tcPr>
          <w:p>
            <w:pPr>
              <w:spacing w:after="0" w:line="176" w:lineRule="exact"/>
              <w:rPr>
                <w:sz w:val="20"/>
                <w:szCs w:val="20"/>
                <w:color w:val="auto"/>
              </w:rPr>
            </w:pPr>
            <w:r>
              <w:rPr>
                <w:rFonts w:ascii="Arial" w:cs="Arial" w:eastAsia="Arial" w:hAnsi="Arial"/>
                <w:sz w:val="17"/>
                <w:szCs w:val="17"/>
                <w:color w:val="0000EE"/>
              </w:rPr>
              <w:t>Incorporation of Documents by Reference</w:t>
            </w: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4"/>
          </w:tcPr>
          <w:p>
            <w:pPr>
              <w:spacing w:after="0" w:line="176" w:lineRule="exact"/>
              <w:rPr>
                <w:sz w:val="20"/>
                <w:szCs w:val="20"/>
                <w:color w:val="auto"/>
              </w:rPr>
            </w:pPr>
            <w:r>
              <w:rPr>
                <w:rFonts w:ascii="Arial" w:cs="Arial" w:eastAsia="Arial" w:hAnsi="Arial"/>
                <w:sz w:val="17"/>
                <w:szCs w:val="17"/>
                <w:color w:val="0000EE"/>
              </w:rPr>
              <w:t>Use of Proceeds</w:t>
            </w:r>
          </w:p>
        </w:tc>
        <w:tc>
          <w:tcPr>
            <w:tcW w:w="1920" w:type="dxa"/>
            <w:vAlign w:val="bottom"/>
            <w:tcBorders>
              <w:top w:val="single" w:sz="8" w:color="0000EE"/>
            </w:tcBorders>
            <w:gridSpan w:val="8"/>
          </w:tcPr>
          <w:p>
            <w:pPr>
              <w:spacing w:after="0"/>
              <w:rPr>
                <w:sz w:val="15"/>
                <w:szCs w:val="15"/>
                <w:color w:val="auto"/>
              </w:rPr>
            </w:pPr>
          </w:p>
        </w:tc>
        <w:tc>
          <w:tcPr>
            <w:tcW w:w="5000" w:type="dxa"/>
            <w:vAlign w:val="bottom"/>
            <w:gridSpan w:val="2"/>
          </w:tcPr>
          <w:p>
            <w:pPr>
              <w:spacing w:after="0"/>
              <w:rPr>
                <w:sz w:val="15"/>
                <w:szCs w:val="15"/>
                <w:color w:val="auto"/>
              </w:rPr>
            </w:pP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8200" w:type="dxa"/>
            <w:vAlign w:val="bottom"/>
            <w:gridSpan w:val="14"/>
          </w:tcPr>
          <w:p>
            <w:pPr>
              <w:spacing w:after="0" w:line="176" w:lineRule="exact"/>
              <w:rPr>
                <w:sz w:val="20"/>
                <w:szCs w:val="20"/>
                <w:color w:val="auto"/>
              </w:rPr>
            </w:pPr>
            <w:r>
              <w:rPr>
                <w:rFonts w:ascii="Arial" w:cs="Arial" w:eastAsia="Arial" w:hAnsi="Arial"/>
                <w:sz w:val="17"/>
                <w:szCs w:val="17"/>
                <w:color w:val="0000EE"/>
              </w:rPr>
              <w:t>Description of Debt Securities</w:t>
            </w: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28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7"/>
                <w:szCs w:val="17"/>
                <w:color w:val="0000EE"/>
              </w:rPr>
              <w:t>Plan of Distribution</w:t>
            </w:r>
          </w:p>
        </w:tc>
        <w:tc>
          <w:tcPr>
            <w:tcW w:w="5920" w:type="dxa"/>
            <w:vAlign w:val="bottom"/>
            <w:gridSpan w:val="4"/>
          </w:tcPr>
          <w:p>
            <w:pPr>
              <w:spacing w:after="0"/>
              <w:rPr>
                <w:sz w:val="15"/>
                <w:szCs w:val="15"/>
                <w:color w:val="auto"/>
              </w:rPr>
            </w:pP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236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8200" w:type="dxa"/>
            <w:vAlign w:val="bottom"/>
            <w:gridSpan w:val="14"/>
          </w:tcPr>
          <w:p>
            <w:pPr>
              <w:spacing w:after="0" w:line="176" w:lineRule="exact"/>
              <w:rPr>
                <w:sz w:val="20"/>
                <w:szCs w:val="20"/>
                <w:color w:val="auto"/>
              </w:rPr>
            </w:pPr>
            <w:r>
              <w:rPr>
                <w:rFonts w:ascii="Arial" w:cs="Arial" w:eastAsia="Arial" w:hAnsi="Arial"/>
                <w:sz w:val="17"/>
                <w:szCs w:val="17"/>
                <w:color w:val="0000EE"/>
              </w:rPr>
              <w:t>Validity of the Securities</w:t>
            </w: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76" w:lineRule="exact"/>
              <w:rPr>
                <w:sz w:val="20"/>
                <w:szCs w:val="20"/>
                <w:color w:val="auto"/>
              </w:rPr>
            </w:pPr>
            <w:r>
              <w:rPr>
                <w:rFonts w:ascii="Arial" w:cs="Arial" w:eastAsia="Arial" w:hAnsi="Arial"/>
                <w:sz w:val="17"/>
                <w:szCs w:val="17"/>
                <w:color w:val="0000EE"/>
                <w:w w:val="97"/>
              </w:rPr>
              <w:t>Experts</w:t>
            </w:r>
          </w:p>
        </w:tc>
        <w:tc>
          <w:tcPr>
            <w:tcW w:w="1240" w:type="dxa"/>
            <w:vAlign w:val="bottom"/>
            <w:tcBorders>
              <w:top w:val="single" w:sz="8" w:color="0000EE"/>
            </w:tcBorders>
            <w:gridSpan w:val="8"/>
          </w:tcPr>
          <w:p>
            <w:pPr>
              <w:spacing w:after="0"/>
              <w:rPr>
                <w:sz w:val="15"/>
                <w:szCs w:val="15"/>
                <w:color w:val="auto"/>
              </w:rPr>
            </w:pPr>
          </w:p>
        </w:tc>
        <w:tc>
          <w:tcPr>
            <w:tcW w:w="6380" w:type="dxa"/>
            <w:vAlign w:val="bottom"/>
            <w:gridSpan w:val="5"/>
          </w:tcPr>
          <w:p>
            <w:pPr>
              <w:spacing w:after="0"/>
              <w:rPr>
                <w:sz w:val="15"/>
                <w:szCs w:val="15"/>
                <w:color w:val="auto"/>
              </w:rPr>
            </w:pPr>
          </w:p>
        </w:tc>
        <w:tc>
          <w:tcPr>
            <w:tcW w:w="2360" w:type="dxa"/>
            <w:vAlign w:val="bottom"/>
          </w:tcPr>
          <w:p>
            <w:pPr>
              <w:jc w:val="right"/>
              <w:spacing w:after="0" w:line="176"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156845</wp:posOffset>
            </wp:positionV>
            <wp:extent cx="1414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8"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As used in this prospectus, unless otherwise stated or the context otherwise requires:</w:t>
      </w:r>
    </w:p>
    <w:p>
      <w:pPr>
        <w:spacing w:after="0" w:line="117" w:lineRule="exact"/>
        <w:rPr>
          <w:sz w:val="20"/>
          <w:szCs w:val="20"/>
          <w:color w:val="auto"/>
        </w:rPr>
      </w:pPr>
    </w:p>
    <w:p>
      <w:pPr>
        <w:ind w:left="1240" w:hanging="4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refers to Schlumberger Investment S.A., as defined on the first page of this prospectus;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“Guarantor” refers to Schlumberger Limited, the ultimate parent of the Company;</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“SLB Group” refers to Schlumberger Limited and its consolidated subsidiaries, including the Company; and</w:t>
      </w:r>
    </w:p>
    <w:p>
      <w:pPr>
        <w:spacing w:after="0" w:line="117" w:lineRule="exact"/>
        <w:rPr>
          <w:rFonts w:ascii="Arial" w:cs="Arial" w:eastAsia="Arial" w:hAnsi="Arial"/>
          <w:sz w:val="17"/>
          <w:szCs w:val="17"/>
          <w:color w:val="auto"/>
        </w:rPr>
      </w:pPr>
    </w:p>
    <w:p>
      <w:pPr>
        <w:ind w:left="1240" w:right="80" w:hanging="409"/>
        <w:spacing w:after="0" w:line="281"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10880"/>
          </w:cols>
          <w:pgMar w:left="320" w:top="439" w:right="6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About this Prospectus</w:t>
      </w:r>
    </w:p>
    <w:p>
      <w:pPr>
        <w:spacing w:after="0" w:line="210" w:lineRule="exact"/>
        <w:rPr>
          <w:sz w:val="20"/>
          <w:szCs w:val="20"/>
          <w:color w:val="auto"/>
        </w:rPr>
      </w:pPr>
    </w:p>
    <w:p>
      <w:pPr>
        <w:ind w:left="320" w:right="480" w:firstLine="425"/>
        <w:spacing w:after="0" w:line="281" w:lineRule="auto"/>
        <w:rPr>
          <w:sz w:val="20"/>
          <w:szCs w:val="20"/>
          <w:color w:val="auto"/>
        </w:rPr>
      </w:pPr>
      <w:r>
        <w:rPr>
          <w:rFonts w:ascii="Arial" w:cs="Arial" w:eastAsia="Arial" w:hAnsi="Arial"/>
          <w:sz w:val="17"/>
          <w:szCs w:val="17"/>
          <w:color w:val="auto"/>
        </w:rPr>
        <w:t>This prospectus is part of an automatic shelf registration statement that we have filed with the SEC as a “well-known seasoned issuer” as defined in Rule 405 under the Securities Act of 1933, as amended (the “Securities Act”).</w:t>
      </w:r>
    </w:p>
    <w:p>
      <w:pPr>
        <w:spacing w:after="0" w:line="141" w:lineRule="exact"/>
        <w:rPr>
          <w:sz w:val="20"/>
          <w:szCs w:val="20"/>
          <w:color w:val="auto"/>
        </w:rPr>
      </w:pPr>
    </w:p>
    <w:p>
      <w:pPr>
        <w:ind w:left="320" w:right="60" w:firstLine="425"/>
        <w:spacing w:after="0" w:line="248" w:lineRule="auto"/>
        <w:rPr>
          <w:sz w:val="20"/>
          <w:szCs w:val="20"/>
          <w:color w:val="auto"/>
        </w:rPr>
      </w:pPr>
      <w:r>
        <w:rPr>
          <w:rFonts w:ascii="Arial" w:cs="Arial" w:eastAsia="Arial" w:hAnsi="Arial"/>
          <w:sz w:val="17"/>
          <w:szCs w:val="17"/>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9" w:lineRule="exact"/>
        <w:rPr>
          <w:sz w:val="20"/>
          <w:szCs w:val="20"/>
          <w:color w:val="auto"/>
        </w:rPr>
      </w:pPr>
    </w:p>
    <w:p>
      <w:pPr>
        <w:ind w:left="320" w:right="20" w:firstLine="425"/>
        <w:spacing w:after="0" w:line="246"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73" w:lineRule="exact"/>
        <w:rPr>
          <w:sz w:val="20"/>
          <w:szCs w:val="20"/>
          <w:color w:val="auto"/>
        </w:rPr>
      </w:pPr>
    </w:p>
    <w:p>
      <w:pPr>
        <w:ind w:left="320" w:right="20" w:firstLine="425"/>
        <w:spacing w:after="0" w:line="250" w:lineRule="auto"/>
        <w:rPr>
          <w:sz w:val="20"/>
          <w:szCs w:val="20"/>
          <w:color w:val="auto"/>
        </w:rPr>
      </w:pPr>
      <w:r>
        <w:rPr>
          <w:rFonts w:ascii="Arial" w:cs="Arial" w:eastAsia="Arial" w:hAnsi="Arial"/>
          <w:sz w:val="17"/>
          <w:szCs w:val="17"/>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Schlumberger Limited’s financial statements. You can read the registration statement and exhibits on the SEC’s website or at the SEC as described under “Where You Can Find More Information.”</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About the Guarantor</w:t>
      </w:r>
    </w:p>
    <w:p>
      <w:pPr>
        <w:spacing w:after="0" w:line="210"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Schlumberger Limited, together with its subsidiaries, form a global technology company focused on driving energy innovation for a balanced planet. With a global presence in more than 100 countries and employees representing almost twice as many nationalities, the SLB Group works each day on innovating oil and gas, delivering digital at scale, decarbonizing industries, and developing and scaling new energy systems that accelerate the energy transition.</w:t>
      </w:r>
    </w:p>
    <w:p>
      <w:pPr>
        <w:spacing w:after="0" w:line="166" w:lineRule="exact"/>
        <w:rPr>
          <w:sz w:val="20"/>
          <w:szCs w:val="20"/>
          <w:color w:val="auto"/>
        </w:rPr>
      </w:pPr>
    </w:p>
    <w:p>
      <w:pPr>
        <w:ind w:left="320" w:right="440" w:firstLine="425"/>
        <w:spacing w:after="0" w:line="281" w:lineRule="auto"/>
        <w:rPr>
          <w:sz w:val="20"/>
          <w:szCs w:val="20"/>
          <w:color w:val="auto"/>
        </w:rPr>
      </w:pPr>
      <w:r>
        <w:rPr>
          <w:rFonts w:ascii="Arial" w:cs="Arial" w:eastAsia="Arial" w:hAnsi="Arial"/>
          <w:sz w:val="17"/>
          <w:szCs w:val="17"/>
          <w:color w:val="auto"/>
        </w:rPr>
        <w:t>The Guarantor was founded in 1926 and is incorporated under the laws of Curaçao. The Guarantor is the ultimate parent of the Company.</w:t>
      </w:r>
    </w:p>
    <w:p>
      <w:pPr>
        <w:spacing w:after="0" w:line="141" w:lineRule="exact"/>
        <w:rPr>
          <w:sz w:val="20"/>
          <w:szCs w:val="20"/>
          <w:color w:val="auto"/>
        </w:rPr>
      </w:pPr>
    </w:p>
    <w:p>
      <w:pPr>
        <w:ind w:left="320" w:right="820" w:firstLine="425"/>
        <w:spacing w:after="0" w:line="281" w:lineRule="auto"/>
        <w:rPr>
          <w:sz w:val="20"/>
          <w:szCs w:val="20"/>
          <w:color w:val="auto"/>
        </w:rPr>
      </w:pPr>
      <w:r>
        <w:rPr>
          <w:rFonts w:ascii="Arial" w:cs="Arial" w:eastAsia="Arial" w:hAnsi="Arial"/>
          <w:sz w:val="17"/>
          <w:szCs w:val="17"/>
          <w:color w:val="auto"/>
        </w:rPr>
        <w:t>The Guarantor has principal executive offices in Paris, Houston, London and The Hague. The principal U.S. market for the Guarantor’s common stock is the New York Stock Exchange, where it is traded under the symbol “SLB.”</w:t>
      </w:r>
    </w:p>
    <w:p>
      <w:pPr>
        <w:spacing w:after="0" w:line="7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20"/>
          </w:cols>
          <w:pgMar w:left="320" w:top="445" w:right="6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About the Company</w:t>
      </w:r>
    </w:p>
    <w:p>
      <w:pPr>
        <w:spacing w:after="0" w:line="210"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Schlumberger Investment S.A. is a public limited liability company (</w:t>
      </w:r>
      <w:r>
        <w:rPr>
          <w:rFonts w:ascii="Arial" w:cs="Arial" w:eastAsia="Arial" w:hAnsi="Arial"/>
          <w:sz w:val="17"/>
          <w:szCs w:val="17"/>
          <w:i w:val="1"/>
          <w:iCs w:val="1"/>
          <w:color w:val="auto"/>
        </w:rPr>
        <w:t>société anonyme</w:t>
      </w:r>
      <w:r>
        <w:rPr>
          <w:rFonts w:ascii="Arial" w:cs="Arial" w:eastAsia="Arial" w:hAnsi="Arial"/>
          <w:sz w:val="17"/>
          <w:szCs w:val="17"/>
          <w:color w:val="auto"/>
        </w:rPr>
        <w:t>) incorporated in 2011 under the laws of the Grand Duchy of Luxembourg (“Luxembourg”) and registered with the Luxembourg Trade and Companies Register (</w:t>
      </w:r>
      <w:r>
        <w:rPr>
          <w:rFonts w:ascii="Arial" w:cs="Arial" w:eastAsia="Arial" w:hAnsi="Arial"/>
          <w:sz w:val="17"/>
          <w:szCs w:val="17"/>
          <w:i w:val="1"/>
          <w:iCs w:val="1"/>
          <w:color w:val="auto"/>
        </w:rPr>
        <w:t>Registre de</w:t>
      </w:r>
      <w:r>
        <w:rPr>
          <w:rFonts w:ascii="Arial" w:cs="Arial" w:eastAsia="Arial" w:hAnsi="Arial"/>
          <w:sz w:val="17"/>
          <w:szCs w:val="17"/>
          <w:color w:val="auto"/>
        </w:rPr>
        <w:t xml:space="preserve"> </w:t>
      </w:r>
      <w:r>
        <w:rPr>
          <w:rFonts w:ascii="Arial" w:cs="Arial" w:eastAsia="Arial" w:hAnsi="Arial"/>
          <w:sz w:val="17"/>
          <w:szCs w:val="17"/>
          <w:i w:val="1"/>
          <w:iCs w:val="1"/>
          <w:color w:val="auto"/>
        </w:rPr>
        <w:t>Commerce et des Sociétés</w:t>
      </w:r>
      <w:r>
        <w:rPr>
          <w:rFonts w:ascii="Arial" w:cs="Arial" w:eastAsia="Arial" w:hAnsi="Arial"/>
          <w:sz w:val="17"/>
          <w:szCs w:val="17"/>
          <w:color w:val="auto"/>
        </w:rPr>
        <w:t>) under number B 163.122. The Company has no subsidiaries, and its principal activities are debt issuance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intercompany group financing. The Company is part of the SLB Group and all shares of the Company are owned indirectly by the Guarantor.</w:t>
      </w: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20"/>
          </w:cols>
          <w:pgMar w:left="320" w:top="445"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0" w:lineRule="exact"/>
        <w:rPr>
          <w:sz w:val="20"/>
          <w:szCs w:val="20"/>
          <w:color w:val="auto"/>
        </w:rPr>
      </w:pPr>
    </w:p>
    <w:p>
      <w:pPr>
        <w:ind w:left="320" w:firstLine="425"/>
        <w:spacing w:after="0" w:line="248" w:lineRule="auto"/>
        <w:rPr>
          <w:sz w:val="20"/>
          <w:szCs w:val="20"/>
          <w:color w:val="auto"/>
        </w:rPr>
      </w:pPr>
      <w:r>
        <w:rPr>
          <w:rFonts w:ascii="Arial" w:cs="Arial" w:eastAsia="Arial" w:hAnsi="Arial"/>
          <w:sz w:val="17"/>
          <w:szCs w:val="17"/>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69"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76" w:lineRule="exact"/>
        <w:rPr>
          <w:sz w:val="20"/>
          <w:szCs w:val="20"/>
          <w:color w:val="auto"/>
        </w:rPr>
      </w:pPr>
    </w:p>
    <w:p>
      <w:pPr>
        <w:ind w:left="1240" w:right="540" w:hanging="409"/>
        <w:spacing w:after="0" w:line="281" w:lineRule="auto"/>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SLB Group’s financial and performance targets and other forecasts or expectations regarding, or dependent on, its business outlook;</w:t>
      </w:r>
    </w:p>
    <w:p>
      <w:pPr>
        <w:spacing w:after="0" w:line="50" w:lineRule="exact"/>
        <w:rPr>
          <w:rFonts w:ascii="Arial" w:cs="Arial" w:eastAsia="Arial" w:hAnsi="Arial"/>
          <w:sz w:val="17"/>
          <w:szCs w:val="17"/>
          <w:color w:val="auto"/>
        </w:rPr>
      </w:pPr>
    </w:p>
    <w:p>
      <w:pPr>
        <w:ind w:left="1240" w:right="440" w:hanging="409"/>
        <w:spacing w:after="0" w:line="281" w:lineRule="auto"/>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growth for the SLB Group as a whole and for each of its Divisions (and for specified business lines, geographic areas or technologies within each Division);</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oil and natural gas demand and production growth;</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oil and natural gas prices;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forecasts or expectations regarding energy transition and global climate change;</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improvements in operating procedures and technology;</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capital expenditures by the SLB Group and the oil and gas industry;</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business strategies of the SLB Group, including digital and “fit for basin,” as well as the strategies of its customers;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SLB Group’s effective tax rate;</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SLB Group’s Asset Performance Solutions projects, joint ventures, and other alliances;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SLB Group’s response to the COVID-19 pandemic and its preparedness for other widespread health emergencies;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impact of the ongoing conflict in Ukraine on global energy supply;</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access to raw materials;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future global economic and geopolitical conditions;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future liquidity, including free cash flow; and</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future results of operations, such as margin levels.</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These statements are subject to risks and uncertainties, including, but not limited to:</w:t>
      </w:r>
    </w:p>
    <w:p>
      <w:pPr>
        <w:spacing w:after="0" w:line="117" w:lineRule="exact"/>
        <w:rPr>
          <w:sz w:val="20"/>
          <w:szCs w:val="20"/>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changing global economic and geopolitical conditions;</w:t>
      </w:r>
    </w:p>
    <w:p>
      <w:pPr>
        <w:spacing w:after="0" w:line="117" w:lineRule="exact"/>
        <w:rPr>
          <w:rFonts w:ascii="Arial" w:cs="Arial" w:eastAsia="Arial" w:hAnsi="Arial"/>
          <w:sz w:val="17"/>
          <w:szCs w:val="17"/>
          <w:color w:val="auto"/>
        </w:rPr>
      </w:pPr>
    </w:p>
    <w:p>
      <w:pPr>
        <w:ind w:left="1240" w:right="220" w:hanging="409"/>
        <w:spacing w:after="0" w:line="281"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exploration and production spending by the SLB Group’s customers, and changes in the level of oil and natural gas exploration and development;</w:t>
      </w:r>
    </w:p>
    <w:p>
      <w:pPr>
        <w:spacing w:after="0" w:line="7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60"/>
          </w:cols>
          <w:pgMar w:left="320" w:top="445" w:right="7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results of operations and financial condition of the SLB Group’s customers and suppliers;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SLB Group’s inability to achieve its financial and performance targets and other forecasts and expectations;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SLB Group’s inability to achieve its net-zero carbon emissions goals or interim emissions reduction goals;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geopolitical and business conditions in key regions of the world;</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ongoing conflict in Ukraine;</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foreign currency risk;</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inflation;</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monetary policy by governments;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pricing pressure;</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weather and seasonal factors;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unfavorable effects of health pandemics;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availability and cost of raw materials;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operational modifications, delays or cancellations;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challenges in the SLB Group’s supply chain;</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production declines;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extent of future charges;</w:t>
      </w:r>
    </w:p>
    <w:p>
      <w:pPr>
        <w:spacing w:after="0" w:line="117" w:lineRule="exact"/>
        <w:rPr>
          <w:rFonts w:ascii="Arial" w:cs="Arial" w:eastAsia="Arial" w:hAnsi="Arial"/>
          <w:sz w:val="17"/>
          <w:szCs w:val="17"/>
          <w:color w:val="auto"/>
        </w:rPr>
      </w:pPr>
    </w:p>
    <w:p>
      <w:pPr>
        <w:ind w:left="1240" w:hanging="409"/>
        <w:spacing w:after="0" w:line="281"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SLB Group’s inability to recognize efficiencies and other intended benefits from its business strategies and initiatives, such as digital or new energy, as well as its cost reduction strategies;</w:t>
      </w:r>
    </w:p>
    <w:p>
      <w:pPr>
        <w:spacing w:after="0" w:line="50" w:lineRule="exact"/>
        <w:rPr>
          <w:rFonts w:ascii="Arial" w:cs="Arial" w:eastAsia="Arial" w:hAnsi="Arial"/>
          <w:sz w:val="17"/>
          <w:szCs w:val="17"/>
          <w:color w:val="auto"/>
        </w:rPr>
      </w:pPr>
    </w:p>
    <w:p>
      <w:pPr>
        <w:ind w:left="1240" w:right="200" w:hanging="409"/>
        <w:spacing w:after="0" w:line="281"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government regulations and regulatory requirements, including those related to offshore oil and gas exploration, radioactive sources, explosives, chemicals and climate-related initiatives;</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of technology to meet new challenges in exploration;</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competitiveness of alternative energy sources or product substitutes; and</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risks and uncertainties detailed in the Guarantor’s filings with the SEC.</w:t>
      </w:r>
    </w:p>
    <w:p>
      <w:pPr>
        <w:spacing w:after="0" w:line="208" w:lineRule="exact"/>
        <w:rPr>
          <w:sz w:val="20"/>
          <w:szCs w:val="20"/>
          <w:color w:val="auto"/>
        </w:rPr>
      </w:pPr>
    </w:p>
    <w:p>
      <w:pPr>
        <w:ind w:left="320" w:right="140" w:firstLine="425"/>
        <w:spacing w:after="0" w:line="253" w:lineRule="auto"/>
        <w:rPr>
          <w:sz w:val="20"/>
          <w:szCs w:val="20"/>
          <w:color w:val="auto"/>
        </w:rPr>
      </w:pPr>
      <w:r>
        <w:rPr>
          <w:rFonts w:ascii="Arial" w:cs="Arial" w:eastAsia="Arial" w:hAnsi="Arial"/>
          <w:sz w:val="17"/>
          <w:szCs w:val="17"/>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320" w:top="445" w:right="6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Risk Factors</w:t>
      </w:r>
    </w:p>
    <w:p>
      <w:pPr>
        <w:spacing w:after="0" w:line="210" w:lineRule="exact"/>
        <w:rPr>
          <w:sz w:val="20"/>
          <w:szCs w:val="20"/>
          <w:color w:val="auto"/>
        </w:rPr>
      </w:pPr>
    </w:p>
    <w:p>
      <w:pPr>
        <w:ind w:left="320" w:right="20" w:firstLine="425"/>
        <w:spacing w:after="0" w:line="246" w:lineRule="auto"/>
        <w:rPr>
          <w:sz w:val="20"/>
          <w:szCs w:val="20"/>
          <w:color w:val="auto"/>
        </w:rPr>
      </w:pPr>
      <w:r>
        <w:rPr>
          <w:rFonts w:ascii="Arial" w:cs="Arial" w:eastAsia="Arial" w:hAnsi="Arial"/>
          <w:sz w:val="17"/>
          <w:szCs w:val="17"/>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2022 and the Guarantor’s Quarterly Report on Form 10-Q for the fiscal quarter ended March 31, 2023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38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0" w:lineRule="exact"/>
        <w:rPr>
          <w:sz w:val="20"/>
          <w:szCs w:val="20"/>
          <w:color w:val="auto"/>
        </w:rPr>
      </w:pPr>
    </w:p>
    <w:p>
      <w:pPr>
        <w:ind w:left="320" w:right="200" w:firstLine="425"/>
        <w:spacing w:after="0" w:line="260" w:lineRule="auto"/>
        <w:rPr>
          <w:sz w:val="20"/>
          <w:szCs w:val="20"/>
          <w:color w:val="auto"/>
        </w:rPr>
      </w:pPr>
      <w:r>
        <w:rPr>
          <w:rFonts w:ascii="Arial" w:cs="Arial" w:eastAsia="Arial" w:hAnsi="Arial"/>
          <w:sz w:val="17"/>
          <w:szCs w:val="17"/>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59" w:lineRule="exact"/>
        <w:rPr>
          <w:sz w:val="20"/>
          <w:szCs w:val="20"/>
          <w:color w:val="auto"/>
        </w:rPr>
      </w:pPr>
    </w:p>
    <w:p>
      <w:pPr>
        <w:ind w:left="320" w:right="240" w:firstLine="425"/>
        <w:spacing w:after="0" w:line="260" w:lineRule="auto"/>
        <w:rPr>
          <w:sz w:val="20"/>
          <w:szCs w:val="20"/>
          <w:color w:val="auto"/>
        </w:rPr>
      </w:pPr>
      <w:r>
        <w:rPr>
          <w:rFonts w:ascii="Arial" w:cs="Arial" w:eastAsia="Arial" w:hAnsi="Arial"/>
          <w:sz w:val="17"/>
          <w:szCs w:val="17"/>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59" w:lineRule="exact"/>
        <w:rPr>
          <w:sz w:val="20"/>
          <w:szCs w:val="20"/>
          <w:color w:val="auto"/>
        </w:rPr>
      </w:pPr>
    </w:p>
    <w:p>
      <w:pPr>
        <w:jc w:val="both"/>
        <w:ind w:left="320" w:right="220" w:firstLine="425"/>
        <w:spacing w:after="0" w:line="260" w:lineRule="auto"/>
        <w:rPr>
          <w:sz w:val="20"/>
          <w:szCs w:val="20"/>
          <w:color w:val="auto"/>
        </w:rPr>
      </w:pPr>
      <w:r>
        <w:rPr>
          <w:rFonts w:ascii="Arial" w:cs="Arial" w:eastAsia="Arial" w:hAnsi="Arial"/>
          <w:sz w:val="17"/>
          <w:szCs w:val="17"/>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Incorporation of Documents by Reference</w:t>
      </w:r>
    </w:p>
    <w:p>
      <w:pPr>
        <w:spacing w:after="0" w:line="210" w:lineRule="exact"/>
        <w:rPr>
          <w:sz w:val="20"/>
          <w:szCs w:val="20"/>
          <w:color w:val="auto"/>
        </w:rPr>
      </w:pPr>
    </w:p>
    <w:p>
      <w:pPr>
        <w:ind w:left="320" w:right="20" w:firstLine="425"/>
        <w:spacing w:after="0" w:line="253"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66" w:lineRule="exact"/>
        <w:rPr>
          <w:sz w:val="20"/>
          <w:szCs w:val="20"/>
          <w:color w:val="auto"/>
        </w:rPr>
      </w:pPr>
    </w:p>
    <w:p>
      <w:pPr>
        <w:ind w:left="320" w:right="220" w:firstLine="425"/>
        <w:spacing w:after="0" w:line="250" w:lineRule="auto"/>
        <w:rPr>
          <w:sz w:val="20"/>
          <w:szCs w:val="20"/>
          <w:color w:val="auto"/>
        </w:rPr>
      </w:pPr>
      <w:r>
        <w:rPr>
          <w:rFonts w:ascii="Arial" w:cs="Arial" w:eastAsia="Arial" w:hAnsi="Arial"/>
          <w:sz w:val="17"/>
          <w:szCs w:val="17"/>
          <w:color w:val="auto"/>
        </w:rPr>
        <w:t>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76" w:lineRule="exact"/>
        <w:rPr>
          <w:sz w:val="20"/>
          <w:szCs w:val="20"/>
          <w:color w:val="auto"/>
        </w:rPr>
      </w:pPr>
    </w:p>
    <w:p>
      <w:pPr>
        <w:ind w:left="1240" w:hanging="409"/>
        <w:spacing w:after="0" w:line="260" w:lineRule="auto"/>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Guarantor’s </w:t>
      </w:r>
      <w:hyperlink r:id="rId81">
        <w:r>
          <w:rPr>
            <w:rFonts w:ascii="Arial" w:cs="Arial" w:eastAsia="Arial" w:hAnsi="Arial"/>
            <w:sz w:val="17"/>
            <w:szCs w:val="17"/>
            <w:u w:val="single" w:color="auto"/>
            <w:color w:val="0000EE"/>
          </w:rPr>
          <w:t>Annual Report on Form 10-K for the fiscal year ended December 31, 2022</w:t>
        </w:r>
      </w:hyperlink>
      <w:r>
        <w:rPr>
          <w:rFonts w:ascii="Arial" w:cs="Arial" w:eastAsia="Arial" w:hAnsi="Arial"/>
          <w:sz w:val="17"/>
          <w:szCs w:val="17"/>
          <w:color w:val="auto"/>
        </w:rPr>
        <w:t xml:space="preserve">, as filed with the SEC on January 25, 2023 (including the </w:t>
      </w:r>
      <w:hyperlink r:id="rId82">
        <w:r>
          <w:rPr>
            <w:rFonts w:ascii="Arial" w:cs="Arial" w:eastAsia="Arial" w:hAnsi="Arial"/>
            <w:sz w:val="17"/>
            <w:szCs w:val="17"/>
            <w:u w:val="single" w:color="auto"/>
            <w:color w:val="0000EE"/>
          </w:rPr>
          <w:t>portions of our proxy statement for our 2023 annual meeting of shareholders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by reference therein);</w:t>
      </w:r>
    </w:p>
    <w:p>
      <w:pPr>
        <w:spacing w:after="0" w:line="68" w:lineRule="exact"/>
        <w:rPr>
          <w:rFonts w:ascii="Arial" w:cs="Arial" w:eastAsia="Arial" w:hAnsi="Arial"/>
          <w:sz w:val="17"/>
          <w:szCs w:val="17"/>
          <w:color w:val="auto"/>
        </w:rPr>
      </w:pPr>
    </w:p>
    <w:p>
      <w:pPr>
        <w:ind w:left="1240" w:right="40" w:hanging="409"/>
        <w:spacing w:after="0" w:line="281" w:lineRule="auto"/>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Guarantor’s Quarterly Report on Form 10-Q for the fiscal quarter ended </w:t>
      </w:r>
      <w:hyperlink r:id="rId83">
        <w:r>
          <w:rPr>
            <w:rFonts w:ascii="Arial" w:cs="Arial" w:eastAsia="Arial" w:hAnsi="Arial"/>
            <w:sz w:val="17"/>
            <w:szCs w:val="17"/>
            <w:u w:val="single" w:color="auto"/>
            <w:color w:val="0000EE"/>
          </w:rPr>
          <w:t>March 31, 2023</w:t>
        </w:r>
      </w:hyperlink>
      <w:r>
        <w:rPr>
          <w:rFonts w:ascii="Arial" w:cs="Arial" w:eastAsia="Arial" w:hAnsi="Arial"/>
          <w:sz w:val="17"/>
          <w:szCs w:val="17"/>
          <w:color w:val="auto"/>
        </w:rPr>
        <w:t>, as filed with the SEC on April 26, 2023; and</w:t>
      </w:r>
    </w:p>
    <w:p>
      <w:pPr>
        <w:spacing w:after="0" w:line="76" w:lineRule="exact"/>
        <w:rPr>
          <w:rFonts w:ascii="Arial" w:cs="Arial" w:eastAsia="Arial" w:hAnsi="Arial"/>
          <w:sz w:val="17"/>
          <w:szCs w:val="17"/>
          <w:color w:val="auto"/>
        </w:rPr>
      </w:pPr>
    </w:p>
    <w:p>
      <w:pPr>
        <w:jc w:val="center"/>
        <w:ind w:right="-3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320" w:top="44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right="520" w:hanging="409"/>
        <w:spacing w:after="0" w:line="281"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Guarantor’s Current Reports on Form 8-K as filed with the SEC on </w:t>
      </w:r>
      <w:hyperlink r:id="rId85">
        <w:r>
          <w:rPr>
            <w:rFonts w:ascii="Arial" w:cs="Arial" w:eastAsia="Arial" w:hAnsi="Arial"/>
            <w:sz w:val="17"/>
            <w:szCs w:val="17"/>
            <w:u w:val="single" w:color="auto"/>
            <w:color w:val="0000EE"/>
          </w:rPr>
          <w:t>April 6, 2023</w:t>
        </w:r>
      </w:hyperlink>
      <w:r>
        <w:rPr>
          <w:rFonts w:ascii="Arial" w:cs="Arial" w:eastAsia="Arial" w:hAnsi="Arial"/>
          <w:sz w:val="17"/>
          <w:szCs w:val="17"/>
          <w:color w:val="auto"/>
        </w:rPr>
        <w:t xml:space="preserve">, </w:t>
      </w:r>
      <w:hyperlink r:id="rId86">
        <w:r>
          <w:rPr>
            <w:rFonts w:ascii="Arial" w:cs="Arial" w:eastAsia="Arial" w:hAnsi="Arial"/>
            <w:sz w:val="17"/>
            <w:szCs w:val="17"/>
            <w:u w:val="single" w:color="auto"/>
            <w:color w:val="0000EE"/>
          </w:rPr>
          <w:t>April 17, 2023</w:t>
        </w:r>
      </w:hyperlink>
      <w:r>
        <w:rPr>
          <w:rFonts w:ascii="Arial" w:cs="Arial" w:eastAsia="Arial" w:hAnsi="Arial"/>
          <w:sz w:val="17"/>
          <w:szCs w:val="17"/>
          <w:color w:val="auto"/>
        </w:rPr>
        <w:t xml:space="preserve">, and </w:t>
      </w:r>
      <w:hyperlink r:id="rId87">
        <w:r>
          <w:rPr>
            <w:rFonts w:ascii="Arial" w:cs="Arial" w:eastAsia="Arial" w:hAnsi="Arial"/>
            <w:sz w:val="17"/>
            <w:szCs w:val="17"/>
            <w:u w:val="single" w:color="auto"/>
            <w:color w:val="0000EE"/>
          </w:rPr>
          <w:t>April 21, 2023</w:t>
        </w:r>
      </w:hyperlink>
      <w:r>
        <w:rPr>
          <w:rFonts w:ascii="Arial" w:cs="Arial" w:eastAsia="Arial" w:hAnsi="Arial"/>
          <w:sz w:val="17"/>
          <w:szCs w:val="17"/>
          <w:color w:val="auto"/>
        </w:rPr>
        <w:t xml:space="preserve"> (Items 5.03 and 5.05 only).</w:t>
      </w:r>
    </w:p>
    <w:p>
      <w:pPr>
        <w:spacing w:after="0" w:line="141" w:lineRule="exact"/>
        <w:rPr>
          <w:rFonts w:ascii="Arial" w:cs="Arial" w:eastAsia="Arial" w:hAnsi="Arial"/>
          <w:sz w:val="17"/>
          <w:szCs w:val="17"/>
          <w:color w:val="auto"/>
        </w:rPr>
      </w:pPr>
    </w:p>
    <w:p>
      <w:pPr>
        <w:ind w:left="320" w:firstLine="425"/>
        <w:spacing w:after="0" w:line="248" w:lineRule="auto"/>
        <w:rPr>
          <w:sz w:val="20"/>
          <w:szCs w:val="20"/>
          <w:color w:val="auto"/>
        </w:rPr>
      </w:pPr>
      <w:r>
        <w:rPr>
          <w:rFonts w:ascii="Arial" w:cs="Arial" w:eastAsia="Arial" w:hAnsi="Arial"/>
          <w:sz w:val="17"/>
          <w:szCs w:val="17"/>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69" w:lineRule="exact"/>
        <w:rPr>
          <w:rFonts w:ascii="Arial" w:cs="Arial" w:eastAsia="Arial" w:hAnsi="Arial"/>
          <w:sz w:val="17"/>
          <w:szCs w:val="17"/>
          <w:color w:val="auto"/>
        </w:rPr>
      </w:pPr>
    </w:p>
    <w:p>
      <w:pPr>
        <w:jc w:val="both"/>
        <w:ind w:left="320" w:right="40" w:firstLine="425"/>
        <w:spacing w:after="0" w:line="260" w:lineRule="auto"/>
        <w:rPr>
          <w:sz w:val="20"/>
          <w:szCs w:val="20"/>
          <w:color w:val="auto"/>
        </w:rPr>
      </w:pPr>
      <w:r>
        <w:rPr>
          <w:rFonts w:ascii="Arial" w:cs="Arial" w:eastAsia="Arial" w:hAnsi="Arial"/>
          <w:sz w:val="17"/>
          <w:szCs w:val="17"/>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59" w:lineRule="exact"/>
        <w:rPr>
          <w:rFonts w:ascii="Arial" w:cs="Arial" w:eastAsia="Arial" w:hAnsi="Arial"/>
          <w:sz w:val="17"/>
          <w:szCs w:val="17"/>
          <w:color w:val="auto"/>
        </w:rPr>
      </w:pPr>
    </w:p>
    <w:p>
      <w:pPr>
        <w:ind w:left="320" w:right="140" w:firstLine="425"/>
        <w:spacing w:after="0" w:line="260" w:lineRule="auto"/>
        <w:rPr>
          <w:sz w:val="20"/>
          <w:szCs w:val="20"/>
          <w:color w:val="auto"/>
        </w:rPr>
      </w:pPr>
      <w:r>
        <w:rPr>
          <w:rFonts w:ascii="Arial" w:cs="Arial" w:eastAsia="Arial" w:hAnsi="Arial"/>
          <w:sz w:val="17"/>
          <w:szCs w:val="17"/>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59" w:lineRule="exact"/>
        <w:rPr>
          <w:rFonts w:ascii="Arial" w:cs="Arial" w:eastAsia="Arial" w:hAnsi="Arial"/>
          <w:sz w:val="17"/>
          <w:szCs w:val="17"/>
          <w:color w:val="auto"/>
        </w:rPr>
      </w:pPr>
    </w:p>
    <w:p>
      <w:pPr>
        <w:jc w:val="center"/>
        <w:ind w:right="-319"/>
        <w:spacing w:after="0"/>
        <w:rPr>
          <w:sz w:val="20"/>
          <w:szCs w:val="20"/>
          <w:color w:val="auto"/>
        </w:rPr>
      </w:pPr>
      <w:r>
        <w:rPr>
          <w:rFonts w:ascii="Arial" w:cs="Arial" w:eastAsia="Arial" w:hAnsi="Arial"/>
          <w:sz w:val="17"/>
          <w:szCs w:val="17"/>
          <w:color w:val="auto"/>
        </w:rPr>
        <w:t>Schlumberger Limited</w:t>
      </w:r>
    </w:p>
    <w:p>
      <w:pPr>
        <w:spacing w:after="0" w:line="16" w:lineRule="exact"/>
        <w:rPr>
          <w:rFonts w:ascii="Arial" w:cs="Arial" w:eastAsia="Arial" w:hAnsi="Arial"/>
          <w:sz w:val="17"/>
          <w:szCs w:val="17"/>
          <w:color w:val="auto"/>
        </w:rPr>
      </w:pPr>
    </w:p>
    <w:p>
      <w:pPr>
        <w:jc w:val="center"/>
        <w:ind w:right="-319"/>
        <w:spacing w:after="0"/>
        <w:rPr>
          <w:sz w:val="20"/>
          <w:szCs w:val="20"/>
          <w:color w:val="auto"/>
        </w:rPr>
      </w:pPr>
      <w:r>
        <w:rPr>
          <w:rFonts w:ascii="Arial" w:cs="Arial" w:eastAsia="Arial" w:hAnsi="Arial"/>
          <w:sz w:val="17"/>
          <w:szCs w:val="17"/>
          <w:color w:val="auto"/>
        </w:rPr>
        <w:t>5599 San Felipe</w:t>
      </w:r>
    </w:p>
    <w:p>
      <w:pPr>
        <w:jc w:val="center"/>
        <w:ind w:right="-319"/>
        <w:spacing w:after="0"/>
        <w:rPr>
          <w:sz w:val="20"/>
          <w:szCs w:val="20"/>
          <w:color w:val="auto"/>
        </w:rPr>
      </w:pPr>
      <w:r>
        <w:rPr>
          <w:rFonts w:ascii="Arial" w:cs="Arial" w:eastAsia="Arial" w:hAnsi="Arial"/>
          <w:sz w:val="17"/>
          <w:szCs w:val="17"/>
          <w:color w:val="auto"/>
        </w:rPr>
        <w:t>Houston, Texas 77056</w:t>
      </w:r>
    </w:p>
    <w:p>
      <w:pPr>
        <w:ind w:left="5480" w:hanging="449"/>
        <w:spacing w:after="0"/>
        <w:tabs>
          <w:tab w:leader="none" w:pos="5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375-3535</w:t>
      </w:r>
    </w:p>
    <w:p>
      <w:pPr>
        <w:ind w:left="4540"/>
        <w:spacing w:after="0"/>
        <w:rPr>
          <w:rFonts w:ascii="Arial" w:cs="Arial" w:eastAsia="Arial" w:hAnsi="Arial"/>
          <w:sz w:val="17"/>
          <w:szCs w:val="17"/>
          <w:color w:val="auto"/>
        </w:rPr>
      </w:pPr>
      <w:r>
        <w:rPr>
          <w:rFonts w:ascii="Arial" w:cs="Arial" w:eastAsia="Arial" w:hAnsi="Arial"/>
          <w:sz w:val="17"/>
          <w:szCs w:val="17"/>
          <w:color w:val="auto"/>
        </w:rPr>
        <w:t>Attention: Investor Relations</w:t>
      </w:r>
    </w:p>
    <w:p>
      <w:pPr>
        <w:spacing w:after="0" w:line="192" w:lineRule="exact"/>
        <w:rPr>
          <w:rFonts w:ascii="Arial" w:cs="Arial" w:eastAsia="Arial" w:hAnsi="Arial"/>
          <w:sz w:val="17"/>
          <w:szCs w:val="17"/>
          <w:color w:val="auto"/>
        </w:rPr>
      </w:pPr>
    </w:p>
    <w:p>
      <w:pPr>
        <w:ind w:left="320" w:right="780" w:firstLine="425"/>
        <w:spacing w:after="0" w:line="281" w:lineRule="auto"/>
        <w:rPr>
          <w:sz w:val="20"/>
          <w:szCs w:val="20"/>
          <w:color w:val="auto"/>
        </w:rPr>
      </w:pPr>
      <w:r>
        <w:rPr>
          <w:rFonts w:ascii="Arial" w:cs="Arial" w:eastAsia="Arial" w:hAnsi="Arial"/>
          <w:sz w:val="17"/>
          <w:szCs w:val="17"/>
          <w:color w:val="auto"/>
        </w:rPr>
        <w:t>Except as provided above, no other information (including information on our website) is incorporated by reference into this prospectus.</w:t>
      </w:r>
    </w:p>
    <w:p>
      <w:pPr>
        <w:spacing w:after="0" w:line="348" w:lineRule="exact"/>
        <w:rPr>
          <w:rFonts w:ascii="Arial" w:cs="Arial" w:eastAsia="Arial" w:hAnsi="Arial"/>
          <w:sz w:val="17"/>
          <w:szCs w:val="17"/>
          <w:color w:val="auto"/>
        </w:rPr>
      </w:pPr>
    </w:p>
    <w:p>
      <w:pPr>
        <w:jc w:val="center"/>
        <w:ind w:right="-319"/>
        <w:spacing w:after="0"/>
        <w:rPr>
          <w:sz w:val="20"/>
          <w:szCs w:val="20"/>
          <w:color w:val="auto"/>
        </w:rPr>
      </w:pPr>
      <w:r>
        <w:rPr>
          <w:rFonts w:ascii="Arial" w:cs="Arial" w:eastAsia="Arial" w:hAnsi="Arial"/>
          <w:sz w:val="17"/>
          <w:szCs w:val="17"/>
          <w:b w:val="1"/>
          <w:bCs w:val="1"/>
          <w:color w:val="auto"/>
        </w:rPr>
        <w:t>Use of Proceeds</w:t>
      </w:r>
    </w:p>
    <w:p>
      <w:pPr>
        <w:spacing w:after="0" w:line="210" w:lineRule="exact"/>
        <w:rPr>
          <w:rFonts w:ascii="Arial" w:cs="Arial" w:eastAsia="Arial" w:hAnsi="Arial"/>
          <w:sz w:val="17"/>
          <w:szCs w:val="17"/>
          <w:color w:val="auto"/>
        </w:rPr>
      </w:pPr>
    </w:p>
    <w:p>
      <w:pPr>
        <w:ind w:left="320" w:right="20" w:firstLine="425"/>
        <w:spacing w:after="0" w:line="250" w:lineRule="auto"/>
        <w:rPr>
          <w:sz w:val="20"/>
          <w:szCs w:val="20"/>
          <w:color w:val="auto"/>
        </w:rPr>
      </w:pPr>
      <w:r>
        <w:rPr>
          <w:rFonts w:ascii="Arial" w:cs="Arial" w:eastAsia="Arial" w:hAnsi="Arial"/>
          <w:sz w:val="17"/>
          <w:szCs w:val="17"/>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102" w:lineRule="exact"/>
        <w:rPr>
          <w:rFonts w:ascii="Arial" w:cs="Arial" w:eastAsia="Arial" w:hAnsi="Arial"/>
          <w:sz w:val="17"/>
          <w:szCs w:val="17"/>
          <w:color w:val="auto"/>
        </w:rPr>
      </w:pPr>
    </w:p>
    <w:p>
      <w:pPr>
        <w:jc w:val="center"/>
        <w:ind w:right="-3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320" w:top="445"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Description of Debt Securities</w:t>
      </w:r>
    </w:p>
    <w:p>
      <w:pPr>
        <w:spacing w:after="0" w:line="210" w:lineRule="exact"/>
        <w:rPr>
          <w:sz w:val="20"/>
          <w:szCs w:val="20"/>
          <w:color w:val="auto"/>
        </w:rPr>
      </w:pPr>
    </w:p>
    <w:p>
      <w:pPr>
        <w:ind w:left="320" w:right="200" w:firstLine="425"/>
        <w:spacing w:after="0" w:line="246" w:lineRule="auto"/>
        <w:rPr>
          <w:sz w:val="20"/>
          <w:szCs w:val="20"/>
          <w:color w:val="auto"/>
        </w:rPr>
      </w:pPr>
      <w:r>
        <w:rPr>
          <w:rFonts w:ascii="Arial" w:cs="Arial" w:eastAsia="Arial" w:hAnsi="Arial"/>
          <w:sz w:val="17"/>
          <w:szCs w:val="17"/>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3" w:lineRule="exact"/>
        <w:rPr>
          <w:sz w:val="20"/>
          <w:szCs w:val="20"/>
          <w:color w:val="auto"/>
        </w:rPr>
      </w:pPr>
    </w:p>
    <w:p>
      <w:pPr>
        <w:jc w:val="both"/>
        <w:ind w:left="320" w:right="60" w:firstLine="425"/>
        <w:spacing w:after="0" w:line="260" w:lineRule="auto"/>
        <w:rPr>
          <w:sz w:val="20"/>
          <w:szCs w:val="20"/>
          <w:color w:val="auto"/>
        </w:rPr>
      </w:pPr>
      <w:r>
        <w:rPr>
          <w:rFonts w:ascii="Arial" w:cs="Arial" w:eastAsia="Arial" w:hAnsi="Arial"/>
          <w:sz w:val="17"/>
          <w:szCs w:val="17"/>
          <w:color w:val="auto"/>
        </w:rPr>
        <w:t>As used in this “Description of Debt Securities,” the terms “we,” “us” and “our” and similar expressions refer to the Company and not to any of its consolidated subsidiaries; and the term “Guarantor” refers to our parent company, Schlumberger Limited, and not to any of its subsidiaries, in each case unless otherwise stated or the context otherwise requires.</w:t>
      </w:r>
    </w:p>
    <w:p>
      <w:pPr>
        <w:spacing w:after="0" w:line="159" w:lineRule="exact"/>
        <w:rPr>
          <w:sz w:val="20"/>
          <w:szCs w:val="20"/>
          <w:color w:val="auto"/>
        </w:rPr>
      </w:pPr>
    </w:p>
    <w:p>
      <w:pPr>
        <w:ind w:left="320" w:right="600" w:firstLine="425"/>
        <w:spacing w:after="0" w:line="281" w:lineRule="auto"/>
        <w:rPr>
          <w:sz w:val="20"/>
          <w:szCs w:val="20"/>
          <w:color w:val="auto"/>
        </w:rPr>
      </w:pPr>
      <w:r>
        <w:rPr>
          <w:rFonts w:ascii="Arial" w:cs="Arial" w:eastAsia="Arial" w:hAnsi="Arial"/>
          <w:sz w:val="17"/>
          <w:szCs w:val="17"/>
          <w:color w:val="auto"/>
        </w:rPr>
        <w:t>Certain defined terms used in this description but not defined below have the meanings assigned to them in the indenture (as defined below).</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General</w:t>
      </w:r>
    </w:p>
    <w:p>
      <w:pPr>
        <w:spacing w:after="0" w:line="106" w:lineRule="exact"/>
        <w:rPr>
          <w:sz w:val="20"/>
          <w:szCs w:val="20"/>
          <w:color w:val="auto"/>
        </w:rPr>
      </w:pPr>
    </w:p>
    <w:p>
      <w:pPr>
        <w:ind w:left="320" w:firstLine="425"/>
        <w:spacing w:after="0" w:line="245" w:lineRule="auto"/>
        <w:rPr>
          <w:sz w:val="20"/>
          <w:szCs w:val="20"/>
          <w:color w:val="auto"/>
        </w:rPr>
      </w:pPr>
      <w:r>
        <w:rPr>
          <w:rFonts w:ascii="Arial" w:cs="Arial" w:eastAsia="Arial" w:hAnsi="Arial"/>
          <w:sz w:val="17"/>
          <w:szCs w:val="17"/>
          <w:color w:val="auto"/>
        </w:rPr>
        <w:t>The debt securities that we may issue will be senior debt securities that will be issued under an indenture, dated December 3, 2013, among us, Schlumberger Limited, as guarantor, and The Bank of New York Mellon, as trustee, as amended by the second supplemental indenture dated June 26, 2020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w:t>
      </w:r>
    </w:p>
    <w:p>
      <w:pPr>
        <w:spacing w:after="0" w:line="175" w:lineRule="exact"/>
        <w:rPr>
          <w:sz w:val="20"/>
          <w:szCs w:val="20"/>
          <w:color w:val="auto"/>
        </w:rPr>
      </w:pPr>
    </w:p>
    <w:p>
      <w:pPr>
        <w:ind w:left="320" w:right="300" w:firstLine="425"/>
        <w:spacing w:after="0" w:line="281" w:lineRule="auto"/>
        <w:rPr>
          <w:sz w:val="20"/>
          <w:szCs w:val="20"/>
          <w:color w:val="auto"/>
        </w:rPr>
      </w:pPr>
      <w:r>
        <w:rPr>
          <w:rFonts w:ascii="Arial" w:cs="Arial" w:eastAsia="Arial" w:hAnsi="Arial"/>
          <w:sz w:val="17"/>
          <w:szCs w:val="17"/>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41" w:lineRule="exact"/>
        <w:rPr>
          <w:sz w:val="20"/>
          <w:szCs w:val="20"/>
          <w:color w:val="auto"/>
        </w:rPr>
      </w:pPr>
    </w:p>
    <w:p>
      <w:pPr>
        <w:jc w:val="both"/>
        <w:ind w:left="320" w:firstLine="425"/>
        <w:spacing w:after="0" w:line="246"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w:t>
      </w:r>
    </w:p>
    <w:p>
      <w:pPr>
        <w:spacing w:after="0" w:line="1" w:lineRule="exact"/>
        <w:rPr>
          <w:sz w:val="20"/>
          <w:szCs w:val="20"/>
          <w:color w:val="auto"/>
        </w:rPr>
      </w:pPr>
    </w:p>
    <w:p>
      <w:pPr>
        <w:jc w:val="both"/>
        <w:ind w:left="320" w:right="120"/>
        <w:spacing w:after="0" w:line="250" w:lineRule="auto"/>
        <w:rPr>
          <w:sz w:val="20"/>
          <w:szCs w:val="20"/>
          <w:color w:val="auto"/>
        </w:rPr>
      </w:pPr>
      <w:r>
        <w:rPr>
          <w:rFonts w:ascii="Arial" w:cs="Arial" w:eastAsia="Arial" w:hAnsi="Arial"/>
          <w:sz w:val="17"/>
          <w:szCs w:val="17"/>
          <w:color w:val="auto"/>
        </w:rPr>
        <w:t>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68" w:lineRule="exact"/>
        <w:rPr>
          <w:sz w:val="20"/>
          <w:szCs w:val="20"/>
          <w:color w:val="auto"/>
        </w:rPr>
      </w:pPr>
    </w:p>
    <w:p>
      <w:pPr>
        <w:ind w:left="320" w:right="60" w:firstLine="425"/>
        <w:spacing w:after="0" w:line="281" w:lineRule="auto"/>
        <w:rPr>
          <w:sz w:val="20"/>
          <w:szCs w:val="20"/>
          <w:color w:val="auto"/>
        </w:rPr>
      </w:pPr>
      <w:r>
        <w:rPr>
          <w:rFonts w:ascii="Arial" w:cs="Arial" w:eastAsia="Arial" w:hAnsi="Arial"/>
          <w:sz w:val="17"/>
          <w:szCs w:val="17"/>
          <w:color w:val="auto"/>
        </w:rPr>
        <w:t>Reference is made to the prospectus supplement for the following and other possible terms of each series of the debt securities with respect to which this prospectus is being delivered:</w:t>
      </w:r>
    </w:p>
    <w:p>
      <w:pPr>
        <w:spacing w:after="0" w:line="50" w:lineRule="exact"/>
        <w:rPr>
          <w:sz w:val="20"/>
          <w:szCs w:val="20"/>
          <w:color w:val="auto"/>
        </w:rPr>
      </w:pPr>
    </w:p>
    <w:p>
      <w:pPr>
        <w:ind w:left="1240" w:hanging="409"/>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title of the debt securities;</w:t>
      </w:r>
    </w:p>
    <w:p>
      <w:pPr>
        <w:spacing w:after="0" w:line="117" w:lineRule="exact"/>
        <w:rPr>
          <w:rFonts w:ascii="Arial" w:cs="Arial" w:eastAsia="Arial" w:hAnsi="Arial"/>
          <w:sz w:val="17"/>
          <w:szCs w:val="17"/>
          <w:color w:val="auto"/>
        </w:rPr>
      </w:pPr>
    </w:p>
    <w:p>
      <w:pPr>
        <w:ind w:left="5580" w:right="3600" w:hanging="4749"/>
        <w:spacing w:after="0" w:line="457" w:lineRule="auto"/>
        <w:tabs>
          <w:tab w:leader="none" w:pos="12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aggregate principal amount of the debt securities of the series to be issued; 7</w:t>
      </w:r>
    </w:p>
    <w:p>
      <w:pPr>
        <w:sectPr>
          <w:pgSz w:w="11900" w:h="16838" w:orient="portrait"/>
          <w:cols w:equalWidth="0" w:num="1">
            <w:col w:w="10920"/>
          </w:cols>
          <w:pgMar w:left="320" w:top="445"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right="60" w:hanging="409"/>
        <w:spacing w:after="0" w:line="260"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or dates on which the principal and premium, if any, of the debt securities of the series is payable;</w:t>
      </w:r>
    </w:p>
    <w:p>
      <w:pPr>
        <w:spacing w:after="0" w:line="117" w:lineRule="exact"/>
        <w:rPr>
          <w:rFonts w:ascii="Arial" w:cs="Arial" w:eastAsia="Arial" w:hAnsi="Arial"/>
          <w:sz w:val="17"/>
          <w:szCs w:val="17"/>
          <w:color w:val="auto"/>
        </w:rPr>
      </w:pPr>
    </w:p>
    <w:p>
      <w:pPr>
        <w:ind w:left="1240" w:right="40" w:hanging="409"/>
        <w:spacing w:after="0" w:line="260"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68" w:lineRule="exact"/>
        <w:rPr>
          <w:rFonts w:ascii="Arial" w:cs="Arial" w:eastAsia="Arial" w:hAnsi="Arial"/>
          <w:sz w:val="17"/>
          <w:szCs w:val="17"/>
          <w:color w:val="auto"/>
        </w:rPr>
      </w:pPr>
    </w:p>
    <w:p>
      <w:pPr>
        <w:ind w:left="1240" w:right="60" w:hanging="409"/>
        <w:spacing w:after="0" w:line="253"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74" w:lineRule="exact"/>
        <w:rPr>
          <w:rFonts w:ascii="Arial" w:cs="Arial" w:eastAsia="Arial" w:hAnsi="Arial"/>
          <w:sz w:val="17"/>
          <w:szCs w:val="17"/>
          <w:color w:val="auto"/>
        </w:rPr>
      </w:pPr>
    </w:p>
    <w:p>
      <w:pPr>
        <w:ind w:left="1240" w:right="320" w:hanging="409"/>
        <w:spacing w:after="0" w:line="260"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68" w:lineRule="exact"/>
        <w:rPr>
          <w:rFonts w:ascii="Arial" w:cs="Arial" w:eastAsia="Arial" w:hAnsi="Arial"/>
          <w:sz w:val="17"/>
          <w:szCs w:val="17"/>
          <w:color w:val="auto"/>
        </w:rPr>
      </w:pPr>
    </w:p>
    <w:p>
      <w:pPr>
        <w:ind w:left="1240" w:right="640" w:hanging="409"/>
        <w:spacing w:after="0" w:line="281"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indenture;</w:t>
      </w:r>
    </w:p>
    <w:p>
      <w:pPr>
        <w:spacing w:after="0" w:line="50" w:lineRule="exact"/>
        <w:rPr>
          <w:rFonts w:ascii="Arial" w:cs="Arial" w:eastAsia="Arial" w:hAnsi="Arial"/>
          <w:sz w:val="17"/>
          <w:szCs w:val="17"/>
          <w:color w:val="auto"/>
        </w:rPr>
      </w:pPr>
    </w:p>
    <w:p>
      <w:pPr>
        <w:ind w:left="1240" w:right="100" w:hanging="409"/>
        <w:spacing w:after="0" w:line="281"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50" w:lineRule="exact"/>
        <w:rPr>
          <w:rFonts w:ascii="Arial" w:cs="Arial" w:eastAsia="Arial" w:hAnsi="Arial"/>
          <w:sz w:val="17"/>
          <w:szCs w:val="17"/>
          <w:color w:val="auto"/>
        </w:rPr>
      </w:pPr>
    </w:p>
    <w:p>
      <w:pPr>
        <w:ind w:left="1240" w:hanging="409"/>
        <w:spacing w:after="0" w:line="281"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at which and the terms and conditions upon which, debt securities of the series may be redeemed by us, in whole or in part, at our option;</w:t>
      </w:r>
    </w:p>
    <w:p>
      <w:pPr>
        <w:spacing w:after="0" w:line="50" w:lineRule="exact"/>
        <w:rPr>
          <w:rFonts w:ascii="Arial" w:cs="Arial" w:eastAsia="Arial" w:hAnsi="Arial"/>
          <w:sz w:val="17"/>
          <w:szCs w:val="17"/>
          <w:color w:val="auto"/>
        </w:rPr>
      </w:pPr>
    </w:p>
    <w:p>
      <w:pPr>
        <w:ind w:left="1240" w:right="280" w:hanging="409"/>
        <w:spacing w:after="0" w:line="253"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74"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form of the debt securities of the series including the form of the trustee’s certificate of authentication for such series;</w:t>
      </w:r>
    </w:p>
    <w:p>
      <w:pPr>
        <w:spacing w:after="0" w:line="117" w:lineRule="exact"/>
        <w:rPr>
          <w:rFonts w:ascii="Arial" w:cs="Arial" w:eastAsia="Arial" w:hAnsi="Arial"/>
          <w:sz w:val="17"/>
          <w:szCs w:val="17"/>
          <w:color w:val="auto"/>
        </w:rPr>
      </w:pPr>
    </w:p>
    <w:p>
      <w:pPr>
        <w:ind w:left="1240" w:right="220" w:hanging="409"/>
        <w:spacing w:after="0" w:line="281"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other than denominations of $2,000 or integral multiples of $1,000 in excess thereof, the denominations in which the debt securities of the series will be issuable;</w:t>
      </w:r>
    </w:p>
    <w:p>
      <w:pPr>
        <w:spacing w:after="0" w:line="50" w:lineRule="exact"/>
        <w:rPr>
          <w:rFonts w:ascii="Arial" w:cs="Arial" w:eastAsia="Arial" w:hAnsi="Arial"/>
          <w:sz w:val="17"/>
          <w:szCs w:val="17"/>
          <w:color w:val="auto"/>
        </w:rPr>
      </w:pPr>
    </w:p>
    <w:p>
      <w:pPr>
        <w:ind w:left="1240" w:right="140" w:hanging="409"/>
        <w:spacing w:after="0" w:line="281"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currency or currencies in which payment of the principal of, premium, if any, and interest on, debt securities of the series will be payable;</w:t>
      </w:r>
    </w:p>
    <w:p>
      <w:pPr>
        <w:spacing w:after="0" w:line="50" w:lineRule="exact"/>
        <w:rPr>
          <w:rFonts w:ascii="Arial" w:cs="Arial" w:eastAsia="Arial" w:hAnsi="Arial"/>
          <w:sz w:val="17"/>
          <w:szCs w:val="17"/>
          <w:color w:val="auto"/>
        </w:rPr>
      </w:pPr>
    </w:p>
    <w:p>
      <w:pPr>
        <w:ind w:left="1240" w:right="280" w:hanging="409"/>
        <w:spacing w:after="0" w:line="281"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the debt securities of the series that will be payable upon declaration of acceleration of the maturity thereof;</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terms of any repurchase or remarketing rights;</w:t>
      </w:r>
    </w:p>
    <w:p>
      <w:pPr>
        <w:spacing w:after="0" w:line="117" w:lineRule="exact"/>
        <w:rPr>
          <w:rFonts w:ascii="Arial" w:cs="Arial" w:eastAsia="Arial" w:hAnsi="Arial"/>
          <w:sz w:val="17"/>
          <w:szCs w:val="17"/>
          <w:color w:val="auto"/>
        </w:rPr>
      </w:pPr>
    </w:p>
    <w:p>
      <w:pPr>
        <w:jc w:val="both"/>
        <w:ind w:left="1240" w:right="340" w:hanging="409"/>
        <w:spacing w:after="0" w:line="260" w:lineRule="auto"/>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80"/>
          </w:cols>
          <w:pgMar w:left="320" w:top="445" w:right="6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60" w:right="20"/>
        <w:spacing w:after="0" w:line="260" w:lineRule="auto"/>
        <w:rPr>
          <w:sz w:val="20"/>
          <w:szCs w:val="20"/>
          <w:color w:val="auto"/>
        </w:rPr>
      </w:pPr>
      <w:r>
        <w:rPr>
          <w:rFonts w:ascii="Arial" w:cs="Arial" w:eastAsia="Arial" w:hAnsi="Arial"/>
          <w:sz w:val="17"/>
          <w:szCs w:val="17"/>
          <w:color w:val="auto"/>
        </w:rPr>
        <w:t>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68" w:lineRule="exact"/>
        <w:rPr>
          <w:sz w:val="20"/>
          <w:szCs w:val="20"/>
          <w:color w:val="auto"/>
        </w:rPr>
      </w:pPr>
    </w:p>
    <w:p>
      <w:pPr>
        <w:ind w:left="1240" w:hanging="409"/>
        <w:spacing w:after="0" w:line="253" w:lineRule="auto"/>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74" w:lineRule="exact"/>
        <w:rPr>
          <w:rFonts w:ascii="Arial" w:cs="Arial" w:eastAsia="Arial" w:hAnsi="Arial"/>
          <w:sz w:val="17"/>
          <w:szCs w:val="17"/>
          <w:color w:val="auto"/>
        </w:rPr>
      </w:pPr>
    </w:p>
    <w:p>
      <w:pPr>
        <w:ind w:left="1240" w:hanging="409"/>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provisions granting special rights to holders when a specified event occurs;</w:t>
      </w:r>
    </w:p>
    <w:p>
      <w:pPr>
        <w:spacing w:after="0" w:line="117" w:lineRule="exact"/>
        <w:rPr>
          <w:rFonts w:ascii="Arial" w:cs="Arial" w:eastAsia="Arial" w:hAnsi="Arial"/>
          <w:sz w:val="17"/>
          <w:szCs w:val="17"/>
          <w:color w:val="auto"/>
        </w:rPr>
      </w:pPr>
    </w:p>
    <w:p>
      <w:pPr>
        <w:ind w:left="1240" w:right="340" w:hanging="409"/>
        <w:spacing w:after="0" w:line="281" w:lineRule="auto"/>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amount of principal or any premium or interest on debt securities of a series may be determined with reference to an index or pursuant to a formula, the manner in which such amounts will be determined;</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special tax implications of the debt securities, including provisions for original issue discount securities, if offered;</w:t>
      </w:r>
    </w:p>
    <w:p>
      <w:pPr>
        <w:spacing w:after="0" w:line="117" w:lineRule="exact"/>
        <w:rPr>
          <w:rFonts w:ascii="Arial" w:cs="Arial" w:eastAsia="Arial" w:hAnsi="Arial"/>
          <w:sz w:val="17"/>
          <w:szCs w:val="17"/>
          <w:color w:val="auto"/>
        </w:rPr>
      </w:pPr>
    </w:p>
    <w:p>
      <w:pPr>
        <w:ind w:left="1240" w:right="520" w:hanging="409"/>
        <w:spacing w:after="0" w:line="281" w:lineRule="auto"/>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and upon what terms debt securities of a series may be defeased if different from the provisions set forth in the indenture;</w:t>
      </w:r>
    </w:p>
    <w:p>
      <w:pPr>
        <w:spacing w:after="0" w:line="50" w:lineRule="exact"/>
        <w:rPr>
          <w:rFonts w:ascii="Arial" w:cs="Arial" w:eastAsia="Arial" w:hAnsi="Arial"/>
          <w:sz w:val="17"/>
          <w:szCs w:val="17"/>
          <w:color w:val="auto"/>
        </w:rPr>
      </w:pPr>
    </w:p>
    <w:p>
      <w:pPr>
        <w:ind w:left="1240" w:right="460" w:hanging="409"/>
        <w:spacing w:after="0" w:line="281" w:lineRule="auto"/>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guarantees on the debt securities of the series, if different from the provisions set forth in the indenture;</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provisions, if any, relating to any security provided for the debt securities of the series;</w:t>
      </w:r>
    </w:p>
    <w:p>
      <w:pPr>
        <w:spacing w:after="0" w:line="117" w:lineRule="exact"/>
        <w:rPr>
          <w:rFonts w:ascii="Arial" w:cs="Arial" w:eastAsia="Arial" w:hAnsi="Arial"/>
          <w:sz w:val="17"/>
          <w:szCs w:val="17"/>
          <w:color w:val="auto"/>
        </w:rPr>
      </w:pPr>
    </w:p>
    <w:p>
      <w:pPr>
        <w:ind w:left="1240" w:right="560" w:hanging="409"/>
        <w:spacing w:after="0" w:line="281" w:lineRule="auto"/>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debt securities of such series if other than those appointed in the indenture;</w:t>
      </w:r>
    </w:p>
    <w:p>
      <w:pPr>
        <w:spacing w:after="0" w:line="50" w:lineRule="exact"/>
        <w:rPr>
          <w:rFonts w:ascii="Arial" w:cs="Arial" w:eastAsia="Arial" w:hAnsi="Arial"/>
          <w:sz w:val="17"/>
          <w:szCs w:val="17"/>
          <w:color w:val="auto"/>
        </w:rPr>
      </w:pPr>
    </w:p>
    <w:p>
      <w:pPr>
        <w:ind w:left="1240" w:right="80" w:hanging="409"/>
        <w:spacing w:after="0" w:line="248" w:lineRule="auto"/>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77" w:lineRule="exact"/>
        <w:rPr>
          <w:rFonts w:ascii="Arial" w:cs="Arial" w:eastAsia="Arial" w:hAnsi="Arial"/>
          <w:sz w:val="17"/>
          <w:szCs w:val="17"/>
          <w:color w:val="auto"/>
        </w:rPr>
      </w:pPr>
    </w:p>
    <w:p>
      <w:pPr>
        <w:ind w:left="1240" w:right="100" w:hanging="409"/>
        <w:spacing w:after="0" w:line="260" w:lineRule="auto"/>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 regard to the debt securities of any series that do not bear interest, the dates for certain required reports to the trustee.</w:t>
      </w:r>
    </w:p>
    <w:p>
      <w:pPr>
        <w:spacing w:after="0" w:line="208" w:lineRule="exact"/>
        <w:rPr>
          <w:sz w:val="20"/>
          <w:szCs w:val="20"/>
          <w:color w:val="auto"/>
        </w:rPr>
      </w:pPr>
    </w:p>
    <w:p>
      <w:pPr>
        <w:ind w:left="320" w:right="160" w:firstLine="425"/>
        <w:spacing w:after="0" w:line="260" w:lineRule="auto"/>
        <w:rPr>
          <w:sz w:val="20"/>
          <w:szCs w:val="20"/>
          <w:color w:val="auto"/>
        </w:rPr>
      </w:pPr>
      <w:r>
        <w:rPr>
          <w:rFonts w:ascii="Arial" w:cs="Arial" w:eastAsia="Arial" w:hAnsi="Arial"/>
          <w:sz w:val="17"/>
          <w:szCs w:val="17"/>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20"/>
          </w:cols>
          <w:pgMar w:left="320" w:top="445"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500" w:firstLine="425"/>
        <w:spacing w:after="0" w:line="260" w:lineRule="auto"/>
        <w:rPr>
          <w:sz w:val="20"/>
          <w:szCs w:val="20"/>
          <w:color w:val="auto"/>
        </w:rPr>
      </w:pPr>
      <w:r>
        <w:rPr>
          <w:rFonts w:ascii="Arial" w:cs="Arial" w:eastAsia="Arial" w:hAnsi="Arial"/>
          <w:sz w:val="17"/>
          <w:szCs w:val="17"/>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59" w:lineRule="exact"/>
        <w:rPr>
          <w:sz w:val="20"/>
          <w:szCs w:val="20"/>
          <w:color w:val="auto"/>
        </w:rPr>
      </w:pPr>
    </w:p>
    <w:p>
      <w:pPr>
        <w:ind w:left="320" w:right="520" w:firstLine="425"/>
        <w:spacing w:after="0" w:line="260" w:lineRule="auto"/>
        <w:rPr>
          <w:sz w:val="20"/>
          <w:szCs w:val="20"/>
          <w:color w:val="auto"/>
        </w:rPr>
      </w:pPr>
      <w:r>
        <w:rPr>
          <w:rFonts w:ascii="Arial" w:cs="Arial" w:eastAsia="Arial" w:hAnsi="Arial"/>
          <w:sz w:val="17"/>
          <w:szCs w:val="17"/>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Guarantees</w:t>
      </w:r>
    </w:p>
    <w:p>
      <w:pPr>
        <w:spacing w:after="0" w:line="106" w:lineRule="exact"/>
        <w:rPr>
          <w:sz w:val="20"/>
          <w:szCs w:val="20"/>
          <w:color w:val="auto"/>
        </w:rPr>
      </w:pPr>
    </w:p>
    <w:p>
      <w:pPr>
        <w:ind w:left="320" w:right="60" w:firstLine="425"/>
        <w:spacing w:after="0" w:line="253" w:lineRule="auto"/>
        <w:rPr>
          <w:sz w:val="20"/>
          <w:szCs w:val="20"/>
          <w:color w:val="auto"/>
        </w:rPr>
      </w:pPr>
      <w:r>
        <w:rPr>
          <w:rFonts w:ascii="Arial" w:cs="Arial" w:eastAsia="Arial" w:hAnsi="Arial"/>
          <w:sz w:val="17"/>
          <w:szCs w:val="17"/>
          <w:color w:val="auto"/>
        </w:rPr>
        <w:t>Schlumberger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Guarantor will:</w:t>
      </w:r>
    </w:p>
    <w:p>
      <w:pPr>
        <w:spacing w:after="0" w:line="117" w:lineRule="exact"/>
        <w:rPr>
          <w:sz w:val="20"/>
          <w:szCs w:val="20"/>
          <w:color w:val="auto"/>
        </w:rPr>
      </w:pPr>
    </w:p>
    <w:p>
      <w:pPr>
        <w:jc w:val="both"/>
        <w:ind w:left="1240" w:right="80" w:hanging="409"/>
        <w:spacing w:after="0" w:line="260" w:lineRule="auto"/>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68" w:lineRule="exact"/>
        <w:rPr>
          <w:rFonts w:ascii="Arial" w:cs="Arial" w:eastAsia="Arial" w:hAnsi="Arial"/>
          <w:sz w:val="17"/>
          <w:szCs w:val="17"/>
          <w:color w:val="auto"/>
        </w:rPr>
      </w:pPr>
    </w:p>
    <w:p>
      <w:pPr>
        <w:ind w:left="1240" w:right="260" w:hanging="409"/>
        <w:spacing w:after="0" w:line="281" w:lineRule="auto"/>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waive its right to require the trustee or the holders of any of the debt securities to pursue or exhaust their legal or equitable remedies against the Company before exercising their rights under the guarantees.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Ranking of the Debt Securities and the Guarantee</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debt securities of any series will be:</w:t>
      </w:r>
    </w:p>
    <w:p>
      <w:pPr>
        <w:spacing w:after="0" w:line="117" w:lineRule="exact"/>
        <w:rPr>
          <w:sz w:val="20"/>
          <w:szCs w:val="20"/>
          <w:color w:val="auto"/>
        </w:rPr>
      </w:pPr>
    </w:p>
    <w:p>
      <w:pPr>
        <w:ind w:left="1240" w:right="300" w:hanging="409"/>
        <w:spacing w:after="0" w:line="281" w:lineRule="auto"/>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senior unsecured obligations of the Company and will rank equally and ratably with all of Company’s other unsecured and unsubordinated indebtedness; and</w:t>
      </w:r>
    </w:p>
    <w:p>
      <w:pPr>
        <w:spacing w:after="0" w:line="50" w:lineRule="exact"/>
        <w:rPr>
          <w:rFonts w:ascii="Arial" w:cs="Arial" w:eastAsia="Arial" w:hAnsi="Arial"/>
          <w:sz w:val="17"/>
          <w:szCs w:val="17"/>
          <w:color w:val="auto"/>
        </w:rPr>
      </w:pPr>
    </w:p>
    <w:p>
      <w:pPr>
        <w:ind w:left="1240" w:right="580" w:hanging="409"/>
        <w:spacing w:after="0" w:line="281" w:lineRule="auto"/>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guaranteed on a senior unsecured basis by the Guarantor, which Guarantee will rank equally and ratably with all other unsecured and unsubordinated indebtedness of the Guarantor.</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Additional Amounts</w:t>
      </w:r>
    </w:p>
    <w:p>
      <w:pPr>
        <w:spacing w:after="0" w:line="106" w:lineRule="exact"/>
        <w:rPr>
          <w:sz w:val="20"/>
          <w:szCs w:val="20"/>
          <w:color w:val="auto"/>
        </w:rPr>
      </w:pPr>
    </w:p>
    <w:p>
      <w:pPr>
        <w:ind w:left="320" w:firstLine="425"/>
        <w:spacing w:after="0" w:line="243" w:lineRule="auto"/>
        <w:rPr>
          <w:sz w:val="20"/>
          <w:szCs w:val="20"/>
          <w:color w:val="auto"/>
        </w:rPr>
      </w:pPr>
      <w:r>
        <w:rPr>
          <w:rFonts w:ascii="Arial" w:cs="Arial" w:eastAsia="Arial" w:hAnsi="Arial"/>
          <w:sz w:val="17"/>
          <w:szCs w:val="17"/>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80"/>
          </w:cols>
          <w:pgMar w:left="320" w:top="445" w:right="6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60"/>
        <w:spacing w:after="0" w:line="250" w:lineRule="auto"/>
        <w:rPr>
          <w:sz w:val="20"/>
          <w:szCs w:val="20"/>
          <w:color w:val="auto"/>
        </w:rPr>
      </w:pPr>
      <w:r>
        <w:rPr>
          <w:rFonts w:ascii="Arial" w:cs="Arial" w:eastAsia="Arial" w:hAnsi="Arial"/>
          <w:sz w:val="17"/>
          <w:szCs w:val="17"/>
          <w:color w:val="auto"/>
        </w:rPr>
        <w:t>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76" w:lineRule="exact"/>
        <w:rPr>
          <w:sz w:val="20"/>
          <w:szCs w:val="20"/>
          <w:color w:val="auto"/>
        </w:rPr>
      </w:pPr>
    </w:p>
    <w:p>
      <w:pPr>
        <w:ind w:left="1240" w:right="160" w:hanging="513"/>
        <w:spacing w:after="0" w:line="248"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77" w:lineRule="exact"/>
        <w:rPr>
          <w:rFonts w:ascii="Arial" w:cs="Arial" w:eastAsia="Arial" w:hAnsi="Arial"/>
          <w:sz w:val="17"/>
          <w:szCs w:val="17"/>
          <w:color w:val="auto"/>
        </w:rPr>
      </w:pPr>
    </w:p>
    <w:p>
      <w:pPr>
        <w:ind w:left="1240" w:right="140" w:hanging="513"/>
        <w:spacing w:after="0" w:line="253"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74" w:lineRule="exact"/>
        <w:rPr>
          <w:rFonts w:ascii="Arial" w:cs="Arial" w:eastAsia="Arial" w:hAnsi="Arial"/>
          <w:sz w:val="17"/>
          <w:szCs w:val="17"/>
          <w:color w:val="auto"/>
        </w:rPr>
      </w:pPr>
    </w:p>
    <w:p>
      <w:pPr>
        <w:ind w:left="1240" w:hanging="513"/>
        <w:spacing w:after="0"/>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estate, inheritance, gift, sales, transfer, personal property or similar Taxes;</w:t>
      </w:r>
    </w:p>
    <w:p>
      <w:pPr>
        <w:spacing w:after="0" w:line="117" w:lineRule="exact"/>
        <w:rPr>
          <w:rFonts w:ascii="Arial" w:cs="Arial" w:eastAsia="Arial" w:hAnsi="Arial"/>
          <w:sz w:val="17"/>
          <w:szCs w:val="17"/>
          <w:color w:val="auto"/>
        </w:rPr>
      </w:pPr>
    </w:p>
    <w:p>
      <w:pPr>
        <w:ind w:left="1240" w:hanging="513"/>
        <w:spacing w:after="0" w:line="260"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68" w:lineRule="exact"/>
        <w:rPr>
          <w:rFonts w:ascii="Arial" w:cs="Arial" w:eastAsia="Arial" w:hAnsi="Arial"/>
          <w:sz w:val="17"/>
          <w:szCs w:val="17"/>
          <w:color w:val="auto"/>
        </w:rPr>
      </w:pPr>
    </w:p>
    <w:p>
      <w:pPr>
        <w:ind w:left="1240" w:right="220" w:hanging="513"/>
        <w:spacing w:after="0" w:line="253"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74" w:lineRule="exact"/>
        <w:rPr>
          <w:rFonts w:ascii="Arial" w:cs="Arial" w:eastAsia="Arial" w:hAnsi="Arial"/>
          <w:sz w:val="17"/>
          <w:szCs w:val="17"/>
          <w:color w:val="auto"/>
        </w:rPr>
      </w:pPr>
    </w:p>
    <w:p>
      <w:pPr>
        <w:ind w:left="1240" w:right="160" w:hanging="513"/>
        <w:spacing w:after="0" w:line="281"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50" w:lineRule="exact"/>
        <w:rPr>
          <w:rFonts w:ascii="Arial" w:cs="Arial" w:eastAsia="Arial" w:hAnsi="Arial"/>
          <w:sz w:val="17"/>
          <w:szCs w:val="17"/>
          <w:color w:val="auto"/>
        </w:rPr>
      </w:pPr>
    </w:p>
    <w:p>
      <w:pPr>
        <w:ind w:left="1240" w:right="40" w:hanging="513"/>
        <w:spacing w:after="0" w:line="281"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Taxes payable other than by deduction or withholding from payments under, or with respect to, such debt securities or the Guarantee;</w:t>
      </w:r>
    </w:p>
    <w:p>
      <w:pPr>
        <w:spacing w:after="0" w:line="50" w:lineRule="exact"/>
        <w:rPr>
          <w:rFonts w:ascii="Arial" w:cs="Arial" w:eastAsia="Arial" w:hAnsi="Arial"/>
          <w:sz w:val="17"/>
          <w:szCs w:val="17"/>
          <w:color w:val="auto"/>
        </w:rPr>
      </w:pPr>
    </w:p>
    <w:p>
      <w:pPr>
        <w:ind w:left="1240" w:right="140" w:hanging="513"/>
        <w:spacing w:after="0" w:line="246"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82" w:lineRule="exact"/>
        <w:rPr>
          <w:rFonts w:ascii="Arial" w:cs="Arial" w:eastAsia="Arial" w:hAnsi="Arial"/>
          <w:sz w:val="17"/>
          <w:szCs w:val="17"/>
          <w:color w:val="auto"/>
        </w:rPr>
      </w:pPr>
    </w:p>
    <w:p>
      <w:pPr>
        <w:ind w:left="1240" w:hanging="513"/>
        <w:spacing w:after="0"/>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combination of items (1) through (8) above.</w:t>
      </w:r>
    </w:p>
    <w:p>
      <w:pPr>
        <w:spacing w:after="0" w:line="208" w:lineRule="exact"/>
        <w:rPr>
          <w:sz w:val="20"/>
          <w:szCs w:val="20"/>
          <w:color w:val="auto"/>
        </w:rPr>
      </w:pPr>
    </w:p>
    <w:p>
      <w:pPr>
        <w:ind w:left="320" w:right="400" w:firstLine="425"/>
        <w:spacing w:after="0" w:line="281" w:lineRule="auto"/>
        <w:rPr>
          <w:sz w:val="20"/>
          <w:szCs w:val="20"/>
          <w:color w:val="auto"/>
        </w:rPr>
      </w:pPr>
      <w:r>
        <w:rPr>
          <w:rFonts w:ascii="Arial" w:cs="Arial" w:eastAsia="Arial" w:hAnsi="Arial"/>
          <w:sz w:val="17"/>
          <w:szCs w:val="17"/>
          <w:color w:val="auto"/>
        </w:rPr>
        <w:t>In addition to the foregoing, the Company and the Guarantor, as the case may be, will also pay and indemnify the holder for any present or future stamp, issue, registration, court or documentary</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20"/>
          </w:cols>
          <w:pgMar w:left="320" w:top="445" w:right="6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spacing w:after="0" w:line="260" w:lineRule="auto"/>
        <w:rPr>
          <w:sz w:val="20"/>
          <w:szCs w:val="20"/>
          <w:color w:val="auto"/>
        </w:rPr>
      </w:pPr>
      <w:r>
        <w:rPr>
          <w:rFonts w:ascii="Arial" w:cs="Arial" w:eastAsia="Arial" w:hAnsi="Arial"/>
          <w:sz w:val="17"/>
          <w:szCs w:val="17"/>
          <w:color w:val="auto"/>
        </w:rPr>
        <w:t>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59" w:lineRule="exact"/>
        <w:rPr>
          <w:sz w:val="20"/>
          <w:szCs w:val="20"/>
          <w:color w:val="auto"/>
        </w:rPr>
      </w:pPr>
    </w:p>
    <w:p>
      <w:pPr>
        <w:ind w:left="320" w:right="40" w:firstLine="425"/>
        <w:spacing w:after="0" w:line="245" w:lineRule="auto"/>
        <w:rPr>
          <w:sz w:val="20"/>
          <w:szCs w:val="20"/>
          <w:color w:val="auto"/>
        </w:rPr>
      </w:pPr>
      <w:r>
        <w:rPr>
          <w:rFonts w:ascii="Arial" w:cs="Arial" w:eastAsia="Arial" w:hAnsi="Arial"/>
          <w:sz w:val="17"/>
          <w:szCs w:val="17"/>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75" w:lineRule="exact"/>
        <w:rPr>
          <w:sz w:val="20"/>
          <w:szCs w:val="20"/>
          <w:color w:val="auto"/>
        </w:rPr>
      </w:pPr>
    </w:p>
    <w:p>
      <w:pPr>
        <w:ind w:left="320" w:right="80" w:firstLine="425"/>
        <w:spacing w:after="0" w:line="253" w:lineRule="auto"/>
        <w:rPr>
          <w:sz w:val="20"/>
          <w:szCs w:val="20"/>
          <w:color w:val="auto"/>
        </w:rPr>
      </w:pPr>
      <w:r>
        <w:rPr>
          <w:rFonts w:ascii="Arial" w:cs="Arial" w:eastAsia="Arial" w:hAnsi="Arial"/>
          <w:sz w:val="17"/>
          <w:szCs w:val="17"/>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66" w:lineRule="exact"/>
        <w:rPr>
          <w:sz w:val="20"/>
          <w:szCs w:val="20"/>
          <w:color w:val="auto"/>
        </w:rPr>
      </w:pPr>
    </w:p>
    <w:p>
      <w:pPr>
        <w:ind w:left="320" w:right="20" w:firstLine="425"/>
        <w:spacing w:after="0" w:line="253" w:lineRule="auto"/>
        <w:rPr>
          <w:sz w:val="20"/>
          <w:szCs w:val="20"/>
          <w:color w:val="auto"/>
        </w:rPr>
      </w:pPr>
      <w:r>
        <w:rPr>
          <w:rFonts w:ascii="Arial" w:cs="Arial" w:eastAsia="Arial" w:hAnsi="Arial"/>
          <w:sz w:val="17"/>
          <w:szCs w:val="17"/>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66" w:lineRule="exact"/>
        <w:rPr>
          <w:sz w:val="20"/>
          <w:szCs w:val="20"/>
          <w:color w:val="auto"/>
        </w:rPr>
      </w:pPr>
    </w:p>
    <w:p>
      <w:pPr>
        <w:ind w:left="320" w:right="60" w:firstLine="425"/>
        <w:spacing w:after="0" w:line="253" w:lineRule="auto"/>
        <w:rPr>
          <w:sz w:val="20"/>
          <w:szCs w:val="20"/>
          <w:color w:val="auto"/>
        </w:rPr>
      </w:pPr>
      <w:r>
        <w:rPr>
          <w:rFonts w:ascii="Arial" w:cs="Arial" w:eastAsia="Arial" w:hAnsi="Arial"/>
          <w:sz w:val="17"/>
          <w:szCs w:val="17"/>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66" w:lineRule="exact"/>
        <w:rPr>
          <w:sz w:val="20"/>
          <w:szCs w:val="20"/>
          <w:color w:val="auto"/>
        </w:rPr>
      </w:pPr>
    </w:p>
    <w:p>
      <w:pPr>
        <w:ind w:left="320" w:right="180" w:firstLine="425"/>
        <w:spacing w:after="0" w:line="253" w:lineRule="auto"/>
        <w:rPr>
          <w:sz w:val="20"/>
          <w:szCs w:val="20"/>
          <w:color w:val="auto"/>
        </w:rPr>
      </w:pPr>
      <w:r>
        <w:rPr>
          <w:rFonts w:ascii="Arial" w:cs="Arial" w:eastAsia="Arial" w:hAnsi="Arial"/>
          <w:sz w:val="17"/>
          <w:szCs w:val="17"/>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Optional Redemption</w:t>
      </w:r>
    </w:p>
    <w:p>
      <w:pPr>
        <w:spacing w:after="0" w:line="106" w:lineRule="exact"/>
        <w:rPr>
          <w:sz w:val="20"/>
          <w:szCs w:val="20"/>
          <w:color w:val="auto"/>
        </w:rPr>
      </w:pPr>
    </w:p>
    <w:p>
      <w:pPr>
        <w:ind w:left="320" w:right="160" w:firstLine="425"/>
        <w:spacing w:after="0" w:line="250" w:lineRule="auto"/>
        <w:rPr>
          <w:sz w:val="20"/>
          <w:szCs w:val="20"/>
          <w:color w:val="auto"/>
        </w:rPr>
      </w:pPr>
      <w:r>
        <w:rPr>
          <w:rFonts w:ascii="Arial" w:cs="Arial" w:eastAsia="Arial" w:hAnsi="Arial"/>
          <w:sz w:val="17"/>
          <w:szCs w:val="17"/>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00"/>
          </w:cols>
          <w:pgMar w:left="320" w:top="445" w:right="6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Redemption Upon Changes in Tax Law</w:t>
      </w:r>
    </w:p>
    <w:p>
      <w:pPr>
        <w:spacing w:after="0" w:line="106" w:lineRule="exact"/>
        <w:rPr>
          <w:sz w:val="20"/>
          <w:szCs w:val="20"/>
          <w:color w:val="auto"/>
        </w:rPr>
      </w:pPr>
    </w:p>
    <w:p>
      <w:pPr>
        <w:ind w:left="320" w:firstLine="425"/>
        <w:spacing w:after="0" w:line="244" w:lineRule="auto"/>
        <w:rPr>
          <w:sz w:val="20"/>
          <w:szCs w:val="20"/>
          <w:color w:val="auto"/>
        </w:rPr>
      </w:pPr>
      <w:r>
        <w:rPr>
          <w:rFonts w:ascii="Arial" w:cs="Arial" w:eastAsia="Arial" w:hAnsi="Arial"/>
          <w:sz w:val="17"/>
          <w:szCs w:val="17"/>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3" w:lineRule="exact"/>
        <w:rPr>
          <w:sz w:val="20"/>
          <w:szCs w:val="20"/>
          <w:color w:val="auto"/>
        </w:rPr>
      </w:pPr>
    </w:p>
    <w:p>
      <w:pPr>
        <w:ind w:left="1240" w:right="40" w:hanging="513"/>
        <w:spacing w:after="0" w:line="253"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74" w:lineRule="exact"/>
        <w:rPr>
          <w:rFonts w:ascii="Arial" w:cs="Arial" w:eastAsia="Arial" w:hAnsi="Arial"/>
          <w:sz w:val="17"/>
          <w:szCs w:val="17"/>
          <w:color w:val="auto"/>
        </w:rPr>
      </w:pPr>
    </w:p>
    <w:p>
      <w:pPr>
        <w:ind w:left="1240" w:right="20" w:hanging="513"/>
        <w:spacing w:after="0" w:line="253"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Issue Date, such later date).</w:t>
      </w:r>
    </w:p>
    <w:p>
      <w:pPr>
        <w:spacing w:after="0" w:line="166" w:lineRule="exact"/>
        <w:rPr>
          <w:sz w:val="20"/>
          <w:szCs w:val="20"/>
          <w:color w:val="auto"/>
        </w:rPr>
      </w:pPr>
    </w:p>
    <w:p>
      <w:pPr>
        <w:ind w:left="320" w:right="40" w:firstLine="425"/>
        <w:spacing w:after="0" w:line="245" w:lineRule="auto"/>
        <w:rPr>
          <w:sz w:val="20"/>
          <w:szCs w:val="20"/>
          <w:color w:val="auto"/>
        </w:rPr>
      </w:pPr>
      <w:r>
        <w:rPr>
          <w:rFonts w:ascii="Arial" w:cs="Arial" w:eastAsia="Arial" w:hAnsi="Arial"/>
          <w:sz w:val="17"/>
          <w:szCs w:val="17"/>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71" w:lineRule="exact"/>
        <w:rPr>
          <w:sz w:val="20"/>
          <w:szCs w:val="20"/>
          <w:color w:val="auto"/>
        </w:rPr>
      </w:pPr>
    </w:p>
    <w:p>
      <w:pPr>
        <w:ind w:left="320" w:right="140" w:firstLine="425"/>
        <w:spacing w:after="0" w:line="260" w:lineRule="auto"/>
        <w:rPr>
          <w:sz w:val="20"/>
          <w:szCs w:val="20"/>
          <w:color w:val="auto"/>
        </w:rPr>
      </w:pPr>
      <w:r>
        <w:rPr>
          <w:rFonts w:ascii="Arial" w:cs="Arial" w:eastAsia="Arial" w:hAnsi="Arial"/>
          <w:sz w:val="17"/>
          <w:szCs w:val="17"/>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59" w:lineRule="exact"/>
        <w:rPr>
          <w:sz w:val="20"/>
          <w:szCs w:val="20"/>
          <w:color w:val="auto"/>
        </w:rPr>
      </w:pPr>
    </w:p>
    <w:p>
      <w:pPr>
        <w:ind w:left="320" w:right="120" w:firstLine="425"/>
        <w:spacing w:after="0" w:line="260" w:lineRule="auto"/>
        <w:rPr>
          <w:sz w:val="20"/>
          <w:szCs w:val="20"/>
          <w:color w:val="auto"/>
        </w:rPr>
      </w:pPr>
      <w:r>
        <w:rPr>
          <w:rFonts w:ascii="Arial" w:cs="Arial" w:eastAsia="Arial" w:hAnsi="Arial"/>
          <w:sz w:val="17"/>
          <w:szCs w:val="17"/>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Selection and Notice</w:t>
      </w:r>
    </w:p>
    <w:p>
      <w:pPr>
        <w:spacing w:after="0" w:line="106" w:lineRule="exact"/>
        <w:rPr>
          <w:sz w:val="20"/>
          <w:szCs w:val="20"/>
          <w:color w:val="auto"/>
        </w:rPr>
      </w:pPr>
    </w:p>
    <w:p>
      <w:pPr>
        <w:ind w:left="320" w:right="300" w:firstLine="425"/>
        <w:spacing w:after="0" w:line="281" w:lineRule="auto"/>
        <w:rPr>
          <w:sz w:val="20"/>
          <w:szCs w:val="20"/>
          <w:color w:val="auto"/>
        </w:rPr>
      </w:pPr>
      <w:r>
        <w:rPr>
          <w:rFonts w:ascii="Arial" w:cs="Arial" w:eastAsia="Arial" w:hAnsi="Arial"/>
          <w:sz w:val="17"/>
          <w:szCs w:val="17"/>
          <w:color w:val="auto"/>
        </w:rPr>
        <w:t>If fewer than all of the debt securities of a series are to be redeemed at any time, the trustee will select the debt securities of such series in definitive, non-global form for redemption on a pro rata basis</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40"/>
          </w:cols>
          <w:pgMar w:left="320" w:top="445"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jc w:val="both"/>
        <w:ind w:left="320" w:right="220"/>
        <w:spacing w:after="0" w:line="260" w:lineRule="auto"/>
        <w:rPr>
          <w:sz w:val="20"/>
          <w:szCs w:val="20"/>
          <w:color w:val="auto"/>
        </w:rPr>
      </w:pPr>
      <w:r>
        <w:rPr>
          <w:rFonts w:ascii="Arial" w:cs="Arial" w:eastAsia="Arial" w:hAnsi="Arial"/>
          <w:sz w:val="17"/>
          <w:szCs w:val="17"/>
          <w:color w:val="auto"/>
        </w:rPr>
        <w:t>(or,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59" w:lineRule="exact"/>
        <w:rPr>
          <w:sz w:val="20"/>
          <w:szCs w:val="20"/>
          <w:color w:val="auto"/>
        </w:rPr>
      </w:pPr>
    </w:p>
    <w:p>
      <w:pPr>
        <w:ind w:left="320" w:right="20" w:firstLine="425"/>
        <w:spacing w:after="0" w:line="250" w:lineRule="auto"/>
        <w:rPr>
          <w:sz w:val="20"/>
          <w:szCs w:val="20"/>
          <w:color w:val="auto"/>
        </w:rPr>
      </w:pPr>
      <w:r>
        <w:rPr>
          <w:rFonts w:ascii="Arial" w:cs="Arial" w:eastAsia="Arial" w:hAnsi="Arial"/>
          <w:sz w:val="17"/>
          <w:szCs w:val="17"/>
          <w:color w:val="auto"/>
        </w:rPr>
        <w:t>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67" w:lineRule="exact"/>
        <w:rPr>
          <w:sz w:val="20"/>
          <w:szCs w:val="20"/>
          <w:color w:val="auto"/>
        </w:rPr>
      </w:pPr>
    </w:p>
    <w:p>
      <w:pPr>
        <w:ind w:left="320" w:right="40" w:firstLine="425"/>
        <w:spacing w:after="0" w:line="248" w:lineRule="auto"/>
        <w:rPr>
          <w:sz w:val="20"/>
          <w:szCs w:val="20"/>
          <w:color w:val="auto"/>
        </w:rPr>
      </w:pPr>
      <w:r>
        <w:rPr>
          <w:rFonts w:ascii="Arial" w:cs="Arial" w:eastAsia="Arial" w:hAnsi="Arial"/>
          <w:sz w:val="17"/>
          <w:szCs w:val="17"/>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69"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Reports</w:t>
      </w:r>
    </w:p>
    <w:p>
      <w:pPr>
        <w:spacing w:after="0" w:line="106" w:lineRule="exact"/>
        <w:rPr>
          <w:sz w:val="20"/>
          <w:szCs w:val="20"/>
          <w:color w:val="auto"/>
        </w:rPr>
      </w:pPr>
    </w:p>
    <w:p>
      <w:pPr>
        <w:ind w:left="320" w:right="60" w:firstLine="425"/>
        <w:spacing w:after="0" w:line="243" w:lineRule="auto"/>
        <w:rPr>
          <w:sz w:val="20"/>
          <w:szCs w:val="20"/>
          <w:color w:val="auto"/>
        </w:rPr>
      </w:pPr>
      <w:r>
        <w:rPr>
          <w:rFonts w:ascii="Arial" w:cs="Arial" w:eastAsia="Arial" w:hAnsi="Arial"/>
          <w:sz w:val="17"/>
          <w:szCs w:val="17"/>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Certain Covenants</w:t>
      </w:r>
    </w:p>
    <w:p>
      <w:pPr>
        <w:spacing w:after="0" w:line="106" w:lineRule="exact"/>
        <w:rPr>
          <w:sz w:val="20"/>
          <w:szCs w:val="20"/>
          <w:color w:val="auto"/>
        </w:rPr>
      </w:pPr>
    </w:p>
    <w:p>
      <w:pPr>
        <w:ind w:left="320" w:right="340" w:firstLine="425"/>
        <w:spacing w:after="0" w:line="281" w:lineRule="auto"/>
        <w:rPr>
          <w:sz w:val="20"/>
          <w:szCs w:val="20"/>
          <w:color w:val="auto"/>
        </w:rPr>
      </w:pPr>
      <w:r>
        <w:rPr>
          <w:rFonts w:ascii="Arial" w:cs="Arial" w:eastAsia="Arial" w:hAnsi="Arial"/>
          <w:sz w:val="17"/>
          <w:szCs w:val="17"/>
          <w:color w:val="auto"/>
        </w:rPr>
        <w:t>Other than the restrictions on liens described below, the indenture and the debt securities will not contain any covenants or other provisions designed to protect holders of the debt securities in the</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20"/>
          </w:cols>
          <w:pgMar w:left="320" w:top="445"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40"/>
        <w:spacing w:after="0" w:line="260" w:lineRule="auto"/>
        <w:rPr>
          <w:sz w:val="20"/>
          <w:szCs w:val="20"/>
          <w:color w:val="auto"/>
        </w:rPr>
      </w:pPr>
      <w:r>
        <w:rPr>
          <w:rFonts w:ascii="Arial" w:cs="Arial" w:eastAsia="Arial" w:hAnsi="Arial"/>
          <w:sz w:val="17"/>
          <w:szCs w:val="17"/>
          <w:color w:val="auto"/>
        </w:rPr>
        <w:t>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Limitation on Liens</w:t>
      </w:r>
    </w:p>
    <w:p>
      <w:pPr>
        <w:spacing w:after="0" w:line="106" w:lineRule="exact"/>
        <w:rPr>
          <w:sz w:val="20"/>
          <w:szCs w:val="20"/>
          <w:color w:val="auto"/>
        </w:rPr>
      </w:pPr>
    </w:p>
    <w:p>
      <w:pPr>
        <w:ind w:left="320" w:right="20" w:firstLine="425"/>
        <w:spacing w:after="0" w:line="244" w:lineRule="auto"/>
        <w:rPr>
          <w:sz w:val="20"/>
          <w:szCs w:val="20"/>
          <w:color w:val="auto"/>
        </w:rPr>
      </w:pPr>
      <w:r>
        <w:rPr>
          <w:rFonts w:ascii="Arial" w:cs="Arial" w:eastAsia="Arial" w:hAnsi="Arial"/>
          <w:sz w:val="17"/>
          <w:szCs w:val="17"/>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3" w:lineRule="exact"/>
        <w:rPr>
          <w:sz w:val="20"/>
          <w:szCs w:val="20"/>
          <w:color w:val="auto"/>
        </w:rPr>
      </w:pPr>
    </w:p>
    <w:p>
      <w:pPr>
        <w:ind w:left="1240" w:hanging="513"/>
        <w:spacing w:after="0"/>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mortgages existing on the date of original issuance of any debt securities;</w:t>
      </w:r>
    </w:p>
    <w:p>
      <w:pPr>
        <w:spacing w:after="0" w:line="117" w:lineRule="exact"/>
        <w:rPr>
          <w:rFonts w:ascii="Arial" w:cs="Arial" w:eastAsia="Arial" w:hAnsi="Arial"/>
          <w:sz w:val="17"/>
          <w:szCs w:val="17"/>
          <w:color w:val="auto"/>
        </w:rPr>
      </w:pPr>
    </w:p>
    <w:p>
      <w:pPr>
        <w:ind w:left="1240" w:right="100" w:hanging="513"/>
        <w:spacing w:after="0" w:line="281"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0" w:lineRule="exact"/>
        <w:rPr>
          <w:rFonts w:ascii="Arial" w:cs="Arial" w:eastAsia="Arial" w:hAnsi="Arial"/>
          <w:sz w:val="17"/>
          <w:szCs w:val="17"/>
          <w:color w:val="auto"/>
        </w:rPr>
      </w:pPr>
    </w:p>
    <w:p>
      <w:pPr>
        <w:ind w:left="1240" w:right="260" w:hanging="513"/>
        <w:spacing w:after="0" w:line="248"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77" w:lineRule="exact"/>
        <w:rPr>
          <w:rFonts w:ascii="Arial" w:cs="Arial" w:eastAsia="Arial" w:hAnsi="Arial"/>
          <w:sz w:val="17"/>
          <w:szCs w:val="17"/>
          <w:color w:val="auto"/>
        </w:rPr>
      </w:pPr>
    </w:p>
    <w:p>
      <w:pPr>
        <w:ind w:left="1240" w:hanging="513"/>
        <w:spacing w:after="0"/>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mortgages in favor of the Company, the Guarantor or any other subsidiary of the Guarantor;</w:t>
      </w:r>
    </w:p>
    <w:p>
      <w:pPr>
        <w:spacing w:after="0" w:line="117" w:lineRule="exact"/>
        <w:rPr>
          <w:rFonts w:ascii="Arial" w:cs="Arial" w:eastAsia="Arial" w:hAnsi="Arial"/>
          <w:sz w:val="17"/>
          <w:szCs w:val="17"/>
          <w:color w:val="auto"/>
        </w:rPr>
      </w:pPr>
    </w:p>
    <w:p>
      <w:pPr>
        <w:ind w:left="1240" w:hanging="513"/>
        <w:spacing w:after="0" w:line="253"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4" w:lineRule="exact"/>
        <w:rPr>
          <w:rFonts w:ascii="Arial" w:cs="Arial" w:eastAsia="Arial" w:hAnsi="Arial"/>
          <w:sz w:val="17"/>
          <w:szCs w:val="17"/>
          <w:color w:val="auto"/>
        </w:rPr>
      </w:pPr>
    </w:p>
    <w:p>
      <w:pPr>
        <w:ind w:left="1240" w:right="320" w:hanging="513"/>
        <w:spacing w:after="0" w:line="281"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50" w:lineRule="exact"/>
        <w:rPr>
          <w:rFonts w:ascii="Arial" w:cs="Arial" w:eastAsia="Arial" w:hAnsi="Arial"/>
          <w:sz w:val="17"/>
          <w:szCs w:val="17"/>
          <w:color w:val="auto"/>
        </w:rPr>
      </w:pPr>
    </w:p>
    <w:p>
      <w:pPr>
        <w:ind w:left="1240" w:right="100" w:hanging="513"/>
        <w:spacing w:after="0" w:line="253"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4" w:lineRule="exact"/>
        <w:rPr>
          <w:rFonts w:ascii="Arial" w:cs="Arial" w:eastAsia="Arial" w:hAnsi="Arial"/>
          <w:sz w:val="17"/>
          <w:szCs w:val="17"/>
          <w:color w:val="auto"/>
        </w:rPr>
      </w:pPr>
    </w:p>
    <w:p>
      <w:pPr>
        <w:ind w:left="1240" w:right="240" w:hanging="513"/>
        <w:spacing w:after="0" w:line="281"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20"/>
          </w:cols>
          <w:pgMar w:left="320" w:top="445" w:right="6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hanging="513"/>
        <w:spacing w:after="0"/>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property or assets, or a project financed with, non-recourse debt; and</w:t>
      </w:r>
    </w:p>
    <w:p>
      <w:pPr>
        <w:spacing w:after="0" w:line="117" w:lineRule="exact"/>
        <w:rPr>
          <w:rFonts w:ascii="Arial" w:cs="Arial" w:eastAsia="Arial" w:hAnsi="Arial"/>
          <w:sz w:val="17"/>
          <w:szCs w:val="17"/>
          <w:color w:val="auto"/>
        </w:rPr>
      </w:pPr>
    </w:p>
    <w:p>
      <w:pPr>
        <w:ind w:left="1240" w:right="140" w:hanging="513"/>
        <w:spacing w:after="0" w:line="253" w:lineRule="auto"/>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foregoing covenant and certain other provisions of the indenture use the following defined terms.</w:t>
      </w:r>
    </w:p>
    <w:p>
      <w:pPr>
        <w:spacing w:after="0" w:line="208" w:lineRule="exact"/>
        <w:rPr>
          <w:sz w:val="20"/>
          <w:szCs w:val="20"/>
          <w:color w:val="auto"/>
        </w:rPr>
      </w:pPr>
    </w:p>
    <w:p>
      <w:pPr>
        <w:ind w:left="320" w:firstLine="425"/>
        <w:spacing w:after="0" w:line="248" w:lineRule="auto"/>
        <w:rPr>
          <w:sz w:val="20"/>
          <w:szCs w:val="20"/>
          <w:color w:val="auto"/>
        </w:rPr>
      </w:pPr>
      <w:r>
        <w:rPr>
          <w:rFonts w:ascii="Arial" w:cs="Arial" w:eastAsia="Arial" w:hAnsi="Arial"/>
          <w:sz w:val="17"/>
          <w:szCs w:val="17"/>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9" w:lineRule="exact"/>
        <w:rPr>
          <w:sz w:val="20"/>
          <w:szCs w:val="20"/>
          <w:color w:val="auto"/>
        </w:rPr>
      </w:pPr>
    </w:p>
    <w:p>
      <w:pPr>
        <w:ind w:left="320" w:right="40" w:firstLine="425"/>
        <w:spacing w:after="0" w:line="281" w:lineRule="auto"/>
        <w:rPr>
          <w:sz w:val="20"/>
          <w:szCs w:val="20"/>
          <w:color w:val="auto"/>
        </w:rPr>
      </w:pPr>
      <w:r>
        <w:rPr>
          <w:rFonts w:ascii="Arial" w:cs="Arial" w:eastAsia="Arial" w:hAnsi="Arial"/>
          <w:sz w:val="17"/>
          <w:szCs w:val="17"/>
          <w:color w:val="auto"/>
        </w:rPr>
        <w:t>“consolidated net worth” means the amount of total stockholders’ equity shown in the Guarantor’s most recent quarterly consolidated statement of financial position.</w:t>
      </w:r>
    </w:p>
    <w:p>
      <w:pPr>
        <w:spacing w:after="0" w:line="141" w:lineRule="exact"/>
        <w:rPr>
          <w:sz w:val="20"/>
          <w:szCs w:val="20"/>
          <w:color w:val="auto"/>
        </w:rPr>
      </w:pPr>
    </w:p>
    <w:p>
      <w:pPr>
        <w:ind w:left="320" w:right="300" w:firstLine="425"/>
        <w:spacing w:after="0" w:line="281" w:lineRule="auto"/>
        <w:rPr>
          <w:sz w:val="20"/>
          <w:szCs w:val="20"/>
          <w:color w:val="auto"/>
        </w:rPr>
      </w:pPr>
      <w:r>
        <w:rPr>
          <w:rFonts w:ascii="Arial" w:cs="Arial" w:eastAsia="Arial" w:hAnsi="Arial"/>
          <w:sz w:val="17"/>
          <w:szCs w:val="17"/>
          <w:color w:val="auto"/>
        </w:rPr>
        <w:t>“mortgage” means and includes any mortgage, pledge, lien, security interest, conditional sale or other title retention agreement or other similar encumbrance.</w:t>
      </w:r>
    </w:p>
    <w:p>
      <w:pPr>
        <w:spacing w:after="0" w:line="141" w:lineRule="exact"/>
        <w:rPr>
          <w:sz w:val="20"/>
          <w:szCs w:val="20"/>
          <w:color w:val="auto"/>
        </w:rPr>
      </w:pPr>
    </w:p>
    <w:p>
      <w:pPr>
        <w:ind w:left="320" w:right="40" w:firstLine="425"/>
        <w:spacing w:after="0" w:line="260"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9" w:lineRule="exact"/>
        <w:rPr>
          <w:sz w:val="20"/>
          <w:szCs w:val="20"/>
          <w:color w:val="auto"/>
        </w:rPr>
      </w:pPr>
    </w:p>
    <w:p>
      <w:pPr>
        <w:ind w:left="320" w:right="600" w:firstLine="425"/>
        <w:spacing w:after="0" w:line="28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41"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37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“restricted subsidiary” means any subsidiary of the Guarantor which owns a restricted property.</w:t>
      </w:r>
    </w:p>
    <w:p>
      <w:pPr>
        <w:spacing w:after="0" w:line="208" w:lineRule="exact"/>
        <w:rPr>
          <w:sz w:val="20"/>
          <w:szCs w:val="20"/>
          <w:color w:val="auto"/>
        </w:rPr>
      </w:pPr>
    </w:p>
    <w:p>
      <w:pPr>
        <w:ind w:left="320" w:firstLine="425"/>
        <w:spacing w:after="0" w:line="248" w:lineRule="auto"/>
        <w:rPr>
          <w:sz w:val="20"/>
          <w:szCs w:val="20"/>
          <w:color w:val="auto"/>
        </w:rPr>
      </w:pPr>
      <w:r>
        <w:rPr>
          <w:rFonts w:ascii="Arial" w:cs="Arial" w:eastAsia="Arial" w:hAnsi="Arial"/>
          <w:sz w:val="17"/>
          <w:szCs w:val="17"/>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40"/>
          </w:cols>
          <w:pgMar w:left="320" w:top="445"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20"/>
        <w:spacing w:after="0" w:line="253" w:lineRule="auto"/>
        <w:rPr>
          <w:sz w:val="20"/>
          <w:szCs w:val="20"/>
          <w:color w:val="auto"/>
        </w:rPr>
      </w:pPr>
      <w:r>
        <w:rPr>
          <w:rFonts w:ascii="Arial" w:cs="Arial" w:eastAsia="Arial" w:hAnsi="Arial"/>
          <w:sz w:val="17"/>
          <w:szCs w:val="17"/>
          <w:color w:val="auto"/>
        </w:rPr>
        <w:t>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Consolidation, Merger and Sale of Assets</w:t>
      </w:r>
    </w:p>
    <w:p>
      <w:pPr>
        <w:spacing w:after="0" w:line="106" w:lineRule="exact"/>
        <w:rPr>
          <w:sz w:val="20"/>
          <w:szCs w:val="20"/>
          <w:color w:val="auto"/>
        </w:rPr>
      </w:pPr>
    </w:p>
    <w:p>
      <w:pPr>
        <w:ind w:left="320" w:right="40" w:firstLine="425"/>
        <w:spacing w:after="0" w:line="248" w:lineRule="auto"/>
        <w:rPr>
          <w:sz w:val="20"/>
          <w:szCs w:val="20"/>
          <w:color w:val="auto"/>
        </w:rPr>
      </w:pPr>
      <w:r>
        <w:rPr>
          <w:rFonts w:ascii="Arial" w:cs="Arial" w:eastAsia="Arial" w:hAnsi="Arial"/>
          <w:sz w:val="17"/>
          <w:szCs w:val="17"/>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Assumption by a Subsidiary</w:t>
      </w:r>
    </w:p>
    <w:p>
      <w:pPr>
        <w:spacing w:after="0" w:line="106" w:lineRule="exact"/>
        <w:rPr>
          <w:sz w:val="20"/>
          <w:szCs w:val="20"/>
          <w:color w:val="auto"/>
        </w:rPr>
      </w:pPr>
    </w:p>
    <w:p>
      <w:pPr>
        <w:ind w:left="320" w:right="700" w:firstLine="425"/>
        <w:spacing w:after="0" w:line="281" w:lineRule="auto"/>
        <w:rPr>
          <w:sz w:val="20"/>
          <w:szCs w:val="20"/>
          <w:color w:val="auto"/>
        </w:rPr>
      </w:pPr>
      <w:r>
        <w:rPr>
          <w:rFonts w:ascii="Arial" w:cs="Arial" w:eastAsia="Arial" w:hAnsi="Arial"/>
          <w:sz w:val="17"/>
          <w:szCs w:val="17"/>
          <w:color w:val="auto"/>
        </w:rPr>
        <w:t>Any subsidiary of the Guarantor may, at its option, assume the obligations of the Company under the indenture and the debt securities, provided that:</w:t>
      </w:r>
    </w:p>
    <w:p>
      <w:pPr>
        <w:spacing w:after="0" w:line="50" w:lineRule="exact"/>
        <w:rPr>
          <w:sz w:val="20"/>
          <w:szCs w:val="20"/>
          <w:color w:val="auto"/>
        </w:rPr>
      </w:pPr>
    </w:p>
    <w:p>
      <w:pPr>
        <w:ind w:left="720" w:right="440" w:hanging="410"/>
        <w:spacing w:after="0" w:line="281"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such subsidiary expressly assumes such obligations in an assumption agreement or supplemental indenture duly executed and delivered to the trustee, and</w:t>
      </w:r>
    </w:p>
    <w:p>
      <w:pPr>
        <w:spacing w:after="0" w:line="50" w:lineRule="exact"/>
        <w:rPr>
          <w:rFonts w:ascii="Arial" w:cs="Arial" w:eastAsia="Arial" w:hAnsi="Arial"/>
          <w:sz w:val="17"/>
          <w:szCs w:val="17"/>
          <w:color w:val="auto"/>
        </w:rPr>
      </w:pPr>
    </w:p>
    <w:p>
      <w:pPr>
        <w:ind w:left="720" w:right="480" w:hanging="410"/>
        <w:spacing w:after="0" w:line="281" w:lineRule="auto"/>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immediately after giving effect to such assumption, no event of default and no event which, after notice or lapse of time or both, would become an event of default, shall have occurred and be continuing.</w:t>
      </w:r>
    </w:p>
    <w:p>
      <w:pPr>
        <w:spacing w:after="0" w:line="141" w:lineRule="exact"/>
        <w:rPr>
          <w:sz w:val="20"/>
          <w:szCs w:val="20"/>
          <w:color w:val="auto"/>
        </w:rPr>
      </w:pPr>
    </w:p>
    <w:p>
      <w:pPr>
        <w:ind w:left="320" w:right="200" w:firstLine="425"/>
        <w:spacing w:after="0" w:line="250" w:lineRule="auto"/>
        <w:rPr>
          <w:sz w:val="20"/>
          <w:szCs w:val="20"/>
          <w:color w:val="auto"/>
        </w:rPr>
      </w:pPr>
      <w:r>
        <w:rPr>
          <w:rFonts w:ascii="Arial" w:cs="Arial" w:eastAsia="Arial" w:hAnsi="Arial"/>
          <w:sz w:val="17"/>
          <w:szCs w:val="17"/>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71" w:lineRule="exact"/>
        <w:rPr>
          <w:sz w:val="20"/>
          <w:szCs w:val="20"/>
          <w:color w:val="auto"/>
        </w:rPr>
      </w:pPr>
    </w:p>
    <w:p>
      <w:pPr>
        <w:ind w:left="320" w:right="20" w:firstLine="425"/>
        <w:spacing w:after="0" w:line="248" w:lineRule="auto"/>
        <w:rPr>
          <w:sz w:val="20"/>
          <w:szCs w:val="20"/>
          <w:color w:val="auto"/>
        </w:rPr>
      </w:pPr>
      <w:r>
        <w:rPr>
          <w:rFonts w:ascii="Arial" w:cs="Arial" w:eastAsia="Arial" w:hAnsi="Arial"/>
          <w:sz w:val="17"/>
          <w:szCs w:val="17"/>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Events of Default</w:t>
      </w:r>
    </w:p>
    <w:p>
      <w:pPr>
        <w:spacing w:after="0" w:line="106" w:lineRule="exact"/>
        <w:rPr>
          <w:sz w:val="20"/>
          <w:szCs w:val="20"/>
          <w:color w:val="auto"/>
        </w:rPr>
      </w:pPr>
    </w:p>
    <w:p>
      <w:pPr>
        <w:ind w:left="320" w:firstLine="425"/>
        <w:spacing w:after="0" w:line="281" w:lineRule="auto"/>
        <w:rPr>
          <w:sz w:val="20"/>
          <w:szCs w:val="20"/>
          <w:color w:val="auto"/>
        </w:rPr>
      </w:pPr>
      <w:r>
        <w:rPr>
          <w:rFonts w:ascii="Arial" w:cs="Arial" w:eastAsia="Arial" w:hAnsi="Arial"/>
          <w:sz w:val="17"/>
          <w:szCs w:val="17"/>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50" w:lineRule="exact"/>
        <w:rPr>
          <w:sz w:val="20"/>
          <w:szCs w:val="20"/>
          <w:color w:val="auto"/>
        </w:rPr>
      </w:pPr>
    </w:p>
    <w:p>
      <w:pPr>
        <w:ind w:left="1240" w:right="640" w:hanging="409"/>
        <w:spacing w:after="0" w:line="281" w:lineRule="auto"/>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Company’s failure to pay any interest on any of the debt securities of such series within 30 days after such interest becomes due and payable;</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40"/>
          </w:cols>
          <w:pgMar w:left="320" w:top="445"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1240" w:right="120" w:hanging="409"/>
        <w:spacing w:after="0" w:line="281" w:lineRule="auto"/>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Company’s failure to pay principal on any of the debt securities of such series at maturity, or if applicable, the redemption price, when the same become due and payable;</w:t>
      </w:r>
    </w:p>
    <w:p>
      <w:pPr>
        <w:spacing w:after="0" w:line="50" w:lineRule="exact"/>
        <w:rPr>
          <w:rFonts w:ascii="Arial" w:cs="Arial" w:eastAsia="Arial" w:hAnsi="Arial"/>
          <w:sz w:val="17"/>
          <w:szCs w:val="17"/>
          <w:color w:val="auto"/>
        </w:rPr>
      </w:pPr>
    </w:p>
    <w:p>
      <w:pPr>
        <w:ind w:left="1240" w:right="220" w:hanging="409"/>
        <w:spacing w:after="0" w:line="281" w:lineRule="auto"/>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Company’s failure to pay any sinking fund installment as and when the same becomes due and payable by the terms of the debt securities of such series, and continuance of such default for a period of 30 days;</w:t>
      </w:r>
    </w:p>
    <w:p>
      <w:pPr>
        <w:spacing w:after="0" w:line="50" w:lineRule="exact"/>
        <w:rPr>
          <w:rFonts w:ascii="Arial" w:cs="Arial" w:eastAsia="Arial" w:hAnsi="Arial"/>
          <w:sz w:val="17"/>
          <w:szCs w:val="17"/>
          <w:color w:val="auto"/>
        </w:rPr>
      </w:pPr>
    </w:p>
    <w:p>
      <w:pPr>
        <w:ind w:left="1240" w:right="320" w:hanging="409"/>
        <w:spacing w:after="0" w:line="250" w:lineRule="auto"/>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75" w:lineRule="exact"/>
        <w:rPr>
          <w:rFonts w:ascii="Arial" w:cs="Arial" w:eastAsia="Arial" w:hAnsi="Arial"/>
          <w:sz w:val="17"/>
          <w:szCs w:val="17"/>
          <w:color w:val="auto"/>
        </w:rPr>
      </w:pPr>
    </w:p>
    <w:p>
      <w:pPr>
        <w:ind w:left="1240" w:right="20" w:hanging="409"/>
        <w:spacing w:after="0" w:line="260" w:lineRule="auto"/>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certain events involving bankruptcy, insolvency or reorganization of the Company or the Guarantor.</w:t>
      </w:r>
    </w:p>
    <w:p>
      <w:pPr>
        <w:spacing w:after="0" w:line="208" w:lineRule="exact"/>
        <w:rPr>
          <w:sz w:val="20"/>
          <w:szCs w:val="20"/>
          <w:color w:val="auto"/>
        </w:rPr>
      </w:pPr>
    </w:p>
    <w:p>
      <w:pPr>
        <w:ind w:left="320" w:right="20" w:firstLine="425"/>
        <w:spacing w:after="0" w:line="253" w:lineRule="auto"/>
        <w:rPr>
          <w:sz w:val="20"/>
          <w:szCs w:val="20"/>
          <w:color w:val="auto"/>
        </w:rPr>
      </w:pPr>
      <w:r>
        <w:rPr>
          <w:rFonts w:ascii="Arial" w:cs="Arial" w:eastAsia="Arial" w:hAnsi="Arial"/>
          <w:sz w:val="17"/>
          <w:szCs w:val="17"/>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66" w:lineRule="exact"/>
        <w:rPr>
          <w:sz w:val="20"/>
          <w:szCs w:val="20"/>
          <w:color w:val="auto"/>
        </w:rPr>
      </w:pPr>
    </w:p>
    <w:p>
      <w:pPr>
        <w:ind w:left="320" w:firstLine="425"/>
        <w:spacing w:after="0" w:line="246" w:lineRule="auto"/>
        <w:rPr>
          <w:sz w:val="20"/>
          <w:szCs w:val="20"/>
          <w:color w:val="auto"/>
        </w:rPr>
      </w:pPr>
      <w:r>
        <w:rPr>
          <w:rFonts w:ascii="Arial" w:cs="Arial" w:eastAsia="Arial" w:hAnsi="Arial"/>
          <w:sz w:val="17"/>
          <w:szCs w:val="17"/>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73" w:lineRule="exact"/>
        <w:rPr>
          <w:sz w:val="20"/>
          <w:szCs w:val="20"/>
          <w:color w:val="auto"/>
        </w:rPr>
      </w:pPr>
    </w:p>
    <w:p>
      <w:pPr>
        <w:ind w:left="320" w:right="160" w:firstLine="425"/>
        <w:spacing w:after="0" w:line="281" w:lineRule="auto"/>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50" w:lineRule="exact"/>
        <w:rPr>
          <w:sz w:val="20"/>
          <w:szCs w:val="20"/>
          <w:color w:val="auto"/>
        </w:rPr>
      </w:pPr>
    </w:p>
    <w:p>
      <w:pPr>
        <w:ind w:left="1240" w:hanging="409"/>
        <w:spacing w:after="0"/>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holder gives the trustee written notice of a continuing event of default for such debt securities;</w:t>
      </w:r>
    </w:p>
    <w:p>
      <w:pPr>
        <w:spacing w:after="0" w:line="117" w:lineRule="exact"/>
        <w:rPr>
          <w:rFonts w:ascii="Arial" w:cs="Arial" w:eastAsia="Arial" w:hAnsi="Arial"/>
          <w:sz w:val="17"/>
          <w:szCs w:val="17"/>
          <w:color w:val="auto"/>
        </w:rPr>
      </w:pPr>
    </w:p>
    <w:p>
      <w:pPr>
        <w:ind w:left="1240" w:right="20" w:hanging="409"/>
        <w:spacing w:after="0" w:line="281" w:lineRule="auto"/>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the debt securities of such series then outstanding make a written request to the trustee to pursue the remedy;</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holder furnishes to the trustee indemnity reasonably satisfactory to the trustee;</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fails to act for a period of 60 days after receipt of notice and furnishing of indemnity; and</w:t>
      </w:r>
    </w:p>
    <w:p>
      <w:pPr>
        <w:spacing w:after="0" w:line="117" w:lineRule="exact"/>
        <w:rPr>
          <w:rFonts w:ascii="Arial" w:cs="Arial" w:eastAsia="Arial" w:hAnsi="Arial"/>
          <w:sz w:val="17"/>
          <w:szCs w:val="17"/>
          <w:color w:val="auto"/>
        </w:rPr>
      </w:pPr>
    </w:p>
    <w:p>
      <w:pPr>
        <w:ind w:left="1240" w:right="120" w:hanging="409"/>
        <w:spacing w:after="0" w:line="281" w:lineRule="auto"/>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during that 60-day period, the holders of a majority in principal amount of the outstanding debt securities of that series do not give the trustee a direction inconsistent with the request.</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20"/>
          </w:cols>
          <w:pgMar w:left="320" w:top="445" w:right="6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260" w:firstLine="425"/>
        <w:spacing w:after="0" w:line="281" w:lineRule="auto"/>
        <w:rPr>
          <w:sz w:val="20"/>
          <w:szCs w:val="20"/>
          <w:color w:val="auto"/>
        </w:rPr>
      </w:pPr>
      <w:r>
        <w:rPr>
          <w:rFonts w:ascii="Arial" w:cs="Arial" w:eastAsia="Arial" w:hAnsi="Arial"/>
          <w:sz w:val="17"/>
          <w:szCs w:val="17"/>
          <w:color w:val="auto"/>
        </w:rPr>
        <w:t>This provision does not, however, affect the right of any holder to sue for enforcement of any overdue payment with respect to the debt securities of such series.</w:t>
      </w:r>
    </w:p>
    <w:p>
      <w:pPr>
        <w:spacing w:after="0" w:line="141" w:lineRule="exact"/>
        <w:rPr>
          <w:sz w:val="20"/>
          <w:szCs w:val="20"/>
          <w:color w:val="auto"/>
        </w:rPr>
      </w:pPr>
    </w:p>
    <w:p>
      <w:pPr>
        <w:ind w:left="320" w:firstLine="425"/>
        <w:spacing w:after="0" w:line="281" w:lineRule="auto"/>
        <w:rPr>
          <w:sz w:val="20"/>
          <w:szCs w:val="20"/>
          <w:color w:val="auto"/>
        </w:rPr>
      </w:pPr>
      <w:r>
        <w:rPr>
          <w:rFonts w:ascii="Arial" w:cs="Arial" w:eastAsia="Arial" w:hAnsi="Arial"/>
          <w:sz w:val="17"/>
          <w:szCs w:val="17"/>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50" w:lineRule="exact"/>
        <w:rPr>
          <w:sz w:val="20"/>
          <w:szCs w:val="20"/>
          <w:color w:val="auto"/>
        </w:rPr>
      </w:pPr>
    </w:p>
    <w:p>
      <w:pPr>
        <w:ind w:left="1240" w:hanging="409"/>
        <w:spacing w:after="0"/>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conducting any proceeding for any remedy available to the trustee with respect to the debt securities of such series; and</w:t>
      </w:r>
    </w:p>
    <w:p>
      <w:pPr>
        <w:spacing w:after="0" w:line="117" w:lineRule="exact"/>
        <w:rPr>
          <w:rFonts w:ascii="Arial" w:cs="Arial" w:eastAsia="Arial" w:hAnsi="Arial"/>
          <w:sz w:val="17"/>
          <w:szCs w:val="17"/>
          <w:color w:val="auto"/>
        </w:rPr>
      </w:pPr>
    </w:p>
    <w:p>
      <w:pPr>
        <w:ind w:left="1240" w:right="280" w:hanging="409"/>
        <w:spacing w:after="0" w:line="281" w:lineRule="auto"/>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exercising any trust or power conferred on the trustee not relating to or arising under an event of default with respect to the debt securities of such series.</w:t>
      </w:r>
    </w:p>
    <w:p>
      <w:pPr>
        <w:spacing w:after="0" w:line="141" w:lineRule="exact"/>
        <w:rPr>
          <w:sz w:val="20"/>
          <w:szCs w:val="20"/>
          <w:color w:val="auto"/>
        </w:rPr>
      </w:pPr>
    </w:p>
    <w:p>
      <w:pPr>
        <w:ind w:left="320" w:right="280" w:firstLine="425"/>
        <w:spacing w:after="0" w:line="281" w:lineRule="auto"/>
        <w:rPr>
          <w:sz w:val="20"/>
          <w:szCs w:val="20"/>
          <w:color w:val="auto"/>
        </w:rPr>
      </w:pPr>
      <w:r>
        <w:rPr>
          <w:rFonts w:ascii="Arial" w:cs="Arial" w:eastAsia="Arial" w:hAnsi="Arial"/>
          <w:sz w:val="17"/>
          <w:szCs w:val="17"/>
          <w:color w:val="auto"/>
        </w:rPr>
        <w:t>The indenture requires the Company to file with the trustee each year a written statement as to its compliance with the covenants contained in the indenture.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Modification and Waiver</w:t>
      </w:r>
    </w:p>
    <w:p>
      <w:pPr>
        <w:spacing w:after="0" w:line="106" w:lineRule="exact"/>
        <w:rPr>
          <w:sz w:val="20"/>
          <w:szCs w:val="20"/>
          <w:color w:val="auto"/>
        </w:rPr>
      </w:pPr>
    </w:p>
    <w:p>
      <w:pPr>
        <w:ind w:left="320" w:firstLine="425"/>
        <w:spacing w:after="0" w:line="244"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75" w:lineRule="exact"/>
        <w:rPr>
          <w:sz w:val="20"/>
          <w:szCs w:val="20"/>
          <w:color w:val="auto"/>
        </w:rPr>
      </w:pPr>
    </w:p>
    <w:p>
      <w:pPr>
        <w:ind w:left="320" w:right="80" w:firstLine="425"/>
        <w:spacing w:after="0" w:line="281" w:lineRule="auto"/>
        <w:rPr>
          <w:sz w:val="20"/>
          <w:szCs w:val="20"/>
          <w:color w:val="auto"/>
        </w:rPr>
      </w:pPr>
      <w:r>
        <w:rPr>
          <w:rFonts w:ascii="Arial" w:cs="Arial" w:eastAsia="Arial" w:hAnsi="Arial"/>
          <w:sz w:val="17"/>
          <w:szCs w:val="17"/>
          <w:color w:val="auto"/>
        </w:rPr>
        <w:t>Without the consent of each holder of outstanding debt securities of any series, an amendment, supplement or waiver may not (with respect to any debt securities held by a non-consenting holder):</w:t>
      </w:r>
    </w:p>
    <w:p>
      <w:pPr>
        <w:spacing w:after="0" w:line="50" w:lineRule="exact"/>
        <w:rPr>
          <w:sz w:val="20"/>
          <w:szCs w:val="20"/>
          <w:color w:val="auto"/>
        </w:rPr>
      </w:pPr>
    </w:p>
    <w:p>
      <w:pPr>
        <w:ind w:left="1240" w:hanging="409"/>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 the amount of debt securities of such series whose holders must consent to an amendment, supplement or waiver;</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 the rate of or change the time for payment of interest on the debt securities of such series;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 the principal or change the stated maturity of any debt securities of such series;</w:t>
      </w:r>
    </w:p>
    <w:p>
      <w:pPr>
        <w:spacing w:after="0" w:line="117" w:lineRule="exact"/>
        <w:rPr>
          <w:rFonts w:ascii="Arial" w:cs="Arial" w:eastAsia="Arial" w:hAnsi="Arial"/>
          <w:sz w:val="17"/>
          <w:szCs w:val="17"/>
          <w:color w:val="auto"/>
        </w:rPr>
      </w:pPr>
    </w:p>
    <w:p>
      <w:pPr>
        <w:ind w:left="1240" w:right="420" w:hanging="409"/>
        <w:spacing w:after="0" w:line="281" w:lineRule="auto"/>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 any premium payable on the redemption of any debt security of such series or change the time at which any debt security of such series may or must be redeemed;</w:t>
      </w:r>
    </w:p>
    <w:p>
      <w:pPr>
        <w:spacing w:after="0" w:line="50" w:lineRule="exact"/>
        <w:rPr>
          <w:rFonts w:ascii="Arial" w:cs="Arial" w:eastAsia="Arial" w:hAnsi="Arial"/>
          <w:sz w:val="17"/>
          <w:szCs w:val="17"/>
          <w:color w:val="auto"/>
        </w:rPr>
      </w:pPr>
    </w:p>
    <w:p>
      <w:pPr>
        <w:ind w:left="1240" w:hanging="409"/>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 any obligation to pay Additional Amounts on the debt securities of such series;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make payments on any debt security of such series payable in currency other than as originally stated in such debt security;</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impair the holder’s right to institute suit for the enforcement of any payment on any debt security of such series;</w:t>
      </w:r>
    </w:p>
    <w:p>
      <w:pPr>
        <w:spacing w:after="0" w:line="117" w:lineRule="exact"/>
        <w:rPr>
          <w:rFonts w:ascii="Arial" w:cs="Arial" w:eastAsia="Arial" w:hAnsi="Arial"/>
          <w:sz w:val="17"/>
          <w:szCs w:val="17"/>
          <w:color w:val="auto"/>
        </w:rPr>
      </w:pPr>
    </w:p>
    <w:p>
      <w:pPr>
        <w:ind w:left="1240" w:right="180" w:hanging="409"/>
        <w:spacing w:after="0" w:line="260" w:lineRule="auto"/>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waive a continuing default or Event of Default regarding any payment on the debt securities.</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20"/>
          </w:cols>
          <w:pgMar w:left="320" w:top="445" w:right="6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80" w:firstLine="425"/>
        <w:spacing w:after="0" w:line="260" w:lineRule="auto"/>
        <w:rPr>
          <w:sz w:val="20"/>
          <w:szCs w:val="20"/>
          <w:color w:val="auto"/>
        </w:rPr>
      </w:pPr>
      <w:r>
        <w:rPr>
          <w:rFonts w:ascii="Arial" w:cs="Arial" w:eastAsia="Arial" w:hAnsi="Arial"/>
          <w:sz w:val="17"/>
          <w:szCs w:val="17"/>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68" w:lineRule="exact"/>
        <w:rPr>
          <w:sz w:val="20"/>
          <w:szCs w:val="20"/>
          <w:color w:val="auto"/>
        </w:rPr>
      </w:pPr>
    </w:p>
    <w:p>
      <w:pPr>
        <w:ind w:left="1240" w:hanging="409"/>
        <w:spacing w:after="0"/>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cure any ambiguity, omission, defect or inconsistency;</w:t>
      </w:r>
    </w:p>
    <w:p>
      <w:pPr>
        <w:spacing w:after="0" w:line="117" w:lineRule="exact"/>
        <w:rPr>
          <w:rFonts w:ascii="Arial" w:cs="Arial" w:eastAsia="Arial" w:hAnsi="Arial"/>
          <w:sz w:val="17"/>
          <w:szCs w:val="17"/>
          <w:color w:val="auto"/>
        </w:rPr>
      </w:pPr>
    </w:p>
    <w:p>
      <w:pPr>
        <w:ind w:left="1240" w:hanging="409"/>
        <w:spacing w:after="0" w:line="250"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75" w:lineRule="exact"/>
        <w:rPr>
          <w:rFonts w:ascii="Arial" w:cs="Arial" w:eastAsia="Arial" w:hAnsi="Arial"/>
          <w:sz w:val="17"/>
          <w:szCs w:val="17"/>
          <w:color w:val="auto"/>
        </w:rPr>
      </w:pPr>
    </w:p>
    <w:p>
      <w:pPr>
        <w:ind w:left="1240" w:hanging="409"/>
        <w:spacing w:after="0"/>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provide for uncertificated debt securities of any series in addition to or in place of certificated debt securities;</w:t>
      </w:r>
    </w:p>
    <w:p>
      <w:pPr>
        <w:spacing w:after="0" w:line="117" w:lineRule="exact"/>
        <w:rPr>
          <w:rFonts w:ascii="Arial" w:cs="Arial" w:eastAsia="Arial" w:hAnsi="Arial"/>
          <w:sz w:val="17"/>
          <w:szCs w:val="17"/>
          <w:color w:val="auto"/>
        </w:rPr>
      </w:pPr>
    </w:p>
    <w:p>
      <w:pPr>
        <w:ind w:left="1240" w:right="780" w:hanging="409"/>
        <w:spacing w:after="0" w:line="281"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provide any security for or guarantees of the debt securities or for the addition of an additional obligor on the debt securities;</w:t>
      </w:r>
    </w:p>
    <w:p>
      <w:pPr>
        <w:spacing w:after="0" w:line="50" w:lineRule="exact"/>
        <w:rPr>
          <w:rFonts w:ascii="Arial" w:cs="Arial" w:eastAsia="Arial" w:hAnsi="Arial"/>
          <w:sz w:val="17"/>
          <w:szCs w:val="17"/>
          <w:color w:val="auto"/>
        </w:rPr>
      </w:pPr>
    </w:p>
    <w:p>
      <w:pPr>
        <w:ind w:left="1240" w:right="680" w:hanging="409"/>
        <w:spacing w:after="0" w:line="281"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comply with any requirement to effect or maintain the qualification of the indenture under the Trust Indenture Act, if applicable;</w:t>
      </w:r>
    </w:p>
    <w:p>
      <w:pPr>
        <w:spacing w:after="0" w:line="50" w:lineRule="exact"/>
        <w:rPr>
          <w:rFonts w:ascii="Arial" w:cs="Arial" w:eastAsia="Arial" w:hAnsi="Arial"/>
          <w:sz w:val="17"/>
          <w:szCs w:val="17"/>
          <w:color w:val="auto"/>
        </w:rPr>
      </w:pPr>
    </w:p>
    <w:p>
      <w:pPr>
        <w:ind w:left="1240" w:right="400" w:hanging="409"/>
        <w:spacing w:after="0" w:line="281"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add covenants that would benefit the holders of any outstanding series of debt securities or to surrender any rights the Company has under the indenture;</w:t>
      </w:r>
    </w:p>
    <w:p>
      <w:pPr>
        <w:spacing w:after="0" w:line="50" w:lineRule="exact"/>
        <w:rPr>
          <w:rFonts w:ascii="Arial" w:cs="Arial" w:eastAsia="Arial" w:hAnsi="Arial"/>
          <w:sz w:val="17"/>
          <w:szCs w:val="17"/>
          <w:color w:val="auto"/>
        </w:rPr>
      </w:pPr>
    </w:p>
    <w:p>
      <w:pPr>
        <w:ind w:left="1240" w:right="260" w:hanging="409"/>
        <w:spacing w:after="0" w:line="260"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provide for the issuance of and establish forms and terms and conditions of a new series of debt securities;</w:t>
      </w:r>
    </w:p>
    <w:p>
      <w:pPr>
        <w:spacing w:after="0" w:line="117" w:lineRule="exact"/>
        <w:rPr>
          <w:rFonts w:ascii="Arial" w:cs="Arial" w:eastAsia="Arial" w:hAnsi="Arial"/>
          <w:sz w:val="17"/>
          <w:szCs w:val="17"/>
          <w:color w:val="auto"/>
        </w:rPr>
      </w:pPr>
    </w:p>
    <w:p>
      <w:pPr>
        <w:ind w:left="1240" w:right="60" w:hanging="409"/>
        <w:spacing w:after="0" w:line="281"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0" w:lineRule="exact"/>
        <w:rPr>
          <w:rFonts w:ascii="Arial" w:cs="Arial" w:eastAsia="Arial" w:hAnsi="Arial"/>
          <w:sz w:val="17"/>
          <w:szCs w:val="17"/>
          <w:color w:val="auto"/>
        </w:rPr>
      </w:pPr>
    </w:p>
    <w:p>
      <w:pPr>
        <w:ind w:left="1240" w:right="80" w:hanging="409"/>
        <w:spacing w:after="0" w:line="260"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add additional Events of Default with respect to any series of debt securities; and</w:t>
      </w:r>
    </w:p>
    <w:p>
      <w:pPr>
        <w:spacing w:after="0" w:line="117" w:lineRule="exact"/>
        <w:rPr>
          <w:rFonts w:ascii="Arial" w:cs="Arial" w:eastAsia="Arial" w:hAnsi="Arial"/>
          <w:sz w:val="17"/>
          <w:szCs w:val="17"/>
          <w:color w:val="auto"/>
        </w:rPr>
      </w:pPr>
    </w:p>
    <w:p>
      <w:pPr>
        <w:ind w:left="1240" w:right="620" w:hanging="409"/>
        <w:spacing w:after="0" w:line="281"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any of its outstanding debt securities of such series in any material respect.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No Personal Liability of Directors, Officers, Employees, Stockholders and Certain Others</w:t>
      </w:r>
    </w:p>
    <w:p>
      <w:pPr>
        <w:spacing w:after="0" w:line="106" w:lineRule="exact"/>
        <w:rPr>
          <w:sz w:val="20"/>
          <w:szCs w:val="20"/>
          <w:color w:val="auto"/>
        </w:rPr>
      </w:pPr>
    </w:p>
    <w:p>
      <w:pPr>
        <w:ind w:left="320" w:right="20" w:firstLine="425"/>
        <w:spacing w:after="0" w:line="250" w:lineRule="auto"/>
        <w:rPr>
          <w:sz w:val="20"/>
          <w:szCs w:val="20"/>
          <w:color w:val="auto"/>
        </w:rPr>
      </w:pPr>
      <w:r>
        <w:rPr>
          <w:rFonts w:ascii="Arial" w:cs="Arial" w:eastAsia="Arial" w:hAnsi="Arial"/>
          <w:sz w:val="17"/>
          <w:szCs w:val="17"/>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00"/>
          </w:cols>
          <w:pgMar w:left="320" w:top="445" w:right="6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Defeasance</w:t>
      </w:r>
    </w:p>
    <w:p>
      <w:pPr>
        <w:spacing w:after="0" w:line="106" w:lineRule="exact"/>
        <w:rPr>
          <w:sz w:val="20"/>
          <w:szCs w:val="20"/>
          <w:color w:val="auto"/>
        </w:rPr>
      </w:pPr>
    </w:p>
    <w:p>
      <w:pPr>
        <w:ind w:left="320" w:right="220" w:firstLine="425"/>
        <w:spacing w:after="0" w:line="253" w:lineRule="auto"/>
        <w:rPr>
          <w:sz w:val="20"/>
          <w:szCs w:val="20"/>
          <w:color w:val="auto"/>
        </w:rPr>
      </w:pPr>
      <w:r>
        <w:rPr>
          <w:rFonts w:ascii="Arial" w:cs="Arial" w:eastAsia="Arial" w:hAnsi="Arial"/>
          <w:sz w:val="17"/>
          <w:szCs w:val="17"/>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74" w:lineRule="exact"/>
        <w:rPr>
          <w:sz w:val="20"/>
          <w:szCs w:val="20"/>
          <w:color w:val="auto"/>
        </w:rPr>
      </w:pPr>
    </w:p>
    <w:p>
      <w:pPr>
        <w:ind w:left="1240" w:right="820" w:hanging="409"/>
        <w:spacing w:after="0" w:line="281" w:lineRule="auto"/>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it will be discharged from its obligations with respect to the debt securities of such series, except as described in the paragraph immediately below (“legal defeasance”); or</w:t>
      </w:r>
    </w:p>
    <w:p>
      <w:pPr>
        <w:spacing w:after="0" w:line="50" w:lineRule="exact"/>
        <w:rPr>
          <w:rFonts w:ascii="Arial" w:cs="Arial" w:eastAsia="Arial" w:hAnsi="Arial"/>
          <w:sz w:val="17"/>
          <w:szCs w:val="17"/>
          <w:color w:val="auto"/>
        </w:rPr>
      </w:pPr>
    </w:p>
    <w:p>
      <w:pPr>
        <w:ind w:left="1240" w:right="440" w:hanging="409"/>
        <w:spacing w:after="0" w:line="281" w:lineRule="auto"/>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41" w:lineRule="exact"/>
        <w:rPr>
          <w:sz w:val="20"/>
          <w:szCs w:val="20"/>
          <w:color w:val="auto"/>
        </w:rPr>
      </w:pPr>
    </w:p>
    <w:p>
      <w:pPr>
        <w:ind w:left="320" w:firstLine="425"/>
        <w:spacing w:after="0" w:line="248" w:lineRule="auto"/>
        <w:rPr>
          <w:sz w:val="20"/>
          <w:szCs w:val="20"/>
          <w:color w:val="auto"/>
        </w:rPr>
      </w:pPr>
      <w:r>
        <w:rPr>
          <w:rFonts w:ascii="Arial" w:cs="Arial" w:eastAsia="Arial" w:hAnsi="Arial"/>
          <w:sz w:val="17"/>
          <w:szCs w:val="17"/>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69" w:lineRule="exact"/>
        <w:rPr>
          <w:sz w:val="20"/>
          <w:szCs w:val="20"/>
          <w:color w:val="auto"/>
        </w:rPr>
      </w:pPr>
    </w:p>
    <w:p>
      <w:pPr>
        <w:jc w:val="both"/>
        <w:ind w:left="320" w:right="120" w:firstLine="425"/>
        <w:spacing w:after="0" w:line="253" w:lineRule="auto"/>
        <w:rPr>
          <w:sz w:val="20"/>
          <w:szCs w:val="20"/>
          <w:color w:val="auto"/>
        </w:rPr>
      </w:pPr>
      <w:r>
        <w:rPr>
          <w:rFonts w:ascii="Arial" w:cs="Arial" w:eastAsia="Arial" w:hAnsi="Arial"/>
          <w:sz w:val="17"/>
          <w:szCs w:val="17"/>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Concerning the Trustee</w:t>
      </w:r>
    </w:p>
    <w:p>
      <w:pPr>
        <w:spacing w:after="0" w:line="106" w:lineRule="exact"/>
        <w:rPr>
          <w:sz w:val="20"/>
          <w:szCs w:val="20"/>
          <w:color w:val="auto"/>
        </w:rPr>
      </w:pPr>
    </w:p>
    <w:p>
      <w:pPr>
        <w:ind w:left="320" w:right="140" w:firstLine="425"/>
        <w:spacing w:after="0" w:line="281" w:lineRule="auto"/>
        <w:rPr>
          <w:sz w:val="20"/>
          <w:szCs w:val="20"/>
          <w:color w:val="auto"/>
        </w:rPr>
      </w:pPr>
      <w:r>
        <w:rPr>
          <w:rFonts w:ascii="Arial" w:cs="Arial" w:eastAsia="Arial" w:hAnsi="Arial"/>
          <w:sz w:val="17"/>
          <w:szCs w:val="17"/>
          <w:color w:val="auto"/>
        </w:rPr>
        <w:t>The Bank of New York Mellon is trustee under the indenture. The trustee performs services for the Guarantor and its subsidiaries in the ordinary course of business.</w:t>
      </w:r>
    </w:p>
    <w:p>
      <w:pPr>
        <w:spacing w:after="0" w:line="141" w:lineRule="exact"/>
        <w:rPr>
          <w:sz w:val="20"/>
          <w:szCs w:val="20"/>
          <w:color w:val="auto"/>
        </w:rPr>
      </w:pPr>
    </w:p>
    <w:p>
      <w:pPr>
        <w:ind w:left="320" w:right="100" w:firstLine="425"/>
        <w:spacing w:after="0" w:line="253" w:lineRule="auto"/>
        <w:rPr>
          <w:sz w:val="20"/>
          <w:szCs w:val="20"/>
          <w:color w:val="auto"/>
        </w:rPr>
      </w:pPr>
      <w:r>
        <w:rPr>
          <w:rFonts w:ascii="Arial" w:cs="Arial" w:eastAsia="Arial" w:hAnsi="Arial"/>
          <w:sz w:val="17"/>
          <w:szCs w:val="17"/>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66" w:lineRule="exact"/>
        <w:rPr>
          <w:sz w:val="20"/>
          <w:szCs w:val="20"/>
          <w:color w:val="auto"/>
        </w:rPr>
      </w:pPr>
    </w:p>
    <w:p>
      <w:pPr>
        <w:jc w:val="both"/>
        <w:ind w:left="320" w:right="120" w:firstLine="425"/>
        <w:spacing w:after="0" w:line="253" w:lineRule="auto"/>
        <w:rPr>
          <w:sz w:val="20"/>
          <w:szCs w:val="20"/>
          <w:color w:val="auto"/>
        </w:rPr>
      </w:pPr>
      <w:r>
        <w:rPr>
          <w:rFonts w:ascii="Arial" w:cs="Arial" w:eastAsia="Arial" w:hAnsi="Arial"/>
          <w:sz w:val="17"/>
          <w:szCs w:val="17"/>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Paying Agent and Registrar for the Debt Securities</w:t>
      </w:r>
    </w:p>
    <w:p>
      <w:pPr>
        <w:spacing w:after="0" w:line="106" w:lineRule="exact"/>
        <w:rPr>
          <w:sz w:val="20"/>
          <w:szCs w:val="20"/>
          <w:color w:val="auto"/>
        </w:rPr>
      </w:pPr>
    </w:p>
    <w:p>
      <w:pPr>
        <w:ind w:left="320" w:right="160" w:firstLine="425"/>
        <w:spacing w:after="0" w:line="260" w:lineRule="auto"/>
        <w:rPr>
          <w:sz w:val="20"/>
          <w:szCs w:val="20"/>
          <w:color w:val="auto"/>
        </w:rPr>
      </w:pPr>
      <w:r>
        <w:rPr>
          <w:rFonts w:ascii="Arial" w:cs="Arial" w:eastAsia="Arial" w:hAnsi="Arial"/>
          <w:sz w:val="17"/>
          <w:szCs w:val="17"/>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40"/>
          </w:cols>
          <w:pgMar w:left="320" w:top="445"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spacing w:after="0" w:line="250" w:lineRule="auto"/>
        <w:rPr>
          <w:sz w:val="20"/>
          <w:szCs w:val="20"/>
          <w:color w:val="auto"/>
        </w:rPr>
      </w:pPr>
      <w:r>
        <w:rPr>
          <w:rFonts w:ascii="Arial" w:cs="Arial" w:eastAsia="Arial" w:hAnsi="Arial"/>
          <w:sz w:val="17"/>
          <w:szCs w:val="17"/>
          <w:color w:val="auto"/>
        </w:rPr>
        <w:t>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67" w:lineRule="exact"/>
        <w:rPr>
          <w:sz w:val="20"/>
          <w:szCs w:val="20"/>
          <w:color w:val="auto"/>
        </w:rPr>
      </w:pPr>
    </w:p>
    <w:p>
      <w:pPr>
        <w:ind w:left="320" w:firstLine="425"/>
        <w:spacing w:after="0" w:line="253" w:lineRule="auto"/>
        <w:rPr>
          <w:sz w:val="20"/>
          <w:szCs w:val="20"/>
          <w:color w:val="auto"/>
        </w:rPr>
      </w:pPr>
      <w:r>
        <w:rPr>
          <w:rFonts w:ascii="Arial" w:cs="Arial" w:eastAsia="Arial" w:hAnsi="Arial"/>
          <w:sz w:val="17"/>
          <w:szCs w:val="17"/>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66"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67" w:lineRule="exact"/>
        <w:rPr>
          <w:sz w:val="20"/>
          <w:szCs w:val="20"/>
          <w:color w:val="auto"/>
        </w:rPr>
      </w:pPr>
    </w:p>
    <w:p>
      <w:pPr>
        <w:ind w:left="320" w:right="140" w:firstLine="425"/>
        <w:spacing w:after="0" w:line="281" w:lineRule="auto"/>
        <w:rPr>
          <w:sz w:val="20"/>
          <w:szCs w:val="20"/>
          <w:color w:val="auto"/>
        </w:rPr>
      </w:pPr>
      <w:r>
        <w:rPr>
          <w:rFonts w:ascii="Arial" w:cs="Arial" w:eastAsia="Arial" w:hAnsi="Arial"/>
          <w:sz w:val="17"/>
          <w:szCs w:val="17"/>
          <w:color w:val="auto"/>
        </w:rPr>
        <w:t>The Registrar will maintain a register reflecting ownership of debt securities outstanding from time to time and the Paying Agent will make payments on and facilitate transfer of debt securities on our behalf.</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may change any Paying Agents, Registrars or transfer agents without prior notice to the holders of debt securities.</w:t>
      </w:r>
    </w:p>
    <w:p>
      <w:pPr>
        <w:spacing w:after="0" w:line="3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Book-Entry, Delivery and Form</w:t>
      </w:r>
    </w:p>
    <w:p>
      <w:pPr>
        <w:spacing w:after="0" w:line="106" w:lineRule="exact"/>
        <w:rPr>
          <w:sz w:val="20"/>
          <w:szCs w:val="20"/>
          <w:color w:val="auto"/>
        </w:rPr>
      </w:pPr>
    </w:p>
    <w:p>
      <w:pPr>
        <w:ind w:left="320" w:right="280" w:firstLine="425"/>
        <w:spacing w:after="0" w:line="250"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67"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67" w:lineRule="exact"/>
        <w:rPr>
          <w:sz w:val="20"/>
          <w:szCs w:val="20"/>
          <w:color w:val="auto"/>
        </w:rPr>
      </w:pPr>
    </w:p>
    <w:p>
      <w:pPr>
        <w:ind w:left="320" w:firstLine="425"/>
        <w:spacing w:after="0" w:line="281" w:lineRule="auto"/>
        <w:rPr>
          <w:sz w:val="20"/>
          <w:szCs w:val="20"/>
          <w:color w:val="auto"/>
        </w:rPr>
      </w:pPr>
      <w:r>
        <w:rPr>
          <w:rFonts w:ascii="Arial" w:cs="Arial" w:eastAsia="Arial" w:hAnsi="Arial"/>
          <w:sz w:val="17"/>
          <w:szCs w:val="17"/>
          <w:color w:val="auto"/>
        </w:rPr>
        <w:t>Beneficial interests in the global securities will be represented through book-entry accounts of financial institutions acting on behalf of beneficial owners as direct or indirect participants in DTC.</w:t>
      </w:r>
    </w:p>
    <w:p>
      <w:pPr>
        <w:spacing w:after="0" w:line="141" w:lineRule="exact"/>
        <w:rPr>
          <w:sz w:val="20"/>
          <w:szCs w:val="20"/>
          <w:color w:val="auto"/>
        </w:rPr>
      </w:pPr>
    </w:p>
    <w:p>
      <w:pPr>
        <w:ind w:left="320" w:right="100" w:firstLine="425"/>
        <w:spacing w:after="0" w:line="253" w:lineRule="auto"/>
        <w:rPr>
          <w:sz w:val="20"/>
          <w:szCs w:val="20"/>
          <w:color w:val="auto"/>
        </w:rPr>
      </w:pPr>
      <w:r>
        <w:rPr>
          <w:rFonts w:ascii="Arial" w:cs="Arial" w:eastAsia="Arial" w:hAnsi="Arial"/>
          <w:sz w:val="17"/>
          <w:szCs w:val="17"/>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20"/>
          </w:cols>
          <w:pgMar w:left="320" w:top="445" w:right="6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20"/>
        <w:spacing w:after="0" w:line="253" w:lineRule="auto"/>
        <w:rPr>
          <w:sz w:val="20"/>
          <w:szCs w:val="20"/>
          <w:color w:val="auto"/>
        </w:rPr>
      </w:pPr>
      <w:r>
        <w:rPr>
          <w:rFonts w:ascii="Arial" w:cs="Arial" w:eastAsia="Arial" w:hAnsi="Arial"/>
          <w:sz w:val="17"/>
          <w:szCs w:val="17"/>
          <w:color w:val="auto"/>
        </w:rPr>
        <w:t>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Debt securities represented by a global security can be exchanged for definitive securities in registered form only if:</w:t>
      </w:r>
    </w:p>
    <w:p>
      <w:pPr>
        <w:spacing w:after="0" w:line="117" w:lineRule="exact"/>
        <w:rPr>
          <w:sz w:val="20"/>
          <w:szCs w:val="20"/>
          <w:color w:val="auto"/>
        </w:rPr>
      </w:pPr>
    </w:p>
    <w:p>
      <w:pPr>
        <w:ind w:left="1240" w:right="300" w:hanging="409"/>
        <w:spacing w:after="0" w:line="281"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DTC notifies us that it is unwilling or unable to continue as Debt Depository for that global security and we do not appoint a successor Debt Depository within 90 days after receiving that notice;</w:t>
      </w:r>
    </w:p>
    <w:p>
      <w:pPr>
        <w:spacing w:after="0" w:line="50" w:lineRule="exact"/>
        <w:rPr>
          <w:rFonts w:ascii="Arial" w:cs="Arial" w:eastAsia="Arial" w:hAnsi="Arial"/>
          <w:sz w:val="17"/>
          <w:szCs w:val="17"/>
          <w:color w:val="auto"/>
        </w:rPr>
      </w:pPr>
    </w:p>
    <w:p>
      <w:pPr>
        <w:ind w:left="1240" w:right="40" w:hanging="409"/>
        <w:spacing w:after="0" w:line="260"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68" w:lineRule="exact"/>
        <w:rPr>
          <w:rFonts w:ascii="Arial" w:cs="Arial" w:eastAsia="Arial" w:hAnsi="Arial"/>
          <w:sz w:val="17"/>
          <w:szCs w:val="17"/>
          <w:color w:val="auto"/>
        </w:rPr>
      </w:pPr>
    </w:p>
    <w:p>
      <w:pPr>
        <w:ind w:left="1240" w:right="140" w:hanging="409"/>
        <w:spacing w:after="0" w:line="281"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determine that that global security will be exchangeable for definitive securities in registered form and notify the trustee of such decision in writing.</w:t>
      </w:r>
    </w:p>
    <w:p>
      <w:pPr>
        <w:spacing w:after="0" w:line="141" w:lineRule="exact"/>
        <w:rPr>
          <w:sz w:val="20"/>
          <w:szCs w:val="20"/>
          <w:color w:val="auto"/>
        </w:rPr>
      </w:pPr>
    </w:p>
    <w:p>
      <w:pPr>
        <w:ind w:left="320" w:right="140" w:firstLine="425"/>
        <w:spacing w:after="0" w:line="260" w:lineRule="auto"/>
        <w:rPr>
          <w:sz w:val="20"/>
          <w:szCs w:val="20"/>
          <w:color w:val="auto"/>
        </w:rPr>
      </w:pPr>
      <w:r>
        <w:rPr>
          <w:rFonts w:ascii="Arial" w:cs="Arial" w:eastAsia="Arial" w:hAnsi="Arial"/>
          <w:sz w:val="17"/>
          <w:szCs w:val="17"/>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59" w:lineRule="exact"/>
        <w:rPr>
          <w:sz w:val="20"/>
          <w:szCs w:val="20"/>
          <w:color w:val="auto"/>
        </w:rPr>
      </w:pPr>
    </w:p>
    <w:p>
      <w:pPr>
        <w:ind w:left="320" w:right="160" w:firstLine="425"/>
        <w:spacing w:after="0" w:line="253" w:lineRule="auto"/>
        <w:rPr>
          <w:sz w:val="20"/>
          <w:szCs w:val="20"/>
          <w:color w:val="auto"/>
        </w:rPr>
      </w:pPr>
      <w:r>
        <w:rPr>
          <w:rFonts w:ascii="Arial" w:cs="Arial" w:eastAsia="Arial" w:hAnsi="Arial"/>
          <w:sz w:val="17"/>
          <w:szCs w:val="17"/>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74" w:lineRule="exact"/>
        <w:rPr>
          <w:sz w:val="20"/>
          <w:szCs w:val="20"/>
          <w:color w:val="auto"/>
        </w:rPr>
      </w:pPr>
    </w:p>
    <w:p>
      <w:pPr>
        <w:ind w:left="1240" w:right="340" w:hanging="409"/>
        <w:spacing w:after="0" w:line="281"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aspect of DTC’s records relating to, or payments made on account of, beneficial ownership interests in a debt security represented by a global security; or</w:t>
      </w:r>
    </w:p>
    <w:p>
      <w:pPr>
        <w:spacing w:after="0" w:line="50" w:lineRule="exact"/>
        <w:rPr>
          <w:rFonts w:ascii="Arial" w:cs="Arial" w:eastAsia="Arial" w:hAnsi="Arial"/>
          <w:sz w:val="17"/>
          <w:szCs w:val="17"/>
          <w:color w:val="auto"/>
        </w:rPr>
      </w:pPr>
    </w:p>
    <w:p>
      <w:pPr>
        <w:ind w:left="1240" w:right="40" w:hanging="409"/>
        <w:spacing w:after="0" w:line="260"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59" w:lineRule="exact"/>
        <w:rPr>
          <w:sz w:val="20"/>
          <w:szCs w:val="20"/>
          <w:color w:val="auto"/>
        </w:rPr>
      </w:pPr>
    </w:p>
    <w:p>
      <w:pPr>
        <w:ind w:left="320" w:firstLine="425"/>
        <w:spacing w:after="0" w:line="246"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DTC</w:t>
      </w:r>
    </w:p>
    <w:p>
      <w:pPr>
        <w:spacing w:after="0" w:line="104" w:lineRule="exact"/>
        <w:rPr>
          <w:sz w:val="20"/>
          <w:szCs w:val="20"/>
          <w:color w:val="auto"/>
        </w:rPr>
      </w:pPr>
    </w:p>
    <w:p>
      <w:pPr>
        <w:ind w:left="320" w:right="780" w:firstLine="425"/>
        <w:spacing w:after="0" w:line="281"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w:t>
      </w:r>
    </w:p>
    <w:p>
      <w:pPr>
        <w:spacing w:after="0" w:line="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40"/>
          </w:cols>
          <w:pgMar w:left="320" w:top="445"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spacing w:after="0" w:line="245" w:lineRule="auto"/>
        <w:rPr>
          <w:sz w:val="20"/>
          <w:szCs w:val="20"/>
          <w:color w:val="auto"/>
        </w:rPr>
      </w:pPr>
      <w:r>
        <w:rPr>
          <w:rFonts w:ascii="Arial" w:cs="Arial" w:eastAsia="Arial" w:hAnsi="Arial"/>
          <w:sz w:val="17"/>
          <w:szCs w:val="17"/>
          <w:color w:val="auto"/>
        </w:rPr>
        <w:t>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71" w:lineRule="exact"/>
        <w:rPr>
          <w:sz w:val="20"/>
          <w:szCs w:val="20"/>
          <w:color w:val="auto"/>
        </w:rPr>
      </w:pPr>
    </w:p>
    <w:p>
      <w:pPr>
        <w:ind w:left="320" w:right="80" w:firstLine="425"/>
        <w:spacing w:after="0" w:line="250"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371" w:lineRule="exact"/>
        <w:rPr>
          <w:sz w:val="20"/>
          <w:szCs w:val="20"/>
          <w:color w:val="auto"/>
        </w:rPr>
      </w:pPr>
    </w:p>
    <w:p>
      <w:pPr>
        <w:ind w:left="320" w:right="180" w:firstLine="425"/>
        <w:spacing w:after="0" w:line="253" w:lineRule="auto"/>
        <w:rPr>
          <w:sz w:val="20"/>
          <w:szCs w:val="20"/>
          <w:color w:val="auto"/>
        </w:rPr>
      </w:pPr>
      <w:r>
        <w:rPr>
          <w:rFonts w:ascii="Arial" w:cs="Arial" w:eastAsia="Arial" w:hAnsi="Arial"/>
          <w:sz w:val="17"/>
          <w:szCs w:val="17"/>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66" w:lineRule="exact"/>
        <w:rPr>
          <w:sz w:val="20"/>
          <w:szCs w:val="20"/>
          <w:color w:val="auto"/>
        </w:rPr>
      </w:pPr>
    </w:p>
    <w:p>
      <w:pPr>
        <w:jc w:val="both"/>
        <w:ind w:left="320" w:right="60" w:firstLine="425"/>
        <w:spacing w:after="0" w:line="260"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9" w:lineRule="exact"/>
        <w:rPr>
          <w:sz w:val="20"/>
          <w:szCs w:val="20"/>
          <w:color w:val="auto"/>
        </w:rPr>
      </w:pPr>
    </w:p>
    <w:p>
      <w:pPr>
        <w:ind w:left="320" w:right="80" w:firstLine="425"/>
        <w:spacing w:after="0" w:line="245" w:lineRule="auto"/>
        <w:rPr>
          <w:sz w:val="20"/>
          <w:szCs w:val="20"/>
          <w:color w:val="auto"/>
        </w:rPr>
      </w:pPr>
      <w:r>
        <w:rPr>
          <w:rFonts w:ascii="Arial" w:cs="Arial" w:eastAsia="Arial" w:hAnsi="Arial"/>
          <w:sz w:val="17"/>
          <w:szCs w:val="17"/>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71" w:lineRule="exact"/>
        <w:rPr>
          <w:sz w:val="20"/>
          <w:szCs w:val="20"/>
          <w:color w:val="auto"/>
        </w:rPr>
      </w:pPr>
    </w:p>
    <w:p>
      <w:pPr>
        <w:ind w:left="320" w:right="60" w:firstLine="425"/>
        <w:spacing w:after="0" w:line="281" w:lineRule="auto"/>
        <w:rPr>
          <w:sz w:val="20"/>
          <w:szCs w:val="20"/>
          <w:color w:val="auto"/>
        </w:rPr>
      </w:pPr>
      <w:r>
        <w:rPr>
          <w:rFonts w:ascii="Arial" w:cs="Arial" w:eastAsia="Arial" w:hAnsi="Arial"/>
          <w:sz w:val="17"/>
          <w:szCs w:val="17"/>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Clearstream</w:t>
      </w:r>
    </w:p>
    <w:p>
      <w:pPr>
        <w:spacing w:after="0" w:line="104" w:lineRule="exact"/>
        <w:rPr>
          <w:sz w:val="20"/>
          <w:szCs w:val="20"/>
          <w:color w:val="auto"/>
        </w:rPr>
      </w:pPr>
    </w:p>
    <w:p>
      <w:pPr>
        <w:ind w:left="320" w:right="260" w:firstLine="425"/>
        <w:spacing w:after="0" w:line="281"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w:t>
      </w:r>
    </w:p>
    <w:p>
      <w:pPr>
        <w:spacing w:after="0" w:line="7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00"/>
          </w:cols>
          <w:pgMar w:left="320" w:top="445" w:right="6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spacing w:after="0" w:line="244" w:lineRule="auto"/>
        <w:rPr>
          <w:sz w:val="20"/>
          <w:szCs w:val="20"/>
          <w:color w:val="auto"/>
        </w:rPr>
      </w:pPr>
      <w:r>
        <w:rPr>
          <w:rFonts w:ascii="Arial" w:cs="Arial" w:eastAsia="Arial" w:hAnsi="Arial"/>
          <w:sz w:val="17"/>
          <w:szCs w:val="17"/>
          <w:color w:val="auto"/>
        </w:rPr>
        <w:t>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75" w:lineRule="exact"/>
        <w:rPr>
          <w:sz w:val="20"/>
          <w:szCs w:val="20"/>
          <w:color w:val="auto"/>
        </w:rPr>
      </w:pPr>
    </w:p>
    <w:p>
      <w:pPr>
        <w:ind w:left="320" w:right="220" w:firstLine="425"/>
        <w:spacing w:after="0" w:line="281" w:lineRule="auto"/>
        <w:rPr>
          <w:sz w:val="20"/>
          <w:szCs w:val="20"/>
          <w:color w:val="auto"/>
        </w:rPr>
      </w:pPr>
      <w:r>
        <w:rPr>
          <w:rFonts w:ascii="Arial" w:cs="Arial" w:eastAsia="Arial" w:hAnsi="Arial"/>
          <w:sz w:val="17"/>
          <w:szCs w:val="17"/>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Euroclear</w:t>
      </w:r>
    </w:p>
    <w:p>
      <w:pPr>
        <w:spacing w:after="0" w:line="104" w:lineRule="exact"/>
        <w:rPr>
          <w:sz w:val="20"/>
          <w:szCs w:val="20"/>
          <w:color w:val="auto"/>
        </w:rPr>
      </w:pPr>
    </w:p>
    <w:p>
      <w:pPr>
        <w:ind w:left="320" w:firstLine="425"/>
        <w:spacing w:after="0" w:line="243" w:lineRule="auto"/>
        <w:rPr>
          <w:sz w:val="20"/>
          <w:szCs w:val="20"/>
          <w:color w:val="auto"/>
        </w:rPr>
      </w:pPr>
      <w:r>
        <w:rPr>
          <w:rFonts w:ascii="Arial" w:cs="Arial" w:eastAsia="Arial" w:hAnsi="Arial"/>
          <w:sz w:val="17"/>
          <w:szCs w:val="17"/>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0" w:lineRule="exact"/>
        <w:rPr>
          <w:sz w:val="20"/>
          <w:szCs w:val="20"/>
          <w:color w:val="auto"/>
        </w:rPr>
      </w:pPr>
    </w:p>
    <w:p>
      <w:pPr>
        <w:ind w:left="320" w:right="480" w:firstLine="425"/>
        <w:spacing w:after="0" w:line="281" w:lineRule="auto"/>
        <w:rPr>
          <w:sz w:val="20"/>
          <w:szCs w:val="20"/>
          <w:color w:val="auto"/>
        </w:rPr>
      </w:pPr>
      <w:r>
        <w:rPr>
          <w:rFonts w:ascii="Arial" w:cs="Arial" w:eastAsia="Arial" w:hAnsi="Arial"/>
          <w:sz w:val="17"/>
          <w:szCs w:val="17"/>
          <w:color w:val="auto"/>
        </w:rPr>
        <w:t>The Euroclear Operator advises us that it is regulated and examined by the Belgian banking and Finance Commission and the National Bank of Belgium.</w:t>
      </w:r>
    </w:p>
    <w:p>
      <w:pPr>
        <w:spacing w:after="0" w:line="141" w:lineRule="exact"/>
        <w:rPr>
          <w:sz w:val="20"/>
          <w:szCs w:val="20"/>
          <w:color w:val="auto"/>
        </w:rPr>
      </w:pPr>
    </w:p>
    <w:p>
      <w:pPr>
        <w:ind w:left="320" w:right="20" w:firstLine="425"/>
        <w:spacing w:after="0" w:line="248"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69" w:lineRule="exact"/>
        <w:rPr>
          <w:sz w:val="20"/>
          <w:szCs w:val="20"/>
          <w:color w:val="auto"/>
        </w:rPr>
      </w:pPr>
    </w:p>
    <w:p>
      <w:pPr>
        <w:ind w:left="320" w:right="340" w:firstLine="425"/>
        <w:spacing w:after="0" w:line="281" w:lineRule="auto"/>
        <w:rPr>
          <w:sz w:val="20"/>
          <w:szCs w:val="20"/>
          <w:color w:val="auto"/>
        </w:rPr>
      </w:pPr>
      <w:r>
        <w:rPr>
          <w:rFonts w:ascii="Arial" w:cs="Arial" w:eastAsia="Arial" w:hAnsi="Arial"/>
          <w:sz w:val="17"/>
          <w:szCs w:val="17"/>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7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900"/>
          </w:cols>
          <w:pgMar w:left="320" w:top="445" w:right="6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right="160" w:firstLine="425"/>
        <w:spacing w:after="0" w:line="253" w:lineRule="auto"/>
        <w:rPr>
          <w:sz w:val="20"/>
          <w:szCs w:val="20"/>
          <w:color w:val="auto"/>
        </w:rPr>
      </w:pPr>
      <w:r>
        <w:rPr>
          <w:rFonts w:ascii="Arial" w:cs="Arial" w:eastAsia="Arial" w:hAnsi="Arial"/>
          <w:sz w:val="17"/>
          <w:szCs w:val="17"/>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Global Clearance and Settlement Procedures</w:t>
      </w:r>
    </w:p>
    <w:p>
      <w:pPr>
        <w:spacing w:after="0" w:line="106" w:lineRule="exact"/>
        <w:rPr>
          <w:sz w:val="20"/>
          <w:szCs w:val="20"/>
          <w:color w:val="auto"/>
        </w:rPr>
      </w:pPr>
    </w:p>
    <w:p>
      <w:pPr>
        <w:ind w:left="320" w:right="360" w:firstLine="425"/>
        <w:spacing w:after="0" w:line="250" w:lineRule="auto"/>
        <w:rPr>
          <w:sz w:val="20"/>
          <w:szCs w:val="20"/>
          <w:color w:val="auto"/>
        </w:rPr>
      </w:pPr>
      <w:r>
        <w:rPr>
          <w:rFonts w:ascii="Arial" w:cs="Arial" w:eastAsia="Arial" w:hAnsi="Arial"/>
          <w:sz w:val="17"/>
          <w:szCs w:val="17"/>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 -Day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67" w:lineRule="exact"/>
        <w:rPr>
          <w:sz w:val="20"/>
          <w:szCs w:val="20"/>
          <w:color w:val="auto"/>
        </w:rPr>
      </w:pPr>
    </w:p>
    <w:p>
      <w:pPr>
        <w:ind w:left="320" w:right="40" w:firstLine="425"/>
        <w:spacing w:after="0" w:line="245"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1" w:lineRule="exact"/>
        <w:rPr>
          <w:sz w:val="20"/>
          <w:szCs w:val="20"/>
          <w:color w:val="auto"/>
        </w:rPr>
      </w:pPr>
    </w:p>
    <w:p>
      <w:pPr>
        <w:ind w:left="320" w:firstLine="425"/>
        <w:spacing w:after="0" w:line="246"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3" w:lineRule="exact"/>
        <w:rPr>
          <w:sz w:val="20"/>
          <w:szCs w:val="20"/>
          <w:color w:val="auto"/>
        </w:rPr>
      </w:pPr>
    </w:p>
    <w:p>
      <w:pPr>
        <w:ind w:left="320" w:right="20" w:firstLine="425"/>
        <w:spacing w:after="0" w:line="245" w:lineRule="auto"/>
        <w:rPr>
          <w:sz w:val="20"/>
          <w:szCs w:val="20"/>
          <w:color w:val="auto"/>
        </w:rPr>
      </w:pPr>
      <w:r>
        <w:rPr>
          <w:rFonts w:ascii="Arial" w:cs="Arial" w:eastAsia="Arial" w:hAnsi="Arial"/>
          <w:sz w:val="17"/>
          <w:szCs w:val="17"/>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20"/>
          </w:cols>
          <w:pgMar w:left="320" w:top="445" w:right="6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2"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780"/>
          </w:cols>
          <w:pgMar w:left="320" w:top="445" w:right="7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Plan of Distribution</w:t>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may sell the securities offered pursuant to this prospectus in any of the following ways:</w:t>
      </w:r>
    </w:p>
    <w:p>
      <w:pPr>
        <w:spacing w:after="0" w:line="117" w:lineRule="exact"/>
        <w:rPr>
          <w:sz w:val="20"/>
          <w:szCs w:val="20"/>
          <w:color w:val="auto"/>
        </w:rPr>
      </w:pPr>
    </w:p>
    <w:p>
      <w:pPr>
        <w:ind w:left="1240" w:hanging="409"/>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directly to one or more purchasers;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through agents;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through underwriters, brokers or dealers;</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through a combination of any of these methods of sale; or</w:t>
      </w:r>
    </w:p>
    <w:p>
      <w:pPr>
        <w:spacing w:after="0" w:line="117" w:lineRule="exact"/>
        <w:rPr>
          <w:rFonts w:ascii="Arial" w:cs="Arial" w:eastAsia="Arial" w:hAnsi="Arial"/>
          <w:sz w:val="17"/>
          <w:szCs w:val="17"/>
          <w:color w:val="auto"/>
        </w:rPr>
      </w:pPr>
    </w:p>
    <w:p>
      <w:pPr>
        <w:ind w:left="1240" w:hanging="409"/>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through any other methods described in a prospectus supplement.</w:t>
      </w:r>
    </w:p>
    <w:p>
      <w:pPr>
        <w:spacing w:after="0" w:line="208" w:lineRule="exact"/>
        <w:rPr>
          <w:sz w:val="20"/>
          <w:szCs w:val="20"/>
          <w:color w:val="auto"/>
        </w:rPr>
      </w:pPr>
    </w:p>
    <w:p>
      <w:pPr>
        <w:ind w:left="320" w:right="160" w:firstLine="425"/>
        <w:spacing w:after="0" w:line="281" w:lineRule="auto"/>
        <w:rPr>
          <w:sz w:val="20"/>
          <w:szCs w:val="20"/>
          <w:color w:val="auto"/>
        </w:rPr>
      </w:pPr>
      <w:r>
        <w:rPr>
          <w:rFonts w:ascii="Arial" w:cs="Arial" w:eastAsia="Arial" w:hAnsi="Arial"/>
          <w:sz w:val="17"/>
          <w:szCs w:val="17"/>
          <w:color w:val="auto"/>
        </w:rPr>
        <w:t>We will identify the specific plan of distribution, including any underwriters, brokers, dealers, agents or direct purchasers and their compensation in a prospectus supplement.</w:t>
      </w:r>
    </w:p>
    <w:p>
      <w:pPr>
        <w:spacing w:after="0" w:line="141"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00"/>
          </w:cols>
          <w:pgMar w:left="320" w:top="445" w:right="7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0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Validity of the Securities</w:t>
      </w:r>
    </w:p>
    <w:p>
      <w:pPr>
        <w:spacing w:after="0" w:line="210" w:lineRule="exact"/>
        <w:rPr>
          <w:sz w:val="20"/>
          <w:szCs w:val="20"/>
          <w:color w:val="auto"/>
        </w:rPr>
      </w:pPr>
    </w:p>
    <w:p>
      <w:pPr>
        <w:ind w:left="320" w:right="40" w:firstLine="425"/>
        <w:spacing w:after="0" w:line="253" w:lineRule="auto"/>
        <w:rPr>
          <w:sz w:val="20"/>
          <w:szCs w:val="20"/>
          <w:color w:val="auto"/>
        </w:rPr>
      </w:pPr>
      <w:r>
        <w:rPr>
          <w:rFonts w:ascii="Arial" w:cs="Arial" w:eastAsia="Arial" w:hAnsi="Arial"/>
          <w:sz w:val="17"/>
          <w:szCs w:val="17"/>
          <w:color w:val="auto"/>
        </w:rPr>
        <w:t>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w:t>
      </w:r>
    </w:p>
    <w:p>
      <w:pPr>
        <w:spacing w:after="0" w:line="37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Experts</w:t>
      </w:r>
    </w:p>
    <w:p>
      <w:pPr>
        <w:spacing w:after="0" w:line="210" w:lineRule="exact"/>
        <w:rPr>
          <w:sz w:val="20"/>
          <w:szCs w:val="20"/>
          <w:color w:val="auto"/>
        </w:rPr>
      </w:pPr>
    </w:p>
    <w:p>
      <w:pPr>
        <w:ind w:left="320" w:firstLine="425"/>
        <w:spacing w:after="0" w:line="250"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80"/>
          </w:cols>
          <w:pgMar w:left="320" w:top="445" w:right="7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235585</wp:posOffset>
            </wp:positionV>
            <wp:extent cx="674814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6748145" cy="16510"/>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285115</wp:posOffset>
            </wp:positionV>
            <wp:extent cx="6748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60"/>
        <w:spacing w:after="0"/>
        <w:rPr>
          <w:sz w:val="20"/>
          <w:szCs w:val="20"/>
          <w:color w:val="auto"/>
        </w:rPr>
      </w:pPr>
      <w:r>
        <w:rPr>
          <w:rFonts w:ascii="Arial" w:cs="Arial" w:eastAsia="Arial" w:hAnsi="Arial"/>
          <w:sz w:val="38"/>
          <w:szCs w:val="38"/>
          <w:b w:val="1"/>
          <w:bCs w:val="1"/>
          <w:color w:val="auto"/>
        </w:rPr>
        <w:t>Schlumberger Investment S.A.</w:t>
      </w:r>
    </w:p>
    <w:p>
      <w:pPr>
        <w:spacing w:after="0" w:line="200" w:lineRule="exact"/>
        <w:rPr>
          <w:sz w:val="20"/>
          <w:szCs w:val="20"/>
          <w:color w:val="auto"/>
        </w:rPr>
      </w:pPr>
    </w:p>
    <w:p>
      <w:pPr>
        <w:spacing w:after="0" w:line="225" w:lineRule="exact"/>
        <w:rPr>
          <w:sz w:val="20"/>
          <w:szCs w:val="20"/>
          <w:color w:val="auto"/>
        </w:rPr>
      </w:pPr>
    </w:p>
    <w:p>
      <w:pPr>
        <w:ind w:left="2740"/>
        <w:spacing w:after="0"/>
        <w:rPr>
          <w:sz w:val="20"/>
          <w:szCs w:val="20"/>
          <w:color w:val="auto"/>
        </w:rPr>
      </w:pPr>
      <w:r>
        <w:rPr>
          <w:rFonts w:ascii="Arial" w:cs="Arial" w:eastAsia="Arial" w:hAnsi="Arial"/>
          <w:sz w:val="27"/>
          <w:szCs w:val="27"/>
          <w:b w:val="1"/>
          <w:bCs w:val="1"/>
          <w:color w:val="auto"/>
        </w:rPr>
        <w:t>$500,000,000 5.000% Senior Notes due 2034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Fully and unconditionally guaranteed by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1998980</wp:posOffset>
            </wp:positionV>
            <wp:extent cx="14141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915670</wp:posOffset>
            </wp:positionV>
            <wp:extent cx="1182370" cy="711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18237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PROSPECTUS SUPPLEMENT</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384175</wp:posOffset>
            </wp:positionV>
            <wp:extent cx="14141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220"/>
        <w:spacing w:after="0"/>
        <w:rPr>
          <w:sz w:val="20"/>
          <w:szCs w:val="20"/>
          <w:color w:val="auto"/>
        </w:rPr>
      </w:pPr>
      <w:r>
        <w:rPr>
          <w:rFonts w:ascii="Arial" w:cs="Arial" w:eastAsia="Arial" w:hAnsi="Arial"/>
          <w:sz w:val="21"/>
          <w:szCs w:val="21"/>
          <w:i w:val="1"/>
          <w:iCs w:val="1"/>
          <w:color w:val="auto"/>
        </w:rPr>
        <w:t>Joint Book-Running Managers</w:t>
      </w:r>
    </w:p>
    <w:p>
      <w:pPr>
        <w:spacing w:after="0" w:line="95"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Citigroup</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HSBC</w:t>
      </w:r>
    </w:p>
    <w:p>
      <w:pPr>
        <w:jc w:val="center"/>
        <w:ind w:right="-1120"/>
        <w:spacing w:after="0" w:line="232" w:lineRule="auto"/>
        <w:rPr>
          <w:sz w:val="20"/>
          <w:szCs w:val="20"/>
          <w:color w:val="auto"/>
        </w:rPr>
      </w:pPr>
      <w:r>
        <w:rPr>
          <w:rFonts w:ascii="Arial" w:cs="Arial" w:eastAsia="Arial" w:hAnsi="Arial"/>
          <w:sz w:val="21"/>
          <w:szCs w:val="21"/>
          <w:b w:val="1"/>
          <w:bCs w:val="1"/>
          <w:color w:val="auto"/>
        </w:rPr>
        <w:t>J.P. Morgan</w:t>
      </w:r>
    </w:p>
    <w:p>
      <w:pPr>
        <w:jc w:val="center"/>
        <w:ind w:right="-1120"/>
        <w:spacing w:after="0" w:line="233" w:lineRule="auto"/>
        <w:rPr>
          <w:sz w:val="20"/>
          <w:szCs w:val="20"/>
          <w:color w:val="auto"/>
        </w:rPr>
      </w:pPr>
      <w:r>
        <w:rPr>
          <w:rFonts w:ascii="Arial" w:cs="Arial" w:eastAsia="Arial" w:hAnsi="Arial"/>
          <w:sz w:val="21"/>
          <w:szCs w:val="21"/>
          <w:b w:val="1"/>
          <w:bCs w:val="1"/>
          <w:color w:val="auto"/>
        </w:rPr>
        <w:t>BBVA</w:t>
      </w:r>
    </w:p>
    <w:p>
      <w:pPr>
        <w:jc w:val="center"/>
        <w:ind w:right="-1120"/>
        <w:spacing w:after="0" w:line="233" w:lineRule="auto"/>
        <w:rPr>
          <w:sz w:val="20"/>
          <w:szCs w:val="20"/>
          <w:color w:val="auto"/>
        </w:rPr>
      </w:pPr>
      <w:r>
        <w:rPr>
          <w:rFonts w:ascii="Arial" w:cs="Arial" w:eastAsia="Arial" w:hAnsi="Arial"/>
          <w:sz w:val="21"/>
          <w:szCs w:val="21"/>
          <w:b w:val="1"/>
          <w:bCs w:val="1"/>
          <w:color w:val="auto"/>
        </w:rPr>
        <w:t>Goldman Sachs &amp; Co. LLC</w:t>
      </w:r>
    </w:p>
    <w:p>
      <w:pPr>
        <w:jc w:val="center"/>
        <w:ind w:right="-1120"/>
        <w:spacing w:after="0" w:line="233" w:lineRule="auto"/>
        <w:rPr>
          <w:sz w:val="20"/>
          <w:szCs w:val="20"/>
          <w:color w:val="auto"/>
        </w:rPr>
      </w:pPr>
      <w:r>
        <w:rPr>
          <w:rFonts w:ascii="Arial" w:cs="Arial" w:eastAsia="Arial" w:hAnsi="Arial"/>
          <w:sz w:val="21"/>
          <w:szCs w:val="21"/>
          <w:b w:val="1"/>
          <w:bCs w:val="1"/>
          <w:color w:val="auto"/>
        </w:rPr>
        <w:t>Morgan Stanley</w:t>
      </w:r>
    </w:p>
    <w:p>
      <w:pPr>
        <w:jc w:val="center"/>
        <w:ind w:right="-1120"/>
        <w:spacing w:after="0" w:line="233" w:lineRule="auto"/>
        <w:rPr>
          <w:sz w:val="20"/>
          <w:szCs w:val="20"/>
          <w:color w:val="auto"/>
        </w:rPr>
      </w:pPr>
      <w:r>
        <w:rPr>
          <w:rFonts w:ascii="Arial" w:cs="Arial" w:eastAsia="Arial" w:hAnsi="Arial"/>
          <w:sz w:val="21"/>
          <w:szCs w:val="21"/>
          <w:b w:val="1"/>
          <w:bCs w:val="1"/>
          <w:color w:val="auto"/>
        </w:rPr>
        <w:t>SOCIETE GENERALE</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Standard Chartered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214630</wp:posOffset>
            </wp:positionV>
            <wp:extent cx="1414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100"/>
        <w:spacing w:after="0"/>
        <w:rPr>
          <w:sz w:val="20"/>
          <w:szCs w:val="20"/>
          <w:color w:val="auto"/>
        </w:rPr>
      </w:pPr>
      <w:r>
        <w:rPr>
          <w:rFonts w:ascii="Arial" w:cs="Arial" w:eastAsia="Arial" w:hAnsi="Arial"/>
          <w:sz w:val="17"/>
          <w:szCs w:val="17"/>
          <w:i w:val="1"/>
          <w:iCs w:val="1"/>
          <w:color w:val="auto"/>
        </w:rPr>
        <w:t>Co-Managers</w:t>
      </w:r>
    </w:p>
    <w:p>
      <w:pPr>
        <w:spacing w:after="0" w:line="102"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BNP PARIBAS</w:t>
      </w:r>
    </w:p>
    <w:p>
      <w:pPr>
        <w:spacing w:after="0" w:line="1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BofA Securities</w:t>
      </w:r>
    </w:p>
    <w:p>
      <w:pPr>
        <w:jc w:val="center"/>
        <w:ind w:right="-1120"/>
        <w:spacing w:after="0"/>
        <w:rPr>
          <w:sz w:val="20"/>
          <w:szCs w:val="20"/>
          <w:color w:val="auto"/>
        </w:rPr>
      </w:pPr>
      <w:r>
        <w:rPr>
          <w:rFonts w:ascii="Arial" w:cs="Arial" w:eastAsia="Arial" w:hAnsi="Arial"/>
          <w:sz w:val="17"/>
          <w:szCs w:val="17"/>
          <w:b w:val="1"/>
          <w:bCs w:val="1"/>
          <w:color w:val="auto"/>
        </w:rPr>
        <w:t>Deutsche Bank Securities</w:t>
      </w:r>
    </w:p>
    <w:p>
      <w:pPr>
        <w:jc w:val="center"/>
        <w:ind w:right="-1120"/>
        <w:spacing w:after="0"/>
        <w:rPr>
          <w:sz w:val="20"/>
          <w:szCs w:val="20"/>
          <w:color w:val="auto"/>
        </w:rPr>
      </w:pPr>
      <w:r>
        <w:rPr>
          <w:rFonts w:ascii="Arial" w:cs="Arial" w:eastAsia="Arial" w:hAnsi="Arial"/>
          <w:sz w:val="17"/>
          <w:szCs w:val="17"/>
          <w:b w:val="1"/>
          <w:bCs w:val="1"/>
          <w:color w:val="auto"/>
        </w:rPr>
        <w:t>MUFG</w:t>
      </w:r>
    </w:p>
    <w:p>
      <w:pPr>
        <w:jc w:val="center"/>
        <w:ind w:right="-1120"/>
        <w:spacing w:after="0"/>
        <w:rPr>
          <w:sz w:val="20"/>
          <w:szCs w:val="20"/>
          <w:color w:val="auto"/>
        </w:rPr>
      </w:pPr>
      <w:r>
        <w:rPr>
          <w:rFonts w:ascii="Arial" w:cs="Arial" w:eastAsia="Arial" w:hAnsi="Arial"/>
          <w:sz w:val="17"/>
          <w:szCs w:val="17"/>
          <w:b w:val="1"/>
          <w:bCs w:val="1"/>
          <w:color w:val="auto"/>
        </w:rPr>
        <w:t>UniCredit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621030</wp:posOffset>
            </wp:positionV>
            <wp:extent cx="67481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6748145" cy="825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678815</wp:posOffset>
            </wp:positionV>
            <wp:extent cx="674814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6748145" cy="1651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type w:val="continuous"/>
        </w:sectPr>
      </w:pPr>
    </w:p>
    <w:bookmarkStart w:id="80" w:name="page81"/>
    <w:bookmarkEnd w:id="80"/>
    <w:p>
      <w:pPr>
        <w:ind w:left="4360"/>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424(b)(5)</w:t>
      </w:r>
    </w:p>
    <w:p>
      <w:pPr>
        <w:jc w:val="center"/>
        <w:ind w:right="420"/>
        <w:spacing w:after="0"/>
        <w:rPr>
          <w:sz w:val="20"/>
          <w:szCs w:val="20"/>
          <w:color w:val="auto"/>
        </w:rPr>
      </w:pPr>
      <w:r>
        <w:rPr>
          <w:rFonts w:ascii="Times New Roman" w:cs="Times New Roman" w:eastAsia="Times New Roman" w:hAnsi="Times New Roman"/>
          <w:sz w:val="14"/>
          <w:szCs w:val="14"/>
          <w:color w:val="auto"/>
        </w:rPr>
        <w:t>(Form Type)</w:t>
      </w:r>
    </w:p>
    <w:p>
      <w:pPr>
        <w:spacing w:after="0" w:line="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b w:val="1"/>
          <w:bCs w:val="1"/>
          <w:color w:val="auto"/>
        </w:rPr>
        <w:t>SCHLUMBERGER N.V.</w:t>
      </w:r>
    </w:p>
    <w:p>
      <w:pPr>
        <w:spacing w:after="0" w:line="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b w:val="1"/>
          <w:bCs w:val="1"/>
          <w:color w:val="auto"/>
        </w:rPr>
        <w:t>(SCHLUMBERGER LIMITED)</w:t>
      </w:r>
    </w:p>
    <w:p>
      <w:pPr>
        <w:jc w:val="center"/>
        <w:ind w:right="420"/>
        <w:spacing w:after="0" w:line="229" w:lineRule="auto"/>
        <w:rPr>
          <w:sz w:val="20"/>
          <w:szCs w:val="20"/>
          <w:color w:val="auto"/>
        </w:rPr>
      </w:pPr>
      <w:r>
        <w:rPr>
          <w:rFonts w:ascii="Times New Roman" w:cs="Times New Roman" w:eastAsia="Times New Roman" w:hAnsi="Times New Roman"/>
          <w:sz w:val="21"/>
          <w:szCs w:val="21"/>
          <w:b w:val="1"/>
          <w:bCs w:val="1"/>
          <w:color w:val="auto"/>
        </w:rPr>
        <w:t>SCHLUMBERGER INVESTMENT SA</w:t>
      </w:r>
    </w:p>
    <w:p>
      <w:pPr>
        <w:jc w:val="center"/>
        <w:ind w:right="420"/>
        <w:spacing w:after="0" w:line="214" w:lineRule="auto"/>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Table 1: Newly Registered and Carry Forward Securities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36"/>
        </w:trPr>
        <w:tc>
          <w:tcPr>
            <w:tcW w:w="920" w:type="dxa"/>
            <w:vAlign w:val="bottom"/>
            <w:tcBorders>
              <w:top w:val="single" w:sz="8" w:color="auto"/>
              <w:left w:val="single" w:sz="8" w:color="auto"/>
              <w:right w:val="single" w:sz="8" w:color="auto"/>
            </w:tcBorders>
          </w:tcPr>
          <w:p>
            <w:pPr>
              <w:spacing w:after="0"/>
              <w:rPr>
                <w:sz w:val="11"/>
                <w:szCs w:val="11"/>
                <w:color w:val="auto"/>
              </w:rPr>
            </w:pPr>
          </w:p>
        </w:tc>
        <w:tc>
          <w:tcPr>
            <w:tcW w:w="500" w:type="dxa"/>
            <w:vAlign w:val="bottom"/>
            <w:tcBorders>
              <w:top w:val="single" w:sz="8" w:color="auto"/>
              <w:right w:val="single" w:sz="8" w:color="auto"/>
            </w:tcBorders>
          </w:tcPr>
          <w:p>
            <w:pPr>
              <w:spacing w:after="0"/>
              <w:rPr>
                <w:sz w:val="11"/>
                <w:szCs w:val="11"/>
                <w:color w:val="auto"/>
              </w:rPr>
            </w:pPr>
          </w:p>
        </w:tc>
        <w:tc>
          <w:tcPr>
            <w:tcW w:w="2120" w:type="dxa"/>
            <w:vAlign w:val="bottom"/>
            <w:tcBorders>
              <w:top w:val="single" w:sz="8" w:color="auto"/>
              <w:right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right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Filing F</w:t>
            </w: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Previou</w:t>
            </w: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Paid I</w:t>
            </w: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Connect</w:t>
            </w: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10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with</w:t>
            </w:r>
          </w:p>
        </w:tc>
        <w:tc>
          <w:tcPr>
            <w:tcW w:w="0" w:type="dxa"/>
            <w:vAlign w:val="bottom"/>
          </w:tcPr>
          <w:p>
            <w:pPr>
              <w:spacing w:after="0"/>
              <w:rPr>
                <w:sz w:val="1"/>
                <w:szCs w:val="1"/>
                <w:color w:val="auto"/>
              </w:rPr>
            </w:pPr>
          </w:p>
        </w:tc>
      </w:tr>
      <w:tr>
        <w:trPr>
          <w:trHeight w:val="124"/>
        </w:trPr>
        <w:tc>
          <w:tcPr>
            <w:tcW w:w="920" w:type="dxa"/>
            <w:vAlign w:val="bottom"/>
            <w:tcBorders>
              <w:left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gridSpan w:val="2"/>
            <w:vMerge w:val="continue"/>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Proposed</w:t>
            </w:r>
          </w:p>
        </w:tc>
        <w:tc>
          <w:tcPr>
            <w:tcW w:w="2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Carry</w:t>
            </w:r>
          </w:p>
        </w:tc>
        <w:tc>
          <w:tcPr>
            <w:tcW w:w="4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Unsol</w:t>
            </w: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10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040" w:type="dxa"/>
            <w:vAlign w:val="bottom"/>
            <w:tcBorders>
              <w:right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Maximum</w:t>
            </w: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5"/>
              </w:rPr>
              <w:t>Carry</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Carry</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Forward</w:t>
            </w: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Securiti</w:t>
            </w: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Security</w:t>
            </w:r>
          </w:p>
        </w:tc>
        <w:tc>
          <w:tcPr>
            <w:tcW w:w="900" w:type="dxa"/>
            <w:vAlign w:val="bottom"/>
            <w:tcBorders>
              <w:right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or Carry</w:t>
            </w:r>
          </w:p>
        </w:tc>
        <w:tc>
          <w:tcPr>
            <w:tcW w:w="10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Offering</w:t>
            </w:r>
          </w:p>
        </w:tc>
        <w:tc>
          <w:tcPr>
            <w:tcW w:w="260" w:type="dxa"/>
            <w:vAlign w:val="bottom"/>
          </w:tcPr>
          <w:p>
            <w:pPr>
              <w:spacing w:after="0"/>
              <w:rPr>
                <w:sz w:val="11"/>
                <w:szCs w:val="11"/>
                <w:color w:val="auto"/>
              </w:rPr>
            </w:pPr>
          </w:p>
        </w:tc>
        <w:tc>
          <w:tcPr>
            <w:tcW w:w="780" w:type="dxa"/>
            <w:vAlign w:val="bottom"/>
            <w:tcBorders>
              <w:right w:val="single" w:sz="8" w:color="auto"/>
            </w:tcBorders>
          </w:tcPr>
          <w:p>
            <w:pPr>
              <w:jc w:val="center"/>
              <w:ind w:right="166"/>
              <w:spacing w:after="0" w:line="130"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Amount of</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Forward</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Forward</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Initial</w:t>
            </w: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to be</w:t>
            </w:r>
          </w:p>
        </w:tc>
        <w:tc>
          <w:tcPr>
            <w:tcW w:w="0" w:type="dxa"/>
            <w:vAlign w:val="bottom"/>
          </w:tcPr>
          <w:p>
            <w:pPr>
              <w:spacing w:after="0"/>
              <w:rPr>
                <w:sz w:val="1"/>
                <w:szCs w:val="1"/>
                <w:color w:val="auto"/>
              </w:rPr>
            </w:pPr>
          </w:p>
        </w:tc>
      </w:tr>
      <w:tr>
        <w:trPr>
          <w:trHeight w:val="130"/>
        </w:trPr>
        <w:tc>
          <w:tcPr>
            <w:tcW w:w="92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Security</w:t>
            </w:r>
          </w:p>
        </w:tc>
        <w:tc>
          <w:tcPr>
            <w:tcW w:w="212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Class</w:t>
            </w:r>
          </w:p>
        </w:tc>
        <w:tc>
          <w:tcPr>
            <w:tcW w:w="900" w:type="dxa"/>
            <w:vAlign w:val="bottom"/>
            <w:tcBorders>
              <w:right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Forward</w:t>
            </w:r>
          </w:p>
        </w:tc>
        <w:tc>
          <w:tcPr>
            <w:tcW w:w="10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68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260" w:type="dxa"/>
            <w:vAlign w:val="bottom"/>
          </w:tcPr>
          <w:p>
            <w:pPr>
              <w:spacing w:after="0"/>
              <w:rPr>
                <w:sz w:val="11"/>
                <w:szCs w:val="11"/>
                <w:color w:val="auto"/>
              </w:rPr>
            </w:pPr>
          </w:p>
        </w:tc>
        <w:tc>
          <w:tcPr>
            <w:tcW w:w="780" w:type="dxa"/>
            <w:vAlign w:val="bottom"/>
            <w:tcBorders>
              <w:right w:val="single" w:sz="8" w:color="auto"/>
            </w:tcBorders>
          </w:tcPr>
          <w:p>
            <w:pPr>
              <w:jc w:val="center"/>
              <w:ind w:right="186"/>
              <w:spacing w:after="0" w:line="130" w:lineRule="exact"/>
              <w:rPr>
                <w:sz w:val="20"/>
                <w:szCs w:val="20"/>
                <w:color w:val="auto"/>
              </w:rPr>
            </w:pPr>
            <w:r>
              <w:rPr>
                <w:rFonts w:ascii="Times New Roman" w:cs="Times New Roman" w:eastAsia="Times New Roman" w:hAnsi="Times New Roman"/>
                <w:sz w:val="12"/>
                <w:szCs w:val="12"/>
                <w:b w:val="1"/>
                <w:bCs w:val="1"/>
                <w:color w:val="auto"/>
                <w:w w:val="99"/>
              </w:rPr>
              <w:t>Offering</w:t>
            </w:r>
          </w:p>
        </w:tc>
        <w:tc>
          <w:tcPr>
            <w:tcW w:w="90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Fee</w:t>
            </w:r>
          </w:p>
        </w:tc>
        <w:tc>
          <w:tcPr>
            <w:tcW w:w="8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Form</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File</w:t>
            </w:r>
          </w:p>
        </w:tc>
        <w:tc>
          <w:tcPr>
            <w:tcW w:w="54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Carrie</w:t>
            </w:r>
          </w:p>
        </w:tc>
        <w:tc>
          <w:tcPr>
            <w:tcW w:w="0" w:type="dxa"/>
            <w:vAlign w:val="bottom"/>
          </w:tcPr>
          <w:p>
            <w:pPr>
              <w:spacing w:after="0"/>
              <w:rPr>
                <w:sz w:val="1"/>
                <w:szCs w:val="1"/>
                <w:color w:val="auto"/>
              </w:rPr>
            </w:pPr>
          </w:p>
        </w:tc>
      </w:tr>
      <w:tr>
        <w:trPr>
          <w:trHeight w:val="168"/>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right="186"/>
              <w:spacing w:after="0"/>
              <w:rPr>
                <w:sz w:val="20"/>
                <w:szCs w:val="20"/>
                <w:color w:val="auto"/>
              </w:rPr>
            </w:pPr>
            <w:r>
              <w:rPr>
                <w:rFonts w:ascii="Times New Roman" w:cs="Times New Roman" w:eastAsia="Times New Roman" w:hAnsi="Times New Roman"/>
                <w:sz w:val="12"/>
                <w:szCs w:val="12"/>
                <w:b w:val="1"/>
                <w:bCs w:val="1"/>
                <w:color w:val="auto"/>
              </w:rPr>
              <w:t>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date</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Forwar</w:t>
            </w:r>
          </w:p>
        </w:tc>
        <w:tc>
          <w:tcPr>
            <w:tcW w:w="0" w:type="dxa"/>
            <w:vAlign w:val="bottom"/>
          </w:tcPr>
          <w:p>
            <w:pPr>
              <w:spacing w:after="0"/>
              <w:rPr>
                <w:sz w:val="1"/>
                <w:szCs w:val="1"/>
                <w:color w:val="auto"/>
              </w:rPr>
            </w:pPr>
          </w:p>
        </w:tc>
      </w:tr>
      <w:tr>
        <w:trPr>
          <w:trHeight w:val="226"/>
        </w:trPr>
        <w:tc>
          <w:tcPr>
            <w:tcW w:w="92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center"/>
              <w:ind w:right="226"/>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20" w:type="dxa"/>
            <w:vAlign w:val="bottom"/>
            <w:tcBorders>
              <w:left w:val="single" w:sz="8" w:color="auto"/>
              <w:right w:val="single" w:sz="8" w:color="auto"/>
            </w:tcBorders>
          </w:tcPr>
          <w:p>
            <w:pPr>
              <w:spacing w:after="0"/>
              <w:rPr>
                <w:sz w:val="17"/>
                <w:szCs w:val="17"/>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 Senior Notes due</w:t>
            </w:r>
          </w:p>
        </w:tc>
        <w:tc>
          <w:tcPr>
            <w:tcW w:w="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Rule 457(r)</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$500,000,000</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98.332%</w:t>
            </w:r>
          </w:p>
        </w:tc>
        <w:tc>
          <w:tcPr>
            <w:tcW w:w="1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$491,660,000</w:t>
            </w:r>
          </w:p>
        </w:tc>
        <w:tc>
          <w:tcPr>
            <w:tcW w:w="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0.00014760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$72,569.02</w:t>
            </w: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20" w:type="dxa"/>
            <w:vAlign w:val="bottom"/>
            <w:tcBorders>
              <w:left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7"/>
                <w:szCs w:val="17"/>
                <w:color w:val="auto"/>
              </w:rPr>
              <w:t>Fees to Be</w:t>
            </w:r>
          </w:p>
        </w:tc>
        <w:tc>
          <w:tcPr>
            <w:tcW w:w="500" w:type="dxa"/>
            <w:vAlign w:val="bottom"/>
            <w:tcBorders>
              <w:right w:val="single" w:sz="8" w:color="auto"/>
            </w:tcBorders>
            <w:vMerge w:val="continue"/>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2034</w:t>
            </w:r>
          </w:p>
        </w:tc>
        <w:tc>
          <w:tcPr>
            <w:tcW w:w="900" w:type="dxa"/>
            <w:vAlign w:val="bottom"/>
            <w:tcBorders>
              <w:right w:val="single" w:sz="8" w:color="auto"/>
            </w:tcBorders>
            <w:gridSpan w:val="2"/>
            <w:vMerge w:val="continue"/>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1040" w:type="dxa"/>
            <w:vAlign w:val="bottom"/>
            <w:tcBorders>
              <w:right w:val="single" w:sz="8" w:color="auto"/>
            </w:tcBorders>
            <w:gridSpan w:val="2"/>
            <w:vMerge w:val="continue"/>
          </w:tcPr>
          <w:p>
            <w:pPr>
              <w:spacing w:after="0"/>
              <w:rPr>
                <w:sz w:val="18"/>
                <w:szCs w:val="18"/>
                <w:color w:val="auto"/>
              </w:rPr>
            </w:pPr>
          </w:p>
        </w:tc>
        <w:tc>
          <w:tcPr>
            <w:tcW w:w="900" w:type="dxa"/>
            <w:vAlign w:val="bottom"/>
            <w:tcBorders>
              <w:right w:val="single" w:sz="8" w:color="auto"/>
            </w:tcBorders>
            <w:vMerge w:val="continue"/>
          </w:tcPr>
          <w:p>
            <w:pPr>
              <w:spacing w:after="0"/>
              <w:rPr>
                <w:sz w:val="18"/>
                <w:szCs w:val="18"/>
                <w:color w:val="auto"/>
              </w:rPr>
            </w:pPr>
          </w:p>
        </w:tc>
        <w:tc>
          <w:tcPr>
            <w:tcW w:w="840" w:type="dxa"/>
            <w:vAlign w:val="bottom"/>
            <w:tcBorders>
              <w:right w:val="single" w:sz="8" w:color="auto"/>
            </w:tcBorders>
            <w:vMerge w:val="continue"/>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920" w:type="dxa"/>
            <w:vAlign w:val="bottom"/>
            <w:tcBorders>
              <w:left w:val="single" w:sz="8" w:color="auto"/>
              <w:right w:val="single" w:sz="8" w:color="auto"/>
            </w:tcBorders>
            <w:vMerge w:val="restart"/>
          </w:tcPr>
          <w:p>
            <w:pPr>
              <w:jc w:val="center"/>
              <w:ind w:left="13"/>
              <w:spacing w:after="0"/>
              <w:rPr>
                <w:sz w:val="20"/>
                <w:szCs w:val="20"/>
                <w:color w:val="auto"/>
              </w:rPr>
            </w:pPr>
            <w:r>
              <w:rPr>
                <w:rFonts w:ascii="Times New Roman" w:cs="Times New Roman" w:eastAsia="Times New Roman" w:hAnsi="Times New Roman"/>
                <w:sz w:val="17"/>
                <w:szCs w:val="17"/>
                <w:color w:val="auto"/>
                <w:w w:val="99"/>
              </w:rPr>
              <w:t>Paid</w:t>
            </w: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vMerge w:val="continue"/>
          </w:tcPr>
          <w:p>
            <w:pPr>
              <w:spacing w:after="0"/>
              <w:rPr>
                <w:sz w:val="15"/>
                <w:szCs w:val="1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Guarantees of 5.000% Senior</w:t>
            </w:r>
          </w:p>
        </w:tc>
        <w:tc>
          <w:tcPr>
            <w:tcW w:w="9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Rule 457(n)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5"/>
                <w:szCs w:val="15"/>
                <w:color w:val="auto"/>
              </w:rPr>
            </w:pPr>
          </w:p>
        </w:tc>
        <w:tc>
          <w:tcPr>
            <w:tcW w:w="780" w:type="dxa"/>
            <w:vAlign w:val="bottom"/>
            <w:tcBorders>
              <w:right w:val="single" w:sz="8" w:color="auto"/>
            </w:tcBorders>
            <w:vMerge w:val="restart"/>
          </w:tcPr>
          <w:p>
            <w:pPr>
              <w:jc w:val="center"/>
              <w:ind w:right="16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920" w:type="dxa"/>
            <w:vAlign w:val="bottom"/>
            <w:tcBorders>
              <w:left w:val="single" w:sz="8" w:color="auto"/>
              <w:right w:val="single" w:sz="8" w:color="auto"/>
            </w:tcBorders>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gridSpan w:val="2"/>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7"/>
                <w:szCs w:val="17"/>
                <w:color w:val="auto"/>
              </w:rPr>
              <w:t>Notes due 2034</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left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Fees</w:t>
            </w:r>
          </w:p>
        </w:tc>
        <w:tc>
          <w:tcPr>
            <w:tcW w:w="5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20" w:type="dxa"/>
            <w:vAlign w:val="bottom"/>
            <w:tcBorders>
              <w:left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7"/>
                <w:szCs w:val="17"/>
                <w:color w:val="auto"/>
              </w:rPr>
              <w:t>Previously</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60" w:type="dxa"/>
            <w:vAlign w:val="bottom"/>
          </w:tcPr>
          <w:p>
            <w:pPr>
              <w:spacing w:after="0"/>
              <w:rPr>
                <w:sz w:val="18"/>
                <w:szCs w:val="18"/>
                <w:color w:val="auto"/>
              </w:rPr>
            </w:pPr>
          </w:p>
        </w:tc>
        <w:tc>
          <w:tcPr>
            <w:tcW w:w="780" w:type="dxa"/>
            <w:vAlign w:val="bottom"/>
            <w:tcBorders>
              <w:right w:val="single" w:sz="8" w:color="auto"/>
            </w:tcBorders>
          </w:tcPr>
          <w:p>
            <w:pPr>
              <w:jc w:val="center"/>
              <w:ind w:right="166"/>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20" w:type="dxa"/>
            <w:vAlign w:val="bottom"/>
            <w:tcBorders>
              <w:left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7"/>
                <w:szCs w:val="17"/>
                <w:color w:val="auto"/>
                <w:w w:val="99"/>
              </w:rPr>
              <w:t>Paid</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2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center"/>
              <w:ind w:right="246"/>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20" w:type="dxa"/>
            <w:vAlign w:val="bottom"/>
            <w:tcBorders>
              <w:left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Carry</w:t>
            </w:r>
          </w:p>
        </w:tc>
        <w:tc>
          <w:tcPr>
            <w:tcW w:w="50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20" w:type="dxa"/>
            <w:vAlign w:val="bottom"/>
            <w:tcBorders>
              <w:left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7"/>
                <w:szCs w:val="17"/>
                <w:color w:val="auto"/>
              </w:rPr>
              <w:t>Forward</w:t>
            </w:r>
          </w:p>
        </w:tc>
        <w:tc>
          <w:tcPr>
            <w:tcW w:w="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right w:val="single" w:sz="8" w:color="auto"/>
            </w:tcBorders>
          </w:tcPr>
          <w:p>
            <w:pPr>
              <w:jc w:val="center"/>
              <w:ind w:right="166"/>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7"/>
        </w:trPr>
        <w:tc>
          <w:tcPr>
            <w:tcW w:w="920" w:type="dxa"/>
            <w:vAlign w:val="bottom"/>
            <w:tcBorders>
              <w:left w:val="single" w:sz="8" w:color="auto"/>
              <w:right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Securities</w:t>
            </w:r>
          </w:p>
        </w:tc>
        <w:tc>
          <w:tcPr>
            <w:tcW w:w="50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Offering Amounts </w:t>
            </w:r>
          </w:p>
        </w:tc>
        <w:tc>
          <w:tcPr>
            <w:tcW w:w="68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$491,660,000</w:t>
            </w:r>
          </w:p>
        </w:tc>
        <w:tc>
          <w:tcPr>
            <w:tcW w:w="9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$72,569.02</w:t>
            </w: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Fees Previously Paid </w:t>
            </w:r>
          </w:p>
        </w:tc>
        <w:tc>
          <w:tcPr>
            <w:tcW w:w="6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Fee Offsets </w:t>
            </w:r>
          </w:p>
        </w:tc>
        <w:tc>
          <w:tcPr>
            <w:tcW w:w="6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Net Fee Due </w:t>
            </w:r>
          </w:p>
        </w:tc>
        <w:tc>
          <w:tcPr>
            <w:tcW w:w="6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$72,569.02</w:t>
            </w: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6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9"/>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1"/>
    </w:lvl>
  </w:abstractNum>
  <w:abstractNum w:abstractNumId="23">
    <w:nsid w:val="153EA438"/>
    <w:multiLevelType w:val="hybridMultilevel"/>
    <w:lvl w:ilvl="0">
      <w:lvlJc w:val="left"/>
      <w:lvlText w:val="(%1)"/>
      <w:numFmt w:val="lowerRoman"/>
      <w:start w:val="1"/>
    </w:lvl>
  </w:abstractNum>
  <w:abstractNum w:abstractNumId="24">
    <w:nsid w:val="3855585C"/>
    <w:multiLevelType w:val="hybridMultilevel"/>
    <w:lvl w:ilvl="0">
      <w:lvlJc w:val="left"/>
      <w:lvlText w:val="(%1)"/>
      <w:numFmt w:val="lowerRoman"/>
      <w:start w:val="2"/>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Roman"/>
      <w:start w:val="2"/>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713"/>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713"/>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9"/>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jpe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4"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jpe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63" Type="http://schemas.openxmlformats.org/officeDocument/2006/relationships/hyperlink" Target="http://www.sec.gov/ix?doc=/Archives/edgar/data/87347/000095017024006884/slb-20231231.htm" TargetMode="External"/><Relationship Id="rId65" Type="http://schemas.openxmlformats.org/officeDocument/2006/relationships/hyperlink" Target="http://www.sec.gov/ix?doc=/Archives/edgar/data/87347/000095017024047250/slb-20240331.htm" TargetMode="External"/><Relationship Id="rId66" Type="http://schemas.openxmlformats.org/officeDocument/2006/relationships/hyperlink" Target="http://www.sec.gov/ix?doc=/Archives/edgar/data/87347/000119312524084191/d501949d8k.htm" TargetMode="External"/><Relationship Id="rId67" Type="http://schemas.openxmlformats.org/officeDocument/2006/relationships/hyperlink" Target="http://www.sec.gov/ix?doc=/Archives/edgar/data/87347/000119312524085160/d735749d8ka.htm" TargetMode="External"/><Relationship Id="rId68" Type="http://schemas.openxmlformats.org/officeDocument/2006/relationships/hyperlink" Target="http://www.sec.gov/ix?doc=/Archives/edgar/data/87347/000119312524086101/d786559d8k.htm" TargetMode="External"/><Relationship Id="rId81" Type="http://schemas.openxmlformats.org/officeDocument/2006/relationships/hyperlink" Target="http://www.sec.gov/ix?doc=/Archives/edgar/data/0000087347/000156459023000762/slb-10k_20221231.htm" TargetMode="External"/><Relationship Id="rId82" Type="http://schemas.openxmlformats.org/officeDocument/2006/relationships/hyperlink" Target="http://www.sec.gov/ix?doc=/Archives/edgar/data/0000087347/000130817923000057/slb-20221231.htm" TargetMode="External"/><Relationship Id="rId83" Type="http://schemas.openxmlformats.org/officeDocument/2006/relationships/hyperlink" Target="http://www.sec.gov/ix?doc=/Archives/edgar/data/87347/000095017023014656/slb-20230331.htm" TargetMode="External"/><Relationship Id="rId85" Type="http://schemas.openxmlformats.org/officeDocument/2006/relationships/hyperlink" Target="http://www.sec.gov/ix?doc=/Archives/edgar/data/0000087347/000119312523092724/d452417d8k.htm" TargetMode="External"/><Relationship Id="rId86" Type="http://schemas.openxmlformats.org/officeDocument/2006/relationships/hyperlink" Target="http://www.sec.gov/ix?doc=/Archives/edgar/data/0000087347/000119312523103678/d489792d8k.htm" TargetMode="External"/><Relationship Id="rId87" Type="http://schemas.openxmlformats.org/officeDocument/2006/relationships/hyperlink" Target="http://www.sec.gov/ix?doc=/Archives/edgar/data/87347/000119312523110532/d47076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2024-05-23T16:58:19Z</dcterms:created>
  <dcterms:modified xsi:type="dcterms:W3CDTF">2024-05-23T16:58:19Z</dcterms:modified>
</cp:coreProperties>
</file>