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ARIAL" w:hAnsi="ARIAL"/>
          <w:b/>
          <w:sz w:val="20"/>
        </w:rPr>
      </w:pPr>
      <w:bookmarkStart w:id="0" w:name="d75741d425.htm"/>
      <w:bookmarkStart w:id="1" w:name="ksd75741d425"/>
      <w:bookmarkEnd w:id="0"/>
      <w:bookmarkEnd w:id="1"/>
      <w:r>
        <w:rPr>
          <w:rFonts w:ascii="ARIAL" w:hAnsi="ARIAL"/>
          <w:b/>
          <w:sz w:val="20"/>
        </w:rPr>
        <w:t xml:space="preserve">Filed by Schlumberger N.V. </w:t>
      </w:r>
    </w:p>
    <w:p>
      <w:pPr>
        <w:pStyle w:val="TextBody"/>
        <w:bidi w:val="0"/>
        <w:spacing w:before="0" w:after="0"/>
        <w:jc w:val="right"/>
        <w:rPr>
          <w:rFonts w:ascii="ARIAL" w:hAnsi="ARIAL"/>
          <w:b/>
          <w:sz w:val="20"/>
        </w:rPr>
      </w:pPr>
      <w:r>
        <w:rPr>
          <w:rFonts w:ascii="ARIAL" w:hAnsi="ARIAL"/>
          <w:b/>
          <w:sz w:val="20"/>
        </w:rPr>
        <w:t xml:space="preserve">pursuant to Rule 425 under the Securities Act of 1933 </w:t>
      </w:r>
    </w:p>
    <w:p>
      <w:pPr>
        <w:pStyle w:val="TextBody"/>
        <w:bidi w:val="0"/>
        <w:spacing w:before="0" w:after="0"/>
        <w:jc w:val="right"/>
        <w:rPr>
          <w:rFonts w:ascii="ARIAL" w:hAnsi="ARIAL"/>
          <w:b/>
          <w:sz w:val="20"/>
        </w:rPr>
      </w:pPr>
      <w:r>
        <w:rPr>
          <w:rFonts w:ascii="ARIAL" w:hAnsi="ARIAL"/>
          <w:b/>
          <w:sz w:val="20"/>
        </w:rPr>
        <w:t xml:space="preserve">and deemed filed pursuant to Rule 14a-12 </w:t>
      </w:r>
    </w:p>
    <w:p>
      <w:pPr>
        <w:pStyle w:val="TextBody"/>
        <w:bidi w:val="0"/>
        <w:spacing w:before="0" w:after="0"/>
        <w:jc w:val="right"/>
        <w:rPr>
          <w:rFonts w:ascii="ARIAL" w:hAnsi="ARIAL"/>
          <w:b/>
          <w:sz w:val="20"/>
        </w:rPr>
      </w:pPr>
      <w:r>
        <w:rPr>
          <w:rFonts w:ascii="ARIAL" w:hAnsi="ARIAL"/>
          <w:b/>
          <w:sz w:val="20"/>
        </w:rPr>
        <w:t xml:space="preserve">under the Securities Exchange Act of 1934 </w:t>
      </w:r>
    </w:p>
    <w:p>
      <w:pPr>
        <w:pStyle w:val="TextBody"/>
        <w:bidi w:val="0"/>
        <w:spacing w:before="0" w:after="0"/>
        <w:jc w:val="right"/>
        <w:rPr>
          <w:rFonts w:ascii="ARIAL" w:hAnsi="ARIAL"/>
          <w:b/>
          <w:sz w:val="20"/>
        </w:rPr>
      </w:pPr>
      <w:r>
        <w:rPr>
          <w:rFonts w:ascii="ARIAL" w:hAnsi="ARIAL"/>
          <w:b/>
          <w:sz w:val="20"/>
        </w:rPr>
        <w:t xml:space="preserve">Subject Company: ChampionX Corporation </w:t>
      </w:r>
    </w:p>
    <w:p>
      <w:pPr>
        <w:pStyle w:val="TextBody"/>
        <w:bidi w:val="0"/>
        <w:spacing w:before="0" w:after="0"/>
        <w:jc w:val="right"/>
        <w:rPr>
          <w:rFonts w:ascii="ARIAL" w:hAnsi="ARIAL"/>
          <w:b/>
          <w:sz w:val="20"/>
        </w:rPr>
      </w:pPr>
      <w:r>
        <w:rPr>
          <w:rFonts w:ascii="ARIAL" w:hAnsi="ARIAL"/>
          <w:b/>
          <w:sz w:val="20"/>
        </w:rPr>
        <w:t xml:space="preserve">Filers SEC File No.: 001-38441 </w:t>
      </w:r>
    </w:p>
    <w:p>
      <w:pPr>
        <w:pStyle w:val="TextBody"/>
        <w:bidi w:val="0"/>
        <w:spacing w:before="0" w:after="0"/>
        <w:jc w:val="right"/>
        <w:rPr>
          <w:rFonts w:ascii="ARIAL" w:hAnsi="ARIAL"/>
          <w:b/>
          <w:sz w:val="20"/>
        </w:rPr>
      </w:pPr>
      <w:r>
        <w:rPr>
          <w:rFonts w:ascii="ARIAL" w:hAnsi="ARIAL"/>
          <w:b/>
          <w:sz w:val="20"/>
        </w:rPr>
        <w:t xml:space="preserve">Date: April 30, 2025 </w:t>
      </w:r>
    </w:p>
    <w:p>
      <w:pPr>
        <w:pStyle w:val="TextBody"/>
        <w:bidi w:val="0"/>
        <w:spacing w:before="240" w:after="0"/>
        <w:jc w:val="left"/>
        <w:rPr>
          <w:rFonts w:ascii="ARIAL" w:hAnsi="ARIAL"/>
          <w:sz w:val="20"/>
        </w:rPr>
      </w:pPr>
      <w:r>
        <w:rPr>
          <w:rFonts w:ascii="ARIAL" w:hAnsi="ARIAL"/>
          <w:sz w:val="20"/>
        </w:rPr>
        <w:t xml:space="preserve">Update </w:t>
      </w:r>
    </w:p>
    <w:p>
      <w:pPr>
        <w:pStyle w:val="TextBody"/>
        <w:bidi w:val="0"/>
        <w:spacing w:before="240" w:after="0"/>
        <w:jc w:val="left"/>
        <w:rPr>
          <w:rFonts w:ascii="ARIAL" w:hAnsi="ARIAL"/>
          <w:sz w:val="20"/>
        </w:rPr>
      </w:pPr>
      <w:r>
        <w:rPr>
          <w:rFonts w:ascii="ARIAL" w:hAnsi="ARIAL"/>
          <w:sz w:val="20"/>
        </w:rPr>
        <w:t xml:space="preserve">SLB Announces Progress With Norwegian Competition Authority on ChampionX Acquisition </w:t>
      </w:r>
    </w:p>
    <w:p>
      <w:pPr>
        <w:pStyle w:val="TextBody"/>
        <w:bidi w:val="0"/>
        <w:spacing w:before="240" w:after="0"/>
        <w:jc w:val="left"/>
        <w:rPr>
          <w:rFonts w:ascii="ARIAL" w:hAnsi="ARIAL"/>
          <w:sz w:val="20"/>
        </w:rPr>
      </w:pPr>
      <w:r>
        <w:rPr>
          <w:rFonts w:ascii="ARIAL" w:hAnsi="ARIAL"/>
          <w:sz w:val="20"/>
        </w:rPr>
        <w:t xml:space="preserve">Published: 04/30/2025 </w:t>
      </w:r>
    </w:p>
    <w:p>
      <w:pPr>
        <w:pStyle w:val="TextBody"/>
        <w:bidi w:val="0"/>
        <w:spacing w:before="240" w:after="0"/>
        <w:jc w:val="left"/>
        <w:rPr>
          <w:rFonts w:ascii="ARIAL" w:hAnsi="ARIAL"/>
          <w:sz w:val="20"/>
        </w:rPr>
      </w:pPr>
      <w:r>
        <w:rPr>
          <w:rFonts w:ascii="ARIAL" w:hAnsi="ARIAL"/>
          <w:sz w:val="20"/>
        </w:rPr>
        <w:t xml:space="preserve">SLB today announced that it expects to finalize proceedings with the Norwegian Competition Authority (NCA) in connection with the ChampionX acquisition, concluding the NCAs Phase 2 review. The resolution is based on previously proposed remedies, and importantly, the NCA has confirmed that no remedy will be required regarding the production chemistry business in Norway. </w:t>
      </w:r>
    </w:p>
    <w:p>
      <w:pPr>
        <w:pStyle w:val="TextBody"/>
        <w:bidi w:val="0"/>
        <w:spacing w:before="240" w:after="0"/>
        <w:jc w:val="left"/>
        <w:rPr>
          <w:rFonts w:ascii="ARIAL" w:hAnsi="ARIAL"/>
          <w:sz w:val="20"/>
        </w:rPr>
      </w:pPr>
      <w:r>
        <w:rPr>
          <w:rFonts w:ascii="ARIAL" w:hAnsi="ARIAL"/>
          <w:sz w:val="20"/>
        </w:rPr>
        <w:t xml:space="preserve">The proposed resolution includes the following 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Divestiture of ChampionXs U.S. Synthetic business, a remedy previously approved by U.S. regulators;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Commercial remedies for the Quartzdyne business, including long-term supply agreements with customers. </w:t>
            </w:r>
          </w:p>
        </w:tc>
      </w:tr>
    </w:tbl>
    <w:p>
      <w:pPr>
        <w:pStyle w:val="TextBody"/>
        <w:bidi w:val="0"/>
        <w:spacing w:before="240" w:after="0"/>
        <w:jc w:val="left"/>
        <w:rPr>
          <w:rFonts w:ascii="ARIAL" w:hAnsi="ARIAL"/>
          <w:sz w:val="20"/>
        </w:rPr>
      </w:pPr>
      <w:r>
        <w:rPr>
          <w:rFonts w:ascii="ARIAL" w:hAnsi="ARIAL"/>
          <w:sz w:val="20"/>
        </w:rPr>
        <w:t xml:space="preserve">SLB is pleased with this continued progress and remains committed to working closely with the NCA and other regulatory authorities to complete the transaction, which is expected to close in Q2 or early Q3 2025. </w:t>
      </w:r>
    </w:p>
    <w:p>
      <w:pPr>
        <w:pStyle w:val="TextBody"/>
        <w:bidi w:val="0"/>
        <w:spacing w:before="360" w:after="0"/>
        <w:jc w:val="left"/>
        <w:rPr>
          <w:rFonts w:ascii="ARIAL" w:hAnsi="ARIAL"/>
          <w:b/>
          <w:sz w:val="20"/>
        </w:rPr>
      </w:pPr>
      <w:r>
        <w:rPr>
          <w:rFonts w:ascii="ARIAL" w:hAnsi="ARIAL"/>
          <w:b/>
          <w:sz w:val="20"/>
        </w:rPr>
        <w:t xml:space="preserve">Forward-Looking Statements </w:t>
      </w:r>
    </w:p>
    <w:p>
      <w:pPr>
        <w:pStyle w:val="TextBody"/>
        <w:bidi w:val="0"/>
        <w:spacing w:before="120" w:after="0"/>
        <w:jc w:val="left"/>
        <w:rPr>
          <w:rFonts w:ascii="ARIAL" w:hAnsi="ARIAL"/>
          <w:sz w:val="20"/>
        </w:rPr>
      </w:pPr>
      <w:r>
        <w:rPr>
          <w:rFonts w:ascii="ARIAL" w:hAnsi="ARIAL"/>
          <w:sz w:val="20"/>
        </w:rPr>
        <w:t xml:space="preserve">This communication contains forward-looking statements within the meaning of the Private Securities Litigation Reform Act of 1995, Section 27A of the Securities Act of 1933, as amended, and Section 21E of the Securities Exchange Act of 1934, as amended.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These include, but are not limited to, and in each case as a possible result of the proposed transaction on each of SLB and ChampionX: the ultimate outcome of the proposed transaction between SLB and ChampionX;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These risks, as well as other risks related to the proposed transaction, are included in the Form S-4 and proxy statement/prospectus (each, as defined below) that has been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p>
    <w:p>
      <w:pPr>
        <w:pStyle w:val="TextBody"/>
        <w:bidi w:val="0"/>
        <w:spacing w:before="360" w:after="0"/>
        <w:jc w:val="left"/>
        <w:rPr>
          <w:rFonts w:ascii="ARIAL" w:hAnsi="ARIAL"/>
          <w:b/>
          <w:sz w:val="20"/>
        </w:rPr>
      </w:pPr>
      <w:r>
        <w:rPr>
          <w:rFonts w:ascii="ARIAL" w:hAnsi="ARIAL"/>
          <w:b/>
          <w:sz w:val="20"/>
        </w:rPr>
        <w:t xml:space="preserve">Additional Information about the Transaction and Where to Find It </w:t>
      </w:r>
    </w:p>
    <w:p>
      <w:pPr>
        <w:pStyle w:val="TextBody"/>
        <w:bidi w:val="0"/>
        <w:spacing w:before="120" w:after="0"/>
        <w:jc w:val="left"/>
        <w:rPr/>
      </w:pPr>
      <w:r>
        <w:rPr>
          <w:rFonts w:ascii="ARIAL" w:hAnsi="ARIAL"/>
          <w:sz w:val="20"/>
        </w:rPr>
        <w:t>In connection with the proposed transaction with ChampionX, SLB filed with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w:t>
      </w:r>
      <w:hyperlink r:id="rId2">
        <w:r>
          <w:rPr>
            <w:rStyle w:val="InternetLink"/>
            <w:rFonts w:ascii="ARIAL" w:hAnsi="ARIAL"/>
            <w:sz w:val="20"/>
          </w:rPr>
          <w:t>https://www.sec.gov/Archives/edgar/data/87347/000119312524139403/d818663d424b3.htm</w:t>
        </w:r>
      </w:hyperlink>
      <w:r>
        <w:rPr>
          <w:rFonts w:ascii="ARIAL" w:hAnsi="ARIAL"/>
          <w:sz w:val="20"/>
        </w:rPr>
        <w:t>),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can obtain free copies of the Form S-4 and the proxy statement/prospectus and other documents (if and when available) containing important information about SLB, ChampionX and the proposed transaction, through the website maintained by the SEC at </w:t>
      </w:r>
      <w:r>
        <w:rPr>
          <w:rFonts w:ascii="ARIAL" w:hAnsi="ARIAL"/>
          <w:sz w:val="20"/>
          <w:u w:val="single"/>
        </w:rPr>
        <w:t>http://www.sec.gov</w:t>
      </w:r>
      <w:r>
        <w:rPr>
          <w:rFonts w:ascii="ARIAL" w:hAnsi="ARIAL"/>
          <w:sz w:val="20"/>
        </w:rPr>
        <w:t>. Copies of the documents filed with, or furnished to, the SEC by SLB will be available free of charge on SLBs website at </w:t>
      </w:r>
      <w:r>
        <w:rPr>
          <w:rFonts w:ascii="ARIAL" w:hAnsi="ARIAL"/>
          <w:sz w:val="20"/>
          <w:u w:val="single"/>
        </w:rPr>
        <w:t>https://investorcenter.slb.com</w:t>
      </w:r>
      <w:r>
        <w:rPr>
          <w:rFonts w:ascii="ARIAL" w:hAnsi="ARIAL"/>
          <w:sz w:val="20"/>
        </w:rPr>
        <w:t>. Copies of the documents filed with, or furnished to, the SEC by ChampionX will be available free of charge on ChampionXs website at </w:t>
      </w:r>
      <w:r>
        <w:rPr>
          <w:rFonts w:ascii="ARIAL" w:hAnsi="ARIAL"/>
          <w:sz w:val="20"/>
          <w:u w:val="single"/>
        </w:rPr>
        <w:t>https://investors.championx.com</w:t>
      </w:r>
      <w:r>
        <w:rPr>
          <w:rFonts w:ascii="ARIAL" w:hAnsi="ARIAL"/>
          <w:sz w:val="20"/>
        </w:rPr>
        <w:t xml:space="preserve">. The information included on, or accessible through, SLBs or ChampionXs website is not incorporated by reference into this communication.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7347/000119312524139403/d818663d424b3.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1638</Words>
  <Characters>8827</Characters>
  <CharactersWithSpaces>10343</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