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419"/>
        <w:spacing w:after="0"/>
        <w:rPr>
          <w:sz w:val="20"/>
          <w:szCs w:val="20"/>
          <w:color w:val="auto"/>
        </w:rPr>
      </w:pPr>
      <w:r>
        <w:rPr>
          <w:rFonts w:ascii="Arial" w:cs="Arial" w:eastAsia="Arial" w:hAnsi="Arial"/>
          <w:sz w:val="25"/>
          <w:szCs w:val="25"/>
          <w:b w:val="1"/>
          <w:bCs w:val="1"/>
          <w:color w:val="auto"/>
        </w:rPr>
        <w:t>CURRENT REPORT</w:t>
      </w:r>
    </w:p>
    <w:p>
      <w:pPr>
        <w:spacing w:after="0" w:line="15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ind w:left="2660"/>
        <w:spacing w:after="0"/>
        <w:rPr>
          <w:sz w:val="20"/>
          <w:szCs w:val="20"/>
          <w:color w:val="auto"/>
        </w:rPr>
      </w:pPr>
      <w:r>
        <w:rPr>
          <w:rFonts w:ascii="Arial" w:cs="Arial" w:eastAsia="Arial" w:hAnsi="Arial"/>
          <w:sz w:val="22"/>
          <w:szCs w:val="22"/>
          <w:b w:val="1"/>
          <w:bCs w:val="1"/>
          <w:color w:val="auto"/>
        </w:rPr>
        <w:t>Date of Report (Date of earliest event reported): December 2,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156845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419"/>
        <w:spacing w:after="0"/>
        <w:rPr>
          <w:sz w:val="20"/>
          <w:szCs w:val="20"/>
          <w:color w:val="auto"/>
        </w:rPr>
      </w:pPr>
      <w:r>
        <w:rPr>
          <w:rFonts w:ascii="Arial" w:cs="Arial" w:eastAsia="Arial" w:hAnsi="Arial"/>
          <w:sz w:val="36"/>
          <w:szCs w:val="36"/>
          <w:b w:val="1"/>
          <w:bCs w:val="1"/>
          <w:color w:val="auto"/>
        </w:rPr>
        <w:t>SCHLUMBERGER N.V. (SCHLUMBERGER LIMITED)</w:t>
      </w:r>
    </w:p>
    <w:p>
      <w:pPr>
        <w:spacing w:after="0" w:line="45"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860"/>
          </w:cols>
          <w:pgMar w:left="240" w:top="368" w:right="63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860"/>
        <w:spacing w:after="0"/>
        <w:rPr>
          <w:sz w:val="20"/>
          <w:szCs w:val="20"/>
          <w:color w:val="auto"/>
        </w:rPr>
      </w:pPr>
      <w:r>
        <w:rPr>
          <w:rFonts w:ascii="Arial" w:cs="Arial" w:eastAsia="Arial" w:hAnsi="Arial"/>
          <w:sz w:val="14"/>
          <w:szCs w:val="14"/>
          <w:b w:val="1"/>
          <w:bCs w:val="1"/>
          <w:color w:val="auto"/>
        </w:rPr>
        <w:t>(IRS Employer</w:t>
      </w:r>
    </w:p>
    <w:p>
      <w:pPr>
        <w:jc w:val="center"/>
        <w:ind w:right="8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980"/>
          </w:cols>
          <w:pgMar w:left="240" w:top="368" w:right="639" w:bottom="1440" w:gutter="0" w:footer="0" w:header="0"/>
          <w:type w:val="continuous"/>
        </w:sectPr>
      </w:pPr>
    </w:p>
    <w:p>
      <w:pPr>
        <w:spacing w:after="0" w:line="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62 Buckingham Gate, London SW1E 6AJ</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ind w:left="374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68" w:right="639" w:bottom="1440" w:gutter="0" w:footer="0" w:header="0"/>
          <w:type w:val="continuous"/>
        </w:sectPr>
      </w:pPr>
    </w:p>
    <w:p>
      <w:pPr>
        <w:spacing w:after="0" w:line="2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163195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2.06</w:t>
      </w:r>
      <w:r>
        <w:rPr>
          <w:sz w:val="20"/>
          <w:szCs w:val="20"/>
          <w:color w:val="auto"/>
        </w:rPr>
        <w:tab/>
      </w:r>
      <w:r>
        <w:rPr>
          <w:rFonts w:ascii="Arial" w:cs="Arial" w:eastAsia="Arial" w:hAnsi="Arial"/>
          <w:sz w:val="17"/>
          <w:szCs w:val="17"/>
          <w:b w:val="1"/>
          <w:bCs w:val="1"/>
          <w:u w:val="single" w:color="auto"/>
          <w:color w:val="auto"/>
        </w:rPr>
        <w:t>Material Impairments</w:t>
      </w:r>
      <w:r>
        <w:rPr>
          <w:rFonts w:ascii="Arial" w:cs="Arial" w:eastAsia="Arial" w:hAnsi="Arial"/>
          <w:sz w:val="17"/>
          <w:szCs w:val="17"/>
          <w:b w:val="1"/>
          <w:bCs w:val="1"/>
          <w:color w:val="auto"/>
        </w:rPr>
        <w:t>.</w:t>
      </w:r>
    </w:p>
    <w:p>
      <w:pPr>
        <w:spacing w:after="0" w:line="12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Due to expectations of lower exploration spending, Schlumberger Limited (“Schlumberger”) is restructuring its WesternGeco marine seismic fleet to lower its operating costs. By retiring older vessels with lower towing capacity and higher operating costs, by converting the remaining lower-end vessels to source boats and by cancelling most of its third-party charters, Schlumberger will reduce its fleet size to 9 survey and 6 source vessels by the end of 2014, from a total of 15 survey and 8 source boats at the end of 2013.</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 a result of this restructuring, Schlumberger expects to record a pretax impairment charge of approximately $800 million in the fourth quarter of 2014, primarily relating to the six Explorer-class vessels acquired at a premium in the 2007 purchase of Eastern Echo Holdings Plc. as well as to certain other seismic assets.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Schlumberger will not incur any significant cash expenditures as a result of this impairment charge.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7.01</w:t>
      </w:r>
      <w:r>
        <w:rPr>
          <w:sz w:val="20"/>
          <w:szCs w:val="20"/>
          <w:color w:val="auto"/>
        </w:rPr>
        <w:tab/>
      </w:r>
      <w:r>
        <w:rPr>
          <w:rFonts w:ascii="Arial" w:cs="Arial" w:eastAsia="Arial" w:hAnsi="Arial"/>
          <w:sz w:val="16"/>
          <w:szCs w:val="16"/>
          <w:b w:val="1"/>
          <w:bCs w:val="1"/>
          <w:u w:val="single" w:color="auto"/>
          <w:color w:val="auto"/>
        </w:rPr>
        <w:t>Regulation FD Disclosure</w:t>
      </w:r>
      <w:r>
        <w:rPr>
          <w:rFonts w:ascii="Arial" w:cs="Arial" w:eastAsia="Arial" w:hAnsi="Arial"/>
          <w:sz w:val="16"/>
          <w:szCs w:val="16"/>
          <w:b w:val="1"/>
          <w:bCs w:val="1"/>
          <w:color w:val="auto"/>
        </w:rPr>
        <w:t>.</w:t>
      </w:r>
    </w:p>
    <w:p>
      <w:pPr>
        <w:spacing w:after="0" w:line="121" w:lineRule="exact"/>
        <w:rPr>
          <w:sz w:val="20"/>
          <w:szCs w:val="20"/>
          <w:color w:val="auto"/>
        </w:rPr>
      </w:pPr>
    </w:p>
    <w:p>
      <w:pPr>
        <w:jc w:val="both"/>
        <w:ind w:right="560" w:firstLine="456"/>
        <w:spacing w:after="0" w:line="286" w:lineRule="auto"/>
        <w:rPr>
          <w:sz w:val="20"/>
          <w:szCs w:val="20"/>
          <w:color w:val="auto"/>
        </w:rPr>
      </w:pPr>
      <w:r>
        <w:rPr>
          <w:rFonts w:ascii="Arial" w:cs="Arial" w:eastAsia="Arial" w:hAnsi="Arial"/>
          <w:sz w:val="17"/>
          <w:szCs w:val="17"/>
          <w:color w:val="auto"/>
        </w:rPr>
        <w:t>On December 2, 2014, Patrick Schorn, President, Operations &amp; Integration of Schlumberger, presented at the Cowen and Company 4th Annual Ultimate Energy Conference in New York, New York and provided a financial and operational update. The presentation and slides are available on the Schlumberger Investor Relations website at http://investorcenter.slb.com/phoenix.zhtml?c=97513&amp;p=irol-presentations.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Cautionary Statement Regarding Forward-Looking Statements</w:t>
      </w:r>
    </w:p>
    <w:p>
      <w:pPr>
        <w:spacing w:after="0" w:line="117"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This Form 8-K and the presentation and slides referred to above contain “forward-looking statements” within the meaning of the federal securities laws, which include any statements that are not historical facts, such as our financial targets and other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capital expenditures by Schlumberger and the oil and gas industry; the business strategies of Schlumberger’s customers; demand for our integrated services; the success of Schlumberger’s joint ventures and alliances and its integration of acquired companies; introduction of new technologies;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demand for our integrated services and new technologies; Schlumberger’s future cash flows; general economic, political and business conditions in key regions of the world, including in Russia and the Ukraine; pricing erosion; weather and seasonal factors; operational delays; production declines; inability to acquire target companies or integrate new acquisitions;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our Forms 10-K, 10-Q, and 8-K filed with or furnished to the Securities and Exchange Commission. If one or more of these or other risks or uncertainties materialize (or the consequences of such a development changes), or should underlying assumptions prove incorrect, actual outcomes may vary materially from those reflected in our forward-looking statements. The forward-looking statements speak only as of the date of the presentation, and Schlumberger disclaims any intention or obligation to update publicly or revise such statements, whether as a result of new information, future events or otherwise.</w:t>
      </w:r>
    </w:p>
    <w:p>
      <w:pPr>
        <w:sectPr>
          <w:pgSz w:w="11900" w:h="16838" w:orient="portrait"/>
          <w:cols w:equalWidth="0" w:num="1">
            <w:col w:w="11400"/>
          </w:cols>
          <w:pgMar w:left="240" w:top="27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 2014</w:t>
      </w:r>
    </w:p>
    <w:sectPr>
      <w:pgSz w:w="11900" w:h="16838" w:orient="portrait"/>
      <w:cols w:equalWidth="0" w:num="1">
        <w:col w:w="10800"/>
      </w:cols>
      <w:pgMar w:left="240" w:top="270"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2019-12-05T14:25:51Z</dcterms:created>
  <dcterms:modified xsi:type="dcterms:W3CDTF">2019-12-05T14:25:51Z</dcterms:modified>
</cp:coreProperties>
</file>