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26, 2010, Schlumberger Limited and Smith International, Inc. issued a joint press release announcing that the European Commission has cleared their proposed merger under the EC Merger Regulation without any conditions.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26,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Schlumberger-Smith Merger Receives Unconditional Clearance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European Commission</w:t>
      </w:r>
    </w:p>
    <w:p>
      <w:pPr>
        <w:spacing w:after="0" w:line="159"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July 26, 2010 — Schlumberger Ltd (NYSE: SLB) and Smith International, Inc. (NYSE: SII) jointly announced today that the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has cleared their proposed merger under the EC Merger Regulation without any conditions.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closing of the proposed merger remains subject to clearance by the U.S. Department of Justice, approval by Smith stockholders, and the satisfaction or waiver of other closing conditions contained in the merger agreement between the companies. As previously announced, the 2010 annual meeting of stockholders of Smith is scheduled for August 24, 2010, at which meeting stockholders of Smith will consider and vote upon matters including the proposed adoption of the agreement and plan of merger between Smith and Schlumberger.</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Schlumberger and Smith expect that the merger will close in the third quarter of this year. Until that time, Schlumberger and Smith will continue to operate as separate and independent companies and continue to serve their respective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Neither Schlumberger nor Smith can give any assurance that such expectations will prove to be correct. These statements are subject to, among other things, satisfaction of the closing conditions to the merger, the risk that the Smith 2010 annual stockholders meeting is cancelled or delayed, the risk that the contemplated merger does not occur, negative effects from the pendency of the merger, the ability to successfully integrate the merged businesses and to realize expected synergies and other risk factors that are discussed in Schlumberger’s and Smith’s most recent Forms 10-K as well as each company’s other filings with the SEC available at the SEC’s Internet site (http://www.sec.gov). Actual results may differ materially from those expected, estimated or projected.</w:t>
      </w:r>
    </w:p>
    <w:p>
      <w:pPr>
        <w:sectPr>
          <w:pgSz w:w="11900" w:h="16838" w:orient="portrait"/>
          <w:cols w:equalWidth="0" w:num="1">
            <w:col w:w="11420"/>
          </w:cols>
          <w:pgMar w:left="240" w:top="125" w:right="239" w:bottom="1440" w:gutter="0" w:footer="0" w:header="0"/>
        </w:sectPr>
      </w:pPr>
    </w:p>
    <w:bookmarkStart w:id="4" w:name="page5"/>
    <w:bookmarkEnd w:id="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speak only as of the date they are made, and neither Schlumberger nor Smith undertake any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filed with the SEC a registration statement on Form S-4 containing a definitive proxy statement/prospectus of Schlumberger and Smith and other documents related to the proposed transaction. The registration statement has been declared effective by the SEC and Smith intends to mail the proxy statement/prospectus to its stockholders on or about July 27, 2010. STOCKHOLDERS ARE URGED TO READ THE DEFINITIVE PROXY STATEMENT/PROSPECTUS AND REGISTRATION STATEMENT REGARDING THE PROPOSED TRANSACTION BECAUSE IT CONTAINS IMPORTANT INFORMATION ABOUT THE PROPOSED TRANSACTION, INCLUDING DETAILED RISK FACTORS. These documents contain important information about the proposed transaction that should be read carefully before any decision is made with respect to the proposed transaction. These materials are available to the shareholders of Smith at no expense to them. Investors and security holders can obtain the documents free of charge at the SEC’s web site, www.sec.gov. In addition, such materials (and all other documents filed with the SEC) are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amendment to its annual report on Form 10-K filed with the SEC on April 30, 2010. Additional information regarding the participants in the proxy solicitation and a description of their direct and indirect interests in the transaction, by security holdings or otherwise, are contained in the definitive proxy statement/prospectus and other relevant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ectPr>
          <w:pgSz w:w="11900" w:h="16838" w:orient="portrait"/>
          <w:cols w:equalWidth="0" w:num="1">
            <w:col w:w="11400"/>
          </w:cols>
          <w:pgMar w:left="240" w:top="280" w:right="259" w:bottom="1440" w:gutter="0" w:footer="0" w:header="0"/>
        </w:sectPr>
      </w:pPr>
    </w:p>
    <w:bookmarkStart w:id="5" w:name="page6"/>
    <w:bookmarkEnd w:id="5"/>
    <w:p>
      <w:pPr>
        <w:ind w:right="501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Shawn Housley – Smith International, Inc., Director of Investor Relations Office + 1 (281) 233-5768</w:t>
      </w: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6" w:lineRule="exact"/>
        <w:rPr>
          <w:sz w:val="20"/>
          <w:szCs w:val="20"/>
          <w:color w:val="auto"/>
        </w:rPr>
      </w:pPr>
    </w:p>
    <w:p>
      <w:pPr>
        <w:ind w:right="4299"/>
        <w:spacing w:after="0" w:line="254" w:lineRule="auto"/>
        <w:rPr>
          <w:sz w:val="20"/>
          <w:szCs w:val="20"/>
          <w:color w:val="auto"/>
        </w:rPr>
      </w:pPr>
      <w:r>
        <w:rPr>
          <w:rFonts w:ascii="Arial" w:cs="Arial" w:eastAsia="Arial" w:hAnsi="Arial"/>
          <w:sz w:val="18"/>
          <w:szCs w:val="18"/>
          <w:color w:val="auto"/>
        </w:rPr>
        <w:t>Stephen Whittaker – Schlumberger Limited, Director of Corporate Communications Office + 33 1 4062 1330</w:t>
      </w: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2019-12-10T02:48:33Z</dcterms:created>
  <dcterms:modified xsi:type="dcterms:W3CDTF">2019-12-10T02:48:33Z</dcterms:modified>
</cp:coreProperties>
</file>