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7194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7194550"/>
                    </a:xfrm>
                    <a:prstGeom prst="rect">
                      <a:avLst/>
                    </a:prstGeom>
                    <a:noFill/>
                  </pic:spPr>
                </pic:pic>
              </a:graphicData>
            </a:graphic>
          </wp:anchor>
        </w:drawing>
      </w:r>
    </w:p>
    <w:p>
      <w:pPr>
        <w:sectPr>
          <w:pgSz w:w="11900" w:h="17018"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Juden Alexander C.</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04/01/2009</w:t>
            </w:r>
          </w:p>
        </w:tc>
        <w:tc>
          <w:tcPr>
            <w:tcW w:w="0" w:type="dxa"/>
            <w:vAlign w:val="bottom"/>
          </w:tcPr>
          <w:p>
            <w:pPr>
              <w:spacing w:after="0"/>
              <w:rPr>
                <w:sz w:val="1"/>
                <w:szCs w:val="1"/>
                <w:color w:val="auto"/>
              </w:rPr>
            </w:pPr>
          </w:p>
        </w:tc>
      </w:tr>
    </w:tbl>
    <w:p>
      <w:pPr>
        <w:spacing w:after="0" w:line="132"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5599 SAN FELIPE 17TH FLOOR</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r>
      <w:tr>
        <w:trPr>
          <w:trHeight w:val="240"/>
        </w:trPr>
        <w:tc>
          <w:tcPr>
            <w:tcW w:w="17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HOUSTON   TX</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77056</w:t>
            </w: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SCHLUMBERGER LTD /NV/</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80"/>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4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rPr>
              <w:t>Secretary and General Counsel</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20" w:type="dxa"/>
            <w:vAlign w:val="bottom"/>
          </w:tcPr>
          <w:p>
            <w:pPr>
              <w:spacing w:after="0"/>
              <w:rPr>
                <w:sz w:val="20"/>
                <w:szCs w:val="20"/>
                <w:color w:val="auto"/>
              </w:rPr>
            </w:pPr>
          </w:p>
        </w:tc>
        <w:tc>
          <w:tcPr>
            <w:tcW w:w="2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spacing w:after="0" w:line="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7018" w:orient="portrait"/>
          <w:cols w:equalWidth="0" w:num="2">
            <w:col w:w="4720" w:space="480"/>
            <w:col w:w="6220"/>
          </w:cols>
          <w:pgMar w:left="240" w:top="220" w:right="239" w:bottom="0" w:gutter="0" w:footer="0" w:header="0"/>
          <w:type w:val="continuous"/>
        </w:sectPr>
      </w:pPr>
    </w:p>
    <w:p>
      <w:pPr>
        <w:spacing w:after="0" w:line="5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Times New Roman" w:cs="Times New Roman" w:eastAsia="Times New Roman" w:hAnsi="Times New Roman"/>
                <w:sz w:val="18"/>
                <w:szCs w:val="18"/>
                <w:color w:val="0000FF"/>
              </w:rPr>
              <w:t>4,278</w:t>
            </w:r>
          </w:p>
        </w:tc>
        <w:tc>
          <w:tcPr>
            <w:tcW w:w="90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356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880" w:type="dxa"/>
            <w:vAlign w:val="bottom"/>
            <w:gridSpan w:val="6"/>
          </w:tcPr>
          <w:p>
            <w:pPr>
              <w:ind w:left="32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5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04/17/2012</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0000FF"/>
                <w:w w:val="98"/>
              </w:rPr>
              <w:t>1,200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27.873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01/19/2015</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0000FF"/>
                <w:w w:val="98"/>
              </w:rPr>
              <w:t>2,000</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32.455</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01/22/2019</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0000FF"/>
                <w:w w:val="98"/>
              </w:rPr>
              <w:t>2,643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37.845</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01/18/2016</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0000FF"/>
                <w:w w:val="98"/>
              </w:rPr>
              <w:t>2,488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54.235</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01/17/2017</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0000FF"/>
                <w:w w:val="98"/>
              </w:rPr>
              <w:t>2,001</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6"/>
              </w:rPr>
              <w:t>58.455</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Incentive Stock Option (right to buy)</w:t>
            </w:r>
          </w:p>
        </w:tc>
        <w:tc>
          <w:tcPr>
            <w:tcW w:w="880" w:type="dxa"/>
            <w:vAlign w:val="bottom"/>
          </w:tcPr>
          <w:p>
            <w:pPr>
              <w:jc w:val="right"/>
              <w:ind w:right="319"/>
              <w:spacing w:after="0"/>
              <w:rPr>
                <w:sz w:val="20"/>
                <w:szCs w:val="20"/>
                <w:color w:val="auto"/>
              </w:rPr>
            </w:pPr>
            <w:r>
              <w:rPr>
                <w:rFonts w:ascii="Times New Roman" w:cs="Times New Roman" w:eastAsia="Times New Roman" w:hAnsi="Times New Roman"/>
                <w:sz w:val="11"/>
                <w:szCs w:val="11"/>
                <w:color w:val="008000"/>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0000FF"/>
                <w:w w:val="97"/>
              </w:rPr>
              <w:t>01/17/2018</w:t>
            </w:r>
          </w:p>
        </w:tc>
        <w:tc>
          <w:tcPr>
            <w:tcW w:w="1860" w:type="dxa"/>
            <w:vAlign w:val="bottom"/>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Pr>
          <w:p>
            <w:pPr>
              <w:jc w:val="center"/>
              <w:ind w:left="138"/>
              <w:spacing w:after="0"/>
              <w:rPr>
                <w:sz w:val="20"/>
                <w:szCs w:val="20"/>
                <w:color w:val="auto"/>
              </w:rPr>
            </w:pPr>
            <w:r>
              <w:rPr>
                <w:rFonts w:ascii="Times New Roman" w:cs="Times New Roman" w:eastAsia="Times New Roman" w:hAnsi="Times New Roman"/>
                <w:sz w:val="18"/>
                <w:szCs w:val="18"/>
                <w:color w:val="0000FF"/>
                <w:w w:val="98"/>
              </w:rPr>
              <w:t>2,155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98"/>
              </w:rPr>
              <w:t>84.93</w:t>
            </w:r>
          </w:p>
        </w:tc>
        <w:tc>
          <w:tcPr>
            <w:tcW w:w="88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NQ Stock Option (right to buy) w/ tandem Tax</w:t>
            </w: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01/19/2015</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vMerge w:val="restart"/>
          </w:tcPr>
          <w:p>
            <w:pPr>
              <w:jc w:val="center"/>
              <w:ind w:left="138"/>
              <w:spacing w:after="0"/>
              <w:rPr>
                <w:sz w:val="20"/>
                <w:szCs w:val="20"/>
                <w:color w:val="auto"/>
              </w:rPr>
            </w:pPr>
            <w:r>
              <w:rPr>
                <w:rFonts w:ascii="Times New Roman" w:cs="Times New Roman" w:eastAsia="Times New Roman" w:hAnsi="Times New Roman"/>
                <w:sz w:val="18"/>
                <w:szCs w:val="18"/>
                <w:color w:val="0000FF"/>
              </w:rPr>
              <w:t>930</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32.455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w/h right</w:t>
            </w: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NQ Stock Option (right to buy) w/ tandem Tax</w:t>
            </w: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(3)</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01/22/2019</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vMerge w:val="restart"/>
          </w:tcPr>
          <w:p>
            <w:pPr>
              <w:jc w:val="center"/>
              <w:ind w:left="138"/>
              <w:spacing w:after="0"/>
              <w:rPr>
                <w:sz w:val="20"/>
                <w:szCs w:val="20"/>
                <w:color w:val="auto"/>
              </w:rPr>
            </w:pPr>
            <w:r>
              <w:rPr>
                <w:rFonts w:ascii="Times New Roman" w:cs="Times New Roman" w:eastAsia="Times New Roman" w:hAnsi="Times New Roman"/>
                <w:sz w:val="18"/>
                <w:szCs w:val="18"/>
                <w:color w:val="0000FF"/>
                <w:w w:val="96"/>
              </w:rPr>
              <w:t>67,357</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37.845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w/h right</w:t>
            </w: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NQ Stock Option (right to buy) w/ tandem Tax</w:t>
            </w: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01/18/2016</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vMerge w:val="restart"/>
          </w:tcPr>
          <w:p>
            <w:pPr>
              <w:jc w:val="center"/>
              <w:ind w:left="138"/>
              <w:spacing w:after="0"/>
              <w:rPr>
                <w:sz w:val="20"/>
                <w:szCs w:val="20"/>
                <w:color w:val="auto"/>
              </w:rPr>
            </w:pPr>
            <w:r>
              <w:rPr>
                <w:rFonts w:ascii="Times New Roman" w:cs="Times New Roman" w:eastAsia="Times New Roman" w:hAnsi="Times New Roman"/>
                <w:sz w:val="18"/>
                <w:szCs w:val="18"/>
                <w:color w:val="0000FF"/>
                <w:w w:val="98"/>
              </w:rPr>
              <w:t>7,512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54.235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w/h right</w:t>
            </w: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NQ Stock Option (right to buy) w/ tandem Tax</w:t>
            </w: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01/17/2017</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vMerge w:val="restart"/>
          </w:tcPr>
          <w:p>
            <w:pPr>
              <w:jc w:val="center"/>
              <w:ind w:left="138"/>
              <w:spacing w:after="0"/>
              <w:rPr>
                <w:sz w:val="20"/>
                <w:szCs w:val="20"/>
                <w:color w:val="auto"/>
              </w:rPr>
            </w:pPr>
            <w:r>
              <w:rPr>
                <w:rFonts w:ascii="Times New Roman" w:cs="Times New Roman" w:eastAsia="Times New Roman" w:hAnsi="Times New Roman"/>
                <w:sz w:val="18"/>
                <w:szCs w:val="18"/>
                <w:color w:val="0000FF"/>
                <w:w w:val="98"/>
              </w:rPr>
              <w:t>2,999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6"/>
              </w:rPr>
              <w:t>58.455</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w/h right</w:t>
            </w: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56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NQ Stock Option (right to buy) w/ tandem Tax</w:t>
            </w: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1"/>
                <w:szCs w:val="11"/>
                <w:color w:val="008000"/>
              </w:rPr>
              <w:t>(6)</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0000FF"/>
                <w:w w:val="97"/>
              </w:rPr>
              <w:t>01/17/2018</w:t>
            </w:r>
          </w:p>
        </w:tc>
        <w:tc>
          <w:tcPr>
            <w:tcW w:w="186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vMerge w:val="restart"/>
          </w:tcPr>
          <w:p>
            <w:pPr>
              <w:jc w:val="center"/>
              <w:ind w:left="138"/>
              <w:spacing w:after="0"/>
              <w:rPr>
                <w:sz w:val="20"/>
                <w:szCs w:val="20"/>
                <w:color w:val="auto"/>
              </w:rPr>
            </w:pPr>
            <w:r>
              <w:rPr>
                <w:rFonts w:ascii="Times New Roman" w:cs="Times New Roman" w:eastAsia="Times New Roman" w:hAnsi="Times New Roman"/>
                <w:sz w:val="18"/>
                <w:szCs w:val="18"/>
                <w:color w:val="0000FF"/>
                <w:w w:val="98"/>
              </w:rPr>
              <w:t>7,845</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w w:val="98"/>
              </w:rPr>
              <w:t>84.93</w:t>
            </w:r>
          </w:p>
        </w:tc>
        <w:tc>
          <w:tcPr>
            <w:tcW w:w="8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w/h right</w:t>
            </w:r>
          </w:p>
        </w:tc>
        <w:tc>
          <w:tcPr>
            <w:tcW w:w="88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Exercisable in five equal annual installments beginning April 17,2003.</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becomes exercisable in four equal annual installments beginning January 19, 2006.</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becomes exercisable in five equal annual installments beginning January 22, 2010.</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becomes exercisable in four equal annual installments beginning January 18, 2007.</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becomes exercisable in five equal annual installments beginning January 17, 2008.</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option becomes exercisable in five equal annual installments beginning January 17, 2009.</w:t>
      </w:r>
    </w:p>
    <w:p>
      <w:pPr>
        <w:spacing w:after="0" w:line="6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By: Janet B.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1868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86815"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Attorney-in-Fact For:</w:t>
      </w:r>
      <w:r>
        <w:rPr>
          <w:sz w:val="20"/>
          <w:szCs w:val="20"/>
          <w:color w:val="auto"/>
        </w:rPr>
        <w:tab/>
      </w:r>
      <w:r>
        <w:rPr>
          <w:rFonts w:ascii="Times New Roman" w:cs="Times New Roman" w:eastAsia="Times New Roman" w:hAnsi="Times New Roman"/>
          <w:sz w:val="16"/>
          <w:szCs w:val="16"/>
          <w:color w:val="0000FF"/>
        </w:rPr>
        <w:t>04/01/2009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Alexander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51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5184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425"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7018" w:orient="portrait"/>
          <w:cols w:equalWidth="0" w:num="1">
            <w:col w:w="11420"/>
          </w:cols>
          <w:pgMar w:left="240" w:top="220"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61" w:right="1299"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p>
      <w:pPr>
        <w:spacing w:after="0" w:line="3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of Schlumberger Limited, a Netherlands Antilles corporation (the "Company"), does hereby appoint Janet B. Glassmacher and Lynda M. Quagliara,</w:t>
      </w:r>
    </w:p>
    <w:p>
      <w:pPr>
        <w:spacing w:after="0"/>
        <w:rPr>
          <w:sz w:val="20"/>
          <w:szCs w:val="20"/>
          <w:color w:val="auto"/>
        </w:rPr>
      </w:pPr>
      <w:r>
        <w:rPr>
          <w:rFonts w:ascii="Courier New" w:cs="Courier New" w:eastAsia="Courier New" w:hAnsi="Courier New"/>
          <w:sz w:val="16"/>
          <w:szCs w:val="16"/>
          <w:color w:val="auto"/>
        </w:rPr>
        <w:t>and each of them severally, his true and lawful attorney-in fact with power</w:t>
      </w:r>
    </w:p>
    <w:tbl>
      <w:tblPr>
        <w:tblLayout w:type="fixed"/>
        <w:tblInd w:w="0" w:type="dxa"/>
        <w:tblCellMar>
          <w:top w:w="0" w:type="dxa"/>
          <w:left w:w="0" w:type="dxa"/>
          <w:bottom w:w="0" w:type="dxa"/>
          <w:right w:w="0" w:type="dxa"/>
        </w:tblCellMar>
      </w:tblPr>
      <w:tr>
        <w:trPr>
          <w:trHeight w:val="192"/>
        </w:trPr>
        <w:tc>
          <w:tcPr>
            <w:tcW w:w="1220" w:type="dxa"/>
            <w:vAlign w:val="bottom"/>
          </w:tcPr>
          <w:p>
            <w:pPr>
              <w:spacing w:after="0" w:line="192" w:lineRule="exact"/>
              <w:rPr>
                <w:sz w:val="20"/>
                <w:szCs w:val="20"/>
                <w:color w:val="auto"/>
              </w:rPr>
            </w:pPr>
            <w:r>
              <w:rPr>
                <w:rFonts w:ascii="Courier New" w:cs="Courier New" w:eastAsia="Courier New" w:hAnsi="Courier New"/>
                <w:sz w:val="18"/>
                <w:szCs w:val="18"/>
                <w:color w:val="auto"/>
              </w:rPr>
              <w:t>to act with</w:t>
            </w:r>
          </w:p>
        </w:tc>
        <w:tc>
          <w:tcPr>
            <w:tcW w:w="3160" w:type="dxa"/>
            <w:vAlign w:val="bottom"/>
          </w:tcPr>
          <w:p>
            <w:pPr>
              <w:jc w:val="right"/>
              <w:spacing w:after="0" w:line="192" w:lineRule="exact"/>
              <w:rPr>
                <w:sz w:val="20"/>
                <w:szCs w:val="20"/>
                <w:color w:val="auto"/>
              </w:rPr>
            </w:pPr>
            <w:r>
              <w:rPr>
                <w:rFonts w:ascii="Courier New" w:cs="Courier New" w:eastAsia="Courier New" w:hAnsi="Courier New"/>
                <w:sz w:val="18"/>
                <w:szCs w:val="18"/>
                <w:color w:val="auto"/>
                <w:w w:val="98"/>
              </w:rPr>
              <w:t>or without the other and with</w:t>
            </w:r>
          </w:p>
        </w:tc>
        <w:tc>
          <w:tcPr>
            <w:tcW w:w="2840" w:type="dxa"/>
            <w:vAlign w:val="bottom"/>
            <w:gridSpan w:val="2"/>
          </w:tcPr>
          <w:p>
            <w:pPr>
              <w:ind w:left="60"/>
              <w:spacing w:after="0" w:line="192" w:lineRule="exact"/>
              <w:rPr>
                <w:sz w:val="20"/>
                <w:szCs w:val="20"/>
                <w:color w:val="auto"/>
              </w:rPr>
            </w:pPr>
            <w:r>
              <w:rPr>
                <w:rFonts w:ascii="Courier New" w:cs="Courier New" w:eastAsia="Courier New" w:hAnsi="Courier New"/>
                <w:sz w:val="18"/>
                <w:szCs w:val="18"/>
                <w:color w:val="auto"/>
                <w:w w:val="98"/>
              </w:rPr>
              <w:t>full power of substitution</w:t>
            </w:r>
          </w:p>
        </w:tc>
        <w:tc>
          <w:tcPr>
            <w:tcW w:w="680" w:type="dxa"/>
            <w:vAlign w:val="bottom"/>
          </w:tcPr>
          <w:p>
            <w:pPr>
              <w:jc w:val="right"/>
              <w:ind w:right="212"/>
              <w:spacing w:after="0" w:line="192" w:lineRule="exact"/>
              <w:rPr>
                <w:sz w:val="20"/>
                <w:szCs w:val="20"/>
                <w:color w:val="auto"/>
              </w:rPr>
            </w:pPr>
            <w:r>
              <w:rPr>
                <w:rFonts w:ascii="Courier New" w:cs="Courier New" w:eastAsia="Courier New" w:hAnsi="Courier New"/>
                <w:sz w:val="18"/>
                <w:szCs w:val="18"/>
                <w:color w:val="auto"/>
              </w:rPr>
              <w:t>and</w:t>
            </w:r>
          </w:p>
        </w:tc>
      </w:tr>
      <w:tr>
        <w:trPr>
          <w:trHeight w:val="203"/>
        </w:trPr>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resubstitution, to execute for him and in</w:t>
            </w: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his name, place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and stead,</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his</w:t>
            </w:r>
          </w:p>
        </w:tc>
      </w:tr>
      <w:tr>
        <w:trPr>
          <w:trHeight w:val="235"/>
        </w:trPr>
        <w:tc>
          <w:tcPr>
            <w:tcW w:w="1220" w:type="dxa"/>
            <w:vAlign w:val="bottom"/>
          </w:tcPr>
          <w:p>
            <w:pPr>
              <w:spacing w:after="0"/>
              <w:rPr>
                <w:sz w:val="20"/>
                <w:szCs w:val="20"/>
                <w:color w:val="auto"/>
              </w:rPr>
            </w:pPr>
            <w:r>
              <w:rPr>
                <w:rFonts w:ascii="Courier New" w:cs="Courier New" w:eastAsia="Courier New" w:hAnsi="Courier New"/>
                <w:sz w:val="18"/>
                <w:szCs w:val="18"/>
                <w:color w:val="auto"/>
              </w:rPr>
              <w:t>capacity as</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w w:val="98"/>
              </w:rPr>
              <w:t>a director or officer or both</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of the Company,</w:t>
            </w:r>
          </w:p>
        </w:tc>
        <w:tc>
          <w:tcPr>
            <w:tcW w:w="184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a statement of</w:t>
            </w:r>
          </w:p>
        </w:tc>
      </w:tr>
    </w:tbl>
    <w:p>
      <w:pPr>
        <w:ind w:right="2319"/>
        <w:spacing w:after="0" w:line="304" w:lineRule="auto"/>
        <w:rPr>
          <w:sz w:val="20"/>
          <w:szCs w:val="20"/>
          <w:color w:val="auto"/>
        </w:rPr>
      </w:pPr>
      <w:r>
        <w:rPr>
          <w:rFonts w:ascii="Courier New" w:cs="Courier New" w:eastAsia="Courier New" w:hAnsi="Courier New"/>
          <w:sz w:val="16"/>
          <w:szCs w:val="16"/>
          <w:color w:val="auto"/>
        </w:rPr>
        <w:t>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10" w:right="1440" w:bottom="1440" w:gutter="0" w:footer="0" w:header="0"/>
        </w:sect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30, 2009</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 Alexander C. Juden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Alexander C. Juden</w:t>
      </w:r>
    </w:p>
    <w:sectPr>
      <w:pgSz w:w="11900" w:h="16838" w:orient="portrait"/>
      <w:cols w:equalWidth="0" w:num="2">
        <w:col w:w="2660" w:space="720"/>
        <w:col w:w="683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60434"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2019-12-18T12:20:19Z</dcterms:created>
  <dcterms:modified xsi:type="dcterms:W3CDTF">2019-12-18T12:20:19Z</dcterms:modified>
</cp:coreProperties>
</file>