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157480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191770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184785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203835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October 28,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191135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(SCHLUMBERGER LIMITED)</w:t>
      </w: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184785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1920" w:type="dxa"/>
            <w:vAlign w:val="bottom"/>
          </w:tcPr>
          <w:p>
            <w:pPr>
              <w:jc w:val="center"/>
              <w:ind w:right="182"/>
              <w:spacing w:after="0"/>
              <w:rPr>
                <w:sz w:val="20"/>
                <w:szCs w:val="20"/>
                <w:color w:val="auto"/>
              </w:rPr>
            </w:pPr>
            <w:r>
              <w:rPr>
                <w:rFonts w:ascii="Arial" w:cs="Arial" w:eastAsia="Arial" w:hAnsi="Arial"/>
                <w:sz w:val="18"/>
                <w:szCs w:val="18"/>
                <w:b w:val="1"/>
                <w:bCs w:val="1"/>
                <w:color w:val="auto"/>
                <w:w w:val="91"/>
              </w:rPr>
              <w:t>Curaçao</w:t>
            </w:r>
          </w:p>
        </w:tc>
        <w:tc>
          <w:tcPr>
            <w:tcW w:w="5300" w:type="dxa"/>
            <w:vAlign w:val="bottom"/>
          </w:tcPr>
          <w:p>
            <w:pPr>
              <w:jc w:val="center"/>
              <w:spacing w:after="0"/>
              <w:rPr>
                <w:sz w:val="20"/>
                <w:szCs w:val="20"/>
                <w:color w:val="auto"/>
              </w:rPr>
            </w:pPr>
            <w:r>
              <w:rPr>
                <w:rFonts w:ascii="Arial" w:cs="Arial" w:eastAsia="Arial" w:hAnsi="Arial"/>
                <w:sz w:val="18"/>
                <w:szCs w:val="18"/>
                <w:b w:val="1"/>
                <w:bCs w:val="1"/>
                <w:color w:val="auto"/>
                <w:w w:val="92"/>
              </w:rPr>
              <w:t>1-4601</w:t>
            </w:r>
          </w:p>
        </w:tc>
        <w:tc>
          <w:tcPr>
            <w:tcW w:w="1560" w:type="dxa"/>
            <w:vAlign w:val="bottom"/>
          </w:tcPr>
          <w:p>
            <w:pPr>
              <w:jc w:val="center"/>
              <w:ind w:left="362"/>
              <w:spacing w:after="0"/>
              <w:rPr>
                <w:sz w:val="20"/>
                <w:szCs w:val="20"/>
                <w:color w:val="auto"/>
              </w:rPr>
            </w:pPr>
            <w:r>
              <w:rPr>
                <w:rFonts w:ascii="Arial" w:cs="Arial" w:eastAsia="Arial" w:hAnsi="Arial"/>
                <w:sz w:val="18"/>
                <w:szCs w:val="18"/>
                <w:b w:val="1"/>
                <w:bCs w:val="1"/>
                <w:color w:val="auto"/>
                <w:w w:val="91"/>
              </w:rPr>
              <w:t>52-0684746</w:t>
            </w:r>
          </w:p>
        </w:tc>
      </w:tr>
      <w:tr>
        <w:trPr>
          <w:trHeight w:val="149"/>
        </w:trPr>
        <w:tc>
          <w:tcPr>
            <w:tcW w:w="192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5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(Commission</w:t>
            </w:r>
          </w:p>
        </w:tc>
        <w:tc>
          <w:tcPr>
            <w:tcW w:w="1560" w:type="dxa"/>
            <w:vAlign w:val="bottom"/>
          </w:tcPr>
          <w:p>
            <w:pPr>
              <w:jc w:val="center"/>
              <w:ind w:left="3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920" w:type="dxa"/>
            <w:vAlign w:val="bottom"/>
          </w:tcPr>
          <w:p>
            <w:pPr>
              <w:jc w:val="center"/>
              <w:ind w:right="202"/>
              <w:spacing w:after="0"/>
              <w:rPr>
                <w:sz w:val="20"/>
                <w:szCs w:val="20"/>
                <w:color w:val="auto"/>
              </w:rPr>
            </w:pPr>
            <w:r>
              <w:rPr>
                <w:rFonts w:ascii="Arial" w:cs="Arial" w:eastAsia="Arial" w:hAnsi="Arial"/>
                <w:sz w:val="14"/>
                <w:szCs w:val="14"/>
                <w:b w:val="1"/>
                <w:bCs w:val="1"/>
                <w:color w:val="auto"/>
                <w:w w:val="92"/>
              </w:rPr>
              <w:t>of incorporation)</w:t>
            </w:r>
          </w:p>
        </w:tc>
        <w:tc>
          <w:tcPr>
            <w:tcW w:w="5300" w:type="dxa"/>
            <w:vAlign w:val="bottom"/>
          </w:tcPr>
          <w:p>
            <w:pPr>
              <w:jc w:val="center"/>
              <w:spacing w:after="0"/>
              <w:rPr>
                <w:sz w:val="20"/>
                <w:szCs w:val="20"/>
                <w:color w:val="auto"/>
              </w:rPr>
            </w:pPr>
            <w:r>
              <w:rPr>
                <w:rFonts w:ascii="Arial" w:cs="Arial" w:eastAsia="Arial" w:hAnsi="Arial"/>
                <w:sz w:val="14"/>
                <w:szCs w:val="14"/>
                <w:b w:val="1"/>
                <w:bCs w:val="1"/>
                <w:color w:val="auto"/>
                <w:w w:val="98"/>
              </w:rPr>
              <w:t>File Number)</w:t>
            </w:r>
          </w:p>
        </w:tc>
        <w:tc>
          <w:tcPr>
            <w:tcW w:w="1560" w:type="dxa"/>
            <w:vAlign w:val="bottom"/>
          </w:tcPr>
          <w:p>
            <w:pPr>
              <w:jc w:val="center"/>
              <w:ind w:left="362"/>
              <w:spacing w:after="0"/>
              <w:rPr>
                <w:sz w:val="20"/>
                <w:szCs w:val="20"/>
                <w:color w:val="auto"/>
              </w:rPr>
            </w:pPr>
            <w:r>
              <w:rPr>
                <w:rFonts w:ascii="Arial" w:cs="Arial" w:eastAsia="Arial" w:hAnsi="Arial"/>
                <w:sz w:val="14"/>
                <w:szCs w:val="14"/>
                <w:b w:val="1"/>
                <w:bCs w:val="1"/>
                <w:color w:val="auto"/>
                <w:w w:val="94"/>
              </w:rPr>
              <w:t>Identification No.)</w:t>
            </w:r>
          </w:p>
        </w:tc>
      </w:tr>
      <w:tr>
        <w:trPr>
          <w:trHeight w:val="372"/>
        </w:trPr>
        <w:tc>
          <w:tcPr>
            <w:tcW w:w="1920" w:type="dxa"/>
            <w:vAlign w:val="bottom"/>
          </w:tcPr>
          <w:p>
            <w:pPr>
              <w:spacing w:after="0"/>
              <w:rPr>
                <w:sz w:val="24"/>
                <w:szCs w:val="24"/>
                <w:color w:val="auto"/>
              </w:rPr>
            </w:pPr>
          </w:p>
        </w:tc>
        <w:tc>
          <w:tcPr>
            <w:tcW w:w="5300" w:type="dxa"/>
            <w:vAlign w:val="bottom"/>
          </w:tcPr>
          <w:p>
            <w:pPr>
              <w:jc w:val="center"/>
              <w:ind w:right="117"/>
              <w:spacing w:after="0"/>
              <w:rPr>
                <w:sz w:val="20"/>
                <w:szCs w:val="20"/>
                <w:color w:val="auto"/>
              </w:rPr>
            </w:pPr>
            <w:r>
              <w:rPr>
                <w:rFonts w:ascii="Arial" w:cs="Arial" w:eastAsia="Arial" w:hAnsi="Arial"/>
                <w:sz w:val="18"/>
                <w:szCs w:val="18"/>
                <w:b w:val="1"/>
                <w:bCs w:val="1"/>
                <w:color w:val="auto"/>
                <w:w w:val="91"/>
              </w:rPr>
              <w:t>42, rue Saint-Dominique, Paris, France 75007</w:t>
            </w:r>
          </w:p>
        </w:tc>
        <w:tc>
          <w:tcPr>
            <w:tcW w:w="1560" w:type="dxa"/>
            <w:vAlign w:val="bottom"/>
          </w:tcPr>
          <w:p>
            <w:pPr>
              <w:spacing w:after="0"/>
              <w:rPr>
                <w:sz w:val="24"/>
                <w:szCs w:val="24"/>
                <w:color w:val="auto"/>
              </w:rPr>
            </w:pPr>
          </w:p>
        </w:tc>
      </w:tr>
      <w:tr>
        <w:trPr>
          <w:trHeight w:val="216"/>
        </w:trPr>
        <w:tc>
          <w:tcPr>
            <w:tcW w:w="1920" w:type="dxa"/>
            <w:vAlign w:val="bottom"/>
          </w:tcPr>
          <w:p>
            <w:pPr>
              <w:spacing w:after="0"/>
              <w:rPr>
                <w:sz w:val="18"/>
                <w:szCs w:val="18"/>
                <w:color w:val="auto"/>
              </w:rPr>
            </w:pPr>
          </w:p>
        </w:tc>
        <w:tc>
          <w:tcPr>
            <w:tcW w:w="5300" w:type="dxa"/>
            <w:vAlign w:val="bottom"/>
          </w:tcPr>
          <w:p>
            <w:pPr>
              <w:jc w:val="center"/>
              <w:ind w:right="117"/>
              <w:spacing w:after="0"/>
              <w:rPr>
                <w:sz w:val="20"/>
                <w:szCs w:val="20"/>
                <w:color w:val="auto"/>
              </w:rPr>
            </w:pPr>
            <w:r>
              <w:rPr>
                <w:rFonts w:ascii="Arial" w:cs="Arial" w:eastAsia="Arial" w:hAnsi="Arial"/>
                <w:sz w:val="18"/>
                <w:szCs w:val="18"/>
                <w:b w:val="1"/>
                <w:bCs w:val="1"/>
                <w:color w:val="auto"/>
                <w:w w:val="89"/>
              </w:rPr>
              <w:t>5599 San Felipe, Houston, Texas U.S.A. 77056</w:t>
            </w:r>
          </w:p>
        </w:tc>
        <w:tc>
          <w:tcPr>
            <w:tcW w:w="156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5300" w:type="dxa"/>
            <w:vAlign w:val="bottom"/>
          </w:tcPr>
          <w:p>
            <w:pPr>
              <w:jc w:val="center"/>
              <w:ind w:right="117"/>
              <w:spacing w:after="0"/>
              <w:rPr>
                <w:sz w:val="20"/>
                <w:szCs w:val="20"/>
                <w:color w:val="auto"/>
              </w:rPr>
            </w:pPr>
            <w:r>
              <w:rPr>
                <w:rFonts w:ascii="Arial" w:cs="Arial" w:eastAsia="Arial" w:hAnsi="Arial"/>
                <w:sz w:val="18"/>
                <w:szCs w:val="18"/>
                <w:b w:val="1"/>
                <w:bCs w:val="1"/>
                <w:color w:val="auto"/>
                <w:w w:val="92"/>
              </w:rPr>
              <w:t>62 Buckingham Gate, London, United Kingdom SW1E 6AJ</w:t>
            </w:r>
          </w:p>
        </w:tc>
        <w:tc>
          <w:tcPr>
            <w:tcW w:w="1560" w:type="dxa"/>
            <w:vAlign w:val="bottom"/>
          </w:tcPr>
          <w:p>
            <w:pPr>
              <w:spacing w:after="0"/>
              <w:rPr>
                <w:sz w:val="18"/>
                <w:szCs w:val="18"/>
                <w:color w:val="auto"/>
              </w:rPr>
            </w:pPr>
          </w:p>
        </w:tc>
      </w:tr>
      <w:tr>
        <w:trPr>
          <w:trHeight w:val="212"/>
        </w:trPr>
        <w:tc>
          <w:tcPr>
            <w:tcW w:w="1920" w:type="dxa"/>
            <w:vAlign w:val="bottom"/>
          </w:tcPr>
          <w:p>
            <w:pPr>
              <w:spacing w:after="0"/>
              <w:rPr>
                <w:sz w:val="18"/>
                <w:szCs w:val="18"/>
                <w:color w:val="auto"/>
              </w:rPr>
            </w:pPr>
          </w:p>
        </w:tc>
        <w:tc>
          <w:tcPr>
            <w:tcW w:w="5300" w:type="dxa"/>
            <w:vAlign w:val="bottom"/>
          </w:tcPr>
          <w:p>
            <w:pPr>
              <w:jc w:val="center"/>
              <w:ind w:right="97"/>
              <w:spacing w:after="0"/>
              <w:rPr>
                <w:sz w:val="20"/>
                <w:szCs w:val="20"/>
                <w:color w:val="auto"/>
              </w:rPr>
            </w:pPr>
            <w:r>
              <w:rPr>
                <w:rFonts w:ascii="Arial" w:cs="Arial" w:eastAsia="Arial" w:hAnsi="Arial"/>
                <w:sz w:val="18"/>
                <w:szCs w:val="18"/>
                <w:b w:val="1"/>
                <w:bCs w:val="1"/>
                <w:color w:val="auto"/>
                <w:w w:val="91"/>
              </w:rPr>
              <w:t>Parkstraat 83, The Hague, The Netherlands 2514 JG</w:t>
            </w:r>
          </w:p>
        </w:tc>
        <w:tc>
          <w:tcPr>
            <w:tcW w:w="1560" w:type="dxa"/>
            <w:vAlign w:val="bottom"/>
          </w:tcPr>
          <w:p>
            <w:pPr>
              <w:spacing w:after="0"/>
              <w:rPr>
                <w:sz w:val="18"/>
                <w:szCs w:val="18"/>
                <w:color w:val="auto"/>
              </w:rPr>
            </w:pPr>
          </w:p>
        </w:tc>
      </w:tr>
      <w:tr>
        <w:trPr>
          <w:trHeight w:val="186"/>
        </w:trPr>
        <w:tc>
          <w:tcPr>
            <w:tcW w:w="1920" w:type="dxa"/>
            <w:vAlign w:val="bottom"/>
          </w:tcPr>
          <w:p>
            <w:pPr>
              <w:spacing w:after="0"/>
              <w:rPr>
                <w:sz w:val="16"/>
                <w:szCs w:val="16"/>
                <w:color w:val="auto"/>
              </w:rPr>
            </w:pPr>
          </w:p>
        </w:tc>
        <w:tc>
          <w:tcPr>
            <w:tcW w:w="530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(Addresses of principal executive offices and zip or postal codes)</w:t>
            </w:r>
          </w:p>
        </w:tc>
        <w:tc>
          <w:tcPr>
            <w:tcW w:w="1560" w:type="dxa"/>
            <w:vAlign w:val="bottom"/>
          </w:tcPr>
          <w:p>
            <w:pPr>
              <w:spacing w:after="0"/>
              <w:rPr>
                <w:sz w:val="16"/>
                <w:szCs w:val="16"/>
                <w:color w:val="auto"/>
              </w:rPr>
            </w:pPr>
          </w:p>
        </w:tc>
      </w:tr>
    </w:tbl>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197485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4"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00" w:type="dxa"/>
            <w:vAlign w:val="bottom"/>
          </w:tcPr>
          <w:p>
            <w:pPr>
              <w:spacing w:after="0"/>
              <w:rPr>
                <w:sz w:val="14"/>
                <w:szCs w:val="1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8"/>
              </w:rPr>
              <w:t>common stock, par value $0.01 per share</w:t>
            </w:r>
          </w:p>
        </w:tc>
        <w:tc>
          <w:tcPr>
            <w:tcW w:w="6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4"/>
              </w:rPr>
              <w:t>SLB</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41" w:right="419" w:bottom="1440" w:gutter="0" w:footer="0" w:header="0"/>
        </w:sectPr>
      </w:pPr>
    </w:p>
    <w:bookmarkStart w:id="1" w:name="page2"/>
    <w:bookmarkEnd w:id="1"/>
    <w:p>
      <w:pPr>
        <w:ind w:left="1100" w:right="940" w:hanging="1093"/>
        <w:spacing w:after="0" w:line="282" w:lineRule="auto"/>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Principal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2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On October 28, 2019, upon the recommendation of the Nominating and Governance Committee of the Board of Directors of Schlumberger Limited (the “Company,” and such board, the “Board”), the Board appointed Mr. Jeffrey W. Sheets and Mr. Patrick de La Chevardière as new directors in accordance with the Company’s Articles of Incorporation. The appointment of each new director is effective October 28, 2019. Mr. Sheets and Mr. de La Chevardière will each serve as a director until the next annual general meeting of the Company’s stockholders, and will be subject to election by the vote of stockholders of the Company at such meeting.</w:t>
      </w:r>
    </w:p>
    <w:p>
      <w:pPr>
        <w:spacing w:after="0" w:line="188"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Board appointed Mr. Sheets to the Board’s Audit Committee (the “Audit Committee”) and Compensation Committee, and Mr. de La Chevardière to the Board’s Finance Committee and Science and Technology Committee, having determined that each of them satisfies the applicable requirements to serve on such committees to which they were appointed, including (as to Mr. Sheets’ service on the Audit Committee) the New York Stock Exchange and the Securities Exchange Act of 1934, as amended. The Board also determined that neither Mr. Sheets nor Mr. de La Chevardière, nor any of their respective immediate family members, has a material interest in any transaction that would require disclosure pursuant to Item 404(a) of Regulation S-K.</w:t>
      </w:r>
    </w:p>
    <w:p>
      <w:pPr>
        <w:spacing w:after="0" w:line="193"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Each of Mr. Sheets and Mr. de La Chevardière will participate in the Company’s non-employee director compensation arrangements described in the Company’s definitive proxy statement filed with the SEC on February 21, 2019, and will be eligible for a pro-rated portion of the Company’s non-employee director compensation for fiscal 2019. In addition, each of Mr. Sheets and Mr. de La Chevardière is expected to enter into the Company’s standard form of director indemnity agreement. The form of the indemnity agreement was filed as Exhibit 10 to the Company’s Current Report on Form 8-K filed with the SEC on October 21, 2013 and is incorporated herein by reference.</w:t>
      </w:r>
    </w:p>
    <w:p>
      <w:pPr>
        <w:sectPr>
          <w:pgSz w:w="11900" w:h="16838" w:orient="portrait"/>
          <w:cols w:equalWidth="0" w:num="1">
            <w:col w:w="10980"/>
          </w:cols>
          <w:pgMar w:left="440" w:top="297" w:right="47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55880"/>
                    </a:xfrm>
                    <a:prstGeom prst="rect">
                      <a:avLst/>
                    </a:prstGeom>
                    <a:noFill/>
                  </pic:spPr>
                </pic:pic>
              </a:graphicData>
            </a:graphic>
          </wp:anchor>
        </w:drawing>
        <w:t>SIGNATURES</w:t>
      </w:r>
    </w:p>
    <w:p>
      <w:pPr>
        <w:spacing w:after="0" w:line="229"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Saul R. Laureles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2019</w:t>
      </w:r>
    </w:p>
    <w:sectPr>
      <w:pgSz w:w="11900" w:h="16838" w:orient="portrait"/>
      <w:cols w:equalWidth="0" w:num="1">
        <w:col w:w="10960"/>
      </w:cols>
      <w:pgMar w:left="440" w:top="29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2019-12-04T21:16:54Z</dcterms:created>
  <dcterms:modified xsi:type="dcterms:W3CDTF">2019-12-04T21:16:54Z</dcterms:modified>
</cp:coreProperties>
</file>