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SCHLUMBERGER LIMITED</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(SCHLUMBERGER N.V.)</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5599 San Felipe, 17</w:t>
      </w:r>
      <w:r>
        <w:rPr>
          <w:rFonts w:ascii="Arial" w:cs="Arial" w:eastAsia="Arial" w:hAnsi="Arial"/>
          <w:sz w:val="11"/>
          <w:szCs w:val="11"/>
          <w:color w:val="auto"/>
        </w:rPr>
        <w:t>th</w:t>
      </w:r>
      <w:r>
        <w:rPr>
          <w:rFonts w:ascii="Arial" w:cs="Arial" w:eastAsia="Arial" w:hAnsi="Arial"/>
          <w:sz w:val="18"/>
          <w:szCs w:val="18"/>
          <w:color w:val="auto"/>
        </w:rPr>
        <w:t xml:space="preserve"> Floor</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Houston, Texas 77056</w:t>
      </w:r>
    </w:p>
    <w:p>
      <w:pPr>
        <w:spacing w:after="0" w:line="165" w:lineRule="exact"/>
        <w:rPr>
          <w:sz w:val="24"/>
          <w:szCs w:val="24"/>
          <w:color w:val="auto"/>
        </w:rPr>
      </w:pPr>
    </w:p>
    <w:p>
      <w:pPr>
        <w:jc w:val="right"/>
        <w:spacing w:after="0"/>
        <w:rPr>
          <w:sz w:val="20"/>
          <w:szCs w:val="20"/>
          <w:color w:val="auto"/>
        </w:rPr>
      </w:pPr>
      <w:r>
        <w:rPr>
          <w:rFonts w:ascii="Arial" w:cs="Arial" w:eastAsia="Arial" w:hAnsi="Arial"/>
          <w:sz w:val="18"/>
          <w:szCs w:val="18"/>
          <w:color w:val="auto"/>
        </w:rPr>
        <w:t>July 24, 2013</w:t>
      </w:r>
    </w:p>
    <w:p>
      <w:pPr>
        <w:spacing w:after="0" w:line="171" w:lineRule="exact"/>
        <w:rPr>
          <w:sz w:val="24"/>
          <w:szCs w:val="24"/>
          <w:color w:val="auto"/>
        </w:rPr>
      </w:pPr>
    </w:p>
    <w:p>
      <w:pPr>
        <w:spacing w:after="0"/>
        <w:rPr>
          <w:sz w:val="20"/>
          <w:szCs w:val="20"/>
          <w:color w:val="auto"/>
        </w:rPr>
      </w:pPr>
      <w:r>
        <w:rPr>
          <w:rFonts w:ascii="Arial" w:cs="Arial" w:eastAsia="Arial" w:hAnsi="Arial"/>
          <w:sz w:val="18"/>
          <w:szCs w:val="18"/>
          <w:color w:val="auto"/>
        </w:rPr>
        <w:t>U.S. Securities and Exchange Commission</w:t>
      </w:r>
    </w:p>
    <w:p>
      <w:pPr>
        <w:spacing w:after="0" w:line="15"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05" w:lineRule="exact"/>
        <w:rPr>
          <w:sz w:val="24"/>
          <w:szCs w:val="24"/>
          <w:color w:val="auto"/>
        </w:rPr>
      </w:pPr>
    </w:p>
    <w:p>
      <w:pPr>
        <w:ind w:left="460" w:right="320" w:hanging="459"/>
        <w:spacing w:after="0" w:line="268" w:lineRule="auto"/>
        <w:tabs>
          <w:tab w:leader="none" w:pos="44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8"/>
          <w:szCs w:val="18"/>
          <w:i w:val="1"/>
          <w:iCs w:val="1"/>
          <w:color w:val="auto"/>
        </w:rPr>
        <w:t>Notice of Disclosure Filed in Exchange Act Quarterly Report Under Section 219 of the Iran Threat Reduction and Syria Human Rights Act of 2012 and Section 13(r) of the Exchange Act</w:t>
      </w:r>
    </w:p>
    <w:p>
      <w:pPr>
        <w:spacing w:after="0" w:line="132" w:lineRule="exact"/>
        <w:rPr>
          <w:sz w:val="24"/>
          <w:szCs w:val="24"/>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71" w:lineRule="exact"/>
        <w:rPr>
          <w:sz w:val="24"/>
          <w:szCs w:val="24"/>
          <w:color w:val="auto"/>
        </w:rPr>
      </w:pPr>
    </w:p>
    <w:p>
      <w:pPr>
        <w:ind w:right="200" w:firstLine="456"/>
        <w:spacing w:after="0" w:line="298" w:lineRule="auto"/>
        <w:rPr>
          <w:sz w:val="20"/>
          <w:szCs w:val="20"/>
          <w:color w:val="auto"/>
        </w:rPr>
      </w:pPr>
      <w:r>
        <w:rPr>
          <w:rFonts w:ascii="Arial" w:cs="Arial" w:eastAsia="Arial" w:hAnsi="Arial"/>
          <w:sz w:val="16"/>
          <w:szCs w:val="16"/>
          <w:color w:val="auto"/>
        </w:rPr>
        <w:t>Pursuant to Section 219 of the Iran Threat Reduction and Syria Human Rights Act of 2012 and Section 13(r) of the Securities Exchange Act of 1934, as amended, notice is hereby provided that Schlumberger N.V. (Schlumberger Limited) has made disclosure pursuant to such provisions in its Quarterly Report on Form 10-Q for the fiscal quarter ended June 30, 2013, which was filed with the U.S. Securities and Exchange Commission on July 24, 2013. Such disclosure begins on page 30 of the Quarterly Report on Form 10-Q and is incorporated by reference herein.</w:t>
      </w:r>
    </w:p>
    <w:p>
      <w:pPr>
        <w:spacing w:after="0" w:line="113" w:lineRule="exact"/>
        <w:rPr>
          <w:sz w:val="24"/>
          <w:szCs w:val="24"/>
          <w:color w:val="auto"/>
        </w:rPr>
      </w:pPr>
    </w:p>
    <w:p>
      <w:pPr>
        <w:spacing w:after="0"/>
        <w:rPr>
          <w:sz w:val="20"/>
          <w:szCs w:val="20"/>
          <w:color w:val="auto"/>
        </w:rPr>
      </w:pPr>
      <w:r>
        <w:rPr>
          <w:rFonts w:ascii="Arial" w:cs="Arial" w:eastAsia="Arial" w:hAnsi="Arial"/>
          <w:sz w:val="18"/>
          <w:szCs w:val="18"/>
          <w:color w:val="auto"/>
        </w:rPr>
        <w:t>Sincerely,</w:t>
      </w:r>
    </w:p>
    <w:p>
      <w:pPr>
        <w:spacing w:after="0" w:line="212" w:lineRule="exact"/>
        <w:rPr>
          <w:sz w:val="24"/>
          <w:szCs w:val="24"/>
          <w:color w:val="auto"/>
        </w:rPr>
      </w:pPr>
    </w:p>
    <w:p>
      <w:pPr>
        <w:spacing w:after="0"/>
        <w:rPr>
          <w:sz w:val="20"/>
          <w:szCs w:val="20"/>
          <w:color w:val="auto"/>
        </w:rPr>
      </w:pPr>
      <w:r>
        <w:rPr>
          <w:rFonts w:ascii="Arial" w:cs="Arial" w:eastAsia="Arial" w:hAnsi="Arial"/>
          <w:sz w:val="18"/>
          <w:szCs w:val="18"/>
          <w:color w:val="auto"/>
        </w:rPr>
        <w:t>/s/ Alexander C. Juden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4"/>
          <w:szCs w:val="24"/>
          <w:color w:val="auto"/>
        </w:rPr>
      </w:pPr>
    </w:p>
    <w:p>
      <w:pPr>
        <w:spacing w:after="0"/>
        <w:rPr>
          <w:sz w:val="20"/>
          <w:szCs w:val="20"/>
          <w:color w:val="auto"/>
        </w:rPr>
      </w:pPr>
      <w:r>
        <w:rPr>
          <w:rFonts w:ascii="Arial" w:cs="Arial" w:eastAsia="Arial" w:hAnsi="Arial"/>
          <w:sz w:val="18"/>
          <w:szCs w:val="18"/>
          <w:color w:val="auto"/>
        </w:rPr>
        <w:t>Alexander C. Juden</w:t>
      </w:r>
    </w:p>
    <w:p>
      <w:pPr>
        <w:spacing w:after="0" w:line="15" w:lineRule="exact"/>
        <w:rPr>
          <w:sz w:val="24"/>
          <w:szCs w:val="24"/>
          <w:color w:val="auto"/>
        </w:rPr>
      </w:pPr>
    </w:p>
    <w:p>
      <w:pPr>
        <w:spacing w:after="0"/>
        <w:rPr>
          <w:sz w:val="20"/>
          <w:szCs w:val="20"/>
          <w:color w:val="auto"/>
        </w:rPr>
      </w:pPr>
      <w:r>
        <w:rPr>
          <w:rFonts w:ascii="Arial" w:cs="Arial" w:eastAsia="Arial" w:hAnsi="Arial"/>
          <w:sz w:val="18"/>
          <w:szCs w:val="18"/>
          <w:color w:val="auto"/>
        </w:rPr>
        <w:t>Secretary and General Counsel</w:t>
      </w:r>
    </w:p>
    <w:sectPr>
      <w:pgSz w:w="11900" w:h="16838" w:orient="portrait"/>
      <w:cols w:equalWidth="0" w:num="1">
        <w:col w:w="11420"/>
      </w:cols>
      <w:pgMar w:left="240" w:top="23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2019-12-05T14:45:59Z</dcterms:created>
  <dcterms:modified xsi:type="dcterms:W3CDTF">2019-12-05T14:45:59Z</dcterms:modified>
</cp:coreProperties>
</file>