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w:t>
      </w:r>
    </w:p>
    <w:p>
      <w:pPr>
        <w:jc w:val="center"/>
        <w:ind w:right="-3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760"/>
        <w:spacing w:after="0"/>
        <w:rPr>
          <w:sz w:val="20"/>
          <w:szCs w:val="20"/>
          <w:color w:val="auto"/>
        </w:rPr>
      </w:pPr>
      <w:r>
        <w:rPr>
          <w:rFonts w:ascii="Arial" w:cs="Arial" w:eastAsia="Arial" w:hAnsi="Arial"/>
          <w:sz w:val="22"/>
          <w:szCs w:val="22"/>
          <w:b w:val="1"/>
          <w:bCs w:val="1"/>
          <w:color w:val="auto"/>
        </w:rPr>
        <w:t>Date of Report (Date of earliest event reported): March 21,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On March 21, 2016, Paal Kibsgaard, Chairman and Chief Executive Officer of Schlumberger Limited (“Schlumberger”), addressed the oil and gas investment community at the Scotia Howard Weil Energy Conference in New Orleans, Louisiana. The slide presentation is available on the Schlumberger Investor Relations website at http://investorcenter.slb.com/phoenix.zhtml?c=97513&amp;p=irol-presentations and at http://www.slb.com/news/presentations.aspx.</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presentation referred to above contains “forward-looking statements” within the meaning of the federal securities laws — that is, statements about the future, not about past events. Such statements often contain words such as “expect,” “may,” “believe,” “plan,” “estimate,” “intend,” “predict,” “anticipate,” “should,” “could,” “will,” “see,” “likely,” and other similar words. Forward-looking statements by their nature address matters that are, to varying degrees, uncertain, such as statements about our financial and performance targets and other forecasts or expectations regarding business outlook; growth for Schlumberger as a whole and for each of its segments (and for specified business lines, products or geographic areas within each segment); oil and natural gas demand and production growth or reductions; oil and natural gas prices; improvements in operating procedures and technology and our transformation program; capital expenditures by Schlumberger and the oil and gas industry; the business strategies of Schlumberger’s customers; demand for our integrated services; the success of Schlumberger’s joint ventures and alliances and the anticipated benefits of its integration of acquired companies; introduction of new technologies;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demand for our integrated services and new technologies; Schlumberger’s future cash flows; the success of Schlumberger’s transformation efforts; general economic, political and business conditions in key regions of the world; pricing erosion; weather and seasonal factors; operational modifications, delays and cancellations; production declines; inability to acquire target companies or integrate new acquisitions and realize expected synergies;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most recent Forms 10-K, 10-Q, and 8-K filed with or furnished to the U.S.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presentation, and Schlumberger disclaims any intention or obligation to update publicly or revise such statements, whether as a result of new information, future events or otherwise.</w:t>
      </w:r>
    </w:p>
    <w:p>
      <w:pPr>
        <w:sectPr>
          <w:pgSz w:w="11900" w:h="16838" w:orient="portrait"/>
          <w:cols w:equalWidth="0" w:num="1">
            <w:col w:w="11420"/>
          </w:cols>
          <w:pgMar w:left="240" w:top="270" w:right="23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2016</w:t>
      </w:r>
    </w:p>
    <w:sectPr>
      <w:pgSz w:w="11900" w:h="16838" w:orient="portrait"/>
      <w:cols w:equalWidth="0" w:num="1">
        <w:col w:w="10660"/>
      </w:cols>
      <w:pgMar w:left="2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2019-12-05T09:49:21Z</dcterms:created>
  <dcterms:modified xsi:type="dcterms:W3CDTF">2019-12-05T09:49:21Z</dcterms:modified>
</cp:coreProperties>
</file>