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3239"/>
        <w:spacing w:after="0"/>
        <w:rPr>
          <w:sz w:val="20"/>
          <w:szCs w:val="20"/>
          <w:color w:val="auto"/>
        </w:rPr>
      </w:pPr>
      <w:r>
        <w:rPr>
          <w:rFonts w:ascii="Courier New" w:cs="Courier New" w:eastAsia="Courier New" w:hAnsi="Courier New"/>
          <w:sz w:val="15"/>
          <w:szCs w:val="15"/>
          <w:color w:val="auto"/>
        </w:rPr>
        <w:t>2000</w:t>
      </w:r>
    </w:p>
    <w:p>
      <w:pPr>
        <w:spacing w:after="0" w:line="166"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3399"/>
        <w:spacing w:after="0" w:line="237" w:lineRule="auto"/>
        <w:rPr>
          <w:sz w:val="20"/>
          <w:szCs w:val="20"/>
          <w:color w:val="auto"/>
        </w:rPr>
      </w:pPr>
      <w:r>
        <w:rPr>
          <w:rFonts w:ascii="Courier New" w:cs="Courier New" w:eastAsia="Courier New" w:hAnsi="Courier New"/>
          <w:sz w:val="15"/>
          <w:szCs w:val="15"/>
          <w:color w:val="auto"/>
        </w:rPr>
        <w:t>Washington, D.C. 20549</w:t>
      </w:r>
    </w:p>
    <w:p>
      <w:pPr>
        <w:spacing w:after="0" w:line="167"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10-K</w:t>
      </w:r>
    </w:p>
    <w:p>
      <w:pPr>
        <w:spacing w:after="0" w:line="166" w:lineRule="exact"/>
        <w:rPr>
          <w:sz w:val="24"/>
          <w:szCs w:val="24"/>
          <w:color w:val="auto"/>
        </w:rPr>
      </w:pPr>
    </w:p>
    <w:p>
      <w:pPr>
        <w:ind w:left="2980"/>
        <w:spacing w:after="0"/>
        <w:rPr>
          <w:sz w:val="20"/>
          <w:szCs w:val="20"/>
          <w:color w:val="auto"/>
        </w:rPr>
      </w:pPr>
      <w:r>
        <w:rPr>
          <w:rFonts w:ascii="Courier New" w:cs="Courier New" w:eastAsia="Courier New" w:hAnsi="Courier New"/>
          <w:sz w:val="15"/>
          <w:szCs w:val="15"/>
          <w:color w:val="auto"/>
        </w:rPr>
        <w:t>(Mark One)</w:t>
      </w:r>
    </w:p>
    <w:p>
      <w:pPr>
        <w:ind w:left="1060"/>
        <w:spacing w:after="0" w:line="237" w:lineRule="auto"/>
        <w:rPr>
          <w:sz w:val="20"/>
          <w:szCs w:val="20"/>
          <w:color w:val="auto"/>
        </w:rPr>
      </w:pPr>
      <w:r>
        <w:rPr>
          <w:rFonts w:ascii="Courier New" w:cs="Courier New" w:eastAsia="Courier New" w:hAnsi="Courier New"/>
          <w:sz w:val="15"/>
          <w:szCs w:val="15"/>
          <w:color w:val="auto"/>
        </w:rPr>
        <w:t>X ANNUAL REPORT PURSUANT TO SECTION 13 OR 15(d) OF THE</w:t>
      </w:r>
    </w:p>
    <w:p>
      <w:pPr>
        <w:ind w:left="1060"/>
        <w:spacing w:after="0" w:line="238" w:lineRule="auto"/>
        <w:rPr>
          <w:sz w:val="20"/>
          <w:szCs w:val="20"/>
          <w:color w:val="auto"/>
        </w:rPr>
      </w:pPr>
      <w:r>
        <w:rPr>
          <w:rFonts w:ascii="Courier New" w:cs="Courier New" w:eastAsia="Courier New" w:hAnsi="Courier New"/>
          <w:sz w:val="15"/>
          <w:szCs w:val="15"/>
          <w:color w:val="auto"/>
        </w:rPr>
        <w:t>-</w:t>
      </w:r>
    </w:p>
    <w:p>
      <w:pPr>
        <w:ind w:left="2020"/>
        <w:spacing w:after="0" w:line="237" w:lineRule="auto"/>
        <w:rPr>
          <w:sz w:val="20"/>
          <w:szCs w:val="20"/>
          <w:color w:val="auto"/>
        </w:rPr>
      </w:pPr>
      <w:r>
        <w:rPr>
          <w:rFonts w:ascii="Courier New" w:cs="Courier New" w:eastAsia="Courier New" w:hAnsi="Courier New"/>
          <w:sz w:val="15"/>
          <w:szCs w:val="15"/>
          <w:color w:val="auto"/>
        </w:rPr>
        <w:t>SECURITIES EXCHANGE ACT OF 1934</w:t>
      </w:r>
    </w:p>
    <w:p>
      <w:pPr>
        <w:spacing w:after="0" w:line="335" w:lineRule="exact"/>
        <w:rPr>
          <w:sz w:val="24"/>
          <w:szCs w:val="24"/>
          <w:color w:val="auto"/>
        </w:rPr>
      </w:pPr>
    </w:p>
    <w:p>
      <w:pPr>
        <w:ind w:left="1760"/>
        <w:spacing w:after="0"/>
        <w:rPr>
          <w:sz w:val="20"/>
          <w:szCs w:val="20"/>
          <w:color w:val="auto"/>
        </w:rPr>
      </w:pPr>
      <w:r>
        <w:rPr>
          <w:rFonts w:ascii="Courier New" w:cs="Courier New" w:eastAsia="Courier New" w:hAnsi="Courier New"/>
          <w:sz w:val="15"/>
          <w:szCs w:val="15"/>
          <w:color w:val="auto"/>
        </w:rPr>
        <w:t>For fiscal year ended December 31, 2000</w:t>
      </w:r>
    </w:p>
    <w:p>
      <w:pPr>
        <w:ind w:left="36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OR</w:t>
      </w:r>
    </w:p>
    <w:p>
      <w:pPr>
        <w:spacing w:after="0" w:line="166" w:lineRule="exact"/>
        <w:rPr>
          <w:sz w:val="24"/>
          <w:szCs w:val="24"/>
          <w:color w:val="auto"/>
        </w:rPr>
      </w:pPr>
    </w:p>
    <w:p>
      <w:pPr>
        <w:jc w:val="center"/>
        <w:ind w:right="3399"/>
        <w:spacing w:after="0"/>
        <w:rPr>
          <w:sz w:val="20"/>
          <w:szCs w:val="20"/>
          <w:color w:val="auto"/>
        </w:rPr>
      </w:pPr>
      <w:r>
        <w:rPr>
          <w:rFonts w:ascii="Courier New" w:cs="Courier New" w:eastAsia="Courier New" w:hAnsi="Courier New"/>
          <w:sz w:val="15"/>
          <w:szCs w:val="15"/>
          <w:color w:val="auto"/>
        </w:rPr>
        <w:t>TRANSITION REPORT PURSUANT TO SECTION 13 OR 15(d) OF THE</w:t>
      </w:r>
    </w:p>
    <w:p>
      <w:pPr>
        <w:jc w:val="center"/>
        <w:ind w:right="3319"/>
        <w:spacing w:after="0" w:line="237" w:lineRule="auto"/>
        <w:rPr>
          <w:sz w:val="20"/>
          <w:szCs w:val="20"/>
          <w:color w:val="auto"/>
        </w:rPr>
      </w:pPr>
      <w:r>
        <w:rPr>
          <w:rFonts w:ascii="Courier New" w:cs="Courier New" w:eastAsia="Courier New" w:hAnsi="Courier New"/>
          <w:sz w:val="15"/>
          <w:szCs w:val="15"/>
          <w:color w:val="auto"/>
        </w:rPr>
        <w:t>SECURITIES EXCHANGE ACT OF 1934</w:t>
      </w:r>
    </w:p>
    <w:p>
      <w:pPr>
        <w:spacing w:after="0" w:line="335" w:lineRule="exact"/>
        <w:rPr>
          <w:sz w:val="24"/>
          <w:szCs w:val="24"/>
          <w:color w:val="auto"/>
        </w:rPr>
      </w:pPr>
    </w:p>
    <w:p>
      <w:pPr>
        <w:ind w:left="1060"/>
        <w:spacing w:after="0"/>
        <w:rPr>
          <w:sz w:val="20"/>
          <w:szCs w:val="20"/>
          <w:color w:val="auto"/>
        </w:rPr>
      </w:pPr>
      <w:r>
        <w:rPr>
          <w:rFonts w:ascii="Courier New" w:cs="Courier New" w:eastAsia="Courier New" w:hAnsi="Courier New"/>
          <w:sz w:val="15"/>
          <w:szCs w:val="15"/>
          <w:color w:val="auto"/>
        </w:rPr>
        <w:t>For the Transition period from ___________to __________</w:t>
      </w:r>
    </w:p>
    <w:p>
      <w:pPr>
        <w:ind w:left="2200"/>
        <w:spacing w:after="0" w:line="237" w:lineRule="auto"/>
        <w:rPr>
          <w:sz w:val="20"/>
          <w:szCs w:val="20"/>
          <w:color w:val="auto"/>
        </w:rPr>
      </w:pPr>
      <w:r>
        <w:rPr>
          <w:rFonts w:ascii="Courier New" w:cs="Courier New" w:eastAsia="Courier New" w:hAnsi="Courier New"/>
          <w:sz w:val="15"/>
          <w:szCs w:val="15"/>
          <w:color w:val="auto"/>
        </w:rPr>
        <w:t>Commission File Number 1-4601</w:t>
      </w:r>
    </w:p>
    <w:p>
      <w:pPr>
        <w:spacing w:after="0" w:line="335" w:lineRule="exact"/>
        <w:rPr>
          <w:sz w:val="24"/>
          <w:szCs w:val="24"/>
          <w:color w:val="auto"/>
        </w:rPr>
      </w:pPr>
    </w:p>
    <w:p>
      <w:pPr>
        <w:ind w:left="1680"/>
        <w:spacing w:after="0"/>
        <w:rPr>
          <w:sz w:val="20"/>
          <w:szCs w:val="20"/>
          <w:color w:val="auto"/>
        </w:rPr>
      </w:pPr>
      <w:r>
        <w:rPr>
          <w:rFonts w:ascii="Courier New" w:cs="Courier New" w:eastAsia="Courier New" w:hAnsi="Courier New"/>
          <w:sz w:val="15"/>
          <w:szCs w:val="15"/>
          <w:color w:val="auto"/>
        </w:rPr>
        <w:t>Schlumberger N.V. (Schlumberger Limited)</w:t>
      </w:r>
    </w:p>
    <w:p>
      <w:pPr>
        <w:ind w:left="1680"/>
        <w:spacing w:after="0" w:line="237" w:lineRule="auto"/>
        <w:rPr>
          <w:sz w:val="20"/>
          <w:szCs w:val="20"/>
          <w:color w:val="auto"/>
        </w:rPr>
      </w:pPr>
      <w:r>
        <w:rPr>
          <w:rFonts w:ascii="Courier New" w:cs="Courier New" w:eastAsia="Courier New" w:hAnsi="Courier New"/>
          <w:sz w:val="15"/>
          <w:szCs w:val="15"/>
          <w:color w:val="auto"/>
        </w:rPr>
        <w:t>----------------------------------------</w:t>
      </w:r>
    </w:p>
    <w:p>
      <w:pPr>
        <w:ind w:left="1060"/>
        <w:spacing w:after="0" w:line="238"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335"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Netherlands Antilles</w:t>
            </w:r>
          </w:p>
        </w:tc>
        <w:tc>
          <w:tcPr>
            <w:tcW w:w="2280" w:type="dxa"/>
            <w:vAlign w:val="bottom"/>
          </w:tcPr>
          <w:p>
            <w:pPr>
              <w:ind w:left="800"/>
              <w:spacing w:after="0"/>
              <w:rPr>
                <w:sz w:val="20"/>
                <w:szCs w:val="20"/>
                <w:color w:val="auto"/>
              </w:rPr>
            </w:pPr>
            <w:r>
              <w:rPr>
                <w:rFonts w:ascii="Courier New" w:cs="Courier New" w:eastAsia="Courier New" w:hAnsi="Courier New"/>
                <w:sz w:val="15"/>
                <w:szCs w:val="15"/>
                <w:color w:val="auto"/>
              </w:rPr>
              <w:t>52-0684746</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or other jurisdiction of</w:t>
            </w:r>
          </w:p>
        </w:tc>
        <w:tc>
          <w:tcPr>
            <w:tcW w:w="228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(IRS Employer</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incorporation or organization)</w:t>
            </w:r>
          </w:p>
        </w:tc>
        <w:tc>
          <w:tcPr>
            <w:tcW w:w="228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Identification No.)</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277 Park Avenue</w:t>
            </w:r>
          </w:p>
        </w:tc>
        <w:tc>
          <w:tcPr>
            <w:tcW w:w="2280" w:type="dxa"/>
            <w:vAlign w:val="bottom"/>
          </w:tcPr>
          <w:p>
            <w:pPr>
              <w:spacing w:after="0"/>
              <w:rPr>
                <w:sz w:val="24"/>
                <w:szCs w:val="24"/>
                <w:color w:val="auto"/>
              </w:rPr>
            </w:pP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New York, New York, U.S.A.</w:t>
            </w:r>
          </w:p>
        </w:tc>
        <w:tc>
          <w:tcPr>
            <w:tcW w:w="2280" w:type="dxa"/>
            <w:vAlign w:val="bottom"/>
          </w:tcPr>
          <w:p>
            <w:pPr>
              <w:ind w:left="800"/>
              <w:spacing w:after="0"/>
              <w:rPr>
                <w:sz w:val="20"/>
                <w:szCs w:val="20"/>
                <w:color w:val="auto"/>
              </w:rPr>
            </w:pPr>
            <w:r>
              <w:rPr>
                <w:rFonts w:ascii="Courier New" w:cs="Courier New" w:eastAsia="Courier New" w:hAnsi="Courier New"/>
                <w:sz w:val="15"/>
                <w:szCs w:val="15"/>
                <w:color w:val="auto"/>
              </w:rPr>
              <w:t>10172-0266</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42, rue Saint-Dominique</w:t>
            </w:r>
          </w:p>
        </w:tc>
        <w:tc>
          <w:tcPr>
            <w:tcW w:w="2280" w:type="dxa"/>
            <w:vAlign w:val="bottom"/>
          </w:tcPr>
          <w:p>
            <w:pPr>
              <w:spacing w:after="0"/>
              <w:rPr>
                <w:sz w:val="24"/>
                <w:szCs w:val="24"/>
                <w:color w:val="auto"/>
              </w:rPr>
            </w:pP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Paris, France</w:t>
            </w:r>
          </w:p>
        </w:tc>
        <w:tc>
          <w:tcPr>
            <w:tcW w:w="2280" w:type="dxa"/>
            <w:vAlign w:val="bottom"/>
          </w:tcPr>
          <w:p>
            <w:pPr>
              <w:jc w:val="center"/>
              <w:ind w:left="187"/>
              <w:spacing w:after="0"/>
              <w:rPr>
                <w:sz w:val="20"/>
                <w:szCs w:val="20"/>
                <w:color w:val="auto"/>
              </w:rPr>
            </w:pPr>
            <w:r>
              <w:rPr>
                <w:rFonts w:ascii="Courier New" w:cs="Courier New" w:eastAsia="Courier New" w:hAnsi="Courier New"/>
                <w:sz w:val="15"/>
                <w:szCs w:val="15"/>
                <w:color w:val="auto"/>
                <w:w w:val="93"/>
              </w:rPr>
              <w:t>75007</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Parkstraat 83,</w:t>
            </w:r>
          </w:p>
        </w:tc>
        <w:tc>
          <w:tcPr>
            <w:tcW w:w="2280" w:type="dxa"/>
            <w:vAlign w:val="bottom"/>
          </w:tcPr>
          <w:p>
            <w:pPr>
              <w:spacing w:after="0"/>
              <w:rPr>
                <w:sz w:val="24"/>
                <w:szCs w:val="2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The Hague,</w:t>
            </w:r>
          </w:p>
        </w:tc>
        <w:tc>
          <w:tcPr>
            <w:tcW w:w="2280" w:type="dxa"/>
            <w:vAlign w:val="bottom"/>
          </w:tcPr>
          <w:p>
            <w:pPr>
              <w:spacing w:after="0"/>
              <w:rPr>
                <w:sz w:val="14"/>
                <w:szCs w:val="14"/>
                <w:color w:val="auto"/>
              </w:rPr>
            </w:pP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The Netherlands</w:t>
            </w:r>
          </w:p>
        </w:tc>
        <w:tc>
          <w:tcPr>
            <w:tcW w:w="228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8"/>
              </w:rPr>
              <w:t>2514 JG</w:t>
            </w:r>
          </w:p>
        </w:tc>
      </w:tr>
      <w:tr>
        <w:trPr>
          <w:trHeight w:val="336"/>
        </w:trPr>
        <w:tc>
          <w:tcPr>
            <w:tcW w:w="438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2280" w:type="dxa"/>
            <w:vAlign w:val="bottom"/>
          </w:tcPr>
          <w:p>
            <w:pPr>
              <w:ind w:left="800"/>
              <w:spacing w:after="0"/>
              <w:rPr>
                <w:sz w:val="20"/>
                <w:szCs w:val="20"/>
                <w:color w:val="auto"/>
              </w:rPr>
            </w:pPr>
            <w:r>
              <w:rPr>
                <w:rFonts w:ascii="Courier New" w:cs="Courier New" w:eastAsia="Courier New" w:hAnsi="Courier New"/>
                <w:sz w:val="15"/>
                <w:szCs w:val="15"/>
                <w:color w:val="auto"/>
                <w:w w:val="95"/>
              </w:rPr>
              <w:t>-----------------</w:t>
            </w:r>
          </w:p>
        </w:tc>
      </w:tr>
      <w:tr>
        <w:trPr>
          <w:trHeight w:val="168"/>
        </w:trPr>
        <w:tc>
          <w:tcPr>
            <w:tcW w:w="4380" w:type="dxa"/>
            <w:vAlign w:val="bottom"/>
          </w:tcPr>
          <w:p>
            <w:pPr>
              <w:spacing w:after="0" w:line="168" w:lineRule="exact"/>
              <w:rPr>
                <w:sz w:val="20"/>
                <w:szCs w:val="20"/>
                <w:color w:val="auto"/>
              </w:rPr>
            </w:pPr>
            <w:r>
              <w:rPr>
                <w:rFonts w:ascii="Courier New" w:cs="Courier New" w:eastAsia="Courier New" w:hAnsi="Courier New"/>
                <w:sz w:val="15"/>
                <w:szCs w:val="15"/>
                <w:color w:val="auto"/>
              </w:rPr>
              <w:t>(Addresses of principal executive offices)</w:t>
            </w:r>
          </w:p>
        </w:tc>
        <w:tc>
          <w:tcPr>
            <w:tcW w:w="2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(Zip Codes)</w:t>
            </w:r>
          </w:p>
        </w:tc>
      </w:tr>
    </w:tbl>
    <w:p>
      <w:pPr>
        <w:spacing w:after="0" w:line="200" w:lineRule="exact"/>
        <w:rPr>
          <w:sz w:val="24"/>
          <w:szCs w:val="24"/>
          <w:color w:val="auto"/>
        </w:rPr>
      </w:pPr>
    </w:p>
    <w:p>
      <w:pPr>
        <w:spacing w:after="0" w:line="303" w:lineRule="exact"/>
        <w:rPr>
          <w:sz w:val="24"/>
          <w:szCs w:val="24"/>
          <w:color w:val="auto"/>
        </w:rPr>
      </w:pPr>
    </w:p>
    <w:p>
      <w:pPr>
        <w:ind w:left="100"/>
        <w:spacing w:after="0"/>
        <w:rPr>
          <w:sz w:val="20"/>
          <w:szCs w:val="20"/>
          <w:color w:val="auto"/>
        </w:rPr>
      </w:pPr>
      <w:r>
        <w:rPr>
          <w:rFonts w:ascii="Courier New" w:cs="Courier New" w:eastAsia="Courier New" w:hAnsi="Courier New"/>
          <w:sz w:val="15"/>
          <w:szCs w:val="15"/>
          <w:color w:val="auto"/>
        </w:rPr>
        <w:t>Registrant's telephone number in the United States, including area code, is:</w:t>
      </w:r>
    </w:p>
    <w:p>
      <w:pPr>
        <w:ind w:left="3340" w:hanging="532"/>
        <w:spacing w:after="0" w:line="237" w:lineRule="auto"/>
        <w:tabs>
          <w:tab w:leader="none" w:pos="334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350-9400.</w:t>
      </w:r>
    </w:p>
    <w:p>
      <w:pPr>
        <w:spacing w:after="0" w:line="335" w:lineRule="exact"/>
        <w:rPr>
          <w:rFonts w:ascii="Courier New" w:cs="Courier New" w:eastAsia="Courier New" w:hAnsi="Courier New"/>
          <w:sz w:val="15"/>
          <w:szCs w:val="15"/>
          <w:color w:val="auto"/>
        </w:rPr>
      </w:pPr>
    </w:p>
    <w:p>
      <w:pPr>
        <w:ind w:left="2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(Cover page 1 of 2 pages)</w:t>
      </w:r>
    </w:p>
    <w:p>
      <w:pPr>
        <w:sectPr>
          <w:pgSz w:w="11900" w:h="16838" w:orient="portrait"/>
          <w:cols w:equalWidth="0" w:num="1">
            <w:col w:w="10239"/>
          </w:cols>
          <w:pgMar w:left="220" w:top="729" w:right="1440" w:bottom="1440" w:gutter="0" w:footer="0" w:header="0"/>
        </w:sectPr>
      </w:pPr>
    </w:p>
    <w:bookmarkStart w:id="1" w:name="page2"/>
    <w:bookmarkEnd w:id="1"/>
    <w:p>
      <w:pPr>
        <w:ind w:left="880"/>
        <w:spacing w:after="0"/>
        <w:rPr>
          <w:sz w:val="20"/>
          <w:szCs w:val="20"/>
          <w:color w:val="auto"/>
        </w:rPr>
      </w:pPr>
      <w:r>
        <w:rPr>
          <w:rFonts w:ascii="Courier New" w:cs="Courier New" w:eastAsia="Courier New" w:hAnsi="Courier New"/>
          <w:sz w:val="14"/>
          <w:szCs w:val="14"/>
          <w:color w:val="auto"/>
        </w:rPr>
        <w:t>Securities registered pursuant to Section 12(b) of the Act:</w:t>
      </w:r>
    </w:p>
    <w:p>
      <w:pPr>
        <w:sectPr>
          <w:pgSz w:w="11900" w:h="16838" w:orient="portrait"/>
          <w:cols w:equalWidth="0" w:num="1">
            <w:col w:w="10239"/>
          </w:cols>
          <w:pgMar w:left="220" w:top="624" w:right="1440" w:bottom="1440" w:gutter="0" w:footer="0" w:header="0"/>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 of each class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 of each exchange on which registered</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2700" w:space="720"/>
            <w:col w:w="6819"/>
          </w:cols>
          <w:pgMar w:left="220" w:top="624"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Par Value $0.01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New York Stock Exchange</w:t>
      </w:r>
    </w:p>
    <w:p>
      <w:pPr>
        <w:spacing w:after="0" w:line="237" w:lineRule="auto"/>
        <w:rPr>
          <w:sz w:val="20"/>
          <w:szCs w:val="20"/>
          <w:color w:val="auto"/>
        </w:rPr>
      </w:pPr>
      <w:r>
        <w:rPr>
          <w:rFonts w:ascii="Courier New" w:cs="Courier New" w:eastAsia="Courier New" w:hAnsi="Courier New"/>
          <w:sz w:val="15"/>
          <w:szCs w:val="15"/>
          <w:color w:val="auto"/>
        </w:rPr>
        <w:t>Euronext Paris</w:t>
      </w:r>
    </w:p>
    <w:p>
      <w:pPr>
        <w:spacing w:after="0" w:line="238" w:lineRule="auto"/>
        <w:rPr>
          <w:sz w:val="20"/>
          <w:szCs w:val="20"/>
          <w:color w:val="auto"/>
        </w:rPr>
      </w:pPr>
      <w:r>
        <w:rPr>
          <w:rFonts w:ascii="Courier New" w:cs="Courier New" w:eastAsia="Courier New" w:hAnsi="Courier New"/>
          <w:sz w:val="15"/>
          <w:szCs w:val="15"/>
          <w:color w:val="auto"/>
        </w:rPr>
        <w:t>The London Stock Exchange</w:t>
      </w:r>
    </w:p>
    <w:p>
      <w:pPr>
        <w:spacing w:after="0" w:line="237" w:lineRule="auto"/>
        <w:rPr>
          <w:sz w:val="20"/>
          <w:szCs w:val="20"/>
          <w:color w:val="auto"/>
        </w:rPr>
      </w:pPr>
      <w:r>
        <w:rPr>
          <w:rFonts w:ascii="Courier New" w:cs="Courier New" w:eastAsia="Courier New" w:hAnsi="Courier New"/>
          <w:sz w:val="15"/>
          <w:szCs w:val="15"/>
          <w:color w:val="auto"/>
        </w:rPr>
        <w:t>Amsterdam Stock Exchange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BES (Bourse Electronique Swisse)</w:t>
      </w:r>
    </w:p>
    <w:p>
      <w:pPr>
        <w:spacing w:after="0" w:line="171" w:lineRule="exact"/>
        <w:rPr>
          <w:sz w:val="20"/>
          <w:szCs w:val="20"/>
          <w:color w:val="auto"/>
        </w:rPr>
      </w:pPr>
    </w:p>
    <w:p>
      <w:pPr>
        <w:sectPr>
          <w:pgSz w:w="11900" w:h="16838" w:orient="portrait"/>
          <w:cols w:equalWidth="0" w:num="2">
            <w:col w:w="3220" w:space="720"/>
            <w:col w:w="6299"/>
          </w:cols>
          <w:pgMar w:left="220" w:top="624" w:right="1440" w:bottom="1440" w:gutter="0" w:footer="0" w:header="0"/>
          <w:type w:val="continuous"/>
        </w:sectPr>
      </w:pPr>
    </w:p>
    <w:p>
      <w:pPr>
        <w:jc w:val="center"/>
        <w:ind w:right="3319"/>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None</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Indicate by check mark whether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ectPr>
          <w:pgSz w:w="11900" w:h="16838" w:orient="portrait"/>
          <w:cols w:equalWidth="0" w:num="1">
            <w:col w:w="10239"/>
          </w:cols>
          <w:pgMar w:left="220" w:top="624" w:right="1440" w:bottom="1440" w:gutter="0" w:footer="0" w:header="0"/>
          <w:type w:val="continuous"/>
        </w:sectPr>
      </w:pP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YES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jc w:val="center"/>
        <w:ind w:right="2960"/>
        <w:spacing w:after="0"/>
        <w:rPr>
          <w:sz w:val="20"/>
          <w:szCs w:val="20"/>
          <w:color w:val="auto"/>
        </w:rPr>
      </w:pPr>
      <w:r>
        <w:rPr>
          <w:rFonts w:ascii="Courier New" w:cs="Courier New" w:eastAsia="Courier New" w:hAnsi="Courier New"/>
          <w:sz w:val="15"/>
          <w:szCs w:val="15"/>
          <w:color w:val="auto"/>
        </w:rPr>
        <w:t>X</w:t>
      </w:r>
    </w:p>
    <w:p>
      <w:pPr>
        <w:spacing w:after="0" w:line="5" w:lineRule="exact"/>
        <w:rPr>
          <w:sz w:val="20"/>
          <w:szCs w:val="20"/>
          <w:color w:val="auto"/>
        </w:rPr>
      </w:pPr>
    </w:p>
    <w:p>
      <w:pPr>
        <w:jc w:val="center"/>
        <w:ind w:right="29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 ___</w:t>
      </w:r>
    </w:p>
    <w:p>
      <w:pPr>
        <w:spacing w:after="0" w:line="346" w:lineRule="exact"/>
        <w:rPr>
          <w:sz w:val="20"/>
          <w:szCs w:val="20"/>
          <w:color w:val="auto"/>
        </w:rPr>
      </w:pPr>
    </w:p>
    <w:p>
      <w:pPr>
        <w:sectPr>
          <w:pgSz w:w="11900" w:h="16838" w:orient="portrait"/>
          <w:cols w:equalWidth="0" w:num="3">
            <w:col w:w="980" w:space="80"/>
            <w:col w:w="3220" w:space="720"/>
            <w:col w:w="5239"/>
          </w:cols>
          <w:pgMar w:left="220" w:top="624" w:right="1440" w:bottom="1440" w:gutter="0" w:footer="0" w:header="0"/>
          <w:type w:val="continuous"/>
        </w:sectPr>
      </w:pPr>
    </w:p>
    <w:p>
      <w:pPr>
        <w:ind w:right="3239"/>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[X]</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As of February 22, 2001, the aggregate market value of the voting stock held by non-affiliates, calculated on the basis of the closing price on the NYSE Composite Tape, was $31,888,385,858.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February 22, 2001, Number of Shares of Common Stock Outstanding:</w:t>
      </w:r>
    </w:p>
    <w:p>
      <w:pPr>
        <w:spacing w:after="0" w:line="237" w:lineRule="auto"/>
        <w:rPr>
          <w:sz w:val="20"/>
          <w:szCs w:val="20"/>
          <w:color w:val="auto"/>
        </w:rPr>
      </w:pPr>
      <w:r>
        <w:rPr>
          <w:rFonts w:ascii="Courier New" w:cs="Courier New" w:eastAsia="Courier New" w:hAnsi="Courier New"/>
          <w:sz w:val="15"/>
          <w:szCs w:val="15"/>
          <w:color w:val="auto"/>
        </w:rPr>
        <w:t>573,125,405.</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Portions of the following documents have been incorporated herein by reference into the Parts indicated:</w:t>
      </w:r>
    </w:p>
    <w:p>
      <w:pPr>
        <w:spacing w:after="0" w:line="173" w:lineRule="exact"/>
        <w:rPr>
          <w:sz w:val="20"/>
          <w:szCs w:val="20"/>
          <w:color w:val="auto"/>
        </w:rPr>
      </w:pPr>
    </w:p>
    <w:p>
      <w:pPr>
        <w:ind w:left="440" w:right="3759" w:firstLine="350"/>
        <w:spacing w:after="0" w:line="261" w:lineRule="auto"/>
        <w:rPr>
          <w:sz w:val="20"/>
          <w:szCs w:val="20"/>
          <w:color w:val="auto"/>
        </w:rPr>
      </w:pPr>
      <w:r>
        <w:rPr>
          <w:rFonts w:ascii="Courier New" w:cs="Courier New" w:eastAsia="Courier New" w:hAnsi="Courier New"/>
          <w:sz w:val="14"/>
          <w:szCs w:val="14"/>
          <w:color w:val="auto"/>
        </w:rPr>
        <w:t>Definitive Proxy Statement for the Annual General Meeting of Stockholders to be held April 11, 2001 ("Proxy Statement"), Part III.</w:t>
      </w:r>
    </w:p>
    <w:p>
      <w:pPr>
        <w:spacing w:after="0" w:line="153"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(Cover page 2 of 2 pages)</w:t>
      </w:r>
    </w:p>
    <w:p>
      <w:pPr>
        <w:sectPr>
          <w:pgSz w:w="11900" w:h="16838" w:orient="portrait"/>
          <w:cols w:equalWidth="0" w:num="1">
            <w:col w:w="10239"/>
          </w:cols>
          <w:pgMar w:left="220" w:top="624" w:right="1440"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5"/>
          <w:szCs w:val="15"/>
          <w:color w:val="auto"/>
        </w:rPr>
        <w:t>PART I</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7" w:right="1440" w:bottom="1440" w:gutter="0" w:footer="0" w:header="0"/>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700" w:space="620"/>
            <w:col w:w="8919"/>
          </w:cols>
          <w:pgMar w:left="220" w:top="617" w:right="1440" w:bottom="1440" w:gutter="0" w:footer="0" w:header="0"/>
          <w:type w:val="continuous"/>
        </w:sectPr>
      </w:pPr>
    </w:p>
    <w:p>
      <w:pPr>
        <w:ind w:right="3239"/>
        <w:spacing w:after="0" w:line="254" w:lineRule="auto"/>
        <w:rPr>
          <w:sz w:val="20"/>
          <w:szCs w:val="20"/>
          <w:color w:val="auto"/>
        </w:rPr>
      </w:pPr>
      <w:r>
        <w:rPr>
          <w:rFonts w:ascii="Courier New" w:cs="Courier New" w:eastAsia="Courier New" w:hAnsi="Courier New"/>
          <w:sz w:val="14"/>
          <w:szCs w:val="14"/>
          <w:color w:val="auto"/>
        </w:rPr>
        <w:t>All references herein to "Registrant" and "Company" refer to Schlumberger Limited and its consolidated subsidiaries. Registrant operates three businesses:</w:t>
      </w:r>
    </w:p>
    <w:p>
      <w:pPr>
        <w:spacing w:after="0" w:line="1" w:lineRule="exact"/>
        <w:rPr>
          <w:sz w:val="20"/>
          <w:szCs w:val="20"/>
          <w:color w:val="auto"/>
        </w:rPr>
      </w:pPr>
    </w:p>
    <w:p>
      <w:pPr>
        <w:ind w:right="3239" w:firstLine="10"/>
        <w:spacing w:after="0" w:line="235" w:lineRule="auto"/>
        <w:tabs>
          <w:tab w:leader="none" w:pos="3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Oilfield Services, (2) Resource Management Services, and (3) Test &amp; Transactions. The following discussion and analysis of results should be read in conjunction with the Consolidated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Oilfield Services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Oilfield Services is the leading supplier of services and technology to the international petroleum industry. It provides virtually every type of service to the upstream exploration and production industry. The business segment is managed geographically. Within the four geographic areas are 28 GeoMarket regions, which bring together geographically focused teams to meet local needs and to provide customized solutions. New technology development is performed by 13 Service Groups to exploit synergies and to introduce innovative solutions into the delivery of products and services within the GeoMarket regions. The Service Groups reflect key areas of Schlumberger expertise. They are organized into three Product Groups that represent the key processes that dominate oil company requirements throughout the life cycle of the reservoir. Reservoir Evaluation combines wireline and seismic services. Reservoir Development combines all services relevant to well construction and well productivity: directional drilling, pressure pumping, drilling fluids, testing, drilling bits, electrical submersible pumps and completion products. Reservoir Management combines integrated services, the software products, data management services and consulting services of GeoQuest, gas compression services and the production systems business.</w:t>
      </w:r>
    </w:p>
    <w:p>
      <w:pPr>
        <w:spacing w:after="0" w:line="17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Registant's oilfield services are marketed by its own personnel. The customer base, business risks, and opportunities for growth are essentially uniform across all services. There is a sharing of production facilities and research centers; labor force is interchangeable. Technological innovation, quality of service, and price are the principal methods of competition. Competition varies geographically with respect to the different services offered. While there are numerous competitors, both large and small, Registrant believes that it is an industry leader in providing seismic services, measurements-while-drilling and logging-while-drilling services,and fully computerized wireline logging and geoscience software and computing services. Land and marine seismic operations and technologies are managed and developed by WesternGeco, a Schlumberger/Baker-Hughes joint venture.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Resource Management Services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Resource Management Services (RMS) provides professional business services for utilities, energy service providers and industry worldwide. Through consulting, meter deployment and management, data collection and processing, and information analysis, RMS helps clients achieve network optimization, greater operating efficiency and increased customer loyalty in all utility sectors - water, gas, electricity and heat.</w:t>
      </w:r>
    </w:p>
    <w:p>
      <w:pPr>
        <w:spacing w:after="0" w:line="175"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RMS is a global systems integration provider to IT-driven electricity, gas and water resource clients worldwide. RMS helps their customers build, deploy and operate modern utility business models.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w:t>
      </w:r>
    </w:p>
    <w:p>
      <w:pPr>
        <w:sectPr>
          <w:pgSz w:w="11900" w:h="16838" w:orient="portrait"/>
          <w:cols w:equalWidth="0" w:num="1">
            <w:col w:w="10239"/>
          </w:cols>
          <w:pgMar w:left="220" w:top="617" w:right="1440" w:bottom="1440" w:gutter="0" w:footer="0" w:header="0"/>
          <w:type w:val="continuous"/>
        </w:sectPr>
      </w:pPr>
    </w:p>
    <w:bookmarkStart w:id="3" w:name="page4"/>
    <w:bookmarkEnd w:id="3"/>
    <w:p>
      <w:pPr>
        <w:ind w:right="3319"/>
        <w:spacing w:after="0" w:line="236" w:lineRule="auto"/>
        <w:rPr>
          <w:sz w:val="20"/>
          <w:szCs w:val="20"/>
          <w:color w:val="auto"/>
        </w:rPr>
      </w:pPr>
      <w:r>
        <w:rPr>
          <w:rFonts w:ascii="Courier New" w:cs="Courier New" w:eastAsia="Courier New" w:hAnsi="Courier New"/>
          <w:sz w:val="15"/>
          <w:szCs w:val="15"/>
          <w:color w:val="auto"/>
        </w:rPr>
        <w:t>The Resource Management Services group delivers strategic consulting from front to back office and to utility end-users, within or outside traditional utility boundaries. Strategic methodologies, implementation and business processes combined with smart measurement products, systems and services create greater efficiencies and market value for RMS clients across their business chain through RMS' proprietary Digital Utility(TM).</w:t>
      </w:r>
    </w:p>
    <w:p>
      <w:pPr>
        <w:spacing w:after="0" w:line="17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Behind its Digital Utility, RMS designs systems for management of electricity distribution and usage (residential metering and energy management systems; utility revenue collection systems; commercial, industrial, transmission and distribution measurement and billing products and systems; and load management systems); systems for management of gas usage (residential, commercial and industrial gas meters; regulators, governors, safety valves, stations and systems; gas treatment including filtration, odorization and heating; network management; and prepayment systems); meters and systems for management of residential, commercial and industrial water usage covering the range of effective water distribution management and diverse heat distribution and industrial applications; meter communication systems, including remote metering and wireless communication systems for utility markets; distributed measurement solutions, systems integration and data services; and services, providing software and turnkey installation, repair and maintenance solutions to add value in fully managed projects.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Test &amp; Transactions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Test &amp; Transactions provides consulting, integration and products for testing and measurement of semiconductor devices, smart card-based transactions, IP (Internet protocol) network security and wireless services.</w:t>
      </w:r>
    </w:p>
    <w:p>
      <w:pPr>
        <w:spacing w:after="0" w:line="16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Test &amp; Transactions comprises four units: Network Solutions, e-Transactions Solutions, Semiconductor Solutions and Smart Cards. Test &amp; Transactions designs and implements customized solutions to help customers improve time to market, optimize business opportunities and increase productivity. Test &amp; Transactions provides information technology and communication services, including the design, deployment, and operation of secure IP (Internet protocol) networks, security and wireless applications. It provides microprocessor-based smart cards, magnetic stripe cards, terminals, equipment and transaction management systems for a wide range of industries, including retail and banking, parking and mass transit, and campus communities. It also designs products and services for testing, probing and handling semiconductor devices and complete network element characterization and testing for the telecommunications industry.</w:t>
      </w:r>
    </w:p>
    <w:p>
      <w:pPr>
        <w:spacing w:after="0" w:line="16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Products of the Resource Management Services and the Test &amp; Transactions industry segments are primarily sold through Registrant's own sales force, augmented through distributors and representatives. The nature of the product range and customer profile allow for transferability of sales personnel and cross-product sales forces in key geographic areas. Such teams operate in Asia, Russia, South America and Central America. Product demand and pricing are affected by global and national economic conditions. The price of products in this industry segment varies from less than one hundred dollars to more than a million dollars. There are numerous competitors with regard to these products, and the principal methods of competition are price, performance, and service.</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10239"/>
          </w:cols>
          <w:pgMar w:left="220" w:top="624" w:right="1440" w:bottom="1440" w:gutter="0" w:footer="0" w:header="0"/>
        </w:sectPr>
      </w:pPr>
    </w:p>
    <w:bookmarkStart w:id="4" w:name="page5"/>
    <w:bookmarkEnd w:id="4"/>
    <w:p>
      <w:pPr>
        <w:spacing w:after="0"/>
        <w:rPr>
          <w:sz w:val="20"/>
          <w:szCs w:val="20"/>
          <w:color w:val="auto"/>
        </w:rPr>
      </w:pPr>
      <w:r>
        <w:rPr>
          <w:rFonts w:ascii="Courier New" w:cs="Courier New" w:eastAsia="Courier New" w:hAnsi="Courier New"/>
          <w:sz w:val="15"/>
          <w:szCs w:val="15"/>
          <w:color w:val="auto"/>
        </w:rPr>
        <w:t>Acquisitions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Information on acquisitions made by the Registrant or its subsidiaries appears under the heading "Acquisitions" on page 37 of this 10-K Report.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&amp; Development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Research to support the engineering and development efforts of Registrant's activities is conducted at Schlumberger Austin Product Center, Austin, Texas; Schlumberger Doll Research, Ridgefield, Connecticut; Schlumberger Cambridge Research, Cambridge, England, and at Montrouge, France; Stavanger, Norway; Moscow, Russia and Dhahran, Saudi Arabia.</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Patents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While Registrant seeks and holds numerous patents, no particular patent or group of patents is considered material to Registrant's business.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Although weather and natural phenomena can temporarily affect delivery of oilfield services, the widespread geographic location of such services precludes the overall business from being characterized as seasonal. However, because oilfield services are provided in the Northern Hemisphere, severe winter weather can temporarily affect the delivery of such services and products in the winter months.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Customers and Backlog of Orders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right="3319"/>
        <w:spacing w:after="0" w:line="236" w:lineRule="auto"/>
        <w:rPr>
          <w:sz w:val="20"/>
          <w:szCs w:val="20"/>
          <w:color w:val="auto"/>
        </w:rPr>
      </w:pPr>
      <w:r>
        <w:rPr>
          <w:rFonts w:ascii="Courier New" w:cs="Courier New" w:eastAsia="Courier New" w:hAnsi="Courier New"/>
          <w:sz w:val="15"/>
          <w:szCs w:val="15"/>
          <w:color w:val="auto"/>
        </w:rPr>
        <w:t>No single customer exceeded 10% of consolidated revenue. Oilfield Services has no backlog since it is primarily service rather than product related. Resource Management Services and Test &amp; Transactions had respective backlogs of orders, believed to be firm, of $460 million and $430 million at December 31, 2000, and $417 million and $314 million at December 31, 1999. There is no assurance that any of the current backlog will actually result in sales.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 Contracts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No material portion of Registrant's business is subject to renegotiation of profits or termination of contracts by the US Government.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December 31, 2000, Registrant had approximately 60,000 employees.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Non-US Operations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Registrant's non-US operations are subject to the usual risks which may affect such operations. Such risks include unsettled political conditions in certain areas, exposure to possible expropriation or other governmental actions, exchange controls, and currency fluctuations. Although it is impossible to predict such occurrences or their effect on the Registrant, management believes these risks to be acceptable.</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785" w:right="1440"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5"/>
          <w:szCs w:val="15"/>
          <w:color w:val="auto"/>
        </w:rPr>
        <w:t>Environmental Protection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right="3839"/>
        <w:spacing w:after="0" w:line="235" w:lineRule="auto"/>
        <w:rPr>
          <w:sz w:val="20"/>
          <w:szCs w:val="20"/>
          <w:color w:val="auto"/>
        </w:rPr>
      </w:pPr>
      <w:r>
        <w:rPr>
          <w:rFonts w:ascii="Courier New" w:cs="Courier New" w:eastAsia="Courier New" w:hAnsi="Courier New"/>
          <w:sz w:val="15"/>
          <w:szCs w:val="15"/>
          <w:color w:val="auto"/>
        </w:rPr>
        <w:t>Compliance with governmental provisions relating to the protection of the environment does not materially affect Registrant's capital expenditures, earnings or competitive position.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Information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Financial information by segment for the years ended December 31, 2000, 1999 and 1998 is given on pages 45, 46 and 47 of this 10-K report, within the "Notes to Consolidated Financial Statements".</w:t>
      </w:r>
    </w:p>
    <w:p>
      <w:pPr>
        <w:sectPr>
          <w:pgSz w:w="11900" w:h="16838" w:orient="portrait"/>
          <w:cols w:equalWidth="0" w:num="1">
            <w:col w:w="10239"/>
          </w:cols>
          <w:pgMar w:left="220" w:top="617" w:right="1440" w:bottom="1440" w:gutter="0" w:footer="0" w:header="0"/>
        </w:sectPr>
      </w:pP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Properties</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700" w:space="620"/>
            <w:col w:w="8919"/>
          </w:cols>
          <w:pgMar w:left="220" w:top="617" w:right="1440" w:bottom="1440" w:gutter="0" w:footer="0" w:header="0"/>
          <w:type w:val="continuous"/>
        </w:sectPr>
      </w:pPr>
    </w:p>
    <w:p>
      <w:pPr>
        <w:ind w:right="3239"/>
        <w:spacing w:after="0" w:line="236" w:lineRule="auto"/>
        <w:rPr>
          <w:sz w:val="20"/>
          <w:szCs w:val="20"/>
          <w:color w:val="auto"/>
        </w:rPr>
      </w:pPr>
      <w:r>
        <w:rPr>
          <w:rFonts w:ascii="Courier New" w:cs="Courier New" w:eastAsia="Courier New" w:hAnsi="Courier New"/>
          <w:sz w:val="15"/>
          <w:szCs w:val="15"/>
          <w:color w:val="auto"/>
        </w:rPr>
        <w:t>Registrant owns or leases manufacturing facilities, administrative offices, service centers, research centers, sales offices and warehouses in North America, Latin America, Europe, Africa, Australia, New Zealand, and Asia. Some facilities are owned in fee and some are held through long-term leases. No significant lease is scheduled to terminate in the near future, and Registrant believes comparable space is readily obtainable should any lease expire without renewal. Registrant believes all of its properties are generally well maintained and adequate for the intended use.</w:t>
      </w:r>
    </w:p>
    <w:p>
      <w:pPr>
        <w:spacing w:after="0" w:line="177"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principal manufacturing facilities related to Oilfield Services are owned in fee or leased. Outside of the United States, they are located at Stonehouse, England; Clamart, France; Fuchinobe, Japan; Belfast, Northern Ireland; Horten and Bergen, Norway; Inverurie, Scotland; and in Singapore.</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Within the United States, the principal manufacturing facilities of the Oilfield Services are located in Lawrence, Kansas; Bartlesville, Oklahoma; Austin, Houston, La Marque, Rosharon, and Sugar Land, Texas.</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Outside of the United States, the principal owned or leased facilities related to Resource Management Services are located at Buenos Aires, Argentina; Adelaide, Australia; Schwechat, Austria; Brussels, Belgium; Americana and Campinas, Brazil; Trois Rivieres, Quebec, Canada; Santiago, Chile; Chongqing, China; Bogota, Colombia; Bagnolet, Chasseneuil, Hagenau, Macon, Massy, and Reims, France; Ettlingen, Hameln, Karlsruhe, and Oldenburg, Germany; Dordrecht, Holland; Godollo, Hungary; Liparang, Indonesia; Asti, Frosinone, and Naples, Italy; Mexico City, Mexico; Lima, Peru; Famalicao, Portugal; Atlantis, South Africa; Montornes, Spain; Taipei County, Taiwan; Kiev, Ukraine; Great Harwood, Port Glasgow and Stretford in the United Kingdom.</w:t>
      </w:r>
    </w:p>
    <w:p>
      <w:pPr>
        <w:spacing w:after="0" w:line="16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Within the United States, Resource Management Services facilities are located in Tallassee, Alabama; San Carlos, California; Norcross, Georgia; Neponset, Illinois; Owenton, Kentucky, and Oconee, South Carolina.</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Outside of the United States, the principal owned or leased facilities of Test &amp; Transactions are located in Buenos Aires, Argentina; Sydney, Australia; Curitiba and Sao Paulo, Brazil; Santiago, Chile; Changsha, Hong Kong and Shenyang, China; Bogota, Colombia; Besancon, Chambray-les-Tours, Orleans, Pont Audemer, and St. Etienne, France; Frankfurt and Munich,</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617" w:right="1440" w:bottom="1440" w:gutter="0" w:footer="0" w:header="0"/>
          <w:type w:val="continuous"/>
        </w:sectPr>
      </w:pPr>
    </w:p>
    <w:bookmarkStart w:id="6" w:name="page7"/>
    <w:bookmarkEnd w:id="6"/>
    <w:p>
      <w:pPr>
        <w:jc w:val="both"/>
        <w:ind w:right="3239"/>
        <w:spacing w:after="0" w:line="235" w:lineRule="auto"/>
        <w:rPr>
          <w:sz w:val="20"/>
          <w:szCs w:val="20"/>
          <w:color w:val="auto"/>
        </w:rPr>
      </w:pPr>
      <w:r>
        <w:rPr>
          <w:rFonts w:ascii="Courier New" w:cs="Courier New" w:eastAsia="Courier New" w:hAnsi="Courier New"/>
          <w:sz w:val="15"/>
          <w:szCs w:val="15"/>
          <w:color w:val="auto"/>
        </w:rPr>
        <w:t>Germany; Jakarta, Indonesia; Fuchinobe, Japan; Mexico City, Mexico; Lima, Peru; Barcelona, Spain; Hsinchu, Taiwan; Felixstowe, Ferndown and London in the United Kingdom; Montevideo, Uruguay; and Caracas, Venezuela; and</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Dubai, United Arab Emirates.</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Within the United States, facilities of Test &amp; Transactions are located in Mobile, Alabama; San Jose and Simi Valley, California; Owings Mill, Maryland; Concord, Massachusetts; Moorestown, New Jersey; Columbus, Ohio; and Houston, Texas.</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following locations serve both Resource Management Services and Test &amp; Transactions: Beijing, China; Montrouge, France; Milan, Italy; New Delhi, India; Jakarta, Indonesia; Kuala Lumpur, Malaysia; St. Petersburg, Russia, and Felixstowe in the United Kingdom.</w:t>
      </w:r>
    </w:p>
    <w:p>
      <w:pPr>
        <w:spacing w:after="0" w:line="344"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See also "Research &amp; Development", on page 3 for a description of research facilities.</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4"/>
          <w:szCs w:val="14"/>
          <w:color w:val="auto"/>
        </w:rPr>
        <w:t>Legal Proceedings</w:t>
      </w:r>
    </w:p>
    <w:p>
      <w:pPr>
        <w:spacing w:after="0"/>
        <w:tabs>
          <w:tab w:leader="none" w:pos="14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information with respect to Item 3 is set forth under the heading "Contingencies" (page 44 of this 10-K Report) within the "Notes to Consolidated Financial Statements" as part of Item 8, "Financial Statements and Supplementary Data".</w:t>
      </w:r>
    </w:p>
    <w:p>
      <w:pPr>
        <w:spacing w:after="0" w:line="169"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4"/>
          <w:szCs w:val="14"/>
          <w:color w:val="auto"/>
        </w:rPr>
        <w:t>Submission of matters to a vote of security holders</w:t>
      </w:r>
    </w:p>
    <w:p>
      <w:pPr>
        <w:spacing w:after="0"/>
        <w:tabs>
          <w:tab w:leader="none" w:pos="14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No matters were submitted to a vote of Registrant's Security holders during the fourth quarter of the fiscal year covered by this report.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Information with respect to the executive officers of the Registrant and their ages as of March 1, 2000 is set forth below. The positions have been held for at least five years, except where stated.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00" w:type="dxa"/>
            <w:vAlign w:val="bottom"/>
          </w:tcPr>
          <w:p>
            <w:pPr>
              <w:spacing w:after="0"/>
              <w:rPr>
                <w:sz w:val="20"/>
                <w:szCs w:val="20"/>
                <w:color w:val="auto"/>
              </w:rPr>
            </w:pPr>
            <w:r>
              <w:rPr>
                <w:rFonts w:ascii="Courier New" w:cs="Courier New" w:eastAsia="Courier New" w:hAnsi="Courier New"/>
                <w:sz w:val="15"/>
                <w:szCs w:val="15"/>
                <w:color w:val="auto"/>
              </w:rPr>
              <w:t>Name</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Age</w:t>
            </w:r>
          </w:p>
        </w:tc>
        <w:tc>
          <w:tcPr>
            <w:tcW w:w="4640" w:type="dxa"/>
            <w:vAlign w:val="bottom"/>
          </w:tcPr>
          <w:p>
            <w:pPr>
              <w:ind w:left="100"/>
              <w:spacing w:after="0"/>
              <w:rPr>
                <w:sz w:val="20"/>
                <w:szCs w:val="20"/>
                <w:color w:val="auto"/>
              </w:rPr>
            </w:pPr>
            <w:r>
              <w:rPr>
                <w:rFonts w:ascii="Courier New" w:cs="Courier New" w:eastAsia="Courier New" w:hAnsi="Courier New"/>
                <w:sz w:val="15"/>
                <w:szCs w:val="15"/>
                <w:color w:val="auto"/>
              </w:rPr>
              <w:t>Present Position and Five-Year Business Experience</w:t>
            </w:r>
          </w:p>
        </w:tc>
      </w:tr>
      <w:tr>
        <w:trPr>
          <w:trHeight w:val="168"/>
        </w:trPr>
        <w:tc>
          <w:tcPr>
            <w:tcW w:w="21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0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6"/>
              </w:rPr>
              <w:t>------ --------------------------------------------------</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D. Euan Baird</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63</w:t>
            </w:r>
          </w:p>
        </w:tc>
        <w:tc>
          <w:tcPr>
            <w:tcW w:w="4640" w:type="dxa"/>
            <w:vAlign w:val="bottom"/>
          </w:tcPr>
          <w:p>
            <w:pPr>
              <w:ind w:left="260"/>
              <w:spacing w:after="0"/>
              <w:rPr>
                <w:sz w:val="20"/>
                <w:szCs w:val="20"/>
                <w:color w:val="auto"/>
              </w:rPr>
            </w:pPr>
            <w:r>
              <w:rPr>
                <w:rFonts w:ascii="Courier New" w:cs="Courier New" w:eastAsia="Courier New" w:hAnsi="Courier New"/>
                <w:sz w:val="15"/>
                <w:szCs w:val="15"/>
                <w:color w:val="auto"/>
              </w:rPr>
              <w:t>Chairman, President and Chief Executive Officer.</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Victor E. Grijalva</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62</w:t>
            </w:r>
          </w:p>
        </w:tc>
        <w:tc>
          <w:tcPr>
            <w:tcW w:w="4640" w:type="dxa"/>
            <w:vAlign w:val="bottom"/>
          </w:tcPr>
          <w:p>
            <w:pPr>
              <w:ind w:left="260"/>
              <w:spacing w:after="0"/>
              <w:rPr>
                <w:sz w:val="20"/>
                <w:szCs w:val="20"/>
                <w:color w:val="auto"/>
              </w:rPr>
            </w:pPr>
            <w:r>
              <w:rPr>
                <w:rFonts w:ascii="Courier New" w:cs="Courier New" w:eastAsia="Courier New" w:hAnsi="Courier New"/>
                <w:sz w:val="15"/>
                <w:szCs w:val="15"/>
                <w:color w:val="auto"/>
              </w:rPr>
              <w:t>Vice Chairman since April 1998;</w:t>
            </w:r>
          </w:p>
        </w:tc>
      </w:tr>
      <w:tr>
        <w:trPr>
          <w:trHeight w:val="168"/>
        </w:trPr>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Executive Vice President - Oilfield Services,</w:t>
            </w:r>
          </w:p>
        </w:tc>
      </w:tr>
      <w:tr>
        <w:trPr>
          <w:trHeight w:val="168"/>
        </w:trPr>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1994 to April 1998.</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Jack Liu</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51</w:t>
            </w:r>
          </w:p>
        </w:tc>
        <w:tc>
          <w:tcPr>
            <w:tcW w:w="4640" w:type="dxa"/>
            <w:vAlign w:val="bottom"/>
          </w:tcPr>
          <w:p>
            <w:pPr>
              <w:ind w:left="260"/>
              <w:spacing w:after="0"/>
              <w:rPr>
                <w:sz w:val="20"/>
                <w:szCs w:val="20"/>
                <w:color w:val="auto"/>
              </w:rPr>
            </w:pPr>
            <w:r>
              <w:rPr>
                <w:rFonts w:ascii="Courier New" w:cs="Courier New" w:eastAsia="Courier New" w:hAnsi="Courier New"/>
                <w:sz w:val="15"/>
                <w:szCs w:val="15"/>
                <w:color w:val="auto"/>
              </w:rPr>
              <w:t>Executive Vice President, Chief Financial</w:t>
            </w:r>
          </w:p>
        </w:tc>
      </w:tr>
      <w:tr>
        <w:trPr>
          <w:trHeight w:val="168"/>
        </w:trPr>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Officer and Chief Accounting Officer, since</w:t>
            </w:r>
          </w:p>
        </w:tc>
      </w:tr>
      <w:tr>
        <w:trPr>
          <w:trHeight w:val="168"/>
        </w:trPr>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January 1999; Controller, July 1998 to December</w:t>
            </w:r>
          </w:p>
        </w:tc>
      </w:tr>
      <w:tr>
        <w:trPr>
          <w:trHeight w:val="168"/>
        </w:trPr>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40" w:type="dxa"/>
            <w:vAlign w:val="bottom"/>
          </w:tcPr>
          <w:p>
            <w:pPr>
              <w:jc w:val="right"/>
              <w:ind w:right="3607"/>
              <w:spacing w:after="0" w:line="168" w:lineRule="exact"/>
              <w:rPr>
                <w:sz w:val="20"/>
                <w:szCs w:val="20"/>
                <w:color w:val="auto"/>
              </w:rPr>
            </w:pPr>
            <w:r>
              <w:rPr>
                <w:rFonts w:ascii="Courier New" w:cs="Courier New" w:eastAsia="Courier New" w:hAnsi="Courier New"/>
                <w:sz w:val="15"/>
                <w:szCs w:val="15"/>
                <w:color w:val="auto"/>
              </w:rPr>
              <w:t>31,1998;</w:t>
            </w:r>
          </w:p>
        </w:tc>
      </w:tr>
      <w:tr>
        <w:trPr>
          <w:trHeight w:val="168"/>
        </w:trPr>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President - Measurement &amp; Systems Asia,</w:t>
            </w:r>
          </w:p>
        </w:tc>
      </w:tr>
      <w:tr>
        <w:trPr>
          <w:trHeight w:val="168"/>
        </w:trPr>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October 1993 to June 1998.</w:t>
            </w:r>
          </w:p>
        </w:tc>
      </w:tr>
      <w:tr>
        <w:trPr>
          <w:trHeight w:val="336"/>
        </w:trPr>
        <w:tc>
          <w:tcPr>
            <w:tcW w:w="2100" w:type="dxa"/>
            <w:vAlign w:val="bottom"/>
          </w:tcPr>
          <w:p>
            <w:pPr>
              <w:spacing w:after="0"/>
              <w:rPr>
                <w:sz w:val="20"/>
                <w:szCs w:val="20"/>
                <w:color w:val="auto"/>
              </w:rPr>
            </w:pPr>
            <w:r>
              <w:rPr>
                <w:rFonts w:ascii="Courier New" w:cs="Courier New" w:eastAsia="Courier New" w:hAnsi="Courier New"/>
                <w:sz w:val="15"/>
                <w:szCs w:val="15"/>
                <w:color w:val="auto"/>
              </w:rPr>
              <w:t>Andrew Gould</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54</w:t>
            </w:r>
          </w:p>
        </w:tc>
        <w:tc>
          <w:tcPr>
            <w:tcW w:w="4640" w:type="dxa"/>
            <w:vAlign w:val="bottom"/>
          </w:tcPr>
          <w:p>
            <w:pPr>
              <w:ind w:left="260"/>
              <w:spacing w:after="0"/>
              <w:rPr>
                <w:sz w:val="20"/>
                <w:szCs w:val="20"/>
                <w:color w:val="auto"/>
              </w:rPr>
            </w:pPr>
            <w:r>
              <w:rPr>
                <w:rFonts w:ascii="Courier New" w:cs="Courier New" w:eastAsia="Courier New" w:hAnsi="Courier New"/>
                <w:sz w:val="15"/>
                <w:szCs w:val="15"/>
                <w:color w:val="auto"/>
              </w:rPr>
              <w:t>Executive Vice President - Oilfield Services,</w:t>
            </w:r>
          </w:p>
        </w:tc>
      </w:tr>
      <w:tr>
        <w:trPr>
          <w:trHeight w:val="168"/>
        </w:trPr>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since January 1999;</w:t>
            </w:r>
          </w:p>
        </w:tc>
      </w:tr>
      <w:tr>
        <w:trPr>
          <w:trHeight w:val="168"/>
        </w:trPr>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Executive Vice President - OFS Products,</w:t>
            </w:r>
          </w:p>
        </w:tc>
      </w:tr>
      <w:tr>
        <w:trPr>
          <w:trHeight w:val="168"/>
        </w:trPr>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February 1998 to January 1999;</w:t>
            </w:r>
          </w:p>
        </w:tc>
      </w:tr>
      <w:tr>
        <w:trPr>
          <w:trHeight w:val="168"/>
        </w:trPr>
        <w:tc>
          <w:tcPr>
            <w:tcW w:w="2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President - Wireline &amp; Testing,</w:t>
            </w:r>
          </w:p>
        </w:tc>
      </w:tr>
      <w:tr>
        <w:trPr>
          <w:trHeight w:val="336"/>
        </w:trPr>
        <w:tc>
          <w:tcPr>
            <w:tcW w:w="2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640" w:type="dxa"/>
            <w:vAlign w:val="bottom"/>
          </w:tcPr>
          <w:p>
            <w:pPr>
              <w:jc w:val="right"/>
              <w:ind w:right="3607"/>
              <w:spacing w:after="0"/>
              <w:rPr>
                <w:sz w:val="20"/>
                <w:szCs w:val="20"/>
                <w:color w:val="auto"/>
              </w:rPr>
            </w:pPr>
            <w:r>
              <w:rPr>
                <w:rFonts w:ascii="Courier New" w:cs="Courier New" w:eastAsia="Courier New" w:hAnsi="Courier New"/>
                <w:sz w:val="15"/>
                <w:szCs w:val="15"/>
                <w:color w:val="auto"/>
              </w:rPr>
              <w:t>5</w:t>
            </w:r>
          </w:p>
        </w:tc>
      </w:tr>
    </w:tbl>
    <w:p>
      <w:pPr>
        <w:sectPr>
          <w:pgSz w:w="11900" w:h="16838" w:orient="portrait"/>
          <w:cols w:equalWidth="0" w:num="1">
            <w:col w:w="10239"/>
          </w:cols>
          <w:pgMar w:left="220" w:top="624" w:right="1440" w:bottom="1440" w:gutter="0" w:footer="0" w:header="0"/>
        </w:sectPr>
      </w:pPr>
    </w:p>
    <w:bookmarkStart w:id="7" w:name="page8"/>
    <w:bookmarkEnd w:id="7"/>
    <w:p>
      <w:pPr>
        <w:spacing w:after="0"/>
        <w:tabs>
          <w:tab w:leader="none" w:pos="2180" w:val="left"/>
          <w:tab w:leader="none" w:pos="2620" w:val="left"/>
        </w:tabs>
        <w:rPr>
          <w:sz w:val="20"/>
          <w:szCs w:val="20"/>
          <w:color w:val="auto"/>
        </w:rPr>
      </w:pPr>
      <w:r>
        <w:rPr>
          <w:rFonts w:ascii="Courier New" w:cs="Courier New" w:eastAsia="Courier New" w:hAnsi="Courier New"/>
          <w:sz w:val="15"/>
          <w:szCs w:val="15"/>
          <w:color w:val="auto"/>
        </w:rPr>
        <w:t>Name</w:t>
      </w:r>
      <w:r>
        <w:rPr>
          <w:sz w:val="20"/>
          <w:szCs w:val="20"/>
          <w:color w:val="auto"/>
        </w:rPr>
        <w:tab/>
      </w:r>
      <w:r>
        <w:rPr>
          <w:rFonts w:ascii="Courier New" w:cs="Courier New" w:eastAsia="Courier New" w:hAnsi="Courier New"/>
          <w:sz w:val="15"/>
          <w:szCs w:val="15"/>
          <w:color w:val="auto"/>
        </w:rPr>
        <w:t>Age</w:t>
      </w:r>
      <w:r>
        <w:rPr>
          <w:sz w:val="20"/>
          <w:szCs w:val="20"/>
          <w:color w:val="auto"/>
        </w:rPr>
        <w:tab/>
      </w:r>
      <w:r>
        <w:rPr>
          <w:rFonts w:ascii="Courier New" w:cs="Courier New" w:eastAsia="Courier New" w:hAnsi="Courier New"/>
          <w:sz w:val="14"/>
          <w:szCs w:val="14"/>
          <w:color w:val="auto"/>
        </w:rPr>
        <w:t>Present Position and Five-Year Business Experience</w:t>
      </w:r>
    </w:p>
    <w:p>
      <w:pPr>
        <w:spacing w:after="0" w:line="5" w:lineRule="exact"/>
        <w:rPr>
          <w:sz w:val="20"/>
          <w:szCs w:val="20"/>
          <w:color w:val="auto"/>
        </w:rPr>
      </w:pPr>
    </w:p>
    <w:p>
      <w:pPr>
        <w:ind w:left="180" w:hanging="170"/>
        <w:spacing w:after="0"/>
        <w:tabs>
          <w:tab w:leader="none" w:pos="18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  ------ --------------------------------------------------</w:t>
      </w:r>
    </w:p>
    <w:p>
      <w:pPr>
        <w:spacing w:after="0" w:line="4" w:lineRule="exact"/>
        <w:rPr>
          <w:rFonts w:ascii="Courier New" w:cs="Courier New" w:eastAsia="Courier New" w:hAnsi="Courier New"/>
          <w:sz w:val="14"/>
          <w:szCs w:val="14"/>
          <w:color w:val="auto"/>
        </w:rPr>
      </w:pPr>
    </w:p>
    <w:p>
      <w:pPr>
        <w:ind w:left="308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October 1993 to February 1998.</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20"/>
                <w:szCs w:val="20"/>
                <w:color w:val="auto"/>
              </w:rPr>
            </w:pPr>
            <w:r>
              <w:rPr>
                <w:rFonts w:ascii="Courier New" w:cs="Courier New" w:eastAsia="Courier New" w:hAnsi="Courier New"/>
                <w:sz w:val="15"/>
                <w:szCs w:val="15"/>
                <w:color w:val="auto"/>
              </w:rPr>
              <w:t>Clermont A. Matton</w:t>
            </w:r>
          </w:p>
        </w:tc>
        <w:tc>
          <w:tcPr>
            <w:tcW w:w="5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59</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rPr>
              <w:t>Executive Vice President - Resource Management</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Services, since June 1997;</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Executive Vice President - Measurement &amp; System,</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1993 to June 1997.</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Irwin Pfister</w:t>
            </w:r>
          </w:p>
        </w:tc>
        <w:tc>
          <w:tcPr>
            <w:tcW w:w="5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56</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w w:val="98"/>
              </w:rPr>
              <w:t>Executive Vice President - Test &amp; Transactions,</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since June 1997;</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General Manager - Automated Test Equipment,</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June 1997 and prior.</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James L. Gunderson</w:t>
            </w:r>
          </w:p>
        </w:tc>
        <w:tc>
          <w:tcPr>
            <w:tcW w:w="5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45</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rPr>
              <w:t>Secretary and General Counsel, since January</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Deputy General Counsel, October 1994 to January</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1999.</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Pierre E. Bismuth</w:t>
            </w:r>
          </w:p>
        </w:tc>
        <w:tc>
          <w:tcPr>
            <w:tcW w:w="5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56</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 Personnel.</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Jean Chevallier</w:t>
            </w:r>
          </w:p>
        </w:tc>
        <w:tc>
          <w:tcPr>
            <w:tcW w:w="5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53</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 Information Technology,</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since February 1999;</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President - Omnes, August 1994 to February 1999.</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Mark Danton</w:t>
            </w:r>
          </w:p>
        </w:tc>
        <w:tc>
          <w:tcPr>
            <w:tcW w:w="5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44</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 Director of Taxes, since</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January 1, 1999; Deputy</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Director of Taxes, January 1995 to January 1999.</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Philippe Lacour-Gayet</w:t>
            </w:r>
          </w:p>
        </w:tc>
        <w:tc>
          <w:tcPr>
            <w:tcW w:w="5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53</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and Chief Scientist; since</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January 2001;</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Chief Scientist, July 1997 to January 2001;</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8"/>
              </w:rPr>
              <w:t>Vice President and General Manager Schlumberger</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Riboud Product Center, December 1995 to July</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1997.</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J-D. Percevault</w:t>
            </w:r>
          </w:p>
        </w:tc>
        <w:tc>
          <w:tcPr>
            <w:tcW w:w="5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55</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 European Affairs.</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Rex Ross</w:t>
            </w:r>
          </w:p>
        </w:tc>
        <w:tc>
          <w:tcPr>
            <w:tcW w:w="5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57</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rPr>
              <w:t>Vice President - Communications, since October</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President - Omnes, January to September 1999;</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President - Oilfield Services North America,</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President - GeoQuest, 1993 through 1997.</w:t>
            </w:r>
          </w:p>
        </w:tc>
      </w:tr>
      <w:tr>
        <w:trPr>
          <w:trHeight w:val="336"/>
        </w:trPr>
        <w:tc>
          <w:tcPr>
            <w:tcW w:w="2020" w:type="dxa"/>
            <w:vAlign w:val="bottom"/>
          </w:tcPr>
          <w:p>
            <w:pPr>
              <w:spacing w:after="0"/>
              <w:rPr>
                <w:sz w:val="20"/>
                <w:szCs w:val="20"/>
                <w:color w:val="auto"/>
              </w:rPr>
            </w:pPr>
            <w:r>
              <w:rPr>
                <w:rFonts w:ascii="Courier New" w:cs="Courier New" w:eastAsia="Courier New" w:hAnsi="Courier New"/>
                <w:sz w:val="15"/>
                <w:szCs w:val="15"/>
                <w:color w:val="auto"/>
              </w:rPr>
              <w:t>Jean-Marc Perraud</w:t>
            </w:r>
          </w:p>
        </w:tc>
        <w:tc>
          <w:tcPr>
            <w:tcW w:w="56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53</w:t>
            </w:r>
          </w:p>
        </w:tc>
        <w:tc>
          <w:tcPr>
            <w:tcW w:w="4420" w:type="dxa"/>
            <w:vAlign w:val="bottom"/>
          </w:tcPr>
          <w:p>
            <w:pPr>
              <w:ind w:left="220"/>
              <w:spacing w:after="0"/>
              <w:rPr>
                <w:sz w:val="20"/>
                <w:szCs w:val="20"/>
                <w:color w:val="auto"/>
              </w:rPr>
            </w:pPr>
            <w:r>
              <w:rPr>
                <w:rFonts w:ascii="Courier New" w:cs="Courier New" w:eastAsia="Courier New" w:hAnsi="Courier New"/>
                <w:sz w:val="15"/>
                <w:szCs w:val="15"/>
                <w:color w:val="auto"/>
              </w:rPr>
              <w:t>Treasurer since January 1, 1999;</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Vice President - Director of Taxes,</w:t>
            </w:r>
          </w:p>
        </w:tc>
      </w:tr>
      <w:tr>
        <w:trPr>
          <w:trHeight w:val="168"/>
        </w:trPr>
        <w:tc>
          <w:tcPr>
            <w:tcW w:w="20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20" w:type="dxa"/>
            <w:vAlign w:val="bottom"/>
          </w:tcPr>
          <w:p>
            <w:pPr>
              <w:ind w:left="500"/>
              <w:spacing w:after="0" w:line="168" w:lineRule="exact"/>
              <w:rPr>
                <w:sz w:val="20"/>
                <w:szCs w:val="20"/>
                <w:color w:val="auto"/>
              </w:rPr>
            </w:pPr>
            <w:r>
              <w:rPr>
                <w:rFonts w:ascii="Courier New" w:cs="Courier New" w:eastAsia="Courier New" w:hAnsi="Courier New"/>
                <w:sz w:val="15"/>
                <w:szCs w:val="15"/>
                <w:color w:val="auto"/>
              </w:rPr>
              <w:t>1993 through December 1998.</w:t>
            </w:r>
          </w:p>
        </w:tc>
      </w:tr>
      <w:tr>
        <w:trPr>
          <w:trHeight w:val="336"/>
        </w:trPr>
        <w:tc>
          <w:tcPr>
            <w:tcW w:w="20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420" w:type="dxa"/>
            <w:vAlign w:val="bottom"/>
          </w:tcPr>
          <w:p>
            <w:pPr>
              <w:ind w:left="840"/>
              <w:spacing w:after="0"/>
              <w:rPr>
                <w:sz w:val="20"/>
                <w:szCs w:val="20"/>
                <w:color w:val="auto"/>
              </w:rPr>
            </w:pPr>
            <w:r>
              <w:rPr>
                <w:rFonts w:ascii="Courier New" w:cs="Courier New" w:eastAsia="Courier New" w:hAnsi="Courier New"/>
                <w:sz w:val="15"/>
                <w:szCs w:val="15"/>
                <w:color w:val="auto"/>
              </w:rPr>
              <w:t>6</w:t>
            </w:r>
          </w:p>
        </w:tc>
      </w:tr>
    </w:tbl>
    <w:p>
      <w:pPr>
        <w:sectPr>
          <w:pgSz w:w="11900" w:h="16838" w:orient="portrait"/>
          <w:cols w:equalWidth="0" w:num="1">
            <w:col w:w="10239"/>
          </w:cols>
          <w:pgMar w:left="220" w:top="617" w:right="1440" w:bottom="1440" w:gutter="0" w:footer="0" w:header="0"/>
        </w:sectPr>
      </w:pPr>
    </w:p>
    <w:bookmarkStart w:id="8" w:name="page9"/>
    <w:bookmarkEnd w:id="8"/>
    <w:p>
      <w:pPr>
        <w:spacing w:after="0"/>
        <w:rPr>
          <w:sz w:val="20"/>
          <w:szCs w:val="20"/>
          <w:color w:val="auto"/>
        </w:rPr>
      </w:pPr>
      <w:r>
        <w:rPr>
          <w:rFonts w:ascii="Courier New" w:cs="Courier New" w:eastAsia="Courier New" w:hAnsi="Courier New"/>
          <w:sz w:val="15"/>
          <w:szCs w:val="15"/>
          <w:color w:val="auto"/>
        </w:rPr>
        <w:t>PART II</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tabs>
          <w:tab w:leader="none" w:pos="130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4"/>
          <w:szCs w:val="14"/>
          <w:color w:val="auto"/>
        </w:rPr>
        <w:t>Market for the Registrant's Common Stock and Related</w:t>
      </w:r>
    </w:p>
    <w:p>
      <w:pPr>
        <w:spacing w:after="0"/>
        <w:tabs>
          <w:tab w:leader="none" w:pos="148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ind w:left="1320"/>
        <w:spacing w:after="0" w:line="238" w:lineRule="auto"/>
        <w:rPr>
          <w:sz w:val="20"/>
          <w:szCs w:val="20"/>
          <w:color w:val="auto"/>
        </w:rPr>
      </w:pPr>
      <w:r>
        <w:rPr>
          <w:rFonts w:ascii="Courier New" w:cs="Courier New" w:eastAsia="Courier New" w:hAnsi="Courier New"/>
          <w:sz w:val="15"/>
          <w:szCs w:val="15"/>
          <w:color w:val="auto"/>
        </w:rPr>
        <w:t>Stockholder Matters</w:t>
      </w:r>
    </w:p>
    <w:p>
      <w:pPr>
        <w:ind w:left="132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As of December 31, 2000, there were 572,724,694 shares of the Common Stock of the Registrant outstanding, exclusive of 94,361,099 shares held in Treasury, and held by approximately 23,000 stockholders of record. The principal United States market for Registrant's Common Stock is the New York Stock Exchange.</w:t>
      </w:r>
    </w:p>
    <w:p>
      <w:pPr>
        <w:spacing w:after="0" w:line="175"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Registrant's Common Stock is also traded on the Amsterdam, Euronext Paris, London, and BES (Bourse Electonique Suisse) stock exchanges.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Market Prices and Dividends Declared per Share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The information with respect to this portion of Item 5 is set forth under the heading "Common Stock, Market Prices and Dividends Declared per Share" on page 23 of this 10-K Report.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617" w:right="1440"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70"/>
        </w:trPr>
        <w:tc>
          <w:tcPr>
            <w:tcW w:w="880" w:type="dxa"/>
            <w:vAlign w:val="bottom"/>
          </w:tcPr>
          <w:p>
            <w:pPr>
              <w:spacing w:after="0"/>
              <w:rPr>
                <w:sz w:val="20"/>
                <w:szCs w:val="20"/>
                <w:color w:val="auto"/>
              </w:rPr>
            </w:pPr>
            <w:r>
              <w:rPr>
                <w:rFonts w:ascii="Courier New" w:cs="Courier New" w:eastAsia="Courier New" w:hAnsi="Courier New"/>
                <w:sz w:val="15"/>
                <w:szCs w:val="15"/>
                <w:color w:val="auto"/>
              </w:rPr>
              <w:t>Item 6</w:t>
            </w:r>
          </w:p>
        </w:tc>
        <w:tc>
          <w:tcPr>
            <w:tcW w:w="24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Selected Financial Data</w:t>
            </w: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4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FIVE-YEAR SUMMARY</w:t>
            </w: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6260" w:type="dxa"/>
            <w:vAlign w:val="bottom"/>
            <w:gridSpan w:val="7"/>
          </w:tcPr>
          <w:p>
            <w:pPr>
              <w:jc w:val="right"/>
              <w:ind w:right="67"/>
              <w:spacing w:after="0" w:line="168" w:lineRule="exact"/>
              <w:rPr>
                <w:sz w:val="20"/>
                <w:szCs w:val="20"/>
                <w:color w:val="auto"/>
              </w:rPr>
            </w:pPr>
            <w:r>
              <w:rPr>
                <w:rFonts w:ascii="Courier New" w:cs="Courier New" w:eastAsia="Courier New" w:hAnsi="Courier New"/>
                <w:sz w:val="15"/>
                <w:szCs w:val="15"/>
                <w:color w:val="auto"/>
              </w:rPr>
              <w:t>(Stated in millions except per share amounts)</w:t>
            </w: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3"/>
        </w:trPr>
        <w:tc>
          <w:tcPr>
            <w:tcW w:w="8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160" w:type="dxa"/>
            <w:vAlign w:val="bottom"/>
            <w:gridSpan w:val="5"/>
          </w:tcPr>
          <w:p>
            <w:pPr>
              <w:jc w:val="right"/>
              <w:ind w:right="547"/>
              <w:spacing w:after="0"/>
              <w:rPr>
                <w:sz w:val="20"/>
                <w:szCs w:val="20"/>
                <w:color w:val="auto"/>
              </w:rPr>
            </w:pPr>
            <w:r>
              <w:rPr>
                <w:rFonts w:ascii="Courier New" w:cs="Courier New" w:eastAsia="Courier New" w:hAnsi="Courier New"/>
                <w:sz w:val="15"/>
                <w:szCs w:val="15"/>
                <w:color w:val="auto"/>
              </w:rPr>
              <w:t>Year Ended December 31,</w:t>
            </w: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5940" w:type="dxa"/>
            <w:vAlign w:val="bottom"/>
            <w:gridSpan w:val="10"/>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c>
          <w:tcPr>
            <w:tcW w:w="2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1999</w:t>
            </w:r>
          </w:p>
        </w:tc>
        <w:tc>
          <w:tcPr>
            <w:tcW w:w="22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1998</w:t>
            </w:r>
          </w:p>
        </w:tc>
        <w:tc>
          <w:tcPr>
            <w:tcW w:w="2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c>
          <w:tcPr>
            <w:tcW w:w="26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SUMMARY OF OPERATIONS</w:t>
            </w: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Operating revenue:</w:t>
            </w: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3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Oilfield Services</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7,033</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5,869</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7,796</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7,654</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6,196</w:t>
            </w:r>
          </w:p>
        </w:tc>
      </w:tr>
      <w:tr>
        <w:trPr>
          <w:trHeight w:val="168"/>
        </w:trPr>
        <w:tc>
          <w:tcPr>
            <w:tcW w:w="33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Resource Management Services</w:t>
            </w:r>
          </w:p>
        </w:tc>
        <w:tc>
          <w:tcPr>
            <w:tcW w:w="6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1,241</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1,375</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1,465</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1,569</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1,765</w:t>
            </w:r>
          </w:p>
        </w:tc>
      </w:tr>
      <w:tr>
        <w:trPr>
          <w:trHeight w:val="168"/>
        </w:trPr>
        <w:tc>
          <w:tcPr>
            <w:tcW w:w="33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Test &amp; Transactions</w:t>
            </w:r>
          </w:p>
        </w:tc>
        <w:tc>
          <w:tcPr>
            <w:tcW w:w="6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1,409</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1,183</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1,226</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1,066</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741</w:t>
            </w:r>
          </w:p>
        </w:tc>
      </w:tr>
      <w:tr>
        <w:trPr>
          <w:trHeight w:val="168"/>
        </w:trPr>
        <w:tc>
          <w:tcPr>
            <w:tcW w:w="33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Eliminations and other/1/</w:t>
            </w:r>
          </w:p>
        </w:tc>
        <w:tc>
          <w:tcPr>
            <w:tcW w:w="64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238</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363</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336</w:t>
            </w:r>
          </w:p>
        </w:tc>
      </w:tr>
      <w:tr>
        <w:trPr>
          <w:trHeight w:val="168"/>
        </w:trPr>
        <w:tc>
          <w:tcPr>
            <w:tcW w:w="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Total operating revenue</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9,611</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8,395</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10,725</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10,652</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9,038</w:t>
            </w:r>
          </w:p>
        </w:tc>
      </w:tr>
      <w:tr>
        <w:trPr>
          <w:trHeight w:val="168"/>
        </w:trPr>
        <w:tc>
          <w:tcPr>
            <w:tcW w:w="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w w:val="99"/>
              </w:rPr>
              <w:t>% increase (decrease) over prior year</w:t>
            </w:r>
          </w:p>
        </w:tc>
        <w:tc>
          <w:tcPr>
            <w:tcW w:w="64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c>
          <w:tcPr>
            <w:tcW w:w="22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w:t>
            </w:r>
          </w:p>
        </w:tc>
        <w:tc>
          <w:tcPr>
            <w:tcW w:w="22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18%</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Pretax Segment income:</w:t>
            </w: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3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Oilfield Services</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997</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576</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1,306</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1,419</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939</w:t>
            </w:r>
          </w:p>
        </w:tc>
      </w:tr>
      <w:tr>
        <w:trPr>
          <w:trHeight w:val="168"/>
        </w:trPr>
        <w:tc>
          <w:tcPr>
            <w:tcW w:w="33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Resource Management Services/2/</w:t>
            </w:r>
          </w:p>
        </w:tc>
        <w:tc>
          <w:tcPr>
            <w:tcW w:w="6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w:t>
            </w:r>
          </w:p>
        </w:tc>
      </w:tr>
      <w:tr>
        <w:trPr>
          <w:trHeight w:val="168"/>
        </w:trPr>
        <w:tc>
          <w:tcPr>
            <w:tcW w:w="33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Test &amp; Transactions/2/</w:t>
            </w:r>
          </w:p>
        </w:tc>
        <w:tc>
          <w:tcPr>
            <w:tcW w:w="6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104</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r>
      <w:tr>
        <w:trPr>
          <w:trHeight w:val="168"/>
        </w:trPr>
        <w:tc>
          <w:tcPr>
            <w:tcW w:w="33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Eliminations</w:t>
            </w:r>
          </w:p>
        </w:tc>
        <w:tc>
          <w:tcPr>
            <w:tcW w:w="64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w:t>
            </w:r>
          </w:p>
        </w:tc>
        <w:tc>
          <w:tcPr>
            <w:tcW w:w="2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(139)</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(141)</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w:t>
            </w:r>
          </w:p>
        </w:tc>
      </w:tr>
      <w:tr>
        <w:trPr>
          <w:trHeight w:val="168"/>
        </w:trPr>
        <w:tc>
          <w:tcPr>
            <w:tcW w:w="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Pretax Segment income before</w:t>
            </w: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Minority interest</w:t>
            </w:r>
          </w:p>
        </w:tc>
        <w:tc>
          <w:tcPr>
            <w:tcW w:w="6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939</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557</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1,298</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1,456</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967</w:t>
            </w:r>
          </w:p>
        </w:tc>
      </w:tr>
      <w:tr>
        <w:trPr>
          <w:trHeight w:val="168"/>
        </w:trPr>
        <w:tc>
          <w:tcPr>
            <w:tcW w:w="33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Minority interest</w:t>
            </w:r>
          </w:p>
        </w:tc>
        <w:tc>
          <w:tcPr>
            <w:tcW w:w="6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Total Pretax Segment income,</w:t>
            </w: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3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before charges</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933</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546</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1,289</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1,452</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963</w:t>
            </w:r>
          </w:p>
        </w:tc>
      </w:tr>
      <w:tr>
        <w:trPr>
          <w:trHeight w:val="168"/>
        </w:trPr>
        <w:tc>
          <w:tcPr>
            <w:tcW w:w="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 increase (decrease) over prior</w:t>
            </w: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year</w:t>
            </w:r>
          </w:p>
        </w:tc>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6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297</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228</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164</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6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273</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184</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Charges (net of minority interest)</w:t>
            </w:r>
          </w:p>
        </w:tc>
        <w:tc>
          <w:tcPr>
            <w:tcW w:w="64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432</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380</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Taxes on income/3/</w:t>
            </w:r>
          </w:p>
        </w:tc>
        <w:tc>
          <w:tcPr>
            <w:tcW w:w="6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228</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141</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276</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388</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w:t>
            </w:r>
          </w:p>
        </w:tc>
      </w:tr>
      <w:tr>
        <w:trPr>
          <w:trHeight w:val="168"/>
        </w:trPr>
        <w:tc>
          <w:tcPr>
            <w:tcW w:w="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continuing operations</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735</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329</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618</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1,087</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744</w:t>
            </w:r>
          </w:p>
        </w:tc>
      </w:tr>
      <w:tr>
        <w:trPr>
          <w:trHeight w:val="168"/>
        </w:trPr>
        <w:tc>
          <w:tcPr>
            <w:tcW w:w="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 increase (decrease) over prior</w:t>
            </w: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year</w:t>
            </w:r>
          </w:p>
        </w:tc>
        <w:tc>
          <w:tcPr>
            <w:tcW w:w="24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123%</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c>
          <w:tcPr>
            <w:tcW w:w="2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w:t>
            </w:r>
          </w:p>
        </w:tc>
        <w:tc>
          <w:tcPr>
            <w:tcW w:w="220" w:type="dxa"/>
            <w:vAlign w:val="bottom"/>
          </w:tcPr>
          <w:p>
            <w:pPr>
              <w:spacing w:after="0"/>
              <w:rPr>
                <w:sz w:val="14"/>
                <w:szCs w:val="14"/>
                <w:color w:val="auto"/>
              </w:rPr>
            </w:pPr>
          </w:p>
        </w:tc>
        <w:tc>
          <w:tcPr>
            <w:tcW w:w="8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discontinued operations</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396</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297</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w:t>
            </w:r>
          </w:p>
        </w:tc>
      </w:tr>
      <w:tr>
        <w:trPr>
          <w:trHeight w:val="168"/>
        </w:trPr>
        <w:tc>
          <w:tcPr>
            <w:tcW w:w="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w w:val="95"/>
              </w:rPr>
              <w:t>Net income</w:t>
            </w:r>
          </w:p>
        </w:tc>
        <w:tc>
          <w:tcPr>
            <w:tcW w:w="246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735</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367</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1,014</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1,385</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919</w:t>
            </w:r>
          </w:p>
        </w:tc>
      </w:tr>
      <w:tr>
        <w:trPr>
          <w:trHeight w:val="168"/>
        </w:trPr>
        <w:tc>
          <w:tcPr>
            <w:tcW w:w="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w w:val="99"/>
              </w:rPr>
              <w:t>% increase (decrease) over prior year</w:t>
            </w:r>
          </w:p>
        </w:tc>
        <w:tc>
          <w:tcPr>
            <w:tcW w:w="64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(64)%</w:t>
            </w:r>
          </w:p>
        </w:tc>
        <w:tc>
          <w:tcPr>
            <w:tcW w:w="22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220" w:type="dxa"/>
            <w:vAlign w:val="bottom"/>
          </w:tcPr>
          <w:p>
            <w:pPr>
              <w:spacing w:after="0"/>
              <w:rPr>
                <w:sz w:val="24"/>
                <w:szCs w:val="24"/>
                <w:color w:val="auto"/>
              </w:rPr>
            </w:pPr>
          </w:p>
        </w:tc>
        <w:tc>
          <w:tcPr>
            <w:tcW w:w="88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51%</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505"/>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Basic earning per share</w:t>
            </w: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3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0.60</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1.14</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2.02</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w:t>
            </w:r>
          </w:p>
        </w:tc>
      </w:tr>
      <w:tr>
        <w:trPr>
          <w:trHeight w:val="168"/>
        </w:trPr>
        <w:tc>
          <w:tcPr>
            <w:tcW w:w="33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6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0.07</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0.72</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0.55</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0.33</w:t>
            </w:r>
          </w:p>
        </w:tc>
      </w:tr>
      <w:tr>
        <w:trPr>
          <w:trHeight w:val="168"/>
        </w:trPr>
        <w:tc>
          <w:tcPr>
            <w:tcW w:w="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1.29</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0.67</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1.86</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2.57</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1.72</w:t>
            </w:r>
          </w:p>
        </w:tc>
      </w:tr>
      <w:tr>
        <w:trPr>
          <w:trHeight w:val="168"/>
        </w:trPr>
        <w:tc>
          <w:tcPr>
            <w:tcW w:w="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Diluted earning per share</w:t>
            </w: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3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0.58</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1.94</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w:t>
            </w:r>
          </w:p>
        </w:tc>
      </w:tr>
      <w:tr>
        <w:trPr>
          <w:trHeight w:val="168"/>
        </w:trPr>
        <w:tc>
          <w:tcPr>
            <w:tcW w:w="33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64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0.07</w:t>
            </w:r>
          </w:p>
        </w:tc>
        <w:tc>
          <w:tcPr>
            <w:tcW w:w="2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0.71</w:t>
            </w:r>
          </w:p>
        </w:tc>
        <w:tc>
          <w:tcPr>
            <w:tcW w:w="22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0.53</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0.32</w:t>
            </w:r>
          </w:p>
        </w:tc>
      </w:tr>
      <w:tr>
        <w:trPr>
          <w:trHeight w:val="168"/>
        </w:trPr>
        <w:tc>
          <w:tcPr>
            <w:tcW w:w="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0.65</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1.81</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2.47</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1.69</w:t>
            </w:r>
          </w:p>
        </w:tc>
      </w:tr>
      <w:tr>
        <w:trPr>
          <w:trHeight w:val="168"/>
        </w:trPr>
        <w:tc>
          <w:tcPr>
            <w:tcW w:w="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Cash dividends declared per share</w:t>
            </w:r>
          </w:p>
        </w:tc>
        <w:tc>
          <w:tcPr>
            <w:tcW w:w="6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0.75</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0.75</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0.75</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0.75</w:t>
            </w: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0.75</w:t>
            </w:r>
          </w:p>
        </w:tc>
      </w:tr>
      <w:tr>
        <w:trPr>
          <w:trHeight w:val="168"/>
        </w:trPr>
        <w:tc>
          <w:tcPr>
            <w:tcW w:w="88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8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8</w:t>
            </w: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10" w:name="page11"/>
    <w:bookmarkEnd w:id="1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2660" w:type="dxa"/>
            <w:vAlign w:val="bottom"/>
            <w:gridSpan w:val="4"/>
          </w:tcPr>
          <w:p>
            <w:pPr>
              <w:jc w:val="right"/>
              <w:spacing w:after="0"/>
              <w:rPr>
                <w:sz w:val="20"/>
                <w:szCs w:val="20"/>
                <w:color w:val="auto"/>
              </w:rPr>
            </w:pPr>
            <w:r>
              <w:rPr>
                <w:rFonts w:ascii="Courier New" w:cs="Courier New" w:eastAsia="Courier New" w:hAnsi="Courier New"/>
                <w:sz w:val="15"/>
                <w:szCs w:val="15"/>
                <w:color w:val="auto"/>
                <w:w w:val="96"/>
              </w:rPr>
              <w:t>(Stated in millions except per</w:t>
            </w:r>
          </w:p>
        </w:tc>
        <w:tc>
          <w:tcPr>
            <w:tcW w:w="1260" w:type="dxa"/>
            <w:vAlign w:val="bottom"/>
            <w:gridSpan w:val="2"/>
          </w:tcPr>
          <w:p>
            <w:pPr>
              <w:ind w:left="40"/>
              <w:spacing w:after="0"/>
              <w:rPr>
                <w:sz w:val="20"/>
                <w:szCs w:val="20"/>
                <w:color w:val="auto"/>
              </w:rPr>
            </w:pPr>
            <w:r>
              <w:rPr>
                <w:rFonts w:ascii="Courier New" w:cs="Courier New" w:eastAsia="Courier New" w:hAnsi="Courier New"/>
                <w:sz w:val="15"/>
                <w:szCs w:val="15"/>
                <w:color w:val="auto"/>
                <w:w w:val="95"/>
              </w:rPr>
              <w:t>share amounts)</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673"/>
        </w:trPr>
        <w:tc>
          <w:tcPr>
            <w:tcW w:w="30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5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 Ended December 31,</w:t>
            </w: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080" w:type="dxa"/>
            <w:vAlign w:val="bottom"/>
          </w:tcPr>
          <w:p>
            <w:pPr>
              <w:spacing w:after="0"/>
              <w:rPr>
                <w:sz w:val="14"/>
                <w:szCs w:val="14"/>
                <w:color w:val="auto"/>
              </w:rPr>
            </w:pPr>
          </w:p>
        </w:tc>
        <w:tc>
          <w:tcPr>
            <w:tcW w:w="6200" w:type="dxa"/>
            <w:vAlign w:val="bottom"/>
            <w:gridSpan w:val="10"/>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2000</w:t>
            </w:r>
          </w:p>
        </w:tc>
        <w:tc>
          <w:tcPr>
            <w:tcW w:w="260" w:type="dxa"/>
            <w:vAlign w:val="bottom"/>
          </w:tcPr>
          <w:p>
            <w:pPr>
              <w:spacing w:after="0"/>
              <w:rPr>
                <w:sz w:val="14"/>
                <w:szCs w:val="14"/>
                <w:color w:val="auto"/>
              </w:rPr>
            </w:pPr>
          </w:p>
        </w:tc>
        <w:tc>
          <w:tcPr>
            <w:tcW w:w="9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1999</w:t>
            </w:r>
          </w:p>
        </w:tc>
        <w:tc>
          <w:tcPr>
            <w:tcW w:w="26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1998</w:t>
            </w:r>
          </w:p>
        </w:tc>
        <w:tc>
          <w:tcPr>
            <w:tcW w:w="36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1997</w:t>
            </w:r>
          </w:p>
        </w:tc>
        <w:tc>
          <w:tcPr>
            <w:tcW w:w="2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308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SUMMARY OF FINANCIAL DATA</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as % of operating revenue,</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continuing operations/3/</w:t>
            </w:r>
          </w:p>
        </w:tc>
        <w:tc>
          <w:tcPr>
            <w:tcW w:w="6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w:t>
            </w:r>
          </w:p>
        </w:tc>
        <w:tc>
          <w:tcPr>
            <w:tcW w:w="2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w:t>
            </w:r>
          </w:p>
        </w:tc>
        <w:tc>
          <w:tcPr>
            <w:tcW w:w="26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c>
          <w:tcPr>
            <w:tcW w:w="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308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Return on average stockholders'</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6"/>
              </w:rPr>
              <w:t>equity, continuing operations/4/</w:t>
            </w:r>
          </w:p>
        </w:tc>
        <w:tc>
          <w:tcPr>
            <w:tcW w:w="60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w:t>
            </w:r>
          </w:p>
        </w:tc>
        <w:tc>
          <w:tcPr>
            <w:tcW w:w="260" w:type="dxa"/>
            <w:vAlign w:val="bottom"/>
          </w:tcPr>
          <w:p>
            <w:pPr>
              <w:spacing w:after="0"/>
              <w:rPr>
                <w:sz w:val="14"/>
                <w:szCs w:val="14"/>
                <w:color w:val="auto"/>
              </w:rPr>
            </w:pPr>
          </w:p>
        </w:tc>
        <w:tc>
          <w:tcPr>
            <w:tcW w:w="9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w:t>
            </w:r>
          </w:p>
        </w:tc>
        <w:tc>
          <w:tcPr>
            <w:tcW w:w="260" w:type="dxa"/>
            <w:vAlign w:val="bottom"/>
          </w:tcPr>
          <w:p>
            <w:pPr>
              <w:spacing w:after="0"/>
              <w:rPr>
                <w:sz w:val="14"/>
                <w:szCs w:val="14"/>
                <w:color w:val="auto"/>
              </w:rPr>
            </w:pP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w:t>
            </w:r>
          </w:p>
        </w:tc>
        <w:tc>
          <w:tcPr>
            <w:tcW w:w="3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w:t>
            </w:r>
          </w:p>
        </w:tc>
        <w:tc>
          <w:tcPr>
            <w:tcW w:w="260" w:type="dxa"/>
            <w:vAlign w:val="bottom"/>
          </w:tcPr>
          <w:p>
            <w:pPr>
              <w:spacing w:after="0"/>
              <w:rPr>
                <w:sz w:val="14"/>
                <w:szCs w:val="14"/>
                <w:color w:val="auto"/>
              </w:rPr>
            </w:pPr>
          </w:p>
        </w:tc>
        <w:tc>
          <w:tcPr>
            <w:tcW w:w="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308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asset additions</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1,323</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792</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1,463</w:t>
            </w:r>
          </w:p>
        </w:tc>
        <w:tc>
          <w:tcPr>
            <w:tcW w:w="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1,404</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1,069</w:t>
            </w:r>
          </w:p>
        </w:tc>
      </w:tr>
      <w:tr>
        <w:trPr>
          <w:trHeight w:val="168"/>
        </w:trPr>
        <w:tc>
          <w:tcPr>
            <w:tcW w:w="308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expense</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943</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929</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935</w:t>
            </w:r>
          </w:p>
        </w:tc>
        <w:tc>
          <w:tcPr>
            <w:tcW w:w="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848</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764</w:t>
            </w:r>
          </w:p>
        </w:tc>
      </w:tr>
      <w:tr>
        <w:trPr>
          <w:trHeight w:val="168"/>
        </w:trPr>
        <w:tc>
          <w:tcPr>
            <w:tcW w:w="308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Avg. number of shares outstanding:</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Basic</w:t>
            </w:r>
          </w:p>
        </w:tc>
        <w:tc>
          <w:tcPr>
            <w:tcW w:w="6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570</w:t>
            </w:r>
          </w:p>
        </w:tc>
        <w:tc>
          <w:tcPr>
            <w:tcW w:w="2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549</w:t>
            </w:r>
          </w:p>
        </w:tc>
        <w:tc>
          <w:tcPr>
            <w:tcW w:w="2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544</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539</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534</w:t>
            </w:r>
          </w:p>
        </w:tc>
      </w:tr>
      <w:tr>
        <w:trPr>
          <w:trHeight w:val="168"/>
        </w:trPr>
        <w:tc>
          <w:tcPr>
            <w:tcW w:w="308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Assuming dilution</w:t>
            </w:r>
          </w:p>
        </w:tc>
        <w:tc>
          <w:tcPr>
            <w:tcW w:w="6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580</w:t>
            </w:r>
          </w:p>
        </w:tc>
        <w:tc>
          <w:tcPr>
            <w:tcW w:w="2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564</w:t>
            </w:r>
          </w:p>
        </w:tc>
        <w:tc>
          <w:tcPr>
            <w:tcW w:w="2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562</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560</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546</w:t>
            </w:r>
          </w:p>
        </w:tc>
      </w:tr>
      <w:tr>
        <w:trPr>
          <w:trHeight w:val="168"/>
        </w:trPr>
        <w:tc>
          <w:tcPr>
            <w:tcW w:w="308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ON DECEMBER 31</w:t>
            </w:r>
          </w:p>
        </w:tc>
        <w:tc>
          <w:tcPr>
            <w:tcW w:w="6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Liquidity/5/</w:t>
            </w:r>
          </w:p>
        </w:tc>
        <w:tc>
          <w:tcPr>
            <w:tcW w:w="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422</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1,231</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731</w:t>
            </w:r>
          </w:p>
        </w:tc>
        <w:tc>
          <w:tcPr>
            <w:tcW w:w="3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527</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171</w:t>
            </w:r>
          </w:p>
        </w:tc>
      </w:tr>
      <w:tr>
        <w:trPr>
          <w:trHeight w:val="168"/>
        </w:trPr>
        <w:tc>
          <w:tcPr>
            <w:tcW w:w="308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Working capital/2/</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3,502</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4,787</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4,681</w:t>
            </w:r>
          </w:p>
        </w:tc>
        <w:tc>
          <w:tcPr>
            <w:tcW w:w="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2,506</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1,660</w:t>
            </w:r>
          </w:p>
        </w:tc>
      </w:tr>
      <w:tr>
        <w:trPr>
          <w:trHeight w:val="168"/>
        </w:trPr>
        <w:tc>
          <w:tcPr>
            <w:tcW w:w="308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17,173</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15,081</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16,078</w:t>
            </w:r>
          </w:p>
        </w:tc>
        <w:tc>
          <w:tcPr>
            <w:tcW w:w="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13,186</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11,272</w:t>
            </w:r>
          </w:p>
        </w:tc>
      </w:tr>
      <w:tr>
        <w:trPr>
          <w:trHeight w:val="168"/>
        </w:trPr>
        <w:tc>
          <w:tcPr>
            <w:tcW w:w="308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3,573</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3,183</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3,285</w:t>
            </w:r>
          </w:p>
        </w:tc>
        <w:tc>
          <w:tcPr>
            <w:tcW w:w="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1,179</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731</w:t>
            </w:r>
          </w:p>
        </w:tc>
      </w:tr>
      <w:tr>
        <w:trPr>
          <w:trHeight w:val="168"/>
        </w:trPr>
        <w:tc>
          <w:tcPr>
            <w:tcW w:w="308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8,295</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7,721</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8,119</w:t>
            </w:r>
          </w:p>
        </w:tc>
        <w:tc>
          <w:tcPr>
            <w:tcW w:w="3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7,381</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6,221</w:t>
            </w:r>
          </w:p>
        </w:tc>
      </w:tr>
      <w:tr>
        <w:trPr>
          <w:trHeight w:val="168"/>
        </w:trPr>
        <w:tc>
          <w:tcPr>
            <w:tcW w:w="308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 of employees</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08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60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60,000</w:t>
            </w:r>
          </w:p>
        </w:tc>
        <w:tc>
          <w:tcPr>
            <w:tcW w:w="260" w:type="dxa"/>
            <w:vAlign w:val="bottom"/>
          </w:tcPr>
          <w:p>
            <w:pPr>
              <w:spacing w:after="0"/>
              <w:rPr>
                <w:sz w:val="14"/>
                <w:szCs w:val="14"/>
                <w:color w:val="auto"/>
              </w:rPr>
            </w:pPr>
          </w:p>
        </w:tc>
        <w:tc>
          <w:tcPr>
            <w:tcW w:w="9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55,000</w:t>
            </w:r>
          </w:p>
        </w:tc>
        <w:tc>
          <w:tcPr>
            <w:tcW w:w="26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59,000</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64,000</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57,000</w:t>
            </w:r>
          </w:p>
        </w:tc>
      </w:tr>
      <w:tr>
        <w:trPr>
          <w:trHeight w:val="168"/>
        </w:trPr>
        <w:tc>
          <w:tcPr>
            <w:tcW w:w="3080" w:type="dxa"/>
            <w:vAlign w:val="bottom"/>
          </w:tcPr>
          <w:p>
            <w:pPr>
              <w:spacing w:after="0"/>
              <w:rPr>
                <w:sz w:val="14"/>
                <w:szCs w:val="14"/>
                <w:color w:val="auto"/>
              </w:rPr>
            </w:pPr>
          </w:p>
        </w:tc>
        <w:tc>
          <w:tcPr>
            <w:tcW w:w="14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w:t>
            </w:r>
          </w:p>
        </w:tc>
        <w:tc>
          <w:tcPr>
            <w:tcW w:w="12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7000" w:type="dxa"/>
            <w:vAlign w:val="bottom"/>
            <w:gridSpan w:val="7"/>
          </w:tcPr>
          <w:p>
            <w:pPr>
              <w:spacing w:after="0"/>
              <w:rPr>
                <w:sz w:val="20"/>
                <w:szCs w:val="20"/>
                <w:color w:val="auto"/>
              </w:rPr>
            </w:pPr>
            <w:r>
              <w:rPr>
                <w:rFonts w:ascii="Courier New" w:cs="Courier New" w:eastAsia="Courier New" w:hAnsi="Courier New"/>
                <w:sz w:val="15"/>
                <w:szCs w:val="15"/>
                <w:color w:val="auto"/>
              </w:rPr>
              <w:t>/1/ Includes the Retail Petroleum Systems (RPS) business sold on October 1,</w:t>
            </w: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0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1998.</w:t>
            </w: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/2/ Restated for comparative purposes.</w:t>
            </w: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45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/3/ In 1999, the provision for income taxes, before</w:t>
            </w:r>
          </w:p>
        </w:tc>
        <w:tc>
          <w:tcPr>
            <w:tcW w:w="248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the tax benefit on the</w:t>
            </w: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r>
    </w:tbl>
    <w:p>
      <w:pPr>
        <w:spacing w:after="0" w:line="5" w:lineRule="exact"/>
        <w:rPr>
          <w:sz w:val="20"/>
          <w:szCs w:val="20"/>
          <w:color w:val="auto"/>
        </w:rPr>
      </w:pPr>
    </w:p>
    <w:p>
      <w:pPr>
        <w:ind w:left="360" w:right="3319"/>
        <w:spacing w:after="0" w:line="236" w:lineRule="auto"/>
        <w:rPr>
          <w:sz w:val="20"/>
          <w:szCs w:val="20"/>
          <w:color w:val="auto"/>
        </w:rPr>
      </w:pPr>
      <w:r>
        <w:rPr>
          <w:rFonts w:ascii="Courier New" w:cs="Courier New" w:eastAsia="Courier New" w:hAnsi="Courier New"/>
          <w:sz w:val="15"/>
          <w:szCs w:val="15"/>
          <w:color w:val="auto"/>
        </w:rPr>
        <w:t>charge and the tax expense on the gain on the sale of RPS financial instruments, was $133 million. In 1998, the provision for income taxes, before the tax benefit on the third quarter charge, was $340 million. In 1996, the provision for income taxes, before recognition of the US tax loss carryforward benefit and the tax effect of the unusual items, was $226 million.</w:t>
      </w:r>
    </w:p>
    <w:p>
      <w:pPr>
        <w:spacing w:after="0"/>
        <w:rPr>
          <w:sz w:val="20"/>
          <w:szCs w:val="20"/>
          <w:color w:val="auto"/>
        </w:rPr>
      </w:pPr>
      <w:r>
        <w:rPr>
          <w:rFonts w:ascii="Courier New" w:cs="Courier New" w:eastAsia="Courier New" w:hAnsi="Courier New"/>
          <w:sz w:val="15"/>
          <w:szCs w:val="15"/>
          <w:color w:val="auto"/>
        </w:rPr>
        <w:t>/4/ In 2000, 1999 and 1998, excluding the charges.</w:t>
      </w:r>
    </w:p>
    <w:p>
      <w:pPr>
        <w:spacing w:after="0" w:line="173" w:lineRule="exact"/>
        <w:rPr>
          <w:sz w:val="20"/>
          <w:szCs w:val="20"/>
          <w:color w:val="auto"/>
        </w:rPr>
      </w:pPr>
    </w:p>
    <w:p>
      <w:pPr>
        <w:ind w:left="360" w:right="3759" w:hanging="359"/>
        <w:spacing w:after="0" w:line="234" w:lineRule="auto"/>
        <w:tabs>
          <w:tab w:leader="none" w:pos="340" w:val="left"/>
        </w:tabs>
        <w:rPr>
          <w:sz w:val="20"/>
          <w:szCs w:val="20"/>
          <w:color w:val="auto"/>
        </w:rPr>
      </w:pPr>
      <w:r>
        <w:rPr>
          <w:rFonts w:ascii="Courier New" w:cs="Courier New" w:eastAsia="Courier New" w:hAnsi="Courier New"/>
          <w:sz w:val="15"/>
          <w:szCs w:val="15"/>
          <w:color w:val="auto"/>
        </w:rPr>
        <w:t>/5/</w:t>
        <w:tab/>
        <w:t>Liquidity is defined as cash plus short-term and long-term investments less debt.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617" w:right="1440" w:bottom="1440" w:gutter="0" w:footer="0" w:header="0"/>
        </w:sectPr>
      </w:pPr>
    </w:p>
    <w:bookmarkStart w:id="11" w:name="page12"/>
    <w:bookmarkEnd w:id="11"/>
    <w:p>
      <w:pPr>
        <w:spacing w:after="0"/>
        <w:tabs>
          <w:tab w:leader="none" w:pos="78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4"/>
          <w:szCs w:val="14"/>
          <w:color w:val="auto"/>
        </w:rPr>
        <w:t>Management's Discussion and Analysis of Financial Condition</w:t>
      </w:r>
    </w:p>
    <w:p>
      <w:pPr>
        <w:spacing w:after="0"/>
        <w:tabs>
          <w:tab w:leader="none" w:pos="9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ind w:left="800"/>
        <w:spacing w:after="0" w:line="238" w:lineRule="auto"/>
        <w:rPr>
          <w:sz w:val="20"/>
          <w:szCs w:val="20"/>
          <w:color w:val="auto"/>
        </w:rPr>
      </w:pPr>
      <w:r>
        <w:rPr>
          <w:rFonts w:ascii="Courier New" w:cs="Courier New" w:eastAsia="Courier New" w:hAnsi="Courier New"/>
          <w:sz w:val="15"/>
          <w:szCs w:val="15"/>
          <w:color w:val="auto"/>
        </w:rPr>
        <w:t>and Results of Operations</w:t>
      </w:r>
    </w:p>
    <w:p>
      <w:pPr>
        <w:ind w:left="80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right="3500"/>
        <w:spacing w:after="0" w:line="234" w:lineRule="auto"/>
        <w:rPr>
          <w:sz w:val="20"/>
          <w:szCs w:val="20"/>
          <w:color w:val="auto"/>
        </w:rPr>
      </w:pPr>
      <w:r>
        <w:rPr>
          <w:rFonts w:ascii="Courier New" w:cs="Courier New" w:eastAsia="Courier New" w:hAnsi="Courier New"/>
          <w:sz w:val="15"/>
          <w:szCs w:val="15"/>
          <w:color w:val="auto"/>
        </w:rPr>
        <w:t>Schlumberger operates three businesses: Oilfield Services, Resource Management Services and Test &amp; Transactions. (Stated in millions)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720" w:type="dxa"/>
            <w:vAlign w:val="bottom"/>
            <w:gridSpan w:val="3"/>
          </w:tcPr>
          <w:p>
            <w:pPr>
              <w:jc w:val="right"/>
              <w:ind w:right="207"/>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1760" w:type="dxa"/>
            <w:vAlign w:val="bottom"/>
          </w:tcPr>
          <w:p>
            <w:pPr>
              <w:spacing w:after="0"/>
              <w:rPr>
                <w:sz w:val="14"/>
                <w:szCs w:val="14"/>
                <w:color w:val="auto"/>
              </w:rPr>
            </w:pPr>
          </w:p>
        </w:tc>
        <w:tc>
          <w:tcPr>
            <w:tcW w:w="2060" w:type="dxa"/>
            <w:vAlign w:val="bottom"/>
            <w:gridSpan w:val="4"/>
          </w:tcPr>
          <w:p>
            <w:pPr>
              <w:jc w:val="right"/>
              <w:ind w:right="147"/>
              <w:spacing w:after="0" w:line="168" w:lineRule="exact"/>
              <w:rPr>
                <w:sz w:val="20"/>
                <w:szCs w:val="20"/>
                <w:color w:val="auto"/>
              </w:rPr>
            </w:pPr>
            <w:r>
              <w:rPr>
                <w:rFonts w:ascii="Courier New" w:cs="Courier New" w:eastAsia="Courier New" w:hAnsi="Courier New"/>
                <w:sz w:val="15"/>
                <w:szCs w:val="15"/>
                <w:color w:val="auto"/>
              </w:rPr>
              <w:t>Oilfield Services</w:t>
            </w:r>
          </w:p>
        </w:tc>
        <w:tc>
          <w:tcPr>
            <w:tcW w:w="860" w:type="dxa"/>
            <w:vAlign w:val="bottom"/>
          </w:tcPr>
          <w:p>
            <w:pPr>
              <w:spacing w:after="0"/>
              <w:rPr>
                <w:sz w:val="14"/>
                <w:szCs w:val="14"/>
                <w:color w:val="auto"/>
              </w:rPr>
            </w:pPr>
          </w:p>
        </w:tc>
        <w:tc>
          <w:tcPr>
            <w:tcW w:w="294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Resource Mgt. Services</w:t>
            </w:r>
          </w:p>
        </w:tc>
        <w:tc>
          <w:tcPr>
            <w:tcW w:w="2720" w:type="dxa"/>
            <w:vAlign w:val="bottom"/>
            <w:gridSpan w:val="3"/>
          </w:tcPr>
          <w:p>
            <w:pPr>
              <w:jc w:val="right"/>
              <w:ind w:right="287"/>
              <w:spacing w:after="0" w:line="168" w:lineRule="exact"/>
              <w:rPr>
                <w:sz w:val="20"/>
                <w:szCs w:val="20"/>
                <w:color w:val="auto"/>
              </w:rPr>
            </w:pPr>
            <w:r>
              <w:rPr>
                <w:rFonts w:ascii="Courier New" w:cs="Courier New" w:eastAsia="Courier New" w:hAnsi="Courier New"/>
                <w:sz w:val="15"/>
                <w:szCs w:val="15"/>
                <w:color w:val="auto"/>
              </w:rPr>
              <w:t>Test &amp; Transactions/2/</w:t>
            </w:r>
          </w:p>
        </w:tc>
      </w:tr>
      <w:tr>
        <w:trPr>
          <w:trHeight w:val="168"/>
        </w:trPr>
        <w:tc>
          <w:tcPr>
            <w:tcW w:w="17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w:t>
            </w: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94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27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1760" w:type="dxa"/>
            <w:vAlign w:val="bottom"/>
          </w:tcPr>
          <w:p>
            <w:pPr>
              <w:spacing w:after="0"/>
              <w:rPr>
                <w:sz w:val="14"/>
                <w:szCs w:val="14"/>
                <w:color w:val="auto"/>
              </w:rPr>
            </w:pPr>
          </w:p>
        </w:tc>
        <w:tc>
          <w:tcPr>
            <w:tcW w:w="12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2000</w:t>
            </w:r>
          </w:p>
        </w:tc>
        <w:tc>
          <w:tcPr>
            <w:tcW w:w="84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1999</w:t>
            </w: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 Change</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c>
          <w:tcPr>
            <w:tcW w:w="92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1999/3/</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 Change</w:t>
            </w:r>
          </w:p>
        </w:tc>
        <w:tc>
          <w:tcPr>
            <w:tcW w:w="100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1999/3/</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Change</w:t>
            </w:r>
          </w:p>
        </w:tc>
      </w:tr>
      <w:tr>
        <w:trPr>
          <w:trHeight w:val="168"/>
        </w:trPr>
        <w:tc>
          <w:tcPr>
            <w:tcW w:w="1760" w:type="dxa"/>
            <w:vAlign w:val="bottom"/>
          </w:tcPr>
          <w:p>
            <w:pPr>
              <w:spacing w:after="0"/>
              <w:rPr>
                <w:sz w:val="14"/>
                <w:szCs w:val="14"/>
                <w:color w:val="auto"/>
              </w:rPr>
            </w:pPr>
          </w:p>
        </w:tc>
        <w:tc>
          <w:tcPr>
            <w:tcW w:w="1220" w:type="dxa"/>
            <w:vAlign w:val="bottom"/>
            <w:gridSpan w:val="2"/>
          </w:tcPr>
          <w:p>
            <w:pPr>
              <w:jc w:val="right"/>
              <w:spacing w:after="0"/>
              <w:rPr>
                <w:sz w:val="20"/>
                <w:szCs w:val="20"/>
                <w:color w:val="auto"/>
              </w:rPr>
            </w:pPr>
            <w:r>
              <w:rPr>
                <w:rFonts w:ascii="Courier New" w:cs="Courier New" w:eastAsia="Courier New" w:hAnsi="Courier New"/>
                <w:sz w:val="9"/>
                <w:szCs w:val="9"/>
                <w:color w:val="auto"/>
                <w:w w:val="74"/>
              </w:rPr>
              <w:t>------------------------------</w:t>
            </w:r>
          </w:p>
        </w:tc>
        <w:tc>
          <w:tcPr>
            <w:tcW w:w="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94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27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7,033</w:t>
            </w:r>
          </w:p>
        </w:tc>
        <w:tc>
          <w:tcPr>
            <w:tcW w:w="3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w w:val="93"/>
              </w:rPr>
              <w:t>5,869</w:t>
            </w:r>
          </w:p>
        </w:tc>
        <w:tc>
          <w:tcPr>
            <w:tcW w:w="8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20%</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$1,241</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$ 1,375</w:t>
            </w:r>
          </w:p>
        </w:tc>
        <w:tc>
          <w:tcPr>
            <w:tcW w:w="9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$1,409</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$ 1,183</w:t>
            </w:r>
          </w:p>
        </w:tc>
        <w:tc>
          <w:tcPr>
            <w:tcW w:w="8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w:t>
            </w: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Pretax Segment</w:t>
            </w: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17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Income/1/</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997</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576</w:t>
            </w:r>
          </w:p>
        </w:tc>
        <w:tc>
          <w:tcPr>
            <w:tcW w:w="8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73%</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15</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17</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36</w:t>
            </w:r>
          </w:p>
        </w:tc>
        <w:tc>
          <w:tcPr>
            <w:tcW w:w="8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(29)%</w:t>
            </w:r>
          </w:p>
        </w:tc>
      </w:tr>
    </w:tbl>
    <w:p>
      <w:pPr>
        <w:spacing w:after="0" w:line="200" w:lineRule="exact"/>
        <w:rPr>
          <w:sz w:val="20"/>
          <w:szCs w:val="20"/>
          <w:color w:val="auto"/>
        </w:rPr>
      </w:pPr>
    </w:p>
    <w:p>
      <w:pPr>
        <w:spacing w:after="0" w:line="309" w:lineRule="exact"/>
        <w:rPr>
          <w:sz w:val="20"/>
          <w:szCs w:val="20"/>
          <w:color w:val="auto"/>
        </w:rPr>
      </w:pPr>
    </w:p>
    <w:p>
      <w:pPr>
        <w:ind w:left="440" w:right="3340" w:hanging="439"/>
        <w:spacing w:after="0" w:line="235" w:lineRule="auto"/>
        <w:tabs>
          <w:tab w:leader="none" w:pos="420" w:val="left"/>
        </w:tabs>
        <w:rPr>
          <w:sz w:val="20"/>
          <w:szCs w:val="20"/>
          <w:color w:val="auto"/>
        </w:rPr>
      </w:pPr>
      <w:r>
        <w:rPr>
          <w:rFonts w:ascii="Courier New" w:cs="Courier New" w:eastAsia="Courier New" w:hAnsi="Courier New"/>
          <w:sz w:val="15"/>
          <w:szCs w:val="15"/>
          <w:color w:val="auto"/>
        </w:rPr>
        <w:t>/1/</w:t>
        <w:tab/>
        <w:t>Pretax segment income represents income before taxes and minority interest, excluding interest income and interest expense, and the 2000 and 1999 charges.</w:t>
      </w:r>
    </w:p>
    <w:p>
      <w:pPr>
        <w:spacing w:after="0" w:line="174" w:lineRule="exact"/>
        <w:rPr>
          <w:sz w:val="20"/>
          <w:szCs w:val="20"/>
          <w:color w:val="auto"/>
        </w:rPr>
      </w:pPr>
    </w:p>
    <w:p>
      <w:pPr>
        <w:ind w:left="440" w:right="3500" w:hanging="439"/>
        <w:spacing w:after="0" w:line="234" w:lineRule="auto"/>
        <w:tabs>
          <w:tab w:leader="none" w:pos="420" w:val="left"/>
        </w:tabs>
        <w:rPr>
          <w:sz w:val="20"/>
          <w:szCs w:val="20"/>
          <w:color w:val="auto"/>
        </w:rPr>
      </w:pPr>
      <w:r>
        <w:rPr>
          <w:rFonts w:ascii="Courier New" w:cs="Courier New" w:eastAsia="Courier New" w:hAnsi="Courier New"/>
          <w:sz w:val="15"/>
          <w:szCs w:val="15"/>
          <w:color w:val="auto"/>
        </w:rPr>
        <w:t>/2/</w:t>
        <w:tab/>
        <w:t>Test &amp; Transactions results include Omnes, formerly a joint venture which was 100% acquired during the third quarter of 1999.</w:t>
      </w:r>
    </w:p>
    <w:p>
      <w:pPr>
        <w:spacing w:after="0" w:line="16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/3/</w:t>
        <w:tab/>
        <w:t>Restated for comparative purposes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Oilfield Services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420"/>
        <w:spacing w:after="0" w:line="236" w:lineRule="auto"/>
        <w:rPr>
          <w:sz w:val="20"/>
          <w:szCs w:val="20"/>
          <w:color w:val="auto"/>
        </w:rPr>
      </w:pPr>
      <w:r>
        <w:rPr>
          <w:rFonts w:ascii="Courier New" w:cs="Courier New" w:eastAsia="Courier New" w:hAnsi="Courier New"/>
          <w:sz w:val="15"/>
          <w:szCs w:val="15"/>
          <w:color w:val="auto"/>
        </w:rPr>
        <w:t>On November 30, 2000, Schlumberger and Baker Hughes closed the transaction to create the seismic joint venture WesternGeco. WesternGeco comprises the seismic fleets, data processing assets, exclusive and nonexclusive multiclient surveys, and other assets of Schlumberger Geco-Prakla and Baker Hughes Western Geophysical. WesternGeco is owned 70% by Schlumberger and 30% by Baker Hughes. The creation of WesternGeco is a natural alignment of two leading seismic companies which have complementary markets, technologies and cultural values. WesternGeco will focus on delivering the best possible seismic services and technology in the industry to oil and gas customers in a safe and efficient manner.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2000 Results</w:t>
      </w:r>
    </w:p>
    <w:p>
      <w:pPr>
        <w:spacing w:after="0" w:line="5" w:lineRule="exact"/>
        <w:rPr>
          <w:sz w:val="20"/>
          <w:szCs w:val="20"/>
          <w:color w:val="auto"/>
        </w:rPr>
      </w:pPr>
    </w:p>
    <w:p>
      <w:pPr>
        <w:ind w:right="3340"/>
        <w:spacing w:after="0" w:line="255" w:lineRule="auto"/>
        <w:rPr>
          <w:sz w:val="20"/>
          <w:szCs w:val="20"/>
          <w:color w:val="auto"/>
        </w:rPr>
      </w:pPr>
      <w:r>
        <w:rPr>
          <w:rFonts w:ascii="Courier New" w:cs="Courier New" w:eastAsia="Courier New" w:hAnsi="Courier New"/>
          <w:sz w:val="14"/>
          <w:szCs w:val="14"/>
          <w:color w:val="auto"/>
        </w:rPr>
        <w:t>Moderate growth was recorded during the first half of the year with sharp sequential growth in the second half of the year led by increased activity in North America and higher demand for Reservoir Development services. The seismic down cycle, which started at the beginning of 1999, continued through the first half of the year. The second half of 2000 saw significant improvement leading to higher Schlumberger activity due to the introduction of new generation seismic Q* Marine and Q Land technology and increased multiclient data sales.</w:t>
      </w:r>
    </w:p>
    <w:p>
      <w:pPr>
        <w:spacing w:after="0" w:line="166" w:lineRule="exact"/>
        <w:rPr>
          <w:sz w:val="20"/>
          <w:szCs w:val="20"/>
          <w:color w:val="auto"/>
        </w:rPr>
      </w:pPr>
    </w:p>
    <w:p>
      <w:pPr>
        <w:ind w:right="3780"/>
        <w:spacing w:after="0" w:line="234" w:lineRule="auto"/>
        <w:rPr>
          <w:sz w:val="20"/>
          <w:szCs w:val="20"/>
          <w:color w:val="auto"/>
        </w:rPr>
      </w:pPr>
      <w:r>
        <w:rPr>
          <w:rFonts w:ascii="Courier New" w:cs="Courier New" w:eastAsia="Courier New" w:hAnsi="Courier New"/>
          <w:sz w:val="15"/>
          <w:szCs w:val="15"/>
          <w:color w:val="auto"/>
        </w:rPr>
        <w:t>Oilfield Services operating revenue increased 20% compared with 1999 as the worldwide M-I rig count grew 30%.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AMERICA</w:t>
      </w:r>
    </w:p>
    <w:p>
      <w:pPr>
        <w:spacing w:after="0" w:line="5" w:lineRule="exact"/>
        <w:rPr>
          <w:sz w:val="20"/>
          <w:szCs w:val="20"/>
          <w:color w:val="auto"/>
        </w:rPr>
      </w:pPr>
    </w:p>
    <w:p>
      <w:pPr>
        <w:jc w:val="both"/>
        <w:ind w:right="3340"/>
        <w:spacing w:after="0" w:line="235" w:lineRule="auto"/>
        <w:rPr>
          <w:sz w:val="20"/>
          <w:szCs w:val="20"/>
          <w:color w:val="auto"/>
        </w:rPr>
      </w:pPr>
      <w:r>
        <w:rPr>
          <w:rFonts w:ascii="Courier New" w:cs="Courier New" w:eastAsia="Courier New" w:hAnsi="Courier New"/>
          <w:sz w:val="15"/>
          <w:szCs w:val="15"/>
          <w:color w:val="auto"/>
        </w:rPr>
        <w:t>North America operating revenue increased 46% versus 1999, in line with the M-I rig count which grew 47%. Increased activity, which started in the third quarter of 1999,</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340"/>
          </w:cols>
          <w:pgMar w:left="220" w:top="617" w:right="1339" w:bottom="1440" w:gutter="0" w:footer="0" w:header="0"/>
        </w:sectPr>
      </w:pPr>
    </w:p>
    <w:bookmarkStart w:id="12" w:name="page13"/>
    <w:bookmarkEnd w:id="12"/>
    <w:p>
      <w:pPr>
        <w:ind w:right="3319"/>
        <w:spacing w:after="0" w:line="235" w:lineRule="auto"/>
        <w:rPr>
          <w:sz w:val="20"/>
          <w:szCs w:val="20"/>
          <w:color w:val="auto"/>
        </w:rPr>
      </w:pPr>
      <w:r>
        <w:rPr>
          <w:rFonts w:ascii="Courier New" w:cs="Courier New" w:eastAsia="Courier New" w:hAnsi="Courier New"/>
          <w:sz w:val="15"/>
          <w:szCs w:val="15"/>
          <w:color w:val="auto"/>
        </w:rPr>
        <w:t>continued into the beginning of 2000 with a significant increase in drilling activity due to the continued shift to natural gas exploration and development. Reservoir Evaluation Wireline and Reservoir Development recorded the year's strongest growth. Pretax segment income increased 206%.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LATIN AMERICA</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Latin America operating revenue increased 22% for the year, consistent with a 23% increase in the M-I rig count. There was strong growth in the second half of 2000 led by Reservoir Development activity. Pretax segment income increased 333% due to improved profitability in Resevoir Evaluation Wireline and Reservoir Development.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EUROPE/CIS/WEST AFRICA</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Operating revenue increased 6% in the Europe/CIS/West Africa Area during 2000, consistent with a 10% increase in the M-I rig count. Results in the first quarter were lower year over year due to continued flat activity and a sharp decline in seismic activity in this region for the same period. The increase in activity in the second half of the year was moderate compared with the other Areas. Pretax segment income increased 66%.</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EASTERN HEMISPHERE</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Revenue in the Other Eastern Hemisphere Area increased 5%, in line with a 5% increase in the M-I rig count. Lower first quarter results resulted from the continued industry down cycle, and growth was moderate for the remainder of the year due to a slow increase in activity. Stronger sequential growth in the second half of the year resulted from increased activity in the Middle East and improved demand for Reservoir Development services. Pretax segment income increased 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Results</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December 30, Schlumberger completed the spin-off to its stockholders of its offshore contract drilling business, Sedco Forex. Following the spin-off, on December 31, Sedco Forex merged with Transocean Offshore Inc., which changed its name to Transocean Sedco Forex Inc. The transaction created the world's largest offshore drilling company and the third largest oilfield services company by market capitalization. Upon completion of the merger, Schlumberger stockholders owned approximately 52% of the shares of Transocean Sedco Forex, and Transocean Offshore shareholders owned the remaining 48%. Schlumberger retained no ownership in the combined company. Sedco Forex is treated as a discontinued operation for all periods.</w:t>
      </w:r>
    </w:p>
    <w:p>
      <w:pPr>
        <w:spacing w:after="0" w:line="17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After continued slow activity across all regions in the first half of the year, Oilfield Services activity in North America started to improve in the third quarter as oil and gas companies continued to gradually increase their spending. The seismic services industry experienced a severe downturn throughout 1999. This negative impact was felt across all regions within Schlumberger, most notably in North America, Europe and Asia, and resulted in a significant decrease in seismic revenue.</w:t>
      </w:r>
    </w:p>
    <w:p>
      <w:pPr>
        <w:spacing w:after="0" w:line="176"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Oilfield Services revenue declined 25% compared with 1998, in line with the estimated 23% reduction in exploration and production (E&amp;P) expenditures, and consistent with the 22% fall in the average rig count.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624" w:right="1440" w:bottom="1440" w:gutter="0" w:footer="0" w:header="0"/>
        </w:sectPr>
      </w:pPr>
    </w:p>
    <w:bookmarkStart w:id="13" w:name="page14"/>
    <w:bookmarkEnd w:id="13"/>
    <w:p>
      <w:pPr>
        <w:spacing w:after="0"/>
        <w:rPr>
          <w:sz w:val="20"/>
          <w:szCs w:val="20"/>
          <w:color w:val="auto"/>
        </w:rPr>
      </w:pPr>
      <w:r>
        <w:rPr>
          <w:rFonts w:ascii="Courier New" w:cs="Courier New" w:eastAsia="Courier New" w:hAnsi="Courier New"/>
          <w:sz w:val="15"/>
          <w:szCs w:val="15"/>
          <w:color w:val="auto"/>
        </w:rPr>
        <w:t>NORTH AMERICA</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North American revenue fell 30%, with a 22% decline in the average rig count. The slowdown was particularly dramatic in the first half of the year, with the average rig count down 40%. All product groups ended the year with lower revenue than in 1998. Pretax segment income dropped 64%.</w:t>
      </w:r>
    </w:p>
    <w:p>
      <w:pPr>
        <w:spacing w:after="0" w:line="175" w:lineRule="exact"/>
        <w:rPr>
          <w:sz w:val="20"/>
          <w:szCs w:val="20"/>
          <w:color w:val="auto"/>
        </w:rPr>
      </w:pPr>
    </w:p>
    <w:p>
      <w:pPr>
        <w:ind w:right="4099"/>
        <w:spacing w:after="0" w:line="261" w:lineRule="auto"/>
        <w:rPr>
          <w:sz w:val="20"/>
          <w:szCs w:val="20"/>
          <w:color w:val="auto"/>
        </w:rPr>
      </w:pPr>
      <w:r>
        <w:rPr>
          <w:rFonts w:ascii="Courier New" w:cs="Courier New" w:eastAsia="Courier New" w:hAnsi="Courier New"/>
          <w:sz w:val="14"/>
          <w:szCs w:val="14"/>
          <w:color w:val="auto"/>
        </w:rPr>
        <w:t>Increased activity during the fourth quarter was mainly focused on gas development projects, primarily in the lower 48 states and Canada.</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LATIN AMERICA</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Latin American revenue fell 26%, in line with the 23% decrease in the average rig count. The reduced activity resulted from a slowdown in all product groups with the exception of drilling services, which saw a 41% increase due to the commencement of MPSV* multipurpose service vessel operations on Lake Maracaibo in Venezuela. Pretax segment income was down 88%, mainly due to lower prices and reduced activity across the region.</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EUROPE/CIS/WEST AFRICA</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Revenue declined 28% in the Europe/CIS/West Africa region, in line with the decline in the average rig count. Revenue from all product groups and geographical areas fell, with the exception of the CIS, where growth in pressure pumping activity fueled a notable increase in revenue over 1998. Pretax segment income for the region decreased 60%.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EASTERN HEMISPHERE</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Revenue in Other Eastern Hemisphere declined 22%, led by significantly lower activity in the Eastern Mediterranean and the Australia GeoMarket areas. Compared with 1998, the average rig count fell 16% in the Middle East and 20% in Asia. Revenue from all services fell, with the exception of Reservoir Management as the MPSV Bima continued to provide value-added services to customers in Indonesia. Pretax segment income fell 45%.</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Results</w:t>
      </w:r>
    </w:p>
    <w:p>
      <w:pPr>
        <w:spacing w:after="0" w:line="5"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After continued strong growth in the first half of the year Oilfield Services activity slowed in the third quarter and reversed direction in the fourth quarter as oil companies reduced spending or cancelled projects.</w:t>
      </w:r>
    </w:p>
    <w:p>
      <w:pPr>
        <w:spacing w:after="0" w:line="16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Oilfield Services revenue grew 2%, despite a decline in the average rig count of 13%. The growth resulted from continued deployment of new technologies and the impact of the new geographic organization, which focused on providing customized solutions for customers. The acquisition of Camco, completed on August 31, strengthened our portfolio with leading technology and expertise in smart completions, production services and drilling products.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NORTH AMERICA</w:t>
      </w:r>
    </w:p>
    <w:p>
      <w:pPr>
        <w:spacing w:after="0" w:line="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North American revenue was 5% below 1997, despite a 17% decline in average rig count. The slowdown was particularly significant in the second half of the year, with the average rig count down by 38% in the fourth quarter compared with the same period last year. Wireline, testing and directional drilling services ended the year with lower revenue than in 1997. Pretax segment income dropped 24%.</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617" w:right="1440" w:bottom="1440" w:gutter="0" w:footer="0" w:header="0"/>
        </w:sectPr>
      </w:pPr>
    </w:p>
    <w:bookmarkStart w:id="14" w:name="page15"/>
    <w:bookmarkEnd w:id="14"/>
    <w:p>
      <w:pPr>
        <w:spacing w:after="0"/>
        <w:rPr>
          <w:sz w:val="20"/>
          <w:szCs w:val="20"/>
          <w:color w:val="auto"/>
        </w:rPr>
      </w:pPr>
      <w:r>
        <w:rPr>
          <w:rFonts w:ascii="Courier New" w:cs="Courier New" w:eastAsia="Courier New" w:hAnsi="Courier New"/>
          <w:sz w:val="15"/>
          <w:szCs w:val="15"/>
          <w:color w:val="auto"/>
        </w:rPr>
        <w:t>LATIN AMERICA</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 revenue gain of 8% in Latin America resulted from strong data services, wireline services and testing services, despite the 12% fall in the average rig count. Revenue from Mexico increased by 25% compared with 1997, with a large contribution from the Burgos gas fields. Pretax segment income was 18% lower, mainly due to the reduction of activity in Venezuela.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EUROPE/CIS/WEST AFRICA</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Revenue was up 2% in the Europe/CIS/West Africa region due to increased directional drilling and data management services, despite an 11% fall in the average rig count (excluding CIS rigs). Revenue from the CIS increased significantly due to the start-up of new projects in Kazakhstan and Azerbaijan, and revenue from West Africa showed firm growth, supported by strong land drilling activity. Pretax segment income fell 7%.</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EASTERN HEMISPHERE</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Revenue grew by 4% compared with 1997, while the average rig count increased 1%. Pretax segment income increased 7%. Asia revenue was 7% above 1997, mainly due to East Asia and Indonesia and with strong increases in all service lines except seismic services, which was flat with 1997. Revenue in the Middle East was up 3%, with the overall growth slowing in the second half of the year, notably from seismic services.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Resource Management Services</w:t>
      </w:r>
    </w:p>
    <w:p>
      <w:pPr>
        <w:ind w:left="180" w:hanging="170"/>
        <w:spacing w:after="0" w:line="237" w:lineRule="auto"/>
        <w:tabs>
          <w:tab w:leader="none" w:pos="18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2000 Results</w:t>
      </w:r>
    </w:p>
    <w:p>
      <w:pPr>
        <w:spacing w:after="0" w:line="5" w:lineRule="exact"/>
        <w:rPr>
          <w:rFonts w:ascii="Courier New" w:cs="Courier New" w:eastAsia="Courier New" w:hAnsi="Courier New"/>
          <w:sz w:val="15"/>
          <w:szCs w:val="15"/>
          <w:color w:val="auto"/>
        </w:rPr>
      </w:pPr>
    </w:p>
    <w:p>
      <w:pPr>
        <w:ind w:right="3239"/>
        <w:spacing w:after="0" w:line="235"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2000, pressure on utility prices and the negative impact of currency movements in Europe resulted in a continued downturn for the utility industry. The effects of deregulation in Europe meant increased competitive pricing in the industry, opening the market to new players.</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this unstable environment, Schlumberger took strategic steps during the year to build its solutions offerings through the acquisition in May of the assets of CellNet Data Systems for $209 million, the leading provider of telemetry technology for the development and deployment of large-scale automatic meter reading (AMR) systems. The combination of our Resource Management Services (RMS) utility measurement systems, products and services with CellNet AMR technology and integrated networks significantly strengthened the RMS position in delivering advanced value-added services to utilities and energy resource providers. In November, Schlumberger acquired a majority stake in the Convergent Group, a leading builder of digital enterprises that will complement the Schlumberger value-added solution approach to business in the utility sector. As another significant strategic step, RMS divested its gas activities in Europe.</w:t>
      </w:r>
    </w:p>
    <w:p>
      <w:pPr>
        <w:spacing w:after="0" w:line="16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Excluding the divested activities and revenue of CellNet and of the Convergent Group, RMS revenue decreased 8% for the year compared with 1999, but was flat, excluding the negative impact of the appreciation of the dollar against the euro. Orders fell 18% year over year. Strong activity in the US electricity and water metering markets, in the UK gas market and throughout Asia compensated for decreases in electricity metering in Italy, France and Central Europe. The sharpest revenue decreases were recorded across Europe, due in part to the fourth quarter divestiture of the gas service businesses in Europe. Revenue contributions continued to come from North America and Asia, where market</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617" w:right="1440" w:bottom="1440" w:gutter="0" w:footer="0" w:header="0"/>
        </w:sectPr>
      </w:pPr>
    </w:p>
    <w:bookmarkStart w:id="15" w:name="page16"/>
    <w:bookmarkEnd w:id="15"/>
    <w:p>
      <w:pPr>
        <w:ind w:right="3239"/>
        <w:spacing w:after="0" w:line="236" w:lineRule="auto"/>
        <w:rPr>
          <w:sz w:val="20"/>
          <w:szCs w:val="20"/>
          <w:color w:val="auto"/>
        </w:rPr>
      </w:pPr>
      <w:r>
        <w:rPr>
          <w:rFonts w:ascii="Courier New" w:cs="Courier New" w:eastAsia="Courier New" w:hAnsi="Courier New"/>
          <w:sz w:val="15"/>
          <w:szCs w:val="15"/>
          <w:color w:val="auto"/>
        </w:rPr>
        <w:t>expansion, the receipt of several major orders and the CellNet asset acquisition led to higher growth. Excluding discontinued activities and acquisitions, pretax segment income improved 31%, reflecting better operating conditions in North America and the benefit of cost reduction efforts over the last four years. The appreciation of the US dollar against the Euro did not have a significant impact on pretax segment income.</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North America, revenue increased 18%, and orders decreased 18% compared with 1999. Revenue growth resulted mainly from stronger electricity and water meter sales and from the deployment of the fixed network at PECO Energy. Signed in October 1999, the PECO contract calls for the installation of 750,000 new CENTRON* static meters with built-in AMR capability and the provision of reading services over thirteen years. In 2000, Schlumberger acquired an exclusive utility industry license for Metricom Inc.'s UtiliNet(TM) RF (radio-frequency) technology to enhance the ability of RMS to provide a broader array of high-end data collection and control systems solutions to its electric, water and gas customers. Growth in the second half of the year was generated by CellNet-related orders and by strong communication module sales, AMR fees and the introduction of an improved time-of-use service. RMS also announced the signing of a 15-year contract to provide data services to 150,000 of its customers in the Kansas City metropolitan area.</w:t>
      </w:r>
    </w:p>
    <w:p>
      <w:pPr>
        <w:spacing w:after="0" w:line="332"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Europe, revenue and orders both declined 6%, excluding divested activities. Decreases in activity were recorded in most countries, except Spain, Portugal and the UK, and across all product lines. Growth in the UK was driven by strong residential meter demand including an agreement for the sale of more than 650,000 U6* gas meters. As part of the increased focus on the solutions business in Europe, RMS acquired Energy Auditing Agency Ltd. (TEAM), a UK-based energy analysis and management software and services provider which serves more than 600 companies. TEAM technology should accelerate the introduction of RMS advanced web-based data management services. TEAM technology will also be adapted for deployment in North America.</w:t>
      </w:r>
    </w:p>
    <w:p>
      <w:pPr>
        <w:spacing w:after="0" w:line="16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South American revenue was flat, and orders rose 7% compared with 1999, reflecting the recovery of demand in Brazil after a depressed year in 1999 due to the currency devaluation. However, a lack of activity in Colombia, Peru and Venezuela offset all gains in the second half of the year.</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Revenue in Asia increased 17%, and orders rose 10% year over year, due mainly to improvements in manufacturing efficiency and to strong electricity metering activity. A significant contract for the sale of electricity meters to China, and a large order from the Republic of Kyrgyzstan for recently launched Gallus* 1000 gas meters, contributed to the revenue growth.</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Results</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Throughout 1999, the uncertainty created by deregulation, privatization and globalization in the utility industry continued to delay investment by many utilities in new products and services. Still, in electricity and gas markets around the world there were encouraging signs of change. In the US and parts of Europe, where deregulation has advanced the furthest, major contract awards have demonstrated the increased interest in the Schlumberger solutions approach.</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624" w:right="1440" w:bottom="1440" w:gutter="0" w:footer="0" w:header="0"/>
        </w:sectPr>
      </w:pPr>
    </w:p>
    <w:bookmarkStart w:id="16" w:name="page17"/>
    <w:bookmarkEnd w:id="16"/>
    <w:p>
      <w:pPr>
        <w:ind w:right="3239"/>
        <w:spacing w:after="0" w:line="236" w:lineRule="auto"/>
        <w:rPr>
          <w:sz w:val="20"/>
          <w:szCs w:val="20"/>
          <w:color w:val="auto"/>
        </w:rPr>
      </w:pPr>
      <w:r>
        <w:rPr>
          <w:rFonts w:ascii="Courier New" w:cs="Courier New" w:eastAsia="Courier New" w:hAnsi="Courier New"/>
          <w:sz w:val="15"/>
          <w:szCs w:val="15"/>
          <w:color w:val="auto"/>
        </w:rPr>
        <w:t>Resource Management Services revenue declined 6% and orders fell 3% compared with 1998. The downturn resulted from continuing pressure on prices and the negative impact of currency movements. Adverse economic conditions in Brazil, which underwent currency devaluation, and in the CIS, also contributed to the downturn. Pretax segment income dropped 71%, reflecting margin deterioration and charges during the year. Contributions came from North America and Asia, where market growth and higher shipments made a positive impact on business.</w:t>
      </w:r>
    </w:p>
    <w:p>
      <w:pPr>
        <w:spacing w:after="0" w:line="17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 North America, revenue increased 1%, while orders rose 7%, reflecting a strong new housing market in the US and Canada. Demand for electricity meters was high, including a contribution from the new CENTRON* static meter with built-in AMR (automatic meter reading) capabilities. An agreement signed with PECO Energy of Philadelphia in October included the installation of 750,000 of these new meters. Schlumberger will also provide asset management and metering data services to PECO for over more than two million metering points over a 15-year period.</w:t>
      </w:r>
    </w:p>
    <w:p>
      <w:pPr>
        <w:spacing w:after="0" w:line="177"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European revenue declined 7% and orders slipped 9% due to continued price pressure, lower demand for electricity products in the UK and ongoing unfavorable business conditions in the CIS. In Stockholm, a major thermal energy data management project, begun in the third quarter, progressed on schedule and highlighted the trend toward integrated metering data networks as well as our ability to provide large-scale, customized solutions. In France, Schlumberger won a contract to supply 20,000 Gallus* residential gas meters equipped with radio communication modules developed jointly by Schlumberger and Itron. In Belgium, a large utility confirmed an order for the first phase of a multiresource (electricity and gas) prepayment system using the TaleXus Vendor* system and PayGuard* smart card-based vending units for 24,000 residences.</w:t>
      </w:r>
    </w:p>
    <w:p>
      <w:pPr>
        <w:spacing w:after="0" w:line="165"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In South America, revenue dropped 22% and orders decreased 19%. Business was affected by a significant fall-off in Brazil's domestic activity due to broad public spending cuts and the devaluation of the national currency.</w:t>
      </w:r>
    </w:p>
    <w:p>
      <w:pPr>
        <w:spacing w:after="0" w:line="161"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Revenue in Asia increased 31% and orders jumped 66%, reflecting both a return of new investment in the region after the economic downturn last year and continued growth in exports. Shipments of water meters commenced from a new factory in South Australia, and there was a rise in shipments of residential electricity meters to Taiwan and commercial and industrial meters to Thailand.</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Results</w:t>
      </w:r>
    </w:p>
    <w:p>
      <w:pPr>
        <w:spacing w:after="0" w:line="5"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RMS revenue fell 7% in 1998 compared with 1997. The decline resulted from lower demand for electricity and gas products as well as from difficult financial environments in developing countries. Product orders were flat for the year.</w:t>
      </w:r>
    </w:p>
    <w:p>
      <w:pPr>
        <w:spacing w:after="0" w:line="16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Europe, revenue declines caused by industrial overcapacity and price competition were offset by higher electricity sales to EDP, the Portuguese national electric company. North American revenue was down 4%, reflecting market uncertainty caused by ongoing electricity deregulation in the US. However, revenue from Africa and the Middle East rose 29%, driven by stronger gas and water meter shipments to North Africa and Turkey.</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624" w:right="1440" w:bottom="1440" w:gutter="0" w:footer="0" w:header="0"/>
        </w:sectPr>
      </w:pPr>
    </w:p>
    <w:bookmarkStart w:id="17" w:name="page18"/>
    <w:bookmarkEnd w:id="17"/>
    <w:p>
      <w:pPr>
        <w:ind w:right="3319"/>
        <w:spacing w:after="0" w:line="235" w:lineRule="auto"/>
        <w:rPr>
          <w:sz w:val="20"/>
          <w:szCs w:val="20"/>
          <w:color w:val="auto"/>
        </w:rPr>
      </w:pPr>
      <w:r>
        <w:rPr>
          <w:rFonts w:ascii="Courier New" w:cs="Courier New" w:eastAsia="Courier New" w:hAnsi="Courier New"/>
          <w:sz w:val="15"/>
          <w:szCs w:val="15"/>
          <w:color w:val="auto"/>
        </w:rPr>
        <w:t>Pretax segment income dropped 30%, reflecting margin deterioration due to lower sales in North and South America, France and Germany. Favorable contributions came from South and Central Europe and from savings as a result of the restructuring of RMS, which was initiated in 1996.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Test &amp; Transactions</w:t>
      </w:r>
    </w:p>
    <w:p>
      <w:pPr>
        <w:ind w:left="180" w:hanging="170"/>
        <w:spacing w:after="0" w:line="237" w:lineRule="auto"/>
        <w:tabs>
          <w:tab w:leader="none" w:pos="18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2000 Results</w:t>
      </w:r>
    </w:p>
    <w:p>
      <w:pPr>
        <w:spacing w:after="0" w:line="5" w:lineRule="exact"/>
        <w:rPr>
          <w:rFonts w:ascii="Courier New" w:cs="Courier New" w:eastAsia="Courier New" w:hAnsi="Courier New"/>
          <w:sz w:val="15"/>
          <w:szCs w:val="15"/>
          <w:color w:val="auto"/>
        </w:rPr>
      </w:pPr>
    </w:p>
    <w:p>
      <w:pPr>
        <w:ind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Test &amp; Transactions revenue growth of 19% and orders growth of 26% versus 1999, resulted from significantly higher activity levels in the Smart Cards and Network Solutions businesses. Pretax segment income fell 29%, mostly due to deterioration in the Semiconductor Solutions business and to recruiting and training investments in our new consulting businesses.</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During the year, Schlumberger realigned its Test &amp; Transactions activities in order to better address customer needs and to expand the opportunities for integrating our consulting, integration and network services expertise into the markets Schlumberger serves, including the oil and gas, utility, wireless, finance, telecom and corporate IT security markets. Meanwhile, Schlumberger took aggressive steps to expand the Network Solutions business, the most significant being the acquisition of Data Marine Systems (DMS) in October.</w:t>
      </w:r>
    </w:p>
    <w:p>
      <w:pPr>
        <w:spacing w:after="0" w:line="16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Smart Cards revenue increased 25% versus 1999. Orders grew 32% year over year. The healthy rise in orders for smart card-based solutions was driven by continued outstanding growth of the mobile communications market and the beginning of the rollout of smart card applications in North America. In the US, Schlumberger won the largest-ever smart card IT security order. The Cyberflex* Java(TM)-programmable cards will be used to provide secure access to customer's data networks and facilities. At Cartes 2000, the annual smart cards industry forum, Schlumberger received the prestigious Sesame Award for a secure electronic mobile banking system. On February 9, 2001, Schlumberger announced that it had signed a definitive agreement to acquire Bull CP8, a leading smart card technology provider, for approximately $325 million.</w:t>
      </w:r>
    </w:p>
    <w:p>
      <w:pPr>
        <w:spacing w:after="0" w:line="180"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Semiconductor Solutions revenue increased 4% year over year. Ongoing industry cutbacks in capital expenditures, which stalled delivery of new mixed-signal testers in the second half of the year, and the lack of a market for Rambus(TM) dynamic random access memory (RDRAM(TM)) testers adversely impacted profitability. Orders grew 11% compared with 1999.</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Network Solutions revenue grew 64% versus 1999. Orders jumped 46% over the same period. Schlumberger continued to invest heavily to build its technology base and expand its offerings in consulting and network management. In October, Schlumberger completed the acquisition of Data Marine Systems Limited (DMS), a global provider of telecommunications technical consulting, system engineering, integration services and secure remote connectivity. This acquisition will diversify the global network services capabilities of Schlumberger and expand the Network Solutions customer base to over 100 companies in the oil and gas, health and mobile communications industries.</w:t>
      </w:r>
    </w:p>
    <w:p>
      <w:pPr>
        <w:spacing w:after="0" w:line="16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E-Transactions Solutions revenue declined 13% year over year. Orders rose 12% over the same period on higher terminals and systems bookings for the e-City and e-Payment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624" w:right="1440" w:bottom="1440" w:gutter="0" w:footer="0" w:header="0"/>
        </w:sectPr>
      </w:pPr>
    </w:p>
    <w:bookmarkStart w:id="18" w:name="page19"/>
    <w:bookmarkEnd w:id="18"/>
    <w:p>
      <w:pPr>
        <w:ind w:right="3499"/>
        <w:spacing w:after="0" w:line="235" w:lineRule="auto"/>
        <w:rPr>
          <w:sz w:val="20"/>
          <w:szCs w:val="20"/>
          <w:color w:val="auto"/>
        </w:rPr>
      </w:pPr>
      <w:r>
        <w:rPr>
          <w:rFonts w:ascii="Courier New" w:cs="Courier New" w:eastAsia="Courier New" w:hAnsi="Courier New"/>
          <w:sz w:val="15"/>
          <w:szCs w:val="15"/>
          <w:color w:val="auto"/>
        </w:rPr>
        <w:t>businesses. Manufacturing delays resulted from semiconductor shortages in the first half of the year, as well as a slowdown in Pay &amp; Display* parking meter shipments as European customers postponed deliveries to await new euro-compatible products.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1999 Results</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Revenue at Test &amp; Transactions declined 4% compared with 1998. Orders rose 16%. The year was characterized by volatility due to changing business environments in several Test &amp; Transactions market segments. The smart cards business, which is derived in part from emerging economies, suffered from pricing pressures associated with highly competitive markets such as mobile communications. However, the introduction of new smart products contributed to Test &amp; Transactions revenue. Market uncertainties associated with the Rambus memory device rollout and a softening in the high-end logic test business negatively impacted revenue.</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Cards revenue improved 9% versus 1998, while orders increased 14%. During the year, Schlumberger successfully launched the Cyberflex Simera* Java-programmable subscriber identity module (SIM) card and Cryptoflex* e-gate* card into the booming GSM and PC markets. The rapid growth of the mobile communications market, which was accompanied by increasing demand for multiapplication and open-platform cards, provided a strong impetus for the accelerated adoption and continued use of the Simera cards. However, despite a strong increase in orders for SIM cards over 1998, global price pressure significantly reduced the revenue generated. Card sales grew in both Asia and Europe, the two most prominent consumer markets for smart cards.</w:t>
      </w:r>
    </w:p>
    <w:p>
      <w:pPr>
        <w:spacing w:after="0" w:line="179"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Semiconductor Solutions revenue decreased 28%, while orders increased 9%. Fourteen new products were introduced during the year, and Schlumberger entered the front-end (process equipment) semiconductor equipment business with the first shipments of the Odyssey 300* wafer defect detection system. Although the initiative to focus on RDRAM technology resulted in an early leadership position for Schlumberger, the slow pace of the emerging RDRAM market delayed orders.</w:t>
      </w:r>
    </w:p>
    <w:p>
      <w:pPr>
        <w:spacing w:after="0" w:line="166"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Network Solutions revenue increased 47% versus 1998, and orders grew 65%. In July 1999, Schlumberger purchased its 50% share of the Omnes joint venture.</w:t>
      </w:r>
    </w:p>
    <w:p>
      <w:pPr>
        <w:spacing w:after="0" w:line="16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E-Transactions revenue grew 3% versus 1998, while orders fell 8%. During 1999, Schlumberger introduced new MagIC* 6000 payment terminals into the strong retail market with great success. In addition, e-City solutions sales showed a significant increase over 1998, with key contributions from Parking and Mass Transit applications.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1998 Results</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Compared with 1997, revenue for Test &amp; Transactions rose 15%, while orders fell 16%. The Cards business grew 34%, while Semiconductor Solutions activity fell 2%. Both businesses experienced volatile business cycles but outpaced their respective markets. In 1998, smart card volume increased more than 40% compared with the industry's growth rate of 32%. Despite an industry downturn, Semiconductor Solutions increased market share for mixed-signal and logic test systems. In October, the Retail Petroleum Systems business was sold to Tokheim Corporation.</w:t>
      </w:r>
    </w:p>
    <w:p>
      <w:pPr>
        <w:spacing w:after="0" w:line="17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624" w:right="1440" w:bottom="1440" w:gutter="0" w:footer="0" w:header="0"/>
        </w:sectPr>
      </w:pPr>
    </w:p>
    <w:bookmarkStart w:id="19" w:name="page20"/>
    <w:bookmarkEnd w:id="19"/>
    <w:p>
      <w:pPr>
        <w:ind w:right="3239"/>
        <w:spacing w:after="0" w:line="237" w:lineRule="auto"/>
        <w:rPr>
          <w:sz w:val="20"/>
          <w:szCs w:val="20"/>
          <w:color w:val="auto"/>
        </w:rPr>
      </w:pPr>
      <w:r>
        <w:rPr>
          <w:rFonts w:ascii="Courier New" w:cs="Courier New" w:eastAsia="Courier New" w:hAnsi="Courier New"/>
          <w:sz w:val="15"/>
          <w:szCs w:val="15"/>
          <w:color w:val="auto"/>
        </w:rPr>
        <w:t>The strong revenue growth at Cards came from the mobile phone SIM card market and from financial and banking cards. Schlumberger concentrated on growing its share of key smart card markets--mobile phones, finance and banking, and emerging markets-which presented significant opportunities for the smart card-based solutions and systems integration businesses. One successful system integration business was exemplified by the launch of the Cyberflex Mobile Solution. This integrated product and service offering included a Cyberflex Simera smart card, a software developer's kit with an easy-to-use SIMnario* graphical interface for rapid prototyping, the Aremis* SIM-based service management system and the Aremis marketing platform. Schlumberger also offered a wide range of consulting, engineering and turnkey project management services to facilitate the design of these systems.</w:t>
      </w:r>
    </w:p>
    <w:p>
      <w:pPr>
        <w:spacing w:after="0" w:line="173" w:lineRule="exact"/>
        <w:rPr>
          <w:sz w:val="20"/>
          <w:szCs w:val="20"/>
          <w:color w:val="auto"/>
        </w:rPr>
      </w:pPr>
    </w:p>
    <w:p>
      <w:pPr>
        <w:ind w:right="3839"/>
        <w:spacing w:after="0" w:line="235" w:lineRule="auto"/>
        <w:rPr>
          <w:sz w:val="20"/>
          <w:szCs w:val="20"/>
          <w:color w:val="auto"/>
        </w:rPr>
      </w:pPr>
      <w:r>
        <w:rPr>
          <w:rFonts w:ascii="Courier New" w:cs="Courier New" w:eastAsia="Courier New" w:hAnsi="Courier New"/>
          <w:sz w:val="15"/>
          <w:szCs w:val="15"/>
          <w:color w:val="auto"/>
        </w:rPr>
        <w:t>E-Transactions revenue increased 48%, benefiting mostly from the e-City Solutions business, which comprises parking and mass transit systems. The Stelio* parking system was successfully introduced and made a significant contribution to revenue. Network Solutions revenue grew 8%.</w:t>
      </w:r>
    </w:p>
    <w:p>
      <w:pPr>
        <w:spacing w:after="0" w:line="175" w:lineRule="exact"/>
        <w:rPr>
          <w:sz w:val="20"/>
          <w:szCs w:val="20"/>
          <w:color w:val="auto"/>
        </w:rPr>
      </w:pPr>
    </w:p>
    <w:p>
      <w:pPr>
        <w:jc w:val="both"/>
        <w:ind w:right="3579"/>
        <w:spacing w:after="0" w:line="256" w:lineRule="auto"/>
        <w:rPr>
          <w:sz w:val="20"/>
          <w:szCs w:val="20"/>
          <w:color w:val="auto"/>
        </w:rPr>
      </w:pPr>
      <w:r>
        <w:rPr>
          <w:rFonts w:ascii="Courier New" w:cs="Courier New" w:eastAsia="Courier New" w:hAnsi="Courier New"/>
          <w:sz w:val="14"/>
          <w:szCs w:val="14"/>
          <w:color w:val="auto"/>
        </w:rPr>
        <w:t>At Semiconductor Solutions, strong orders in the first half of the year were offset by the decline during the second half. To reflect the downturn in the semiconductor business, Schlumberger implemented a cost reduction plan, but maintained investments for critical new product developments.</w:t>
      </w:r>
    </w:p>
    <w:p>
      <w:pPr>
        <w:spacing w:after="0" w:line="16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During 1998, Schlumberger introduced D-RDRAM(TM), SDRAM and RDRAM memory test systems. The new RDX2200* series of RDRAM test systems was anticipated to establish a new market standard for test accuracy, throughput and cost. The RDX2200 series of test systems owes its accuracy and performance advantage to Semiconductor Solutions test technology expertise in high-end logic design and test methodology. Also successfully introduced in 1998 was the IDS2000* probe system. This laser-based system, focused on the emerging flip chip market, provides the same diagnostic capabilities as high-end e-beam tools. Several IDS2000 systems were installed during the year.</w:t>
      </w:r>
    </w:p>
    <w:p>
      <w:pPr>
        <w:spacing w:after="0" w:line="17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1998, the SABER* (Schlumberger Advanced Business and Engineering Resources) services group was formed and achieved profitability. The SABER business model, which derives from the Schlumberger service culture, is an innovative concept that provides consulting, turnkey engineering and operational services for the semiconductor industry.</w:t>
      </w:r>
    </w:p>
    <w:p>
      <w:pPr>
        <w:spacing w:after="0" w:line="200" w:lineRule="exact"/>
        <w:rPr>
          <w:sz w:val="20"/>
          <w:szCs w:val="20"/>
          <w:color w:val="auto"/>
        </w:rPr>
      </w:pPr>
    </w:p>
    <w:p>
      <w:pPr>
        <w:spacing w:after="0" w:line="30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624" w:right="1440" w:bottom="1440" w:gutter="0" w:footer="0" w:header="0"/>
        </w:sectPr>
      </w:pPr>
    </w:p>
    <w:bookmarkStart w:id="20" w:name="page21"/>
    <w:bookmarkEnd w:id="20"/>
    <w:p>
      <w:pPr>
        <w:spacing w:after="0"/>
        <w:rPr>
          <w:sz w:val="20"/>
          <w:szCs w:val="20"/>
          <w:color w:val="auto"/>
        </w:rPr>
      </w:pPr>
      <w:r>
        <w:rPr>
          <w:rFonts w:ascii="Courier New" w:cs="Courier New" w:eastAsia="Courier New" w:hAnsi="Courier New"/>
          <w:sz w:val="15"/>
          <w:szCs w:val="15"/>
          <w:color w:val="auto"/>
        </w:rPr>
        <w:t>Income - Continuing Operations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14"/>
                <w:szCs w:val="14"/>
                <w:color w:val="auto"/>
              </w:rPr>
            </w:pPr>
          </w:p>
        </w:tc>
        <w:tc>
          <w:tcPr>
            <w:tcW w:w="44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(Stated in millions except per share amounts)</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Net Income</w:t>
            </w:r>
          </w:p>
        </w:tc>
        <w:tc>
          <w:tcPr>
            <w:tcW w:w="480" w:type="dxa"/>
            <w:vAlign w:val="bottom"/>
          </w:tcPr>
          <w:p>
            <w:pPr>
              <w:spacing w:after="0"/>
              <w:rPr>
                <w:sz w:val="24"/>
                <w:szCs w:val="24"/>
                <w:color w:val="auto"/>
              </w:rPr>
            </w:pPr>
          </w:p>
        </w:tc>
        <w:tc>
          <w:tcPr>
            <w:tcW w:w="230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Earnings per share</w:t>
            </w:r>
          </w:p>
        </w:tc>
      </w:tr>
      <w:tr>
        <w:trPr>
          <w:trHeight w:val="168"/>
        </w:trPr>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7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76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7"/>
              </w:rPr>
              <w:t>from Continuing</w:t>
            </w:r>
          </w:p>
        </w:tc>
        <w:tc>
          <w:tcPr>
            <w:tcW w:w="4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6"/>
        </w:trPr>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7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Operations</w:t>
            </w:r>
          </w:p>
        </w:tc>
        <w:tc>
          <w:tcPr>
            <w:tcW w:w="480" w:type="dxa"/>
            <w:vAlign w:val="bottom"/>
          </w:tcPr>
          <w:p>
            <w:pPr>
              <w:spacing w:after="0"/>
              <w:rPr>
                <w:sz w:val="24"/>
                <w:szCs w:val="24"/>
                <w:color w:val="auto"/>
              </w:rPr>
            </w:pPr>
          </w:p>
        </w:tc>
        <w:tc>
          <w:tcPr>
            <w:tcW w:w="12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Basic</w:t>
            </w:r>
          </w:p>
        </w:tc>
        <w:tc>
          <w:tcPr>
            <w:tcW w:w="220" w:type="dxa"/>
            <w:vAlign w:val="bottom"/>
          </w:tcPr>
          <w:p>
            <w:pPr>
              <w:spacing w:after="0"/>
              <w:rPr>
                <w:sz w:val="24"/>
                <w:szCs w:val="24"/>
                <w:color w:val="auto"/>
              </w:rPr>
            </w:pP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1"/>
              </w:rPr>
              <w:t>Diluted</w:t>
            </w:r>
          </w:p>
        </w:tc>
      </w:tr>
      <w:tr>
        <w:trPr>
          <w:trHeight w:val="168"/>
        </w:trPr>
        <w:tc>
          <w:tcPr>
            <w:tcW w:w="1060" w:type="dxa"/>
            <w:vAlign w:val="bottom"/>
          </w:tcPr>
          <w:p>
            <w:pPr>
              <w:spacing w:after="0"/>
              <w:rPr>
                <w:sz w:val="14"/>
                <w:szCs w:val="14"/>
                <w:color w:val="auto"/>
              </w:rPr>
            </w:pPr>
          </w:p>
        </w:tc>
        <w:tc>
          <w:tcPr>
            <w:tcW w:w="2720" w:type="dxa"/>
            <w:vAlign w:val="bottom"/>
            <w:gridSpan w:val="2"/>
          </w:tcPr>
          <w:p>
            <w:pPr>
              <w:jc w:val="center"/>
              <w:ind w:left="427"/>
              <w:spacing w:after="0" w:line="168" w:lineRule="exact"/>
              <w:rPr>
                <w:sz w:val="20"/>
                <w:szCs w:val="20"/>
                <w:color w:val="auto"/>
              </w:rPr>
            </w:pPr>
            <w:r>
              <w:rPr>
                <w:rFonts w:ascii="Courier New" w:cs="Courier New" w:eastAsia="Courier New" w:hAnsi="Courier New"/>
                <w:sz w:val="15"/>
                <w:szCs w:val="15"/>
                <w:color w:val="auto"/>
                <w:w w:val="97"/>
              </w:rPr>
              <w:t>-------------------</w:t>
            </w:r>
          </w:p>
        </w:tc>
        <w:tc>
          <w:tcPr>
            <w:tcW w:w="17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2000/1/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735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1.29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1.27</w:t>
            </w:r>
          </w:p>
        </w:tc>
      </w:tr>
      <w:tr>
        <w:trPr>
          <w:trHeight w:val="168"/>
        </w:trPr>
        <w:tc>
          <w:tcPr>
            <w:tcW w:w="1060" w:type="dxa"/>
            <w:vAlign w:val="bottom"/>
          </w:tcPr>
          <w:p>
            <w:pPr>
              <w:spacing w:after="0"/>
              <w:rPr>
                <w:sz w:val="14"/>
                <w:szCs w:val="14"/>
                <w:color w:val="auto"/>
              </w:rPr>
            </w:pPr>
          </w:p>
        </w:tc>
        <w:tc>
          <w:tcPr>
            <w:tcW w:w="2720" w:type="dxa"/>
            <w:vAlign w:val="bottom"/>
            <w:gridSpan w:val="2"/>
          </w:tcPr>
          <w:p>
            <w:pPr>
              <w:jc w:val="center"/>
              <w:ind w:left="427"/>
              <w:spacing w:after="0" w:line="168" w:lineRule="exact"/>
              <w:rPr>
                <w:sz w:val="20"/>
                <w:szCs w:val="20"/>
                <w:color w:val="auto"/>
              </w:rPr>
            </w:pPr>
            <w:r>
              <w:rPr>
                <w:rFonts w:ascii="Courier New" w:cs="Courier New" w:eastAsia="Courier New" w:hAnsi="Courier New"/>
                <w:sz w:val="15"/>
                <w:szCs w:val="15"/>
                <w:color w:val="auto"/>
                <w:w w:val="97"/>
              </w:rPr>
              <w:t>===================</w:t>
            </w:r>
          </w:p>
        </w:tc>
        <w:tc>
          <w:tcPr>
            <w:tcW w:w="17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1999/2/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329</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0.60</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0.58</w:t>
            </w:r>
          </w:p>
        </w:tc>
      </w:tr>
      <w:tr>
        <w:trPr>
          <w:trHeight w:val="168"/>
        </w:trPr>
        <w:tc>
          <w:tcPr>
            <w:tcW w:w="1060" w:type="dxa"/>
            <w:vAlign w:val="bottom"/>
          </w:tcPr>
          <w:p>
            <w:pPr>
              <w:spacing w:after="0"/>
              <w:rPr>
                <w:sz w:val="14"/>
                <w:szCs w:val="14"/>
                <w:color w:val="auto"/>
              </w:rPr>
            </w:pPr>
          </w:p>
        </w:tc>
        <w:tc>
          <w:tcPr>
            <w:tcW w:w="2720" w:type="dxa"/>
            <w:vAlign w:val="bottom"/>
            <w:gridSpan w:val="2"/>
          </w:tcPr>
          <w:p>
            <w:pPr>
              <w:jc w:val="center"/>
              <w:ind w:left="427"/>
              <w:spacing w:after="0" w:line="168" w:lineRule="exact"/>
              <w:rPr>
                <w:sz w:val="20"/>
                <w:szCs w:val="20"/>
                <w:color w:val="auto"/>
              </w:rPr>
            </w:pPr>
            <w:r>
              <w:rPr>
                <w:rFonts w:ascii="Courier New" w:cs="Courier New" w:eastAsia="Courier New" w:hAnsi="Courier New"/>
                <w:sz w:val="15"/>
                <w:szCs w:val="15"/>
                <w:color w:val="auto"/>
                <w:w w:val="97"/>
              </w:rPr>
              <w:t>===================</w:t>
            </w:r>
          </w:p>
        </w:tc>
        <w:tc>
          <w:tcPr>
            <w:tcW w:w="17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5"/>
              </w:rPr>
              <w:t>1998/3/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618</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1.14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1.10</w:t>
            </w:r>
          </w:p>
        </w:tc>
      </w:tr>
      <w:tr>
        <w:trPr>
          <w:trHeight w:val="168"/>
        </w:trPr>
        <w:tc>
          <w:tcPr>
            <w:tcW w:w="1060" w:type="dxa"/>
            <w:vAlign w:val="bottom"/>
          </w:tcPr>
          <w:p>
            <w:pPr>
              <w:spacing w:after="0"/>
              <w:rPr>
                <w:sz w:val="14"/>
                <w:szCs w:val="14"/>
                <w:color w:val="auto"/>
              </w:rPr>
            </w:pPr>
          </w:p>
        </w:tc>
        <w:tc>
          <w:tcPr>
            <w:tcW w:w="2720" w:type="dxa"/>
            <w:vAlign w:val="bottom"/>
            <w:gridSpan w:val="2"/>
          </w:tcPr>
          <w:p>
            <w:pPr>
              <w:jc w:val="center"/>
              <w:ind w:left="427"/>
              <w:spacing w:after="0" w:line="168" w:lineRule="exact"/>
              <w:rPr>
                <w:sz w:val="20"/>
                <w:szCs w:val="20"/>
                <w:color w:val="auto"/>
              </w:rPr>
            </w:pPr>
            <w:r>
              <w:rPr>
                <w:rFonts w:ascii="Courier New" w:cs="Courier New" w:eastAsia="Courier New" w:hAnsi="Courier New"/>
                <w:sz w:val="15"/>
                <w:szCs w:val="15"/>
                <w:color w:val="auto"/>
                <w:w w:val="97"/>
              </w:rPr>
              <w:t>===================</w:t>
            </w:r>
          </w:p>
        </w:tc>
        <w:tc>
          <w:tcPr>
            <w:tcW w:w="170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440" w:right="3239" w:hanging="439"/>
        <w:spacing w:after="0" w:line="235" w:lineRule="auto"/>
        <w:tabs>
          <w:tab w:leader="none" w:pos="420" w:val="left"/>
        </w:tabs>
        <w:rPr>
          <w:sz w:val="20"/>
          <w:szCs w:val="20"/>
          <w:color w:val="auto"/>
        </w:rPr>
      </w:pPr>
      <w:r>
        <w:rPr>
          <w:rFonts w:ascii="Courier New" w:cs="Courier New" w:eastAsia="Courier New" w:hAnsi="Courier New"/>
          <w:sz w:val="15"/>
          <w:szCs w:val="15"/>
          <w:color w:val="auto"/>
        </w:rPr>
        <w:t>/1/</w:t>
        <w:tab/>
        <w:t>Includes a net, after-tax and minority interest charge of $3 million ($0.00 per share - diluted). For details, see Charges - Continuing Operations on page 34.</w:t>
      </w:r>
    </w:p>
    <w:p>
      <w:pPr>
        <w:spacing w:after="0" w:line="174" w:lineRule="exact"/>
        <w:rPr>
          <w:sz w:val="20"/>
          <w:szCs w:val="20"/>
          <w:color w:val="auto"/>
        </w:rPr>
      </w:pPr>
    </w:p>
    <w:p>
      <w:pPr>
        <w:ind w:left="440" w:right="3239" w:hanging="439"/>
        <w:spacing w:after="0" w:line="234" w:lineRule="auto"/>
        <w:tabs>
          <w:tab w:leader="none" w:pos="420" w:val="left"/>
        </w:tabs>
        <w:rPr>
          <w:sz w:val="20"/>
          <w:szCs w:val="20"/>
          <w:color w:val="auto"/>
        </w:rPr>
      </w:pPr>
      <w:r>
        <w:rPr>
          <w:rFonts w:ascii="Courier New" w:cs="Courier New" w:eastAsia="Courier New" w:hAnsi="Courier New"/>
          <w:sz w:val="15"/>
          <w:szCs w:val="15"/>
          <w:color w:val="auto"/>
        </w:rPr>
        <w:t>/2/</w:t>
        <w:tab/>
        <w:t>Includes an after-tax charge of $129 million ($0.23 per share-diluted). For details, see Charges - Continuing Operations on page 34.</w:t>
      </w:r>
    </w:p>
    <w:p>
      <w:pPr>
        <w:spacing w:after="0" w:line="173" w:lineRule="exact"/>
        <w:rPr>
          <w:sz w:val="20"/>
          <w:szCs w:val="20"/>
          <w:color w:val="auto"/>
        </w:rPr>
      </w:pPr>
    </w:p>
    <w:p>
      <w:pPr>
        <w:ind w:left="440" w:right="3239" w:hanging="439"/>
        <w:spacing w:after="0" w:line="234" w:lineRule="auto"/>
        <w:tabs>
          <w:tab w:leader="none" w:pos="420" w:val="left"/>
        </w:tabs>
        <w:rPr>
          <w:sz w:val="20"/>
          <w:szCs w:val="20"/>
          <w:color w:val="auto"/>
        </w:rPr>
      </w:pPr>
      <w:r>
        <w:rPr>
          <w:rFonts w:ascii="Courier New" w:cs="Courier New" w:eastAsia="Courier New" w:hAnsi="Courier New"/>
          <w:sz w:val="15"/>
          <w:szCs w:val="15"/>
          <w:color w:val="auto"/>
        </w:rPr>
        <w:t>/3/</w:t>
        <w:tab/>
        <w:t>Includes an after-tax charge of $368 million ($0.65 per share-diluted). For details, see Charges - Continuing Operations on page 34.</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2000, Oilfield Services segment net income increased $302 million, or 75%, to $704 million. Increases in E&amp;P expenditures and in oil and gas prices, resulting from increased oil demand and the lowest level of excess oil production capacity in decades, were the underlying factors of the strong increases in most areas, and notably in North America. Average worldwide rig count increased 30% compared to 1999. Resource Management Services segment net income of $14 million was up $9 million. Test &amp; Transactions segment net income increased $4 million, or 13%, to $34 million as record achievements in the Cards business were partially offset by weaknesses in the eTransaction and Semiconductor activities and by investment in the Network Solutions business.</w:t>
      </w:r>
    </w:p>
    <w:p>
      <w:pPr>
        <w:spacing w:after="0" w:line="16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1999, Oilfield Services segment net income decreased $551 million, or 58%, to $402 million. All areas reported substantial declines as a result of the worldwide reduction in E&amp;P expenditures due to reduced oil prices, which led to a 22% fall in average rig count. Resource Management Services operating net income of $6 million was down $26 million, or 82%. Test &amp; Transactions segment net income decreased $25 million, or 46%, to $30 million, as stronger results from Cards activities were more than offset by declines at Semiconductor, which was negatively impacted by Rambus-related market uncertainties and by a softening of the high-end logic test business for which it is a leading supplier.</w:t>
      </w:r>
    </w:p>
    <w:p>
      <w:pPr>
        <w:spacing w:after="0" w:line="179"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1998, Oilfield Services segment net income of $954 million was down 11%, reflecting the 13% decrease in average rig count. The main decrease was in North America, which was impacted by strong pricing pressure and a slowdown in activity in the second half of the year. Resource Management Services segment net income decreased $15 million, or 32%, largely due to market weakness as a result of industry consolidation and privatization, compounded by the financial crisis in emerging countries. Test &amp; Transactions segment net income of $55 million was down 25% as growth in the Cards activities was offset by a severe market decline in Semiconductor operations, due to curtailment of capital expenditures by the industry in the latter half of the year.</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617" w:right="1440" w:bottom="1440" w:gutter="0" w:footer="0" w:header="0"/>
        </w:sectPr>
      </w:pPr>
    </w:p>
    <w:bookmarkStart w:id="21" w:name="page22"/>
    <w:bookmarkEnd w:id="21"/>
    <w:p>
      <w:pPr>
        <w:spacing w:after="0"/>
        <w:rPr>
          <w:sz w:val="20"/>
          <w:szCs w:val="20"/>
          <w:color w:val="auto"/>
        </w:rPr>
      </w:pPr>
      <w:r>
        <w:rPr>
          <w:rFonts w:ascii="Courier New" w:cs="Courier New" w:eastAsia="Courier New" w:hAnsi="Courier New"/>
          <w:sz w:val="15"/>
          <w:szCs w:val="15"/>
          <w:color w:val="auto"/>
        </w:rPr>
        <w:t>Currency Risks</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Refer to page 31, Translation of Non-US Currencies in the Notes to Consolidated Financial Statements, for a description of the Schlumberger policy on currency hedging. There are no material unhedged assets, liabilities or commitments which are denominated in other than a business's functional currency.</w:t>
      </w:r>
    </w:p>
    <w:p>
      <w:pPr>
        <w:spacing w:after="0" w:line="164" w:lineRule="exact"/>
        <w:rPr>
          <w:sz w:val="20"/>
          <w:szCs w:val="20"/>
          <w:color w:val="auto"/>
        </w:rPr>
      </w:pPr>
    </w:p>
    <w:p>
      <w:pPr>
        <w:jc w:val="both"/>
        <w:ind w:right="3399"/>
        <w:spacing w:after="0" w:line="236" w:lineRule="auto"/>
        <w:rPr>
          <w:sz w:val="20"/>
          <w:szCs w:val="20"/>
          <w:color w:val="auto"/>
        </w:rPr>
      </w:pPr>
      <w:r>
        <w:rPr>
          <w:rFonts w:ascii="Courier New" w:cs="Courier New" w:eastAsia="Courier New" w:hAnsi="Courier New"/>
          <w:sz w:val="15"/>
          <w:szCs w:val="15"/>
          <w:color w:val="auto"/>
        </w:rPr>
        <w:t>While changes in exchange rates do affect revenue, especially in the Resource Management Services and Test &amp; Transactions segments, they also affect costs. Generally speaking, Schlumberger is currency neutral. For example, a 5% change in average exchange rates of OECD currencies would have had no material effect on consolidated revenue and net income.</w:t>
      </w:r>
    </w:p>
    <w:p>
      <w:pPr>
        <w:spacing w:after="0" w:line="6"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Schlumberger businesses operate principally in US dollars, most European currencies and most South American currencies.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general, when the US dollar weakens against other currencies, consolidated revenue increases, usually with no material effect on net income. This is principally because the fall-through incremental margin in the Resource Management Services and Test &amp; Transactions segments offset the higher Oilfield Services non-US dollar denominated expenses.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&amp; Engineering</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Expenditures by business segment were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76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2000</w:t>
            </w:r>
          </w:p>
        </w:tc>
        <w:tc>
          <w:tcPr>
            <w:tcW w:w="11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1999</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2760" w:type="dxa"/>
            <w:vAlign w:val="bottom"/>
          </w:tcPr>
          <w:p>
            <w:pPr>
              <w:spacing w:after="0"/>
              <w:rPr>
                <w:sz w:val="14"/>
                <w:szCs w:val="14"/>
                <w:color w:val="auto"/>
              </w:rPr>
            </w:pP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Oilfield Services</w:t>
            </w:r>
          </w:p>
        </w:tc>
        <w:tc>
          <w:tcPr>
            <w:tcW w:w="122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$ 364</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$ 354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$ 371</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Resources Management Services</w:t>
            </w:r>
          </w:p>
        </w:tc>
        <w:tc>
          <w:tcPr>
            <w:tcW w:w="122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53</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57</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57</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Test &amp; Transactions</w:t>
            </w:r>
          </w:p>
        </w:tc>
        <w:tc>
          <w:tcPr>
            <w:tcW w:w="122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124</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111</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w:t>
            </w:r>
          </w:p>
        </w:tc>
      </w:tr>
      <w:tr>
        <w:trPr>
          <w:trHeight w:val="336"/>
        </w:trPr>
        <w:tc>
          <w:tcPr>
            <w:tcW w:w="2760" w:type="dxa"/>
            <w:vAlign w:val="bottom"/>
          </w:tcPr>
          <w:p>
            <w:pPr>
              <w:spacing w:after="0"/>
              <w:rPr>
                <w:sz w:val="20"/>
                <w:szCs w:val="20"/>
                <w:color w:val="auto"/>
              </w:rPr>
            </w:pPr>
            <w:r>
              <w:rPr>
                <w:rFonts w:ascii="Courier New" w:cs="Courier New" w:eastAsia="Courier New" w:hAnsi="Courier New"/>
                <w:sz w:val="15"/>
                <w:szCs w:val="15"/>
                <w:color w:val="auto"/>
              </w:rPr>
              <w:t>Other/1/</w:t>
            </w:r>
          </w:p>
        </w:tc>
        <w:tc>
          <w:tcPr>
            <w:tcW w:w="122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w:t>
            </w:r>
          </w:p>
        </w:tc>
      </w:tr>
      <w:tr>
        <w:trPr>
          <w:trHeight w:val="168"/>
        </w:trPr>
        <w:tc>
          <w:tcPr>
            <w:tcW w:w="2760" w:type="dxa"/>
            <w:vAlign w:val="bottom"/>
          </w:tcPr>
          <w:p>
            <w:pPr>
              <w:spacing w:after="0"/>
              <w:rPr>
                <w:sz w:val="14"/>
                <w:szCs w:val="14"/>
                <w:color w:val="auto"/>
              </w:rPr>
            </w:pP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760" w:type="dxa"/>
            <w:vAlign w:val="bottom"/>
          </w:tcPr>
          <w:p>
            <w:pPr>
              <w:spacing w:after="0"/>
              <w:rPr>
                <w:sz w:val="14"/>
                <w:szCs w:val="14"/>
                <w:color w:val="auto"/>
              </w:rPr>
            </w:pPr>
          </w:p>
        </w:tc>
        <w:tc>
          <w:tcPr>
            <w:tcW w:w="122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$ 541</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$ 522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$ 557</w:t>
            </w:r>
          </w:p>
        </w:tc>
      </w:tr>
      <w:tr>
        <w:trPr>
          <w:trHeight w:val="168"/>
        </w:trPr>
        <w:tc>
          <w:tcPr>
            <w:tcW w:w="2760" w:type="dxa"/>
            <w:vAlign w:val="bottom"/>
          </w:tcPr>
          <w:p>
            <w:pPr>
              <w:spacing w:after="0"/>
              <w:rPr>
                <w:sz w:val="14"/>
                <w:szCs w:val="14"/>
                <w:color w:val="auto"/>
              </w:rPr>
            </w:pPr>
          </w:p>
        </w:tc>
        <w:tc>
          <w:tcPr>
            <w:tcW w:w="12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440" w:right="3399" w:hanging="439"/>
        <w:spacing w:after="0" w:line="234" w:lineRule="auto"/>
        <w:tabs>
          <w:tab w:leader="none" w:pos="420" w:val="left"/>
        </w:tabs>
        <w:rPr>
          <w:sz w:val="20"/>
          <w:szCs w:val="20"/>
          <w:color w:val="auto"/>
        </w:rPr>
      </w:pPr>
      <w:r>
        <w:rPr>
          <w:rFonts w:ascii="Courier New" w:cs="Courier New" w:eastAsia="Courier New" w:hAnsi="Courier New"/>
          <w:sz w:val="15"/>
          <w:szCs w:val="15"/>
          <w:color w:val="auto"/>
        </w:rPr>
        <w:t>/1/</w:t>
        <w:tab/>
        <w:t>Primarily comprises the Retail Petroleum Systems business sold on October 1, 1998.</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Expense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Interest expense increased $83 million, to $276 million, in 2000 principally due to higher average borrowing rates. The increase in interest expense in 1999 of $56 million, to $193 million, reflected the significantly higher debt balances incurred in 1998 by Schlumberger's principal US subsidiary relating to the acquisition of Camco.</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617" w:right="1440" w:bottom="1440" w:gutter="0" w:footer="0" w:header="0"/>
        </w:sectPr>
      </w:pPr>
    </w:p>
    <w:bookmarkStart w:id="22" w:name="page23"/>
    <w:bookmarkEnd w:id="22"/>
    <w:p>
      <w:pPr>
        <w:spacing w:after="0"/>
        <w:rPr>
          <w:sz w:val="20"/>
          <w:szCs w:val="20"/>
          <w:color w:val="auto"/>
        </w:rPr>
      </w:pPr>
      <w:r>
        <w:rPr>
          <w:rFonts w:ascii="Courier New" w:cs="Courier New" w:eastAsia="Courier New" w:hAnsi="Courier New"/>
          <w:sz w:val="15"/>
          <w:szCs w:val="15"/>
          <w:color w:val="auto"/>
        </w:rPr>
        <w:t>Charges - Continuing Operations</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Schlumberger recorded the following after-tax and minority interest charges for continuing operations in 2000, 1999 and 1998:</w:t>
      </w:r>
    </w:p>
    <w:p>
      <w:pPr>
        <w:spacing w:after="0" w:line="173" w:lineRule="exact"/>
        <w:rPr>
          <w:sz w:val="20"/>
          <w:szCs w:val="20"/>
          <w:color w:val="auto"/>
        </w:rPr>
      </w:pPr>
    </w:p>
    <w:p>
      <w:pPr>
        <w:ind w:left="440" w:right="3399" w:hanging="343"/>
        <w:spacing w:after="0" w:line="254" w:lineRule="auto"/>
        <w:tabs>
          <w:tab w:leader="none" w:pos="527"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December 2000, $25 million primarily relating to the write down of certain inventory and severance costs in the Semiconductor Solutions business resulting from reduced activity levels in the semiconductor test market, $39 million related to the creation of the WesternGeco joint</w:t>
      </w:r>
    </w:p>
    <w:p>
      <w:pPr>
        <w:spacing w:after="0" w:line="1" w:lineRule="exact"/>
        <w:rPr>
          <w:sz w:val="20"/>
          <w:szCs w:val="20"/>
          <w:color w:val="auto"/>
        </w:rPr>
      </w:pPr>
    </w:p>
    <w:p>
      <w:pPr>
        <w:jc w:val="both"/>
        <w:ind w:left="440" w:right="3319"/>
        <w:spacing w:after="0" w:line="235" w:lineRule="auto"/>
        <w:rPr>
          <w:sz w:val="20"/>
          <w:szCs w:val="20"/>
          <w:color w:val="auto"/>
        </w:rPr>
      </w:pPr>
      <w:r>
        <w:rPr>
          <w:rFonts w:ascii="Courier New" w:cs="Courier New" w:eastAsia="Courier New" w:hAnsi="Courier New"/>
          <w:sz w:val="15"/>
          <w:szCs w:val="15"/>
          <w:color w:val="auto"/>
        </w:rPr>
        <w:t>venture (including asset impairment and severance costs for Schlumberger's existing Geco-Prakla business), and a credit of $61 million from the gain on sale of two Gas Services businesses in Europe.</w:t>
      </w:r>
    </w:p>
    <w:p>
      <w:pPr>
        <w:spacing w:after="0" w:line="5" w:lineRule="exact"/>
        <w:rPr>
          <w:sz w:val="20"/>
          <w:szCs w:val="20"/>
          <w:color w:val="auto"/>
        </w:rPr>
      </w:pPr>
    </w:p>
    <w:p>
      <w:pPr>
        <w:ind w:left="540" w:hanging="443"/>
        <w:spacing w:after="0"/>
        <w:tabs>
          <w:tab w:leader="none" w:pos="54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December 1999, $71 million primarily relating to the reduction of its</w:t>
      </w:r>
    </w:p>
    <w:p>
      <w:pPr>
        <w:spacing w:after="0" w:line="10" w:lineRule="exact"/>
        <w:rPr>
          <w:sz w:val="20"/>
          <w:szCs w:val="20"/>
          <w:color w:val="auto"/>
        </w:rPr>
      </w:pPr>
    </w:p>
    <w:p>
      <w:pPr>
        <w:ind w:left="440" w:right="3399"/>
        <w:spacing w:after="0" w:line="235" w:lineRule="auto"/>
        <w:rPr>
          <w:sz w:val="20"/>
          <w:szCs w:val="20"/>
          <w:color w:val="auto"/>
        </w:rPr>
      </w:pPr>
      <w:r>
        <w:rPr>
          <w:rFonts w:ascii="Courier New" w:cs="Courier New" w:eastAsia="Courier New" w:hAnsi="Courier New"/>
          <w:sz w:val="15"/>
          <w:szCs w:val="15"/>
          <w:color w:val="auto"/>
        </w:rPr>
        <w:t>marine seismic fleet due to depressed market conditions and the restructuring of its land drilling activity following the spin-off of its offshore drilling business to stockholders.</w:t>
      </w:r>
    </w:p>
    <w:p>
      <w:pPr>
        <w:spacing w:after="0" w:line="5" w:lineRule="exact"/>
        <w:rPr>
          <w:sz w:val="20"/>
          <w:szCs w:val="20"/>
          <w:color w:val="auto"/>
        </w:rPr>
      </w:pPr>
    </w:p>
    <w:p>
      <w:pPr>
        <w:ind w:left="440" w:right="3319" w:hanging="343"/>
        <w:spacing w:after="0" w:line="254" w:lineRule="auto"/>
        <w:tabs>
          <w:tab w:leader="none" w:pos="527"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March 1999, $138 million primarily relating to the downsizing of its global Oilfield Services activities to meet prevailing market conditions, and a credit of $80 million from the gain on sale of financial instruments in connection with the 1998 sale of the Retail Petroleum Systems business.</w:t>
      </w:r>
    </w:p>
    <w:p>
      <w:pPr>
        <w:spacing w:after="0" w:line="1" w:lineRule="exact"/>
        <w:rPr>
          <w:sz w:val="20"/>
          <w:szCs w:val="20"/>
          <w:color w:val="auto"/>
        </w:rPr>
      </w:pPr>
    </w:p>
    <w:p>
      <w:pPr>
        <w:ind w:left="440" w:right="3839" w:hanging="343"/>
        <w:spacing w:after="0" w:line="235" w:lineRule="auto"/>
        <w:tabs>
          <w:tab w:leader="none" w:pos="52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September 1998, $368 million to reflect the estimated costs of consolidating resources and locations and making significant cuts in personnel necessitated by the E&amp;P industry downturn.</w:t>
      </w:r>
    </w:p>
    <w:p>
      <w:pPr>
        <w:spacing w:after="0" w:line="174"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December 2000 charge included severance costs of $9 million (380 people) none of which had been paid by December 31, 2000. Severance costs included in the December 1999 charge (300 people), the March 1999 charge (4700 people) and the September 1998 charge (6200 people) have been paid.</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617" w:right="1440" w:bottom="1440" w:gutter="0" w:footer="0" w:header="0"/>
        </w:sectPr>
      </w:pPr>
    </w:p>
    <w:bookmarkStart w:id="23" w:name="page24"/>
    <w:bookmarkEnd w:id="23"/>
    <w:p>
      <w:pPr>
        <w:spacing w:after="0"/>
        <w:rPr>
          <w:sz w:val="20"/>
          <w:szCs w:val="20"/>
          <w:color w:val="auto"/>
        </w:rPr>
      </w:pPr>
      <w:r>
        <w:rPr>
          <w:rFonts w:ascii="Courier New" w:cs="Courier New" w:eastAsia="Courier New" w:hAnsi="Courier New"/>
          <w:sz w:val="15"/>
          <w:szCs w:val="15"/>
          <w:color w:val="auto"/>
        </w:rPr>
        <w:t>Liquidity</w:t>
      </w:r>
    </w:p>
    <w:p>
      <w:pPr>
        <w:spacing w:after="0" w:line="173"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A measure of financial position is liquidity, defined as cash plus short-term and long-term investments, less debt. The following table summarizes the change in Schlumberger consolidated liquidity for each of the past three years: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w:t>
            </w:r>
          </w:p>
        </w:tc>
        <w:tc>
          <w:tcPr>
            <w:tcW w:w="140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millions)</w:t>
            </w:r>
          </w:p>
        </w:tc>
      </w:tr>
      <w:tr>
        <w:trPr>
          <w:trHeight w:val="336"/>
        </w:trPr>
        <w:tc>
          <w:tcPr>
            <w:tcW w:w="3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2000</w:t>
            </w:r>
          </w:p>
        </w:tc>
        <w:tc>
          <w:tcPr>
            <w:tcW w:w="10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1999/1/</w:t>
            </w:r>
          </w:p>
        </w:tc>
        <w:tc>
          <w:tcPr>
            <w:tcW w:w="22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1998/1/</w:t>
            </w:r>
          </w:p>
        </w:tc>
      </w:tr>
      <w:tr>
        <w:trPr>
          <w:trHeight w:val="168"/>
        </w:trPr>
        <w:tc>
          <w:tcPr>
            <w:tcW w:w="3640" w:type="dxa"/>
            <w:vAlign w:val="bottom"/>
          </w:tcPr>
          <w:p>
            <w:pPr>
              <w:spacing w:after="0"/>
              <w:rPr>
                <w:sz w:val="14"/>
                <w:szCs w:val="14"/>
                <w:color w:val="auto"/>
              </w:rPr>
            </w:pPr>
          </w:p>
        </w:tc>
        <w:tc>
          <w:tcPr>
            <w:tcW w:w="1320" w:type="dxa"/>
            <w:vAlign w:val="bottom"/>
            <w:gridSpan w:val="2"/>
          </w:tcPr>
          <w:p>
            <w:pPr>
              <w:ind w:left="480"/>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64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735</w:t>
            </w:r>
          </w:p>
        </w:tc>
        <w:tc>
          <w:tcPr>
            <w:tcW w:w="4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618</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on sale of businesses</w:t>
            </w:r>
          </w:p>
        </w:tc>
        <w:tc>
          <w:tcPr>
            <w:tcW w:w="5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w:t>
            </w:r>
          </w:p>
        </w:tc>
        <w:tc>
          <w:tcPr>
            <w:tcW w:w="48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Charges</w:t>
            </w:r>
          </w:p>
        </w:tc>
        <w:tc>
          <w:tcPr>
            <w:tcW w:w="5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w:t>
            </w:r>
          </w:p>
        </w:tc>
        <w:tc>
          <w:tcPr>
            <w:tcW w:w="48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368</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&amp; amortization/2/</w:t>
            </w:r>
          </w:p>
        </w:tc>
        <w:tc>
          <w:tcPr>
            <w:tcW w:w="5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1,271</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1,150</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1,012</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(Increase) decrease in working</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capital requirements</w:t>
            </w:r>
          </w:p>
        </w:tc>
        <w:tc>
          <w:tcPr>
            <w:tcW w:w="5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(104)</w:t>
            </w:r>
          </w:p>
        </w:tc>
        <w:tc>
          <w:tcPr>
            <w:tcW w:w="48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165</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asset additions/2/</w:t>
            </w:r>
          </w:p>
        </w:tc>
        <w:tc>
          <w:tcPr>
            <w:tcW w:w="5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5"/>
              </w:rPr>
              <w:t>(1,546)</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(1,019)</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(1,463)</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Dividends paid</w:t>
            </w:r>
          </w:p>
        </w:tc>
        <w:tc>
          <w:tcPr>
            <w:tcW w:w="5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(426)</w:t>
            </w:r>
          </w:p>
        </w:tc>
        <w:tc>
          <w:tcPr>
            <w:tcW w:w="480" w:type="dxa"/>
            <w:vAlign w:val="bottom"/>
          </w:tcPr>
          <w:p>
            <w:pPr>
              <w:spacing w:after="0"/>
              <w:rPr>
                <w:sz w:val="14"/>
                <w:szCs w:val="14"/>
                <w:color w:val="auto"/>
              </w:rPr>
            </w:pP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(410)</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(388)</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Proceeds from</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employee stock plans</w:t>
            </w:r>
          </w:p>
        </w:tc>
        <w:tc>
          <w:tcPr>
            <w:tcW w:w="5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229</w:t>
            </w:r>
          </w:p>
        </w:tc>
        <w:tc>
          <w:tcPr>
            <w:tcW w:w="48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174</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139</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Businesses (acquired) sold</w:t>
            </w:r>
          </w:p>
        </w:tc>
        <w:tc>
          <w:tcPr>
            <w:tcW w:w="5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(921)</w:t>
            </w:r>
          </w:p>
        </w:tc>
        <w:tc>
          <w:tcPr>
            <w:tcW w:w="480" w:type="dxa"/>
            <w:vAlign w:val="bottom"/>
          </w:tcPr>
          <w:p>
            <w:pPr>
              <w:spacing w:after="0"/>
              <w:rPr>
                <w:sz w:val="14"/>
                <w:szCs w:val="14"/>
                <w:color w:val="auto"/>
              </w:rPr>
            </w:pP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(135)</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stock warrants/3/</w:t>
            </w:r>
          </w:p>
        </w:tc>
        <w:tc>
          <w:tcPr>
            <w:tcW w:w="5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450</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Sale of financial instruments</w:t>
            </w:r>
          </w:p>
        </w:tc>
        <w:tc>
          <w:tcPr>
            <w:tcW w:w="5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204</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Drilling fluids joint venture</w:t>
            </w:r>
          </w:p>
        </w:tc>
        <w:tc>
          <w:tcPr>
            <w:tcW w:w="5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(325)</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Discontinued operations/4/</w:t>
            </w:r>
          </w:p>
        </w:tc>
        <w:tc>
          <w:tcPr>
            <w:tcW w:w="5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107</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560" w:type="dxa"/>
            <w:vAlign w:val="bottom"/>
          </w:tcPr>
          <w:p>
            <w:pPr>
              <w:spacing w:after="0"/>
              <w:rPr>
                <w:sz w:val="14"/>
                <w:szCs w:val="14"/>
                <w:color w:val="auto"/>
              </w:rPr>
            </w:pP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w:t>
            </w:r>
          </w:p>
        </w:tc>
        <w:tc>
          <w:tcPr>
            <w:tcW w:w="480" w:type="dxa"/>
            <w:vAlign w:val="bottom"/>
          </w:tcPr>
          <w:p>
            <w:pPr>
              <w:spacing w:after="0"/>
              <w:rPr>
                <w:sz w:val="14"/>
                <w:szCs w:val="14"/>
                <w:color w:val="auto"/>
              </w:rPr>
            </w:pP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(160)</w:t>
            </w:r>
          </w:p>
        </w:tc>
        <w:tc>
          <w:tcPr>
            <w:tcW w:w="22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w:t>
            </w:r>
          </w:p>
        </w:tc>
      </w:tr>
      <w:tr>
        <w:trPr>
          <w:trHeight w:val="168"/>
        </w:trPr>
        <w:tc>
          <w:tcPr>
            <w:tcW w:w="364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(decrease) increase in liquidity</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(809)</w:t>
            </w:r>
          </w:p>
        </w:tc>
        <w:tc>
          <w:tcPr>
            <w:tcW w:w="4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500</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204</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Liquidity - beginning of period</w:t>
            </w:r>
          </w:p>
        </w:tc>
        <w:tc>
          <w:tcPr>
            <w:tcW w:w="560" w:type="dxa"/>
            <w:vAlign w:val="bottom"/>
          </w:tcPr>
          <w:p>
            <w:pPr>
              <w:spacing w:after="0"/>
              <w:rPr>
                <w:sz w:val="14"/>
                <w:szCs w:val="14"/>
                <w:color w:val="auto"/>
              </w:rPr>
            </w:pP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1,231</w:t>
            </w:r>
          </w:p>
        </w:tc>
        <w:tc>
          <w:tcPr>
            <w:tcW w:w="48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731</w:t>
            </w:r>
          </w:p>
        </w:tc>
        <w:tc>
          <w:tcPr>
            <w:tcW w:w="2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527</w:t>
            </w:r>
          </w:p>
        </w:tc>
      </w:tr>
      <w:tr>
        <w:trPr>
          <w:trHeight w:val="168"/>
        </w:trPr>
        <w:tc>
          <w:tcPr>
            <w:tcW w:w="364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Liquidity - end of period</w:t>
            </w:r>
          </w:p>
        </w:tc>
        <w:tc>
          <w:tcPr>
            <w:tcW w:w="560" w:type="dxa"/>
            <w:vAlign w:val="bottom"/>
          </w:tcPr>
          <w:p>
            <w:pPr>
              <w:ind w:left="480"/>
              <w:spacing w:after="0"/>
              <w:rPr>
                <w:sz w:val="20"/>
                <w:szCs w:val="20"/>
                <w:color w:val="auto"/>
              </w:rPr>
            </w:pPr>
            <w:r>
              <w:rPr>
                <w:rFonts w:ascii="Courier New" w:cs="Courier New" w:eastAsia="Courier New" w:hAnsi="Courier New"/>
                <w:sz w:val="14"/>
                <w:szCs w:val="14"/>
                <w:color w:val="auto"/>
                <w:w w:val="70"/>
              </w:rPr>
              <w:t>$</w:t>
            </w:r>
          </w:p>
        </w:tc>
        <w:tc>
          <w:tcPr>
            <w:tcW w:w="7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422</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$ 1,231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731</w:t>
            </w:r>
          </w:p>
        </w:tc>
      </w:tr>
      <w:tr>
        <w:trPr>
          <w:trHeight w:val="168"/>
        </w:trPr>
        <w:tc>
          <w:tcPr>
            <w:tcW w:w="364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Reclassified, in part, for comparative purposes.</w:t>
      </w:r>
    </w:p>
    <w:p>
      <w:pPr>
        <w:spacing w:after="0" w:line="237" w:lineRule="auto"/>
        <w:rPr>
          <w:sz w:val="20"/>
          <w:szCs w:val="20"/>
          <w:color w:val="auto"/>
        </w:rPr>
      </w:pPr>
      <w:r>
        <w:rPr>
          <w:rFonts w:ascii="Courier New" w:cs="Courier New" w:eastAsia="Courier New" w:hAnsi="Courier New"/>
          <w:sz w:val="15"/>
          <w:szCs w:val="15"/>
          <w:color w:val="auto"/>
        </w:rPr>
        <w:t>/2/ Including multiclient seismic data costs.</w:t>
      </w:r>
    </w:p>
    <w:p>
      <w:pPr>
        <w:spacing w:after="0" w:line="5" w:lineRule="exact"/>
        <w:rPr>
          <w:sz w:val="20"/>
          <w:szCs w:val="20"/>
          <w:color w:val="auto"/>
        </w:rPr>
      </w:pPr>
    </w:p>
    <w:p>
      <w:pPr>
        <w:ind w:left="360" w:right="3319" w:hanging="359"/>
        <w:spacing w:after="0" w:line="254" w:lineRule="auto"/>
        <w:tabs>
          <w:tab w:leader="none" w:pos="340" w:val="left"/>
        </w:tabs>
        <w:rPr>
          <w:sz w:val="20"/>
          <w:szCs w:val="20"/>
          <w:color w:val="auto"/>
        </w:rPr>
      </w:pPr>
      <w:r>
        <w:rPr>
          <w:rFonts w:ascii="Courier New" w:cs="Courier New" w:eastAsia="Courier New" w:hAnsi="Courier New"/>
          <w:sz w:val="14"/>
          <w:szCs w:val="14"/>
          <w:color w:val="auto"/>
        </w:rPr>
        <w:t>/3/</w:t>
        <w:tab/>
        <w:t>On December 16, 1999, Dow Chemical exercised a warrant to purchase 15,153,018 shares of Schlumberger common stock. The warrant was received by Dow Chemical as part of the 1993 Transaction under which Schlumberger acquired Dow Chemical's 50% share of the Dowell Schlumberger joint venture.</w:t>
      </w:r>
    </w:p>
    <w:p>
      <w:pPr>
        <w:spacing w:after="0" w:line="1" w:lineRule="exact"/>
        <w:rPr>
          <w:sz w:val="20"/>
          <w:szCs w:val="20"/>
          <w:color w:val="auto"/>
        </w:rPr>
      </w:pPr>
    </w:p>
    <w:p>
      <w:pPr>
        <w:ind w:left="360" w:right="3399" w:hanging="359"/>
        <w:spacing w:after="0" w:line="234" w:lineRule="auto"/>
        <w:tabs>
          <w:tab w:leader="none" w:pos="340" w:val="left"/>
        </w:tabs>
        <w:rPr>
          <w:sz w:val="20"/>
          <w:szCs w:val="20"/>
          <w:color w:val="auto"/>
        </w:rPr>
      </w:pPr>
      <w:r>
        <w:rPr>
          <w:rFonts w:ascii="Courier New" w:cs="Courier New" w:eastAsia="Courier New" w:hAnsi="Courier New"/>
          <w:sz w:val="15"/>
          <w:szCs w:val="15"/>
          <w:color w:val="auto"/>
        </w:rPr>
        <w:t>/4/</w:t>
        <w:tab/>
        <w:t>1999 includes $304 million received in settlement of intercompany balances between Schlumberger and Sedco Forex.</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current consolidated liquidity level, combined with liquidity expected from operations, should satisfy future business requirements.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617"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5"/>
          <w:szCs w:val="15"/>
          <w:color w:val="auto"/>
        </w:rPr>
        <w:t>Common Stock, Market Prices and Dividends Declared per Share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Quarterly high and low prices for Schlumberger common stock as reported by the New York Stock Exchange (composite transactions), together with dividends declared per share in each quarter of 2000 and 1999, were: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80" w:type="dxa"/>
            <w:vAlign w:val="bottom"/>
            <w:gridSpan w:val="3"/>
          </w:tcPr>
          <w:p>
            <w:pPr>
              <w:jc w:val="right"/>
              <w:ind w:right="887"/>
              <w:spacing w:after="0"/>
              <w:rPr>
                <w:sz w:val="20"/>
                <w:szCs w:val="20"/>
                <w:color w:val="auto"/>
              </w:rPr>
            </w:pPr>
            <w:r>
              <w:rPr>
                <w:rFonts w:ascii="Courier New" w:cs="Courier New" w:eastAsia="Courier New" w:hAnsi="Courier New"/>
                <w:sz w:val="15"/>
                <w:szCs w:val="15"/>
                <w:color w:val="auto"/>
              </w:rPr>
              <w:t>Price Range</w:t>
            </w:r>
          </w:p>
        </w:tc>
        <w:tc>
          <w:tcPr>
            <w:tcW w:w="360" w:type="dxa"/>
            <w:vAlign w:val="bottom"/>
          </w:tcPr>
          <w:p>
            <w:pPr>
              <w:spacing w:after="0"/>
              <w:rPr>
                <w:sz w:val="14"/>
                <w:szCs w:val="1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Dividends</w:t>
            </w:r>
          </w:p>
        </w:tc>
      </w:tr>
      <w:tr>
        <w:trPr>
          <w:trHeight w:val="168"/>
        </w:trPr>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80" w:type="dxa"/>
            <w:vAlign w:val="bottom"/>
            <w:gridSpan w:val="3"/>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High</w:t>
            </w:r>
          </w:p>
        </w:tc>
        <w:tc>
          <w:tcPr>
            <w:tcW w:w="300" w:type="dxa"/>
            <w:vAlign w:val="bottom"/>
          </w:tcPr>
          <w:p>
            <w:pPr>
              <w:spacing w:after="0"/>
              <w:rPr>
                <w:sz w:val="14"/>
                <w:szCs w:val="14"/>
                <w:color w:val="auto"/>
              </w:rPr>
            </w:pPr>
          </w:p>
        </w:tc>
        <w:tc>
          <w:tcPr>
            <w:tcW w:w="12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Low</w:t>
            </w:r>
          </w:p>
        </w:tc>
        <w:tc>
          <w:tcPr>
            <w:tcW w:w="3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Declared</w:t>
            </w:r>
          </w:p>
        </w:tc>
      </w:tr>
      <w:tr>
        <w:trPr>
          <w:trHeight w:val="168"/>
        </w:trPr>
        <w:tc>
          <w:tcPr>
            <w:tcW w:w="16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2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QUARTERS</w:t>
            </w: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First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84.375</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53.500</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0.1875</w:t>
            </w:r>
          </w:p>
        </w:tc>
      </w:tr>
      <w:tr>
        <w:trPr>
          <w:trHeight w:val="168"/>
        </w:trPr>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Second</w:t>
            </w:r>
          </w:p>
        </w:tc>
        <w:tc>
          <w:tcPr>
            <w:tcW w:w="84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84.250</w:t>
            </w:r>
          </w:p>
        </w:tc>
        <w:tc>
          <w:tcPr>
            <w:tcW w:w="30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66.813</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0.1875</w:t>
            </w:r>
          </w:p>
        </w:tc>
      </w:tr>
      <w:tr>
        <w:trPr>
          <w:trHeight w:val="168"/>
        </w:trPr>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Third</w:t>
            </w:r>
          </w:p>
        </w:tc>
        <w:tc>
          <w:tcPr>
            <w:tcW w:w="84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88.875</w:t>
            </w:r>
          </w:p>
        </w:tc>
        <w:tc>
          <w:tcPr>
            <w:tcW w:w="30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68.625</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0.1875</w:t>
            </w:r>
          </w:p>
        </w:tc>
      </w:tr>
      <w:tr>
        <w:trPr>
          <w:trHeight w:val="168"/>
        </w:trPr>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Fourth</w:t>
            </w:r>
          </w:p>
        </w:tc>
        <w:tc>
          <w:tcPr>
            <w:tcW w:w="84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86.375</w:t>
            </w:r>
          </w:p>
        </w:tc>
        <w:tc>
          <w:tcPr>
            <w:tcW w:w="30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61.125</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0.1875</w:t>
            </w:r>
          </w:p>
        </w:tc>
      </w:tr>
      <w:tr>
        <w:trPr>
          <w:trHeight w:val="336"/>
        </w:trPr>
        <w:tc>
          <w:tcPr>
            <w:tcW w:w="1620" w:type="dxa"/>
            <w:vAlign w:val="bottom"/>
          </w:tcPr>
          <w:p>
            <w:pPr>
              <w:spacing w:after="0"/>
              <w:rPr>
                <w:sz w:val="20"/>
                <w:szCs w:val="20"/>
                <w:color w:val="auto"/>
              </w:rPr>
            </w:pPr>
            <w:r>
              <w:rPr>
                <w:rFonts w:ascii="Courier New" w:cs="Courier New" w:eastAsia="Courier New" w:hAnsi="Courier New"/>
                <w:sz w:val="15"/>
                <w:szCs w:val="15"/>
                <w:color w:val="auto"/>
              </w:rPr>
              <w:t>1999/1/</w:t>
            </w: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rPr>
              <w:t>QUARTERS</w:t>
            </w: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First</w:t>
            </w: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55.268</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40.301</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0.1875</w:t>
            </w:r>
          </w:p>
        </w:tc>
      </w:tr>
      <w:tr>
        <w:trPr>
          <w:trHeight w:val="168"/>
        </w:trPr>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Second</w:t>
            </w:r>
          </w:p>
        </w:tc>
        <w:tc>
          <w:tcPr>
            <w:tcW w:w="84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58.428</w:t>
            </w:r>
          </w:p>
        </w:tc>
        <w:tc>
          <w:tcPr>
            <w:tcW w:w="30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49.226</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0.1875</w:t>
            </w:r>
          </w:p>
        </w:tc>
      </w:tr>
      <w:tr>
        <w:trPr>
          <w:trHeight w:val="168"/>
        </w:trPr>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Third</w:t>
            </w:r>
          </w:p>
        </w:tc>
        <w:tc>
          <w:tcPr>
            <w:tcW w:w="84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62.696</w:t>
            </w:r>
          </w:p>
        </w:tc>
        <w:tc>
          <w:tcPr>
            <w:tcW w:w="30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51.166</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0.1875</w:t>
            </w:r>
          </w:p>
        </w:tc>
      </w:tr>
      <w:tr>
        <w:trPr>
          <w:trHeight w:val="168"/>
        </w:trPr>
        <w:tc>
          <w:tcPr>
            <w:tcW w:w="1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Fourth</w:t>
            </w:r>
          </w:p>
        </w:tc>
        <w:tc>
          <w:tcPr>
            <w:tcW w:w="840" w:type="dxa"/>
            <w:vAlign w:val="bottom"/>
          </w:tcPr>
          <w:p>
            <w:pPr>
              <w:spacing w:after="0"/>
              <w:rPr>
                <w:sz w:val="14"/>
                <w:szCs w:val="14"/>
                <w:color w:val="auto"/>
              </w:rPr>
            </w:pPr>
          </w:p>
        </w:tc>
        <w:tc>
          <w:tcPr>
            <w:tcW w:w="132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61.144</w:t>
            </w:r>
          </w:p>
        </w:tc>
        <w:tc>
          <w:tcPr>
            <w:tcW w:w="30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45.955</w:t>
            </w:r>
          </w:p>
        </w:tc>
        <w:tc>
          <w:tcPr>
            <w:tcW w:w="3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0.1875</w:t>
            </w:r>
          </w:p>
        </w:tc>
      </w:tr>
    </w:tbl>
    <w:p>
      <w:pPr>
        <w:spacing w:after="0" w:line="341" w:lineRule="exact"/>
        <w:rPr>
          <w:sz w:val="20"/>
          <w:szCs w:val="20"/>
          <w:color w:val="auto"/>
        </w:rPr>
      </w:pPr>
    </w:p>
    <w:p>
      <w:pPr>
        <w:ind w:left="440" w:right="3319" w:hanging="439"/>
        <w:spacing w:after="0" w:line="235" w:lineRule="auto"/>
        <w:tabs>
          <w:tab w:leader="none" w:pos="420" w:val="left"/>
        </w:tabs>
        <w:rPr>
          <w:sz w:val="20"/>
          <w:szCs w:val="20"/>
          <w:color w:val="auto"/>
        </w:rPr>
      </w:pPr>
      <w:r>
        <w:rPr>
          <w:rFonts w:ascii="Courier New" w:cs="Courier New" w:eastAsia="Courier New" w:hAnsi="Courier New"/>
          <w:sz w:val="15"/>
          <w:szCs w:val="15"/>
          <w:color w:val="auto"/>
        </w:rPr>
        <w:t>/1/</w:t>
        <w:tab/>
        <w:t>Adjusted for the spin-off of the Schlumberger offshore contract drilling business on December 30, 1999 (see Discontinued Operations in the Notes to Consolidated Financial Statements).</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number of holders of record of Schlumberger common stock at December 31, 2000, was approximately 23,000. There are no legal restrictions on the payment of dividends or ownership or voting of such shares, except as to shares held in the Schlumberger Treasury. US stockholders are not subject to any Netherlands Antilles withholding or other Netherlands Antilles taxes attributable to ownership of such shares.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timing, scope of remediation, future technology, regulatory changes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 Consistent with the Schlumberger commitment to protection of the environment, safety and employee health, additional costs, including capital expenditures, are incurred related to current operations.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617" w:right="1440" w:bottom="1440" w:gutter="0" w:footer="0" w:header="0"/>
        </w:sectPr>
      </w:pPr>
    </w:p>
    <w:bookmarkStart w:id="25" w:name="page26"/>
    <w:bookmarkEnd w:id="25"/>
    <w:p>
      <w:pPr>
        <w:spacing w:after="0"/>
        <w:rPr>
          <w:sz w:val="20"/>
          <w:szCs w:val="20"/>
          <w:color w:val="auto"/>
        </w:rPr>
      </w:pPr>
      <w:r>
        <w:rPr>
          <w:rFonts w:ascii="Courier New" w:cs="Courier New" w:eastAsia="Courier New" w:hAnsi="Courier New"/>
          <w:sz w:val="15"/>
          <w:szCs w:val="15"/>
          <w:color w:val="auto"/>
        </w:rPr>
        <w:t>New Accounting Standards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In June 1998, the Financial Accounting Standards Board (FASB) issued SFAS 133, Accounting for Derivative Instruments and Hedging Activities, which requires that Schlumberger recognize all derivative instruments as either assets or liabilities in the statement of financial position and measure those instruments at fair value. The standard is effective in the year 2001 for Schlumberger. Occasionally, Schlumberger uses derivative instruments such as interest rate swaps, currency swaps, forward currency contracts and foreign currency options. Forward currency contracts provide a hedge against currency fluctuations on assets/liabilities denominated in other than a functional currency. Options are usually entered into as a hedge against currency variations on firm commitments generally involving the construction of long-lived assets.</w:t>
      </w:r>
    </w:p>
    <w:p>
      <w:pPr>
        <w:spacing w:after="0" w:line="165"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Schlumberger maintains a foreign-currency risk management strategy that uses derivative instruments to protect its interests from unanticipated fluctuations in earnings and cash flows caused by volatility in currency exchange rates. Movements in foreign currency exchange rates pose a risk to Schlumberger's operations as exchange rate changes may affect profitability and cash flow. Schlumberger uses foreign currency forward exchange contracts, swaps and options. Schlumberger also maintains an interest rate risk management strategy that uses derivatives to minimize significant, unanticipated earnings fluctuations caused by interest rate volatility. Schlumberger's specific goals are (1) to manage interest rate sensitivity by modifying the repricing or maturity characteristics of certain of its debt and (2) to lower (where possible) the cost of borrowed funds.</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By using derivative financial instruments to hedge exposure to changes in exchange rates and interest rates, Schlumberger exposes itself to credit risk and market risk. Schlumberger minimizes the credit risk by entering into transactions with high-quality counterparties, limiting the exposure to each counterparty and monitoring the financial condition of its counterparties. Market risk is managed through the setting and monitoring of parameters that limit the types and degree of market risk which are acceptable.</w:t>
      </w:r>
    </w:p>
    <w:p>
      <w:pPr>
        <w:spacing w:after="0" w:line="166"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On January 1, 2001, the adjustments to Other Comprehensive Income and Net Income to recognize all derivative instruments as either an asset or liability and measure them at fair value were not material.</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Euro Disclosures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January 1, 1999, the euro became the official single currency of the European Economic and Monetary Union. As of this date, the conversion rates of the national currencies of the eleven member states adopting the euro were fixed irrevocably. The national currencies will initially remain in circulation as nondecimal subunits of the euro and will be replaced by euro bills and coins by March 2002. During the transition period between January 1999 and January 2002, public and private parties may pay for goods and services using either the euro or the national currency on a "no compulsion, no prohibition" basis.</w:t>
      </w:r>
    </w:p>
    <w:p>
      <w:pPr>
        <w:spacing w:after="0" w:line="166"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Schlumberger believes that the implementation of the euro can be performed according to the schedule defined by the European Union. Schlumberger does not expect the total cost of addressing this issue to be material to financial condition, results of operations and liquidity.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617"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5"/>
          <w:szCs w:val="15"/>
          <w:color w:val="auto"/>
        </w:rPr>
        <w:t>Forward-looking Statements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Schlumberger cautions that, except for historical information, statements in this annual report and elsewhere may constitute forward-looking statements. These include statements as to expectations, beliefs and future financial performance, such as statements regarding business prospects in the key industries in which Schlumberger operates or plans to operate and growth opportunities for Schlumberger in those industries. These statements involve a number of risks, uncertainties, assumptions and other factors that could cause actual results to differ materially from those in the forward-looking statements. Such factors include: continuing customer commitment to certain key oilfield projects; changes in E&amp;P spending by major oil companies; the extent and timing of utilities' investment in integrated solutions to utility management; noncancellation of key long-term services and solutions contracts; growth in demand for smart cards in e-commerce and Network and Internet-enabled solutions; economic, competitive and technological factors affecting markets, services, and prices in newly acquired businesses and Schlumberger's ability to integrate these businesses and to realize synergies from these acquisitions; general economic and business conditions in key regions of the world; and changes in business strategy or development plans relating to targeted Schlumberger growth opportunities.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Subsequent Event - Business Acquisition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February 12, 2001, Schlumberger announced that it had reached agreement with the board of directors of Sema plc on the terms of a recommended cash offer for the entire issued and to be issued share capital of Sema plc. The offer will be made on the basis of (pound)5.60 (approximately $8.09) per share which represents a purchase price of about $5.2 billion plus expenses. Schlumberger expects to complete the transaction in the second quarter. The purchase price will be paid from existing available cash, investments and new borrowings. The transaction is subject to customary regulatory approvals and Sema plc shareholders acceptance.</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Sema plc is an IT and technical services company with about 22,000 employees. Their business focuses on three activities - systems integration and consulting, software products for telecommunications, energy, transport and financial sectors, and outsourcing. Revenue in 2000 is estimated to be approximately $2.2 billion.</w:t>
      </w:r>
    </w:p>
    <w:p>
      <w:pPr>
        <w:spacing w:after="0" w:line="174"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On March 5, 2001, Schlumberger purchased 122,869,697 shares (about 20%) of Sema plc for approximately $1 billion.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617"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5"/>
          <w:szCs w:val="15"/>
          <w:color w:val="auto"/>
        </w:rPr>
        <w:t>Item 7A Quantitative and Qualitative Disclosure about Market Risk</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Schlumberger does not believe it has a material exposure to financial market risk. Schlumberger manages the exposure to interest rate changes by using a mix of debt maturities and variable- and fixed-rate debt together with interest rate swaps, where appropriate, to fix or lower borrowing costs. With regard to foreign currency fluctuations, Schlumberger enters into various contracts, which change in value as foreign exchange rates change, to protect the value of external and intercompany transactions in foreign currencies. Schlumberger does not enter into foreign currency or interest rate transactions for speculative purposes.</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617" w:right="1440" w:bottom="1440" w:gutter="0" w:footer="0" w:header="0"/>
        </w:sectPr>
      </w:pPr>
    </w:p>
    <w:bookmarkStart w:id="28" w:name="page29"/>
    <w:bookmarkEnd w:id="28"/>
    <w:p>
      <w:pPr>
        <w:spacing w:after="0"/>
        <w:tabs>
          <w:tab w:leader="none" w:pos="96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4"/>
          <w:szCs w:val="14"/>
          <w:color w:val="auto"/>
        </w:rPr>
        <w:t>Financial Statements and Supplementary Data</w:t>
      </w:r>
    </w:p>
    <w:p>
      <w:pPr>
        <w:spacing w:after="0"/>
        <w:tabs>
          <w:tab w:leader="none" w:pos="112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SCHLUMBERGER LIMITED (SCHLUMBERGER N.V., INCORPORATED IN THE</w:t>
      </w:r>
    </w:p>
    <w:p>
      <w:pPr>
        <w:ind w:left="1400"/>
        <w:spacing w:after="0" w:line="237" w:lineRule="auto"/>
        <w:rPr>
          <w:sz w:val="20"/>
          <w:szCs w:val="20"/>
          <w:color w:val="auto"/>
        </w:rPr>
      </w:pPr>
      <w:r>
        <w:rPr>
          <w:rFonts w:ascii="Courier New" w:cs="Courier New" w:eastAsia="Courier New" w:hAnsi="Courier New"/>
          <w:sz w:val="15"/>
          <w:szCs w:val="15"/>
          <w:color w:val="auto"/>
        </w:rPr>
        <w:t>NETHERLANDS ANTILLES) AND SUBSIDIARY COMPANIES</w:t>
      </w:r>
    </w:p>
    <w:p>
      <w:pPr>
        <w:spacing w:after="0" w:line="1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CONSOLIDATED STATEMENT OF INCOME</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780" w:type="dxa"/>
            <w:vAlign w:val="bottom"/>
            <w:gridSpan w:val="5"/>
          </w:tcPr>
          <w:p>
            <w:pPr>
              <w:jc w:val="right"/>
              <w:ind w:right="27"/>
              <w:spacing w:after="0"/>
              <w:rPr>
                <w:sz w:val="20"/>
                <w:szCs w:val="20"/>
                <w:color w:val="auto"/>
              </w:rPr>
            </w:pPr>
            <w:r>
              <w:rPr>
                <w:rFonts w:ascii="Courier New" w:cs="Courier New" w:eastAsia="Courier New" w:hAnsi="Courier New"/>
                <w:sz w:val="15"/>
                <w:szCs w:val="15"/>
                <w:color w:val="auto"/>
              </w:rPr>
              <w:t>(Stated in thousands except per share amounts)</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Year Ended December 31,</w:t>
            </w:r>
          </w:p>
        </w:tc>
        <w:tc>
          <w:tcPr>
            <w:tcW w:w="340" w:type="dxa"/>
            <w:vAlign w:val="bottom"/>
          </w:tcPr>
          <w:p>
            <w:pPr>
              <w:spacing w:after="0"/>
              <w:rPr>
                <w:sz w:val="24"/>
                <w:szCs w:val="24"/>
                <w:color w:val="auto"/>
              </w:rPr>
            </w:pPr>
          </w:p>
        </w:tc>
        <w:tc>
          <w:tcPr>
            <w:tcW w:w="13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2000</w:t>
            </w:r>
          </w:p>
        </w:tc>
        <w:tc>
          <w:tcPr>
            <w:tcW w:w="560" w:type="dxa"/>
            <w:vAlign w:val="bottom"/>
          </w:tcPr>
          <w:p>
            <w:pPr>
              <w:spacing w:after="0"/>
              <w:rPr>
                <w:sz w:val="24"/>
                <w:szCs w:val="24"/>
                <w:color w:val="auto"/>
              </w:rPr>
            </w:pPr>
          </w:p>
        </w:tc>
        <w:tc>
          <w:tcPr>
            <w:tcW w:w="136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999/1/</w:t>
            </w:r>
          </w:p>
        </w:tc>
        <w:tc>
          <w:tcPr>
            <w:tcW w:w="520" w:type="dxa"/>
            <w:vAlign w:val="bottom"/>
          </w:tcPr>
          <w:p>
            <w:pPr>
              <w:spacing w:after="0"/>
              <w:rPr>
                <w:sz w:val="24"/>
                <w:szCs w:val="24"/>
                <w:color w:val="auto"/>
              </w:rPr>
            </w:pPr>
          </w:p>
        </w:tc>
        <w:tc>
          <w:tcPr>
            <w:tcW w:w="102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1998/1/</w:t>
            </w:r>
          </w:p>
        </w:tc>
      </w:tr>
      <w:tr>
        <w:trPr>
          <w:trHeight w:val="168"/>
        </w:trPr>
        <w:tc>
          <w:tcPr>
            <w:tcW w:w="382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8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Operating</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9,611,462</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8,394,947</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$ 10,725,030</w:t>
            </w:r>
          </w:p>
        </w:tc>
      </w:tr>
      <w:tr>
        <w:trPr>
          <w:trHeight w:val="168"/>
        </w:trPr>
        <w:tc>
          <w:tcPr>
            <w:tcW w:w="38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34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423,255</w:t>
            </w:r>
          </w:p>
        </w:tc>
        <w:tc>
          <w:tcPr>
            <w:tcW w:w="56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356,758</w:t>
            </w:r>
          </w:p>
        </w:tc>
        <w:tc>
          <w:tcPr>
            <w:tcW w:w="5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173,006</w:t>
            </w:r>
          </w:p>
        </w:tc>
      </w:tr>
      <w:tr>
        <w:trPr>
          <w:trHeight w:val="168"/>
        </w:trPr>
        <w:tc>
          <w:tcPr>
            <w:tcW w:w="382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10,034,717</w:t>
            </w:r>
          </w:p>
        </w:tc>
        <w:tc>
          <w:tcPr>
            <w:tcW w:w="56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8,751,705</w:t>
            </w:r>
          </w:p>
        </w:tc>
        <w:tc>
          <w:tcPr>
            <w:tcW w:w="5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10,898,036</w:t>
            </w:r>
          </w:p>
        </w:tc>
      </w:tr>
      <w:tr>
        <w:trPr>
          <w:trHeight w:val="168"/>
        </w:trPr>
        <w:tc>
          <w:tcPr>
            <w:tcW w:w="382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Expenses</w:t>
            </w: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Cost of goods sold and services</w:t>
            </w:r>
          </w:p>
        </w:tc>
        <w:tc>
          <w:tcPr>
            <w:tcW w:w="34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7,371,542</w:t>
            </w:r>
          </w:p>
        </w:tc>
        <w:tc>
          <w:tcPr>
            <w:tcW w:w="56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6,737,635</w:t>
            </w:r>
          </w:p>
        </w:tc>
        <w:tc>
          <w:tcPr>
            <w:tcW w:w="5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8,405,936</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Research &amp; engineering</w:t>
            </w:r>
          </w:p>
        </w:tc>
        <w:tc>
          <w:tcPr>
            <w:tcW w:w="34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540,698</w:t>
            </w:r>
          </w:p>
        </w:tc>
        <w:tc>
          <w:tcPr>
            <w:tcW w:w="56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522,240</w:t>
            </w:r>
          </w:p>
        </w:tc>
        <w:tc>
          <w:tcPr>
            <w:tcW w:w="5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556,882</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Marketing</w:t>
            </w:r>
          </w:p>
        </w:tc>
        <w:tc>
          <w:tcPr>
            <w:tcW w:w="34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437,128</w:t>
            </w:r>
          </w:p>
        </w:tc>
        <w:tc>
          <w:tcPr>
            <w:tcW w:w="56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433,871</w:t>
            </w:r>
          </w:p>
        </w:tc>
        <w:tc>
          <w:tcPr>
            <w:tcW w:w="5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467,592</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General</w:t>
            </w:r>
          </w:p>
        </w:tc>
        <w:tc>
          <w:tcPr>
            <w:tcW w:w="34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448,587</w:t>
            </w:r>
          </w:p>
        </w:tc>
        <w:tc>
          <w:tcPr>
            <w:tcW w:w="56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383,695</w:t>
            </w:r>
          </w:p>
        </w:tc>
        <w:tc>
          <w:tcPr>
            <w:tcW w:w="5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427,775</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w:t>
            </w:r>
          </w:p>
        </w:tc>
        <w:tc>
          <w:tcPr>
            <w:tcW w:w="34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276,081</w:t>
            </w:r>
          </w:p>
        </w:tc>
        <w:tc>
          <w:tcPr>
            <w:tcW w:w="56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192,954</w:t>
            </w:r>
          </w:p>
        </w:tc>
        <w:tc>
          <w:tcPr>
            <w:tcW w:w="5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137,211</w:t>
            </w:r>
          </w:p>
        </w:tc>
      </w:tr>
      <w:tr>
        <w:trPr>
          <w:trHeight w:val="168"/>
        </w:trPr>
        <w:tc>
          <w:tcPr>
            <w:tcW w:w="382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9,074,036</w:t>
            </w:r>
          </w:p>
        </w:tc>
        <w:tc>
          <w:tcPr>
            <w:tcW w:w="56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8,270,395</w:t>
            </w:r>
          </w:p>
        </w:tc>
        <w:tc>
          <w:tcPr>
            <w:tcW w:w="5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9,995,396</w:t>
            </w:r>
          </w:p>
        </w:tc>
      </w:tr>
      <w:tr>
        <w:trPr>
          <w:trHeight w:val="168"/>
        </w:trPr>
        <w:tc>
          <w:tcPr>
            <w:tcW w:w="382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before taxes and minority interest</w:t>
            </w:r>
          </w:p>
        </w:tc>
        <w:tc>
          <w:tcPr>
            <w:tcW w:w="34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960,681</w:t>
            </w:r>
          </w:p>
        </w:tc>
        <w:tc>
          <w:tcPr>
            <w:tcW w:w="56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481,310</w:t>
            </w:r>
          </w:p>
        </w:tc>
        <w:tc>
          <w:tcPr>
            <w:tcW w:w="5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902,640</w:t>
            </w:r>
          </w:p>
        </w:tc>
      </w:tr>
      <w:tr>
        <w:trPr>
          <w:trHeight w:val="336"/>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Taxes on income</w:t>
            </w:r>
          </w:p>
        </w:tc>
        <w:tc>
          <w:tcPr>
            <w:tcW w:w="340" w:type="dxa"/>
            <w:vAlign w:val="bottom"/>
          </w:tcPr>
          <w:p>
            <w:pPr>
              <w:spacing w:after="0"/>
              <w:rPr>
                <w:sz w:val="24"/>
                <w:szCs w:val="2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228,248</w:t>
            </w:r>
          </w:p>
        </w:tc>
        <w:tc>
          <w:tcPr>
            <w:tcW w:w="560" w:type="dxa"/>
            <w:vAlign w:val="bottom"/>
          </w:tcPr>
          <w:p>
            <w:pPr>
              <w:spacing w:after="0"/>
              <w:rPr>
                <w:sz w:val="24"/>
                <w:szCs w:val="2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140,772</w:t>
            </w:r>
          </w:p>
        </w:tc>
        <w:tc>
          <w:tcPr>
            <w:tcW w:w="520" w:type="dxa"/>
            <w:vAlign w:val="bottom"/>
          </w:tcPr>
          <w:p>
            <w:pPr>
              <w:spacing w:after="0"/>
              <w:rPr>
                <w:sz w:val="24"/>
                <w:szCs w:val="2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276,231</w:t>
            </w:r>
          </w:p>
        </w:tc>
      </w:tr>
      <w:tr>
        <w:trPr>
          <w:trHeight w:val="168"/>
        </w:trPr>
        <w:tc>
          <w:tcPr>
            <w:tcW w:w="382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from continuing operations</w:t>
            </w: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before minority interest</w:t>
            </w:r>
          </w:p>
        </w:tc>
        <w:tc>
          <w:tcPr>
            <w:tcW w:w="34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732,433</w:t>
            </w:r>
          </w:p>
        </w:tc>
        <w:tc>
          <w:tcPr>
            <w:tcW w:w="56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340,538</w:t>
            </w:r>
          </w:p>
        </w:tc>
        <w:tc>
          <w:tcPr>
            <w:tcW w:w="5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626,409</w:t>
            </w:r>
          </w:p>
        </w:tc>
      </w:tr>
      <w:tr>
        <w:trPr>
          <w:trHeight w:val="336"/>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Minority interest</w:t>
            </w:r>
          </w:p>
        </w:tc>
        <w:tc>
          <w:tcPr>
            <w:tcW w:w="340" w:type="dxa"/>
            <w:vAlign w:val="bottom"/>
          </w:tcPr>
          <w:p>
            <w:pPr>
              <w:spacing w:after="0"/>
              <w:rPr>
                <w:sz w:val="24"/>
                <w:szCs w:val="2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2,163</w:t>
            </w:r>
          </w:p>
        </w:tc>
        <w:tc>
          <w:tcPr>
            <w:tcW w:w="560" w:type="dxa"/>
            <w:vAlign w:val="bottom"/>
          </w:tcPr>
          <w:p>
            <w:pPr>
              <w:spacing w:after="0"/>
              <w:rPr>
                <w:sz w:val="24"/>
                <w:szCs w:val="24"/>
                <w:color w:val="auto"/>
              </w:rPr>
            </w:pPr>
          </w:p>
        </w:tc>
        <w:tc>
          <w:tcPr>
            <w:tcW w:w="13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(11,204)</w:t>
            </w:r>
          </w:p>
        </w:tc>
        <w:tc>
          <w:tcPr>
            <w:tcW w:w="52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(8,447)</w:t>
            </w:r>
          </w:p>
        </w:tc>
      </w:tr>
      <w:tr>
        <w:trPr>
          <w:trHeight w:val="168"/>
        </w:trPr>
        <w:tc>
          <w:tcPr>
            <w:tcW w:w="382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from continuing operations</w:t>
            </w:r>
          </w:p>
        </w:tc>
        <w:tc>
          <w:tcPr>
            <w:tcW w:w="34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734,596</w:t>
            </w:r>
          </w:p>
        </w:tc>
        <w:tc>
          <w:tcPr>
            <w:tcW w:w="56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329,334</w:t>
            </w:r>
          </w:p>
        </w:tc>
        <w:tc>
          <w:tcPr>
            <w:tcW w:w="5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617,962</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Discontinued operations, net of tax</w:t>
            </w:r>
          </w:p>
        </w:tc>
        <w:tc>
          <w:tcPr>
            <w:tcW w:w="340" w:type="dxa"/>
            <w:vAlign w:val="bottom"/>
          </w:tcPr>
          <w:p>
            <w:pPr>
              <w:spacing w:after="0"/>
              <w:rPr>
                <w:sz w:val="24"/>
                <w:szCs w:val="2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24"/>
                <w:szCs w:val="2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37,360</w:t>
            </w:r>
          </w:p>
        </w:tc>
        <w:tc>
          <w:tcPr>
            <w:tcW w:w="520" w:type="dxa"/>
            <w:vAlign w:val="bottom"/>
          </w:tcPr>
          <w:p>
            <w:pPr>
              <w:spacing w:after="0"/>
              <w:rPr>
                <w:sz w:val="24"/>
                <w:szCs w:val="2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396,237</w:t>
            </w:r>
          </w:p>
        </w:tc>
      </w:tr>
      <w:tr>
        <w:trPr>
          <w:trHeight w:val="168"/>
        </w:trPr>
        <w:tc>
          <w:tcPr>
            <w:tcW w:w="382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734,596</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366,694</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1,014,199</w:t>
            </w:r>
          </w:p>
        </w:tc>
      </w:tr>
      <w:tr>
        <w:trPr>
          <w:trHeight w:val="168"/>
        </w:trPr>
        <w:tc>
          <w:tcPr>
            <w:tcW w:w="382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1.29</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0.60</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1.14</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0.07</w:t>
            </w:r>
          </w:p>
        </w:tc>
        <w:tc>
          <w:tcPr>
            <w:tcW w:w="5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0.72</w:t>
            </w:r>
          </w:p>
        </w:tc>
      </w:tr>
      <w:tr>
        <w:trPr>
          <w:trHeight w:val="168"/>
        </w:trPr>
        <w:tc>
          <w:tcPr>
            <w:tcW w:w="382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1.29</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0.67</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1.86</w:t>
            </w:r>
          </w:p>
        </w:tc>
      </w:tr>
      <w:tr>
        <w:trPr>
          <w:trHeight w:val="168"/>
        </w:trPr>
        <w:tc>
          <w:tcPr>
            <w:tcW w:w="382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Continuing operations</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1.27</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0.58</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1.10</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3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38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0.07</w:t>
            </w:r>
          </w:p>
        </w:tc>
        <w:tc>
          <w:tcPr>
            <w:tcW w:w="5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0.71</w:t>
            </w:r>
          </w:p>
        </w:tc>
      </w:tr>
      <w:tr>
        <w:trPr>
          <w:trHeight w:val="168"/>
        </w:trPr>
        <w:tc>
          <w:tcPr>
            <w:tcW w:w="382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1.27</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0.65</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1.81</w:t>
            </w:r>
          </w:p>
        </w:tc>
      </w:tr>
      <w:tr>
        <w:trPr>
          <w:trHeight w:val="168"/>
        </w:trPr>
        <w:tc>
          <w:tcPr>
            <w:tcW w:w="3820" w:type="dxa"/>
            <w:vAlign w:val="bottom"/>
          </w:tcPr>
          <w:p>
            <w:pPr>
              <w:spacing w:after="0"/>
              <w:rPr>
                <w:sz w:val="14"/>
                <w:szCs w:val="14"/>
                <w:color w:val="auto"/>
              </w:rPr>
            </w:pPr>
          </w:p>
        </w:tc>
        <w:tc>
          <w:tcPr>
            <w:tcW w:w="1660" w:type="dxa"/>
            <w:vAlign w:val="bottom"/>
            <w:gridSpan w:val="2"/>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Average shares outstanding</w:t>
            </w:r>
          </w:p>
        </w:tc>
        <w:tc>
          <w:tcPr>
            <w:tcW w:w="340" w:type="dxa"/>
            <w:vAlign w:val="bottom"/>
          </w:tcPr>
          <w:p>
            <w:pPr>
              <w:spacing w:after="0"/>
              <w:rPr>
                <w:sz w:val="24"/>
                <w:szCs w:val="24"/>
                <w:color w:val="auto"/>
              </w:rPr>
            </w:pPr>
          </w:p>
        </w:tc>
        <w:tc>
          <w:tcPr>
            <w:tcW w:w="13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570,028</w:t>
            </w:r>
          </w:p>
        </w:tc>
        <w:tc>
          <w:tcPr>
            <w:tcW w:w="560" w:type="dxa"/>
            <w:vAlign w:val="bottom"/>
          </w:tcPr>
          <w:p>
            <w:pPr>
              <w:spacing w:after="0"/>
              <w:rPr>
                <w:sz w:val="24"/>
                <w:szCs w:val="24"/>
                <w:color w:val="auto"/>
              </w:rPr>
            </w:pP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548,680</w:t>
            </w:r>
          </w:p>
        </w:tc>
        <w:tc>
          <w:tcPr>
            <w:tcW w:w="520" w:type="dxa"/>
            <w:vAlign w:val="bottom"/>
          </w:tcPr>
          <w:p>
            <w:pPr>
              <w:spacing w:after="0"/>
              <w:rPr>
                <w:sz w:val="24"/>
                <w:szCs w:val="24"/>
                <w:color w:val="auto"/>
              </w:rPr>
            </w:pPr>
          </w:p>
        </w:tc>
        <w:tc>
          <w:tcPr>
            <w:tcW w:w="10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544,338</w:t>
            </w:r>
          </w:p>
        </w:tc>
      </w:tr>
      <w:tr>
        <w:trPr>
          <w:trHeight w:val="336"/>
        </w:trPr>
        <w:tc>
          <w:tcPr>
            <w:tcW w:w="3820" w:type="dxa"/>
            <w:vAlign w:val="bottom"/>
          </w:tcPr>
          <w:p>
            <w:pPr>
              <w:spacing w:after="0"/>
              <w:rPr>
                <w:sz w:val="20"/>
                <w:szCs w:val="20"/>
                <w:color w:val="auto"/>
              </w:rPr>
            </w:pPr>
            <w:r>
              <w:rPr>
                <w:rFonts w:ascii="Courier New" w:cs="Courier New" w:eastAsia="Courier New" w:hAnsi="Courier New"/>
                <w:sz w:val="15"/>
                <w:szCs w:val="15"/>
                <w:color w:val="auto"/>
              </w:rPr>
              <w:t>Average shares outstanding</w:t>
            </w: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38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assuming dilution</w:t>
            </w:r>
          </w:p>
        </w:tc>
        <w:tc>
          <w:tcPr>
            <w:tcW w:w="340" w:type="dxa"/>
            <w:vAlign w:val="bottom"/>
          </w:tcPr>
          <w:p>
            <w:pPr>
              <w:spacing w:after="0"/>
              <w:rPr>
                <w:sz w:val="14"/>
                <w:szCs w:val="14"/>
                <w:color w:val="auto"/>
              </w:rPr>
            </w:pP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580,076</w:t>
            </w:r>
          </w:p>
        </w:tc>
        <w:tc>
          <w:tcPr>
            <w:tcW w:w="560" w:type="dxa"/>
            <w:vAlign w:val="bottom"/>
          </w:tcPr>
          <w:p>
            <w:pPr>
              <w:spacing w:after="0"/>
              <w:rPr>
                <w:sz w:val="14"/>
                <w:szCs w:val="14"/>
                <w:color w:val="auto"/>
              </w:rPr>
            </w:pP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563,789</w:t>
            </w:r>
          </w:p>
        </w:tc>
        <w:tc>
          <w:tcPr>
            <w:tcW w:w="520" w:type="dxa"/>
            <w:vAlign w:val="bottom"/>
          </w:tcPr>
          <w:p>
            <w:pPr>
              <w:spacing w:after="0"/>
              <w:rPr>
                <w:sz w:val="14"/>
                <w:szCs w:val="14"/>
                <w:color w:val="auto"/>
              </w:rPr>
            </w:pP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561,855</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Reclassified, in part, for comparative purposes.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the Notes to Consolidated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617" w:right="1440" w:bottom="1440" w:gutter="0" w:footer="0" w:header="0"/>
        </w:sectPr>
      </w:pPr>
    </w:p>
    <w:bookmarkStart w:id="29" w:name="page30"/>
    <w:bookmarkEnd w:id="29"/>
    <w:p>
      <w:pPr>
        <w:ind w:left="1940" w:right="3579" w:hanging="524"/>
        <w:spacing w:after="0" w:line="234" w:lineRule="auto"/>
        <w:rPr>
          <w:sz w:val="20"/>
          <w:szCs w:val="20"/>
          <w:color w:val="auto"/>
        </w:rPr>
      </w:pPr>
      <w:r>
        <w:rPr>
          <w:rFonts w:ascii="Courier New" w:cs="Courier New" w:eastAsia="Courier New" w:hAnsi="Courier New"/>
          <w:sz w:val="15"/>
          <w:szCs w:val="15"/>
          <w:color w:val="auto"/>
        </w:rPr>
        <w:t>SCHLUMBERGER LIMITED (SCHLUMBERGER N.V., INCORPORATED IN THE NETHERLANDS ANTILLES) AND SUBSIDIARY COMPANIES</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CONSOLIDATED BALANCE SHEET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(Stated in</w:t>
            </w:r>
          </w:p>
        </w:tc>
      </w:tr>
      <w:tr>
        <w:trPr>
          <w:trHeight w:val="168"/>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thousands)</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26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1999/1/</w:t>
            </w:r>
          </w:p>
        </w:tc>
      </w:tr>
      <w:tr>
        <w:trPr>
          <w:trHeight w:val="168"/>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and shortterm investments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3,040,150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4,389,837</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Receivables less allowance for doubtful</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accounts (2000 $106,503;  1999 $89,030)</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2,768,848</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2,429,842</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Inventories</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1,111,585</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956,980</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taxes on income</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259,184</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226,238</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current assets</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313,444</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258,532</w:t>
            </w:r>
          </w:p>
        </w:tc>
      </w:tr>
      <w:tr>
        <w:trPr>
          <w:trHeight w:val="168"/>
        </w:trPr>
        <w:tc>
          <w:tcPr>
            <w:tcW w:w="4300" w:type="dxa"/>
            <w:vAlign w:val="bottom"/>
          </w:tcPr>
          <w:p>
            <w:pPr>
              <w:spacing w:after="0"/>
              <w:rPr>
                <w:sz w:val="14"/>
                <w:szCs w:val="14"/>
                <w:color w:val="auto"/>
              </w:rPr>
            </w:pP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7,493,211</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8,261,429</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Longterm Investments, held to maturity</w:t>
            </w:r>
          </w:p>
        </w:tc>
        <w:tc>
          <w:tcPr>
            <w:tcW w:w="260" w:type="dxa"/>
            <w:vAlign w:val="bottom"/>
          </w:tcPr>
          <w:p>
            <w:pPr>
              <w:spacing w:after="0"/>
              <w:rPr>
                <w:sz w:val="24"/>
                <w:szCs w:val="2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1,547,132</w:t>
            </w:r>
          </w:p>
        </w:tc>
        <w:tc>
          <w:tcPr>
            <w:tcW w:w="22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726,496</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Investments in Affiliated Companies</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654,516</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535,434</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Assets less accumulated depreciation</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4,394,514</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3,560,740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Multiclient Seismic Data</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975,775</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311,520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Excess of Investment Over Net Assets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of Companies Purchased less amortization</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1,575,710</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1,333,681</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Taxes on Income</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271,059</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242,616</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260,814</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109,276</w:t>
            </w:r>
          </w:p>
        </w:tc>
      </w:tr>
      <w:tr>
        <w:trPr>
          <w:trHeight w:val="168"/>
        </w:trPr>
        <w:tc>
          <w:tcPr>
            <w:tcW w:w="4300" w:type="dxa"/>
            <w:vAlign w:val="bottom"/>
          </w:tcPr>
          <w:p>
            <w:pPr>
              <w:spacing w:after="0"/>
              <w:rPr>
                <w:sz w:val="14"/>
                <w:szCs w:val="14"/>
                <w:color w:val="auto"/>
              </w:rPr>
            </w:pP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$ 17,172,731</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$ 15,081,192</w:t>
            </w:r>
          </w:p>
        </w:tc>
      </w:tr>
      <w:tr>
        <w:trPr>
          <w:trHeight w:val="168"/>
        </w:trPr>
        <w:tc>
          <w:tcPr>
            <w:tcW w:w="4300" w:type="dxa"/>
            <w:vAlign w:val="bottom"/>
          </w:tcPr>
          <w:p>
            <w:pPr>
              <w:spacing w:after="0"/>
              <w:rPr>
                <w:sz w:val="14"/>
                <w:szCs w:val="14"/>
                <w:color w:val="auto"/>
              </w:rPr>
            </w:pP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 and accrued liabilities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2,910,725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2,282,884</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Estimated liability for taxes on income</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379,916</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383,159</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Bank loans</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556,020</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444,221</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Dividend payable</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108,043</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106,653</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Longterm debt due within one year</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36,201</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257,571</w:t>
            </w:r>
          </w:p>
        </w:tc>
      </w:tr>
      <w:tr>
        <w:trPr>
          <w:trHeight w:val="168"/>
        </w:trPr>
        <w:tc>
          <w:tcPr>
            <w:tcW w:w="4300" w:type="dxa"/>
            <w:vAlign w:val="bottom"/>
          </w:tcPr>
          <w:p>
            <w:pPr>
              <w:spacing w:after="0"/>
              <w:rPr>
                <w:sz w:val="14"/>
                <w:szCs w:val="14"/>
                <w:color w:val="auto"/>
              </w:rPr>
            </w:pP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3,990,905</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3,474,488</w:t>
            </w:r>
          </w:p>
        </w:tc>
      </w:tr>
      <w:tr>
        <w:trPr>
          <w:trHeight w:val="336"/>
        </w:trPr>
        <w:tc>
          <w:tcPr>
            <w:tcW w:w="430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60" w:type="dxa"/>
            <w:vAlign w:val="bottom"/>
          </w:tcPr>
          <w:p>
            <w:pPr>
              <w:spacing w:after="0"/>
              <w:rPr>
                <w:sz w:val="24"/>
                <w:szCs w:val="24"/>
                <w:color w:val="auto"/>
              </w:rPr>
            </w:pPr>
          </w:p>
        </w:tc>
        <w:tc>
          <w:tcPr>
            <w:tcW w:w="11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3,573,047</w:t>
            </w:r>
          </w:p>
        </w:tc>
        <w:tc>
          <w:tcPr>
            <w:tcW w:w="220" w:type="dxa"/>
            <w:vAlign w:val="bottom"/>
          </w:tcPr>
          <w:p>
            <w:pPr>
              <w:spacing w:after="0"/>
              <w:rPr>
                <w:sz w:val="24"/>
                <w:szCs w:val="24"/>
                <w:color w:val="auto"/>
              </w:rPr>
            </w:pPr>
          </w:p>
        </w:tc>
        <w:tc>
          <w:tcPr>
            <w:tcW w:w="10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3,183,174</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Postretirement Benefits</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476,380</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451,466</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Minority Interest</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605,313</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32,428</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Liabilities</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231,870</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218,608</w:t>
            </w:r>
          </w:p>
        </w:tc>
      </w:tr>
      <w:tr>
        <w:trPr>
          <w:trHeight w:val="168"/>
        </w:trPr>
        <w:tc>
          <w:tcPr>
            <w:tcW w:w="4300" w:type="dxa"/>
            <w:vAlign w:val="bottom"/>
          </w:tcPr>
          <w:p>
            <w:pPr>
              <w:spacing w:after="0"/>
              <w:rPr>
                <w:sz w:val="14"/>
                <w:szCs w:val="14"/>
                <w:color w:val="auto"/>
              </w:rPr>
            </w:pP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8,877,515</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7,360,164</w:t>
            </w:r>
          </w:p>
        </w:tc>
      </w:tr>
      <w:tr>
        <w:trPr>
          <w:trHeight w:val="168"/>
        </w:trPr>
        <w:tc>
          <w:tcPr>
            <w:tcW w:w="4300" w:type="dxa"/>
            <w:vAlign w:val="bottom"/>
          </w:tcPr>
          <w:p>
            <w:pPr>
              <w:spacing w:after="0"/>
              <w:rPr>
                <w:sz w:val="14"/>
                <w:szCs w:val="14"/>
                <w:color w:val="auto"/>
              </w:rPr>
            </w:pP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2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Stock</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1,963,905</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1,820,186</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retained for use in the business</w:t>
            </w: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8,223,476</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7,916,612</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Treasury stock at cost</w:t>
            </w:r>
          </w:p>
        </w:tc>
        <w:tc>
          <w:tcPr>
            <w:tcW w:w="2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(1,752,961)</w:t>
            </w:r>
          </w:p>
        </w:tc>
        <w:tc>
          <w:tcPr>
            <w:tcW w:w="2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(1,878,612)</w:t>
            </w:r>
          </w:p>
        </w:tc>
      </w:tr>
      <w:tr>
        <w:trPr>
          <w:trHeight w:val="168"/>
        </w:trPr>
        <w:tc>
          <w:tcPr>
            <w:tcW w:w="43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Translation adjustment</w:t>
            </w:r>
          </w:p>
        </w:tc>
        <w:tc>
          <w:tcPr>
            <w:tcW w:w="26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(139,204)</w:t>
            </w:r>
          </w:p>
        </w:tc>
        <w:tc>
          <w:tcPr>
            <w:tcW w:w="220" w:type="dxa"/>
            <w:vAlign w:val="bottom"/>
          </w:tcPr>
          <w:p>
            <w:pPr>
              <w:spacing w:after="0"/>
              <w:rPr>
                <w:sz w:val="14"/>
                <w:szCs w:val="14"/>
                <w:color w:val="auto"/>
              </w:rPr>
            </w:pP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(137,158)</w:t>
            </w:r>
          </w:p>
        </w:tc>
      </w:tr>
      <w:tr>
        <w:trPr>
          <w:trHeight w:val="168"/>
        </w:trPr>
        <w:tc>
          <w:tcPr>
            <w:tcW w:w="4300" w:type="dxa"/>
            <w:vAlign w:val="bottom"/>
          </w:tcPr>
          <w:p>
            <w:pPr>
              <w:spacing w:after="0"/>
              <w:rPr>
                <w:sz w:val="14"/>
                <w:szCs w:val="14"/>
                <w:color w:val="auto"/>
              </w:rPr>
            </w:pP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8,295,216</w:t>
            </w:r>
          </w:p>
        </w:tc>
        <w:tc>
          <w:tcPr>
            <w:tcW w:w="220" w:type="dxa"/>
            <w:vAlign w:val="bottom"/>
          </w:tcPr>
          <w:p>
            <w:pPr>
              <w:spacing w:after="0"/>
              <w:rPr>
                <w:sz w:val="14"/>
                <w:szCs w:val="14"/>
                <w:color w:val="auto"/>
              </w:rPr>
            </w:pP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7,721,028</w:t>
            </w:r>
          </w:p>
        </w:tc>
      </w:tr>
      <w:tr>
        <w:trPr>
          <w:trHeight w:val="168"/>
        </w:trPr>
        <w:tc>
          <w:tcPr>
            <w:tcW w:w="4300" w:type="dxa"/>
            <w:vAlign w:val="bottom"/>
          </w:tcPr>
          <w:p>
            <w:pPr>
              <w:spacing w:after="0"/>
              <w:rPr>
                <w:sz w:val="14"/>
                <w:szCs w:val="14"/>
                <w:color w:val="auto"/>
              </w:rPr>
            </w:pP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00" w:type="dxa"/>
            <w:vAlign w:val="bottom"/>
          </w:tcPr>
          <w:p>
            <w:pPr>
              <w:spacing w:after="0"/>
              <w:rPr>
                <w:sz w:val="24"/>
                <w:szCs w:val="24"/>
                <w:color w:val="auto"/>
              </w:rPr>
            </w:pPr>
          </w:p>
        </w:tc>
        <w:tc>
          <w:tcPr>
            <w:tcW w:w="14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4300" w:type="dxa"/>
            <w:vAlign w:val="bottom"/>
          </w:tcPr>
          <w:p>
            <w:pPr>
              <w:spacing w:after="0"/>
              <w:rPr>
                <w:sz w:val="14"/>
                <w:szCs w:val="14"/>
                <w:color w:val="auto"/>
              </w:rPr>
            </w:pP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$ 17,172,731</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$ 15,081,192</w:t>
            </w:r>
          </w:p>
        </w:tc>
      </w:tr>
      <w:tr>
        <w:trPr>
          <w:trHeight w:val="168"/>
        </w:trPr>
        <w:tc>
          <w:tcPr>
            <w:tcW w:w="4300" w:type="dxa"/>
            <w:vAlign w:val="bottom"/>
          </w:tcPr>
          <w:p>
            <w:pPr>
              <w:spacing w:after="0"/>
              <w:rPr>
                <w:sz w:val="14"/>
                <w:szCs w:val="14"/>
                <w:color w:val="auto"/>
              </w:rPr>
            </w:pPr>
          </w:p>
        </w:tc>
        <w:tc>
          <w:tcPr>
            <w:tcW w:w="14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Reclassified, in part, for comparative purposes.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the Notes to Consolidated Financial Statements</w:t>
      </w:r>
    </w:p>
    <w:p>
      <w:pPr>
        <w:spacing w:after="0" w:line="166"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624" w:right="1440" w:bottom="1440" w:gutter="0" w:footer="0" w:header="0"/>
        </w:sectPr>
      </w:pPr>
    </w:p>
    <w:bookmarkStart w:id="30" w:name="page31"/>
    <w:bookmarkEnd w:id="30"/>
    <w:p>
      <w:pPr>
        <w:jc w:val="center"/>
        <w:ind w:right="3399"/>
        <w:spacing w:after="0"/>
        <w:rPr>
          <w:sz w:val="20"/>
          <w:szCs w:val="20"/>
          <w:color w:val="auto"/>
        </w:rPr>
      </w:pPr>
      <w:r>
        <w:rPr>
          <w:rFonts w:ascii="Courier New" w:cs="Courier New" w:eastAsia="Courier New" w:hAnsi="Courier New"/>
          <w:sz w:val="15"/>
          <w:szCs w:val="15"/>
          <w:color w:val="auto"/>
        </w:rPr>
        <w:t>SCHLUMBERGER LIMITED (SCHLUMBERGER N.V., INCORPORATED IN THE</w:t>
      </w:r>
    </w:p>
    <w:p>
      <w:pPr>
        <w:jc w:val="center"/>
        <w:ind w:right="3399"/>
        <w:spacing w:after="0" w:line="237" w:lineRule="auto"/>
        <w:rPr>
          <w:sz w:val="20"/>
          <w:szCs w:val="20"/>
          <w:color w:val="auto"/>
        </w:rPr>
      </w:pPr>
      <w:r>
        <w:rPr>
          <w:rFonts w:ascii="Courier New" w:cs="Courier New" w:eastAsia="Courier New" w:hAnsi="Courier New"/>
          <w:sz w:val="15"/>
          <w:szCs w:val="15"/>
          <w:color w:val="auto"/>
        </w:rPr>
        <w:t>NETHERLANDS ANTILLES) AND SUBSIDIARY COMPANIES</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CONSOLIDATED STATEMENT OF CASH FLOWS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0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(Stated in thousands)</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26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1999 /1/</w:t>
            </w:r>
          </w:p>
        </w:tc>
        <w:tc>
          <w:tcPr>
            <w:tcW w:w="11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 /1/</w:t>
            </w:r>
          </w:p>
        </w:tc>
      </w:tr>
      <w:tr>
        <w:trPr>
          <w:trHeight w:val="168"/>
        </w:trPr>
        <w:tc>
          <w:tcPr>
            <w:tcW w:w="5040" w:type="dxa"/>
            <w:vAlign w:val="bottom"/>
          </w:tcPr>
          <w:p>
            <w:pPr>
              <w:spacing w:after="0"/>
              <w:rPr>
                <w:sz w:val="14"/>
                <w:szCs w:val="14"/>
                <w:color w:val="auto"/>
              </w:rPr>
            </w:pPr>
          </w:p>
        </w:tc>
        <w:tc>
          <w:tcPr>
            <w:tcW w:w="2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income</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734,596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366,694</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$ 1,014,199</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Adjustments to reconcile net income to net</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cash provided by operating activities:</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213,676</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136,206</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Gain on sale of businesses</w:t>
            </w: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(61,000)</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Depreciation and amortization /2/</w:t>
            </w: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1,270,754</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1,150,344</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1,177,347</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Earnings of companies carried at equity,</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less dividends received (2000 - $ -;</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1999 - $3,401; 1998 - $ 4,996)</w:t>
            </w: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(39,805)</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(13,904)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(9,576)</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Provision for losses on accounts receivable</w:t>
            </w: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32,301</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37,943</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36,861</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Charges</w:t>
            </w: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63,706</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128,508</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368,441</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Change in operating assets and liabilities:</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(Increase) decrease in receivables</w:t>
            </w: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(364,130)</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265,588</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(20,507)</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(Increase) decrease in inventories</w:t>
            </w: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(194,640)</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53,790</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(100,633</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(Increase) decrease in deferred taxes</w:t>
            </w: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(20,757)</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(27,220)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(80,959)</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(Increase) decrease in current assets</w:t>
            </w: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(38,656)</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5,022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(26,891)</w:t>
            </w:r>
          </w:p>
        </w:tc>
      </w:tr>
      <w:tr>
        <w:trPr>
          <w:trHeight w:val="168"/>
        </w:trPr>
        <w:tc>
          <w:tcPr>
            <w:tcW w:w="50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Increase (decrease) in accounts payable</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and accrued liabilities</w:t>
            </w: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(493,104)</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(181,731)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(72,940)</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(Decrease) increase in estimated liability</w:t>
            </w:r>
          </w:p>
        </w:tc>
        <w:tc>
          <w:tcPr>
            <w:tcW w:w="12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50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for taxes on income</w:t>
            </w: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(12,069)</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(69,338)</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79,677</w:t>
            </w:r>
          </w:p>
        </w:tc>
      </w:tr>
      <w:tr>
        <w:trPr>
          <w:trHeight w:val="168"/>
        </w:trPr>
        <w:tc>
          <w:tcPr>
            <w:tcW w:w="5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Other - net</w:t>
            </w: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(154,286)</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(181,900)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(84,893)</w:t>
            </w:r>
          </w:p>
        </w:tc>
      </w:tr>
      <w:tr>
        <w:trPr>
          <w:trHeight w:val="168"/>
        </w:trPr>
        <w:tc>
          <w:tcPr>
            <w:tcW w:w="5040" w:type="dxa"/>
            <w:vAlign w:val="bottom"/>
          </w:tcPr>
          <w:p>
            <w:pPr>
              <w:spacing w:after="0"/>
              <w:rPr>
                <w:sz w:val="14"/>
                <w:szCs w:val="14"/>
                <w:color w:val="auto"/>
              </w:rPr>
            </w:pPr>
          </w:p>
        </w:tc>
        <w:tc>
          <w:tcPr>
            <w:tcW w:w="2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1,709,118</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1,747,472</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2,416,332</w:t>
            </w:r>
          </w:p>
        </w:tc>
      </w:tr>
      <w:tr>
        <w:trPr>
          <w:trHeight w:val="168"/>
        </w:trPr>
        <w:tc>
          <w:tcPr>
            <w:tcW w:w="5040" w:type="dxa"/>
            <w:vAlign w:val="bottom"/>
          </w:tcPr>
          <w:p>
            <w:pPr>
              <w:spacing w:after="0"/>
              <w:rPr>
                <w:sz w:val="14"/>
                <w:szCs w:val="14"/>
                <w:color w:val="auto"/>
              </w:rPr>
            </w:pPr>
          </w:p>
        </w:tc>
        <w:tc>
          <w:tcPr>
            <w:tcW w:w="2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Purchases of fixed assets</w:t>
            </w: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(1,323,015)</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(792,001)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(1,462,620)</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Multiclient seismic data capitalized</w:t>
            </w: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(222,934)</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(226,907)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(187,754)</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Sales of fixed assets &amp; other</w:t>
            </w: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149,494</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68,005</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111,262</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Drilling fluids joint venture</w:t>
            </w: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325,000)</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Businesses (acquired) sold</w:t>
            </w: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(920,603)</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(135,338)</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61,662</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Increase (decrease) in investments</w:t>
            </w: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551,619</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(295,095)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(2,292,163)</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Sale of financial instruments</w:t>
            </w: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203,572</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(Increase) decrease in other assets</w:t>
            </w: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(63,793)</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(43,166)</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4,660</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Discontinued operations</w:t>
            </w: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(291,953)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(424,749)</w:t>
            </w:r>
          </w:p>
        </w:tc>
      </w:tr>
      <w:tr>
        <w:trPr>
          <w:trHeight w:val="168"/>
        </w:trPr>
        <w:tc>
          <w:tcPr>
            <w:tcW w:w="5040" w:type="dxa"/>
            <w:vAlign w:val="bottom"/>
          </w:tcPr>
          <w:p>
            <w:pPr>
              <w:spacing w:after="0"/>
              <w:rPr>
                <w:sz w:val="14"/>
                <w:szCs w:val="14"/>
                <w:color w:val="auto"/>
              </w:rPr>
            </w:pPr>
          </w:p>
        </w:tc>
        <w:tc>
          <w:tcPr>
            <w:tcW w:w="2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(1,829,232)</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(1,837,863)</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(4,189,702)</w:t>
            </w:r>
          </w:p>
        </w:tc>
      </w:tr>
      <w:tr>
        <w:trPr>
          <w:trHeight w:val="168"/>
        </w:trPr>
        <w:tc>
          <w:tcPr>
            <w:tcW w:w="5040" w:type="dxa"/>
            <w:vAlign w:val="bottom"/>
          </w:tcPr>
          <w:p>
            <w:pPr>
              <w:spacing w:after="0"/>
              <w:rPr>
                <w:sz w:val="14"/>
                <w:szCs w:val="14"/>
                <w:color w:val="auto"/>
              </w:rPr>
            </w:pPr>
          </w:p>
        </w:tc>
        <w:tc>
          <w:tcPr>
            <w:tcW w:w="2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1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Dividends paid</w:t>
            </w: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(426,465)</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(410,494)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(388,379)</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Proceeds from employee stock purchase plan</w:t>
            </w: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69,089</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70,765</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70,461</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Proceeds from exercise of stock options</w:t>
            </w: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160,281</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103,084</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68,780</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Proceeds from exercise of stock warrants</w:t>
            </w: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449,625</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Proceeds from issuance of long-term debt</w:t>
            </w: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956,641</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1,062,935</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2,909,156</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Payment of principal on long-term debt</w:t>
            </w:r>
          </w:p>
        </w:tc>
        <w:tc>
          <w:tcPr>
            <w:tcW w:w="126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(724,911)</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(916,242)</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(863,966)</w:t>
            </w:r>
          </w:p>
        </w:tc>
      </w:tr>
      <w:tr>
        <w:trPr>
          <w:trHeight w:val="168"/>
        </w:trPr>
        <w:tc>
          <w:tcPr>
            <w:tcW w:w="50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Net increase (decrease) in short-term debt</w:t>
            </w: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113,608</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(242,014)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(64,756)</w:t>
            </w:r>
          </w:p>
        </w:tc>
      </w:tr>
      <w:tr>
        <w:trPr>
          <w:trHeight w:val="168"/>
        </w:trPr>
        <w:tc>
          <w:tcPr>
            <w:tcW w:w="5040" w:type="dxa"/>
            <w:vAlign w:val="bottom"/>
          </w:tcPr>
          <w:p>
            <w:pPr>
              <w:spacing w:after="0"/>
              <w:rPr>
                <w:sz w:val="14"/>
                <w:szCs w:val="14"/>
                <w:color w:val="auto"/>
              </w:rPr>
            </w:pPr>
          </w:p>
        </w:tc>
        <w:tc>
          <w:tcPr>
            <w:tcW w:w="2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148,243</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117,659</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1,731,296</w:t>
            </w:r>
          </w:p>
        </w:tc>
      </w:tr>
      <w:tr>
        <w:trPr>
          <w:trHeight w:val="168"/>
        </w:trPr>
        <w:tc>
          <w:tcPr>
            <w:tcW w:w="5040" w:type="dxa"/>
            <w:vAlign w:val="bottom"/>
          </w:tcPr>
          <w:p>
            <w:pPr>
              <w:spacing w:after="0"/>
              <w:rPr>
                <w:sz w:val="14"/>
                <w:szCs w:val="14"/>
                <w:color w:val="auto"/>
              </w:rPr>
            </w:pPr>
          </w:p>
        </w:tc>
        <w:tc>
          <w:tcPr>
            <w:tcW w:w="2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04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w:t>
            </w:r>
          </w:p>
        </w:tc>
        <w:tc>
          <w:tcPr>
            <w:tcW w:w="126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28,129</w:t>
            </w:r>
          </w:p>
        </w:tc>
        <w:tc>
          <w:tcPr>
            <w:tcW w:w="22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27,268</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(42,074)</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beginning of year</w:t>
            </w:r>
          </w:p>
        </w:tc>
        <w:tc>
          <w:tcPr>
            <w:tcW w:w="126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132,589</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105,321</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147,395</w:t>
            </w:r>
          </w:p>
        </w:tc>
      </w:tr>
      <w:tr>
        <w:trPr>
          <w:trHeight w:val="168"/>
        </w:trPr>
        <w:tc>
          <w:tcPr>
            <w:tcW w:w="5040" w:type="dxa"/>
            <w:vAlign w:val="bottom"/>
          </w:tcPr>
          <w:p>
            <w:pPr>
              <w:spacing w:after="0"/>
              <w:rPr>
                <w:sz w:val="14"/>
                <w:szCs w:val="14"/>
                <w:color w:val="auto"/>
              </w:rPr>
            </w:pPr>
          </w:p>
        </w:tc>
        <w:tc>
          <w:tcPr>
            <w:tcW w:w="2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0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END OF YEAR</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160,718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132,589</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105,321</w:t>
            </w:r>
          </w:p>
        </w:tc>
      </w:tr>
      <w:tr>
        <w:trPr>
          <w:trHeight w:val="168"/>
        </w:trPr>
        <w:tc>
          <w:tcPr>
            <w:tcW w:w="5040" w:type="dxa"/>
            <w:vAlign w:val="bottom"/>
          </w:tcPr>
          <w:p>
            <w:pPr>
              <w:spacing w:after="0"/>
              <w:rPr>
                <w:sz w:val="14"/>
                <w:szCs w:val="14"/>
                <w:color w:val="auto"/>
              </w:rPr>
            </w:pPr>
          </w:p>
        </w:tc>
        <w:tc>
          <w:tcPr>
            <w:tcW w:w="2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Reclassified, in part, for comparative purposes.</w:t>
      </w:r>
    </w:p>
    <w:p>
      <w:pPr>
        <w:spacing w:after="0" w:line="237" w:lineRule="auto"/>
        <w:rPr>
          <w:sz w:val="20"/>
          <w:szCs w:val="20"/>
          <w:color w:val="auto"/>
        </w:rPr>
      </w:pPr>
      <w:r>
        <w:rPr>
          <w:rFonts w:ascii="Courier New" w:cs="Courier New" w:eastAsia="Courier New" w:hAnsi="Courier New"/>
          <w:sz w:val="15"/>
          <w:szCs w:val="15"/>
          <w:color w:val="auto"/>
        </w:rPr>
        <w:t>/2/ Includes Multiclient seismic data costs.</w:t>
      </w:r>
    </w:p>
    <w:p>
      <w:pPr>
        <w:spacing w:after="0" w:line="238" w:lineRule="auto"/>
        <w:rPr>
          <w:sz w:val="20"/>
          <w:szCs w:val="20"/>
          <w:color w:val="auto"/>
        </w:rPr>
      </w:pPr>
      <w:r>
        <w:rPr>
          <w:rFonts w:ascii="Courier New" w:cs="Courier New" w:eastAsia="Courier New" w:hAnsi="Courier New"/>
          <w:sz w:val="15"/>
          <w:szCs w:val="15"/>
          <w:color w:val="auto"/>
        </w:rPr>
        <w:t>See the Notes to Consolidated Financial Statements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617" w:right="1440" w:bottom="1440" w:gutter="0" w:footer="0" w:header="0"/>
        </w:sectPr>
      </w:pPr>
    </w:p>
    <w:bookmarkStart w:id="31" w:name="page32"/>
    <w:bookmarkEnd w:id="31"/>
    <w:p>
      <w:pPr>
        <w:jc w:val="center"/>
        <w:ind w:right="4520"/>
        <w:spacing w:after="0"/>
        <w:rPr>
          <w:sz w:val="20"/>
          <w:szCs w:val="20"/>
          <w:color w:val="auto"/>
        </w:rPr>
      </w:pPr>
      <w:r>
        <w:rPr>
          <w:rFonts w:ascii="Courier New" w:cs="Courier New" w:eastAsia="Courier New" w:hAnsi="Courier New"/>
          <w:sz w:val="15"/>
          <w:szCs w:val="15"/>
          <w:color w:val="auto"/>
        </w:rPr>
        <w:t>SCHLUMBERGER LIMITED (SCHLUMBERGER N.V., INCORPORATED IN THE</w:t>
      </w:r>
    </w:p>
    <w:p>
      <w:pPr>
        <w:jc w:val="center"/>
        <w:ind w:right="4520"/>
        <w:spacing w:after="0" w:line="237" w:lineRule="auto"/>
        <w:rPr>
          <w:sz w:val="20"/>
          <w:szCs w:val="20"/>
          <w:color w:val="auto"/>
        </w:rPr>
      </w:pPr>
      <w:r>
        <w:rPr>
          <w:rFonts w:ascii="Courier New" w:cs="Courier New" w:eastAsia="Courier New" w:hAnsi="Courier New"/>
          <w:sz w:val="15"/>
          <w:szCs w:val="15"/>
          <w:color w:val="auto"/>
        </w:rPr>
        <w:t>NETHERLANDS ANTILLES) AND SUBSIDIARY COMPANIES</w:t>
      </w:r>
    </w:p>
    <w:p>
      <w:pPr>
        <w:spacing w:after="0" w:line="335"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CONSOLIDATED STATEMENT OF STOCKHOLDERS' EQUITY</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362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(Dollar amounts stated in thousands)</w:t>
            </w:r>
          </w:p>
        </w:tc>
      </w:tr>
      <w:tr>
        <w:trPr>
          <w:trHeight w:val="168"/>
        </w:trPr>
        <w:tc>
          <w:tcPr>
            <w:tcW w:w="3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Common Stock</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Income Retained</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4720" w:type="dxa"/>
            <w:vAlign w:val="bottom"/>
            <w:gridSpan w:val="4"/>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240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rPr>
              <w:t>Issued</w:t>
            </w:r>
          </w:p>
        </w:tc>
        <w:tc>
          <w:tcPr>
            <w:tcW w:w="2320" w:type="dxa"/>
            <w:vAlign w:val="bottom"/>
            <w:gridSpan w:val="2"/>
          </w:tcPr>
          <w:p>
            <w:pPr>
              <w:jc w:val="right"/>
              <w:ind w:right="747"/>
              <w:spacing w:after="0" w:line="168" w:lineRule="exact"/>
              <w:rPr>
                <w:sz w:val="20"/>
                <w:szCs w:val="20"/>
                <w:color w:val="auto"/>
              </w:rPr>
            </w:pPr>
            <w:r>
              <w:rPr>
                <w:rFonts w:ascii="Courier New" w:cs="Courier New" w:eastAsia="Courier New" w:hAnsi="Courier New"/>
                <w:sz w:val="15"/>
                <w:szCs w:val="15"/>
                <w:color w:val="auto"/>
              </w:rPr>
              <w:t>In Treasury</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Translation</w:t>
            </w:r>
          </w:p>
        </w:tc>
        <w:tc>
          <w:tcPr>
            <w:tcW w:w="25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for Use in the Comprehensive</w:t>
            </w:r>
          </w:p>
        </w:tc>
      </w:tr>
      <w:tr>
        <w:trPr>
          <w:trHeight w:val="168"/>
        </w:trPr>
        <w:tc>
          <w:tcPr>
            <w:tcW w:w="3200" w:type="dxa"/>
            <w:vAlign w:val="bottom"/>
          </w:tcPr>
          <w:p>
            <w:pPr>
              <w:spacing w:after="0"/>
              <w:rPr>
                <w:sz w:val="14"/>
                <w:szCs w:val="14"/>
                <w:color w:val="auto"/>
              </w:rPr>
            </w:pPr>
          </w:p>
        </w:tc>
        <w:tc>
          <w:tcPr>
            <w:tcW w:w="4720" w:type="dxa"/>
            <w:vAlign w:val="bottom"/>
            <w:gridSpan w:val="4"/>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 -------------------------</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12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Shares</w:t>
            </w:r>
          </w:p>
        </w:tc>
        <w:tc>
          <w:tcPr>
            <w:tcW w:w="11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Amount</w:t>
            </w:r>
          </w:p>
        </w:tc>
        <w:tc>
          <w:tcPr>
            <w:tcW w:w="12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Shares</w:t>
            </w:r>
          </w:p>
        </w:tc>
        <w:tc>
          <w:tcPr>
            <w:tcW w:w="10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Amount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Adjustment</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Business</w:t>
            </w:r>
          </w:p>
        </w:tc>
        <w:tc>
          <w:tcPr>
            <w:tcW w:w="220" w:type="dxa"/>
            <w:vAlign w:val="bottom"/>
          </w:tcPr>
          <w:p>
            <w:pPr>
              <w:spacing w:after="0"/>
              <w:rPr>
                <w:sz w:val="14"/>
                <w:szCs w:val="14"/>
                <w:color w:val="auto"/>
              </w:rPr>
            </w:pPr>
          </w:p>
        </w:tc>
        <w:tc>
          <w:tcPr>
            <w:tcW w:w="9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9"/>
              </w:rPr>
              <w:t>income</w:t>
            </w:r>
          </w:p>
        </w:tc>
      </w:tr>
      <w:tr>
        <w:trPr>
          <w:trHeight w:val="168"/>
        </w:trPr>
        <w:tc>
          <w:tcPr>
            <w:tcW w:w="3200" w:type="dxa"/>
            <w:vAlign w:val="bottom"/>
          </w:tcPr>
          <w:p>
            <w:pPr>
              <w:spacing w:after="0"/>
              <w:rPr>
                <w:sz w:val="14"/>
                <w:szCs w:val="14"/>
                <w:color w:val="auto"/>
              </w:rPr>
            </w:pPr>
          </w:p>
        </w:tc>
        <w:tc>
          <w:tcPr>
            <w:tcW w:w="2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23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Balance, January 1, 1998</w:t>
            </w:r>
          </w:p>
        </w:tc>
        <w:tc>
          <w:tcPr>
            <w:tcW w:w="12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663,638,026</w:t>
            </w:r>
          </w:p>
        </w:tc>
        <w:tc>
          <w:tcPr>
            <w:tcW w:w="11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4"/>
              </w:rPr>
              <w:t>$ 1,428,624</w:t>
            </w:r>
          </w:p>
        </w:tc>
        <w:tc>
          <w:tcPr>
            <w:tcW w:w="12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121,099,589</w:t>
            </w:r>
          </w:p>
        </w:tc>
        <w:tc>
          <w:tcPr>
            <w:tcW w:w="108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4"/>
              </w:rPr>
              <w:t>$ 2,249,765</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  (63,332)</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$ 8,265,642</w:t>
            </w:r>
          </w:p>
        </w:tc>
        <w:tc>
          <w:tcPr>
            <w:tcW w:w="11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$ 1,346,843</w:t>
            </w:r>
          </w:p>
        </w:tc>
      </w:tr>
      <w:tr>
        <w:trPr>
          <w:trHeight w:val="168"/>
        </w:trPr>
        <w:tc>
          <w:tcPr>
            <w:tcW w:w="3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Translation adjustment</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(18,148)</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(18,148)</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 to optionees less</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shares exchanged</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796,992</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40,323</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(1,531,607)</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(28,457)</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stock purchase plan</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1,266,840</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70,461</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1,014,199</w:t>
            </w:r>
          </w:p>
        </w:tc>
        <w:tc>
          <w:tcPr>
            <w:tcW w:w="22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1,014,199</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Dividends declared ($0.75 per share)</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(397,386)</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2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23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December 31, 1998</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665,701,858</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1,539,408</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119,567,982</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2,221,308</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(81,480)</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8,882,455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996,051</w:t>
            </w:r>
          </w:p>
        </w:tc>
      </w:tr>
      <w:tr>
        <w:trPr>
          <w:trHeight w:val="168"/>
        </w:trPr>
        <w:tc>
          <w:tcPr>
            <w:tcW w:w="3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Translation adjustment</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(55,678)</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(55,678)</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Sales to optionees less</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shares exchanged</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28,100</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41,931</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(3,291,288)</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(61,153)</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stock purchase plan</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1,324,848</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70,765</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366,694</w:t>
            </w:r>
          </w:p>
        </w:tc>
        <w:tc>
          <w:tcPr>
            <w:tcW w:w="22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366,694</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Dividends declared ($0.75 per share)</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(414,210)</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Sedco Forex spin-off</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(918,327)</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of stock warrants</w:t>
            </w:r>
          </w:p>
        </w:tc>
        <w:tc>
          <w:tcPr>
            <w:tcW w:w="12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168,082</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(15,153,018)</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(281,543)</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2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23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December 31, 1999</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667,054,806</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1,820,186</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101,123,676</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1,878,612</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(137,158)</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7,916,612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311,016</w:t>
            </w:r>
          </w:p>
        </w:tc>
      </w:tr>
      <w:tr>
        <w:trPr>
          <w:trHeight w:val="168"/>
        </w:trPr>
        <w:tc>
          <w:tcPr>
            <w:tcW w:w="32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Translation adjustment</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(28,487)</w:t>
            </w: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(28,487)</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Sales to optionees less</w:t>
            </w:r>
          </w:p>
        </w:tc>
        <w:tc>
          <w:tcPr>
            <w:tcW w:w="1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68"/>
        </w:trPr>
        <w:tc>
          <w:tcPr>
            <w:tcW w:w="32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shares exchanged</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30,987</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61,224</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(5,331,268)</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(99,057)</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stock purchase plan</w:t>
            </w:r>
          </w:p>
        </w:tc>
        <w:tc>
          <w:tcPr>
            <w:tcW w:w="12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42,495</w:t>
            </w:r>
          </w:p>
        </w:tc>
        <w:tc>
          <w:tcPr>
            <w:tcW w:w="12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(1,431,309)</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(26,594)</w:t>
            </w: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734,596</w:t>
            </w:r>
          </w:p>
        </w:tc>
        <w:tc>
          <w:tcPr>
            <w:tcW w:w="220" w:type="dxa"/>
            <w:vAlign w:val="bottom"/>
          </w:tcPr>
          <w:p>
            <w:pPr>
              <w:spacing w:after="0"/>
              <w:rPr>
                <w:sz w:val="14"/>
                <w:szCs w:val="14"/>
                <w:color w:val="auto"/>
              </w:rPr>
            </w:pP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734,596</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Dividends declared ($0.75 per share)</w:t>
            </w:r>
          </w:p>
        </w:tc>
        <w:tc>
          <w:tcPr>
            <w:tcW w:w="1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(427,732)</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Tax benefit on stock options</w:t>
            </w:r>
          </w:p>
        </w:tc>
        <w:tc>
          <w:tcPr>
            <w:tcW w:w="1280" w:type="dxa"/>
            <w:vAlign w:val="bottom"/>
          </w:tcPr>
          <w:p>
            <w:pPr>
              <w:spacing w:after="0"/>
              <w:rPr>
                <w:sz w:val="14"/>
                <w:szCs w:val="14"/>
                <w:color w:val="auto"/>
              </w:rPr>
            </w:pP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40,000</w:t>
            </w:r>
          </w:p>
        </w:tc>
        <w:tc>
          <w:tcPr>
            <w:tcW w:w="12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24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23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December 31, 2000</w:t>
            </w: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667,085,793</w:t>
            </w:r>
          </w:p>
        </w:tc>
        <w:tc>
          <w:tcPr>
            <w:tcW w:w="11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$ 1,963,905</w:t>
            </w:r>
          </w:p>
        </w:tc>
        <w:tc>
          <w:tcPr>
            <w:tcW w:w="12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94,361,099</w:t>
            </w:r>
          </w:p>
        </w:tc>
        <w:tc>
          <w:tcPr>
            <w:tcW w:w="10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$ 1,752,961</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(139,204)</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$ 8,223,476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732,550</w:t>
            </w:r>
          </w:p>
        </w:tc>
      </w:tr>
      <w:tr>
        <w:trPr>
          <w:trHeight w:val="168"/>
        </w:trPr>
        <w:tc>
          <w:tcPr>
            <w:tcW w:w="3200" w:type="dxa"/>
            <w:vAlign w:val="bottom"/>
          </w:tcPr>
          <w:p>
            <w:pPr>
              <w:spacing w:after="0"/>
              <w:rPr>
                <w:sz w:val="14"/>
                <w:szCs w:val="14"/>
                <w:color w:val="auto"/>
              </w:rPr>
            </w:pPr>
          </w:p>
        </w:tc>
        <w:tc>
          <w:tcPr>
            <w:tcW w:w="4720" w:type="dxa"/>
            <w:vAlign w:val="bottom"/>
            <w:gridSpan w:val="4"/>
          </w:tcPr>
          <w:p>
            <w:pPr>
              <w:jc w:val="right"/>
              <w:ind w:right="47"/>
              <w:spacing w:after="0" w:line="168" w:lineRule="exact"/>
              <w:rPr>
                <w:sz w:val="20"/>
                <w:szCs w:val="20"/>
                <w:color w:val="auto"/>
              </w:rPr>
            </w:pPr>
            <w:r>
              <w:rPr>
                <w:rFonts w:ascii="Courier New" w:cs="Courier New" w:eastAsia="Courier New" w:hAnsi="Courier New"/>
                <w:sz w:val="15"/>
                <w:szCs w:val="15"/>
                <w:color w:val="auto"/>
                <w:w w:val="97"/>
              </w:rPr>
              <w:t>========================== =========================</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See the Notes to Consolidated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1540"/>
          </w:cols>
          <w:pgMar w:left="220" w:top="617" w:right="139" w:bottom="1440" w:gutter="0" w:footer="0" w:header="0"/>
        </w:sectPr>
      </w:pPr>
    </w:p>
    <w:bookmarkStart w:id="32" w:name="page33"/>
    <w:bookmarkEnd w:id="32"/>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Summary of Accounting Policies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right="3939"/>
        <w:spacing w:after="0" w:line="235" w:lineRule="auto"/>
        <w:rPr>
          <w:sz w:val="20"/>
          <w:szCs w:val="20"/>
          <w:color w:val="auto"/>
        </w:rPr>
      </w:pPr>
      <w:r>
        <w:rPr>
          <w:rFonts w:ascii="Courier New" w:cs="Courier New" w:eastAsia="Courier New" w:hAnsi="Courier New"/>
          <w:sz w:val="15"/>
          <w:szCs w:val="15"/>
          <w:color w:val="auto"/>
        </w:rPr>
        <w:t>The Consolidated Financial Statements of Schlumberger Limited and its subsidiaries have been prepared in accordance with accounting principles generally accepted in the United States of America.</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DISCONTINUED OPERATIONS</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December 31, 1999, Schlumberger completed the spin-off of its offshore contract drilling business, Sedco Forex, to its stockholders and the subsequent merger of Sedco Forex and Transocean Offshore Inc., which changed its name to Transocean Sedco Forex Inc. following the merger. The results for the Sedco Forex operations spun off by Schlumberger are reported as Discontinued Operations in the Consolidated Statement of Income.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PRINCIPLES OF CONSOLIDATION</w:t>
      </w:r>
    </w:p>
    <w:p>
      <w:pPr>
        <w:spacing w:after="0" w:line="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The Consolidated Financial Statements include the accounts of majority-owned subsidiaries. Significant 20% - 50% owned companies are carried on the equity method and classified in Investments in Affiliated Companies. The pro rata share of Schlumberger after-tax earnings is included in Interest and other income.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 and expenses during the reporting period. While actual results could differ from these estimates, management believes that the estimates are reasonable.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Generally, revenue is recognized after services are rendered or products are shipped. The impact of applying SEC Staff Accounting Bulletin No. 101, "Revenue Recognition", was not material to Schlumberger.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TRANSLATION OF NON-US CURRENCIES</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Oilfield Services' functional currency is primarily the US dollar. Resource Management Services' and Test &amp; Transactions' functional currencies are primarily local currencies. All assets and liabilities recorded in functional currencies other than US dollars are translated at current exchange rates. The resulting adjustments are charged or credited directly to the Stockholders' Equity section of the Consolidated Balance Sheet. Revenue and expenses are translated at the weighted-average exchange rates for the period. All realized and unrealized transaction gains and losses are included in income in the period in which they occur. Schlumberger policy is to hedge against unrealized gains and losses on a monthly basis. Included in the 2000 results were transaction losses of $4 million, compared with losses of $12 million and $6 million in 1999 and 1998, respectively.</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Currency exchange contracts are entered into as a hedge against the effect of future settlement of assets and liabilities denominated in other than the functional currency of the individual businesses. Gains or losses on the contracts are recognized when the currency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617" w:right="1440" w:bottom="1440" w:gutter="0" w:footer="0" w:header="0"/>
        </w:sectPr>
      </w:pPr>
    </w:p>
    <w:bookmarkStart w:id="33" w:name="page34"/>
    <w:bookmarkEnd w:id="33"/>
    <w:p>
      <w:pPr>
        <w:ind w:right="3399"/>
        <w:spacing w:after="0" w:line="236" w:lineRule="auto"/>
        <w:rPr>
          <w:sz w:val="20"/>
          <w:szCs w:val="20"/>
          <w:color w:val="auto"/>
        </w:rPr>
      </w:pPr>
      <w:r>
        <w:rPr>
          <w:rFonts w:ascii="Courier New" w:cs="Courier New" w:eastAsia="Courier New" w:hAnsi="Courier New"/>
          <w:sz w:val="15"/>
          <w:szCs w:val="15"/>
          <w:color w:val="auto"/>
        </w:rPr>
        <w:t>exchange rates fluctuate, and the resulting charge or credit partially offsets the unrealized currency gains or losses on those assets and liabilities. On December 31, 2000, contracts were outstanding for the US dollar equivalent of $386 million in various foreign currencies. These contracts mature on various dates in 2001.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Both short-term and long-term investments held to maturity are stated at cost plus accrued interest, which approximates market, and comprise primarily eurodollar time deposits, certificates of deposit and commercial paper, euronotes and eurobonds, substantially all denominated in US dollars. Substantially all the investments designated as held to maturity that were purchased and matured during the year had original maturities of less than three months. Short-term investments that are designated as trading are stated at market. The unrealized gains/losses on such securities on December 31, 2000 were not significant.</w:t>
      </w:r>
    </w:p>
    <w:p>
      <w:pPr>
        <w:spacing w:after="0" w:line="178"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For purposes of the Consolidated Statement of Cash Flows, Schlumberger does not consider short-term investments to be cash equivalents as they generally have original maturities in excess of three months. Short-term investments on December 31, 2000 and 1999, were $2.88 billion and $4.26 billion, respectively.</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237" w:lineRule="auto"/>
        <w:rPr>
          <w:sz w:val="20"/>
          <w:szCs w:val="20"/>
          <w:color w:val="auto"/>
        </w:rPr>
      </w:pPr>
      <w:r>
        <w:rPr>
          <w:rFonts w:ascii="Courier New" w:cs="Courier New" w:eastAsia="Courier New" w:hAnsi="Courier New"/>
          <w:sz w:val="15"/>
          <w:szCs w:val="15"/>
          <w:color w:val="auto"/>
        </w:rPr>
        <w:t>Inventories are stated principally at average cost or at market, if lower.</w:t>
      </w:r>
    </w:p>
    <w:p>
      <w:pPr>
        <w:spacing w:after="0" w:line="238" w:lineRule="auto"/>
        <w:rPr>
          <w:sz w:val="20"/>
          <w:szCs w:val="20"/>
          <w:color w:val="auto"/>
        </w:rPr>
      </w:pPr>
      <w:r>
        <w:rPr>
          <w:rFonts w:ascii="Courier New" w:cs="Courier New" w:eastAsia="Courier New" w:hAnsi="Courier New"/>
          <w:sz w:val="15"/>
          <w:szCs w:val="15"/>
          <w:color w:val="auto"/>
        </w:rPr>
        <w:t>Inventory consists of materials, supplies and finished goods.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EXCESS OF INVESTMENT OVER NET ASSETS OF COMPANIES PURCHASED</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Cost in excess of net assets of purchased companies (goodwill) is amortized on a straight-line basis over 5 to 40 years. Accumulated amortization was $563 million and $516 million on December 31, 2000 and 1999, respectively. Of the goodwill on December 31, 2000, 37% is being amortized over 40 years, 10% is being amortized over 30 years, 14% is being amortized over 25 years and 39% is being amortized over periods of up to 25 years.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FIXED ASSETS AND DEPRECIATION</w:t>
      </w:r>
    </w:p>
    <w:p>
      <w:pPr>
        <w:spacing w:after="0" w:line="5" w:lineRule="exact"/>
        <w:rPr>
          <w:sz w:val="20"/>
          <w:szCs w:val="20"/>
          <w:color w:val="auto"/>
        </w:rPr>
      </w:pPr>
    </w:p>
    <w:p>
      <w:pPr>
        <w:jc w:val="both"/>
        <w:ind w:right="3239"/>
        <w:spacing w:after="0" w:line="254" w:lineRule="auto"/>
        <w:rPr>
          <w:sz w:val="20"/>
          <w:szCs w:val="20"/>
          <w:color w:val="auto"/>
        </w:rPr>
      </w:pPr>
      <w:r>
        <w:rPr>
          <w:rFonts w:ascii="Courier New" w:cs="Courier New" w:eastAsia="Courier New" w:hAnsi="Courier New"/>
          <w:sz w:val="14"/>
          <w:szCs w:val="14"/>
          <w:color w:val="auto"/>
        </w:rPr>
        <w:t>Fixed assets are stated at cost less accumulated depreciation, which is provided for by charges to income over the estimated useful lives of the assets using the straight-line method. Fixed assets include the manufacturing cost (average cost) of oilfield technical equipment manufactured by subsidiaries of Schlumberger.</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Expenditures for renewals, replacements and improvements are capitalized. Maintenance and repairs are charged to operating expenses as incurred. Upon sale or other disposition, the applicable amounts of asset cost and accumulated depreciation are removed from the accounts and the net amount, less proceeds from disposal, is charged or credited to income.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MULTICLIENT SEISMIC DATA</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Schlumberger capitalizes the cost of obtaining multiclient surveys. Such costs are charged to Cost of goods sold and services based on a percentage of estimated total revenue that Schlumberger expects to receive from the sales of such data. The carrying value of individual surveys is periodically reviewed and adjustments to the value are made based upon the revised estimated revenues for the surveys.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624" w:right="1440" w:bottom="1440" w:gutter="0" w:footer="0" w:header="0"/>
        </w:sectPr>
      </w:pPr>
    </w:p>
    <w:bookmarkStart w:id="34" w:name="page35"/>
    <w:bookmarkEnd w:id="34"/>
    <w:p>
      <w:pPr>
        <w:spacing w:after="0"/>
        <w:rPr>
          <w:sz w:val="20"/>
          <w:szCs w:val="20"/>
          <w:color w:val="auto"/>
        </w:rPr>
      </w:pPr>
      <w:r>
        <w:rPr>
          <w:rFonts w:ascii="Courier New" w:cs="Courier New" w:eastAsia="Courier New" w:hAnsi="Courier New"/>
          <w:sz w:val="15"/>
          <w:szCs w:val="15"/>
          <w:color w:val="auto"/>
        </w:rPr>
        <w:t>CAPITALIZED INTEREST</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Schlumberger capitalizes interest expense during the new construction or upgrade of qualifying assets. No interest expense was capitalized in 2000. Interest expense capitalized in 1999 and 1998 was $5 million and $7 million, respectively.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IMPAIRMENT OF LONG-LIVED ASSETS</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Schlumberger reviews the carrying value of its long-lived assets, including goodwill, whenever events or changes in circumstances indicate that the historical cost-carrying value of an asset may no longer be appropriate. Schlumberger assesses recoverability of the carrying value of the asset by estimating the future net cash flows expected to result from the asset, including eventual disposition. If the future net cash flows are less than the carrying value of the asset, an impairment loss is recorded equal to the difference between the asset's carrying value and fair value.</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TAXES ON INCOME</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Schlumberger and its subsidiaries compute taxes on income in accordance with the tax rules and regulations of the many taxing authorities where the income is earned. The income tax rates imposed by these taxing authorities vary substantially. Taxable income may differ from pretax income for financial accounting purposes. To the extent that differences are due to revenue or expense items reported in one period for tax purposes and in another period for financial accounting purposes, an appropriate provision for deferred income taxes is made.</w:t>
      </w:r>
    </w:p>
    <w:p>
      <w:pPr>
        <w:spacing w:after="0" w:line="177"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Approximately $4 billion of consolidated income retained for use in the business on December 31, 2000 represented undistributed earnings of consolidated subsidiaries and the pro rata Schlumberger share of 20%-50% owned companies. No provision is made for deferred income taxes on those earnings considered to be indefinitely reinvested or earnings that would not be taxed when remitted.</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617" w:right="1440" w:bottom="1440" w:gutter="0" w:footer="0" w:header="0"/>
        </w:sectPr>
      </w:pPr>
    </w:p>
    <w:bookmarkStart w:id="35" w:name="page36"/>
    <w:bookmarkEnd w:id="35"/>
    <w:p>
      <w:pPr>
        <w:spacing w:after="0"/>
        <w:rPr>
          <w:sz w:val="20"/>
          <w:szCs w:val="20"/>
          <w:color w:val="auto"/>
        </w:rPr>
      </w:pPr>
      <w:r>
        <w:rPr>
          <w:rFonts w:ascii="Courier New" w:cs="Courier New" w:eastAsia="Courier New" w:hAnsi="Courier New"/>
          <w:sz w:val="15"/>
          <w:szCs w:val="15"/>
          <w:color w:val="auto"/>
        </w:rPr>
        <w:t>EARNINGS PER SHARE</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Basic earnings per share is calculated by dividing net income by the average number of common shares outstanding during the year. Diluted earnings per share is calculated by dividing net income by the average number of common shares outstanding assuming dilution, the calculation of which assumes that all stock options and warrants which are in the money are exercised at the beginning of the period and the proceeds used, by Schlumberger, to purchase shares at the average market price for the period. The following is a reconciliation from basic earnings per share to diluted earnings per share from continuing operations for each of the last three years:</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60" w:type="dxa"/>
            <w:vAlign w:val="bottom"/>
          </w:tcPr>
          <w:p>
            <w:pPr>
              <w:spacing w:after="0"/>
              <w:rPr>
                <w:sz w:val="14"/>
                <w:szCs w:val="14"/>
                <w:color w:val="auto"/>
              </w:rPr>
            </w:pPr>
          </w:p>
        </w:tc>
        <w:tc>
          <w:tcPr>
            <w:tcW w:w="504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(Stated in thousands except per share amounts)</w:t>
            </w:r>
          </w:p>
        </w:tc>
      </w:tr>
      <w:tr>
        <w:trPr>
          <w:trHeight w:val="168"/>
        </w:trPr>
        <w:tc>
          <w:tcPr>
            <w:tcW w:w="2060" w:type="dxa"/>
            <w:vAlign w:val="bottom"/>
          </w:tcPr>
          <w:p>
            <w:pPr>
              <w:spacing w:after="0"/>
              <w:rPr>
                <w:sz w:val="14"/>
                <w:szCs w:val="14"/>
                <w:color w:val="auto"/>
              </w:rPr>
            </w:pP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Income from</w:t>
            </w:r>
          </w:p>
        </w:tc>
        <w:tc>
          <w:tcPr>
            <w:tcW w:w="17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Average</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060" w:type="dxa"/>
            <w:vAlign w:val="bottom"/>
          </w:tcPr>
          <w:p>
            <w:pPr>
              <w:spacing w:after="0"/>
              <w:rPr>
                <w:sz w:val="14"/>
                <w:szCs w:val="14"/>
                <w:color w:val="auto"/>
              </w:rPr>
            </w:pP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Continuing</w:t>
            </w:r>
          </w:p>
        </w:tc>
        <w:tc>
          <w:tcPr>
            <w:tcW w:w="17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Shares</w:t>
            </w:r>
          </w:p>
        </w:tc>
        <w:tc>
          <w:tcPr>
            <w:tcW w:w="4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Earnings</w:t>
            </w:r>
          </w:p>
        </w:tc>
      </w:tr>
      <w:tr>
        <w:trPr>
          <w:trHeight w:val="168"/>
        </w:trPr>
        <w:tc>
          <w:tcPr>
            <w:tcW w:w="2060" w:type="dxa"/>
            <w:vAlign w:val="bottom"/>
          </w:tcPr>
          <w:p>
            <w:pPr>
              <w:spacing w:after="0"/>
              <w:rPr>
                <w:sz w:val="14"/>
                <w:szCs w:val="14"/>
                <w:color w:val="auto"/>
              </w:rPr>
            </w:pPr>
          </w:p>
        </w:tc>
        <w:tc>
          <w:tcPr>
            <w:tcW w:w="1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Operations</w:t>
            </w:r>
          </w:p>
        </w:tc>
        <w:tc>
          <w:tcPr>
            <w:tcW w:w="17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Outstanding</w:t>
            </w:r>
          </w:p>
        </w:tc>
        <w:tc>
          <w:tcPr>
            <w:tcW w:w="440" w:type="dxa"/>
            <w:vAlign w:val="bottom"/>
          </w:tcPr>
          <w:p>
            <w:pPr>
              <w:spacing w:after="0"/>
              <w:rPr>
                <w:sz w:val="14"/>
                <w:szCs w:val="14"/>
                <w:color w:val="auto"/>
              </w:rPr>
            </w:pP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Per Share</w:t>
            </w:r>
          </w:p>
        </w:tc>
      </w:tr>
      <w:tr>
        <w:trPr>
          <w:trHeight w:val="168"/>
        </w:trPr>
        <w:tc>
          <w:tcPr>
            <w:tcW w:w="2060" w:type="dxa"/>
            <w:vAlign w:val="bottom"/>
          </w:tcPr>
          <w:p>
            <w:pPr>
              <w:spacing w:after="0"/>
              <w:rPr>
                <w:sz w:val="14"/>
                <w:szCs w:val="14"/>
                <w:color w:val="auto"/>
              </w:rPr>
            </w:pPr>
          </w:p>
        </w:tc>
        <w:tc>
          <w:tcPr>
            <w:tcW w:w="18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2000</w:t>
            </w: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Basic</w:t>
            </w:r>
          </w:p>
        </w:tc>
        <w:tc>
          <w:tcPr>
            <w:tcW w:w="18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$ 734,596</w:t>
            </w:r>
          </w:p>
        </w:tc>
        <w:tc>
          <w:tcPr>
            <w:tcW w:w="17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570,028</w:t>
            </w:r>
          </w:p>
        </w:tc>
        <w:tc>
          <w:tcPr>
            <w:tcW w:w="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1.29</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Effects of dilution:</w:t>
            </w: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Options</w:t>
            </w:r>
          </w:p>
        </w:tc>
        <w:tc>
          <w:tcPr>
            <w:tcW w:w="1880" w:type="dxa"/>
            <w:vAlign w:val="bottom"/>
          </w:tcPr>
          <w:p>
            <w:pPr>
              <w:spacing w:after="0"/>
              <w:rPr>
                <w:sz w:val="14"/>
                <w:szCs w:val="14"/>
                <w:color w:val="auto"/>
              </w:rPr>
            </w:pP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10,048</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060" w:type="dxa"/>
            <w:vAlign w:val="bottom"/>
          </w:tcPr>
          <w:p>
            <w:pPr>
              <w:spacing w:after="0"/>
              <w:rPr>
                <w:sz w:val="14"/>
                <w:szCs w:val="14"/>
                <w:color w:val="auto"/>
              </w:rPr>
            </w:pP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$ 734,596</w:t>
            </w: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580,076</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1.27</w:t>
            </w:r>
          </w:p>
        </w:tc>
      </w:tr>
      <w:tr>
        <w:trPr>
          <w:trHeight w:val="168"/>
        </w:trPr>
        <w:tc>
          <w:tcPr>
            <w:tcW w:w="2060" w:type="dxa"/>
            <w:vAlign w:val="bottom"/>
          </w:tcPr>
          <w:p>
            <w:pPr>
              <w:spacing w:after="0"/>
              <w:rPr>
                <w:sz w:val="14"/>
                <w:szCs w:val="14"/>
                <w:color w:val="auto"/>
              </w:rPr>
            </w:pP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8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$ 329,334</w:t>
            </w: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548,680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0.60</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Effects of dilution:</w:t>
            </w: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Options</w:t>
            </w:r>
          </w:p>
        </w:tc>
        <w:tc>
          <w:tcPr>
            <w:tcW w:w="1880" w:type="dxa"/>
            <w:vAlign w:val="bottom"/>
          </w:tcPr>
          <w:p>
            <w:pPr>
              <w:spacing w:after="0"/>
              <w:rPr>
                <w:sz w:val="14"/>
                <w:szCs w:val="14"/>
                <w:color w:val="auto"/>
              </w:rPr>
            </w:pP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7,916</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Warrants</w:t>
            </w:r>
          </w:p>
        </w:tc>
        <w:tc>
          <w:tcPr>
            <w:tcW w:w="1880" w:type="dxa"/>
            <w:vAlign w:val="bottom"/>
          </w:tcPr>
          <w:p>
            <w:pPr>
              <w:spacing w:after="0"/>
              <w:rPr>
                <w:sz w:val="14"/>
                <w:szCs w:val="14"/>
                <w:color w:val="auto"/>
              </w:rPr>
            </w:pP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7,193</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060" w:type="dxa"/>
            <w:vAlign w:val="bottom"/>
          </w:tcPr>
          <w:p>
            <w:pPr>
              <w:spacing w:after="0"/>
              <w:rPr>
                <w:sz w:val="14"/>
                <w:szCs w:val="14"/>
                <w:color w:val="auto"/>
              </w:rPr>
            </w:pP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$ 329,334</w:t>
            </w: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563,789</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0.58</w:t>
            </w:r>
          </w:p>
        </w:tc>
      </w:tr>
      <w:tr>
        <w:trPr>
          <w:trHeight w:val="168"/>
        </w:trPr>
        <w:tc>
          <w:tcPr>
            <w:tcW w:w="2060" w:type="dxa"/>
            <w:vAlign w:val="bottom"/>
          </w:tcPr>
          <w:p>
            <w:pPr>
              <w:spacing w:after="0"/>
              <w:rPr>
                <w:sz w:val="14"/>
                <w:szCs w:val="14"/>
                <w:color w:val="auto"/>
              </w:rPr>
            </w:pP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06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88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Basic</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$ 617,962</w:t>
            </w: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544,338</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1.14</w:t>
            </w: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Effects of dilution:</w:t>
            </w:r>
          </w:p>
        </w:tc>
        <w:tc>
          <w:tcPr>
            <w:tcW w:w="188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Options</w:t>
            </w:r>
          </w:p>
        </w:tc>
        <w:tc>
          <w:tcPr>
            <w:tcW w:w="1880" w:type="dxa"/>
            <w:vAlign w:val="bottom"/>
          </w:tcPr>
          <w:p>
            <w:pPr>
              <w:spacing w:after="0"/>
              <w:rPr>
                <w:sz w:val="14"/>
                <w:szCs w:val="14"/>
                <w:color w:val="auto"/>
              </w:rPr>
            </w:pP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9,723</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0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Warrants</w:t>
            </w:r>
          </w:p>
        </w:tc>
        <w:tc>
          <w:tcPr>
            <w:tcW w:w="1880" w:type="dxa"/>
            <w:vAlign w:val="bottom"/>
          </w:tcPr>
          <w:p>
            <w:pPr>
              <w:spacing w:after="0"/>
              <w:rPr>
                <w:sz w:val="14"/>
                <w:szCs w:val="14"/>
                <w:color w:val="auto"/>
              </w:rPr>
            </w:pP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7,794</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060" w:type="dxa"/>
            <w:vAlign w:val="bottom"/>
          </w:tcPr>
          <w:p>
            <w:pPr>
              <w:spacing w:after="0"/>
              <w:rPr>
                <w:sz w:val="14"/>
                <w:szCs w:val="14"/>
                <w:color w:val="auto"/>
              </w:rPr>
            </w:pP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2060" w:type="dxa"/>
            <w:vAlign w:val="bottom"/>
          </w:tcPr>
          <w:p>
            <w:pPr>
              <w:spacing w:after="0" w:line="168" w:lineRule="exact"/>
              <w:rPr>
                <w:sz w:val="20"/>
                <w:szCs w:val="20"/>
                <w:color w:val="auto"/>
              </w:rPr>
            </w:pPr>
            <w:r>
              <w:rPr>
                <w:rFonts w:ascii="Courier New" w:cs="Courier New" w:eastAsia="Courier New" w:hAnsi="Courier New"/>
                <w:sz w:val="15"/>
                <w:szCs w:val="15"/>
                <w:color w:val="auto"/>
              </w:rPr>
              <w:t>Diluted</w:t>
            </w:r>
          </w:p>
        </w:tc>
        <w:tc>
          <w:tcPr>
            <w:tcW w:w="1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$ 617,962</w:t>
            </w:r>
          </w:p>
        </w:tc>
        <w:tc>
          <w:tcPr>
            <w:tcW w:w="17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561,855</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1.10</w:t>
            </w:r>
          </w:p>
        </w:tc>
      </w:tr>
      <w:tr>
        <w:trPr>
          <w:trHeight w:val="168"/>
        </w:trPr>
        <w:tc>
          <w:tcPr>
            <w:tcW w:w="2060" w:type="dxa"/>
            <w:vAlign w:val="bottom"/>
          </w:tcPr>
          <w:p>
            <w:pPr>
              <w:spacing w:after="0"/>
              <w:rPr>
                <w:sz w:val="14"/>
                <w:szCs w:val="14"/>
                <w:color w:val="auto"/>
              </w:rPr>
            </w:pPr>
          </w:p>
        </w:tc>
        <w:tc>
          <w:tcPr>
            <w:tcW w:w="1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7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RESEARCH &amp; ENGINEERING</w:t>
      </w:r>
    </w:p>
    <w:p>
      <w:pPr>
        <w:spacing w:after="0" w:line="5"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All research and engineering expenditures are expensed as incurred, including costs relating to patents or rights that may result from such expenditures.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CHARGES--CONTINUING OPERATIONS</w:t>
      </w:r>
    </w:p>
    <w:p>
      <w:pPr>
        <w:spacing w:after="0" w:line="237" w:lineRule="auto"/>
        <w:rPr>
          <w:sz w:val="20"/>
          <w:szCs w:val="20"/>
          <w:color w:val="auto"/>
        </w:rPr>
      </w:pPr>
      <w:r>
        <w:rPr>
          <w:rFonts w:ascii="Courier New" w:cs="Courier New" w:eastAsia="Courier New" w:hAnsi="Courier New"/>
          <w:sz w:val="15"/>
          <w:szCs w:val="15"/>
          <w:color w:val="auto"/>
        </w:rPr>
        <w:t>Schlumberger recorded the following charges in continuing operations:</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In December 2000, a pretax charge of $84 million offset by a pretax gain of $82 million (net - $3 million after tax and minority interest, $0.00 per share - diluted), consisting of the following:</w:t>
      </w:r>
    </w:p>
    <w:p>
      <w:pPr>
        <w:spacing w:after="0" w:line="174" w:lineRule="exact"/>
        <w:rPr>
          <w:sz w:val="20"/>
          <w:szCs w:val="20"/>
          <w:color w:val="auto"/>
        </w:rPr>
      </w:pPr>
    </w:p>
    <w:p>
      <w:pPr>
        <w:ind w:left="280" w:right="3579" w:hanging="183"/>
        <w:spacing w:after="0" w:line="235" w:lineRule="auto"/>
        <w:tabs>
          <w:tab w:leader="none" w:pos="368"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$29 million ($25 million after tax) related primarily to the write down of certain inventory and severance costs in the Semiconductor Solutions business due to weak market conditions.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617" w:right="1440" w:bottom="1440" w:gutter="0" w:footer="0" w:header="0"/>
        </w:sectPr>
      </w:pPr>
    </w:p>
    <w:bookmarkStart w:id="36" w:name="page37"/>
    <w:bookmarkEnd w:id="36"/>
    <w:p>
      <w:pPr>
        <w:ind w:left="440" w:right="3239" w:hanging="343"/>
        <w:spacing w:after="0" w:line="235" w:lineRule="auto"/>
        <w:tabs>
          <w:tab w:leader="none" w:pos="52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$55 million ($39 million after tax and minority interest) related to the creation of the WesternGeco seismic joint venture, including asset impairments and severance costs for Schlumberger's existing Geco-Prakla business.</w:t>
      </w:r>
    </w:p>
    <w:p>
      <w:pPr>
        <w:spacing w:after="0" w:line="175" w:lineRule="exact"/>
        <w:rPr>
          <w:sz w:val="20"/>
          <w:szCs w:val="20"/>
          <w:color w:val="auto"/>
        </w:rPr>
      </w:pPr>
    </w:p>
    <w:p>
      <w:pPr>
        <w:ind w:left="440" w:right="3239" w:hanging="343"/>
        <w:spacing w:after="0" w:line="236" w:lineRule="auto"/>
        <w:tabs>
          <w:tab w:leader="none" w:pos="527"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credit of $82 million ($61 million after tax) resulting from the gain on the sale of two Gas Services businesses in Europe. Revenue and operating net results for these divested activities were $110 million and a $740,000 loss, respectively, in 2000 (10 months) and $163 million and $2.7 million profit, respectively in 1999.</w:t>
      </w:r>
    </w:p>
    <w:p>
      <w:pPr>
        <w:spacing w:after="0" w:line="174"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The pretax gain on the sale of the Gas Services businesses is included in the Interest &amp; other income. The pretax Semiconductor Solutions and WesternGeco charges are included in Cost of goods sold and services. A $9 million credit is included in Minority Interest relating to the WesternGeco charges.</w:t>
      </w:r>
    </w:p>
    <w:p>
      <w:pPr>
        <w:spacing w:after="0" w:line="164"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In December 1999, a pretax charge of $77 million ($71 million after tax, $0.13 per share - diluted), classified in Cost of goods sold and services, consisting primarily of the following:</w:t>
      </w:r>
    </w:p>
    <w:p>
      <w:pPr>
        <w:spacing w:after="0" w:line="174" w:lineRule="exact"/>
        <w:rPr>
          <w:sz w:val="20"/>
          <w:szCs w:val="20"/>
          <w:color w:val="auto"/>
        </w:rPr>
      </w:pPr>
    </w:p>
    <w:p>
      <w:pPr>
        <w:jc w:val="both"/>
        <w:ind w:left="440" w:right="3399" w:hanging="343"/>
        <w:spacing w:after="0" w:line="258" w:lineRule="auto"/>
        <w:tabs>
          <w:tab w:leader="none" w:pos="527" w:val="left"/>
        </w:tabs>
        <w:numPr>
          <w:ilvl w:val="0"/>
          <w:numId w:val="1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charge of $31 million ($26 million after tax) including $23 million of asset impairments and $8 million of severance costs related to reductions in the marine seismic fleet due to depressed market conditions.</w:t>
      </w:r>
    </w:p>
    <w:p>
      <w:pPr>
        <w:spacing w:after="0" w:line="161" w:lineRule="exact"/>
        <w:rPr>
          <w:sz w:val="20"/>
          <w:szCs w:val="20"/>
          <w:color w:val="auto"/>
        </w:rPr>
      </w:pPr>
    </w:p>
    <w:p>
      <w:pPr>
        <w:ind w:left="440" w:right="3399" w:hanging="343"/>
        <w:spacing w:after="0" w:line="235" w:lineRule="auto"/>
        <w:tabs>
          <w:tab w:leader="none" w:pos="52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$38 million ($37 million after tax) including $33 million of asset impairments and $5 million of severance costs related to the restructuring of its land drilling activity following the spin-off of its offshore drilling business to stockholders.</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March 1999, a pretax charge of $147 million partially offset by a pretax gain of $103 million (net - $58 million after tax, $0.10 per share - diluted), consisting of the following:</w:t>
      </w:r>
    </w:p>
    <w:p>
      <w:pPr>
        <w:spacing w:after="0" w:line="174" w:lineRule="exact"/>
        <w:rPr>
          <w:sz w:val="20"/>
          <w:szCs w:val="20"/>
          <w:color w:val="auto"/>
        </w:rPr>
      </w:pPr>
    </w:p>
    <w:p>
      <w:pPr>
        <w:ind w:left="440" w:right="3139" w:hanging="343"/>
        <w:spacing w:after="0" w:line="235" w:lineRule="auto"/>
        <w:tabs>
          <w:tab w:leader="none" w:pos="52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$118 million ($118 million after tax) related to the downsizing of its global Oilfield Services activities, including $108 million of severance costs and $10 million for asset impairments.</w:t>
      </w:r>
    </w:p>
    <w:p>
      <w:pPr>
        <w:spacing w:after="0" w:line="174" w:lineRule="exact"/>
        <w:rPr>
          <w:sz w:val="20"/>
          <w:szCs w:val="20"/>
          <w:color w:val="auto"/>
        </w:rPr>
      </w:pPr>
    </w:p>
    <w:p>
      <w:pPr>
        <w:ind w:left="440" w:right="3319" w:hanging="343"/>
        <w:spacing w:after="0" w:line="236" w:lineRule="auto"/>
        <w:tabs>
          <w:tab w:leader="none" w:pos="52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$29 million ($20 million after tax) related to Resource Management Services and Test &amp; Transactions, consisting principally of $16 million of severance costs at several Resource Management Services facilities resulting from a downturn in business and $5 million of asset write-downs.</w:t>
      </w:r>
    </w:p>
    <w:p>
      <w:pPr>
        <w:spacing w:after="0" w:line="174" w:lineRule="exact"/>
        <w:rPr>
          <w:sz w:val="20"/>
          <w:szCs w:val="20"/>
          <w:color w:val="auto"/>
        </w:rPr>
      </w:pPr>
    </w:p>
    <w:p>
      <w:pPr>
        <w:ind w:left="440" w:right="3239" w:hanging="343"/>
        <w:spacing w:after="0" w:line="235" w:lineRule="auto"/>
        <w:tabs>
          <w:tab w:leader="none" w:pos="527"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credit of $103 million ($80 million after tax) from the gain on the sale of financial instruments received in connection with the 1998 sale of the Retail Petroleum Systems business.</w:t>
      </w:r>
    </w:p>
    <w:p>
      <w:pPr>
        <w:spacing w:after="0" w:line="174"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The pretax gain on the sale of financial instruments is included in Interest &amp; other income. The pretax charge of $147 million is classified in Cost of goods sold and services.</w:t>
      </w:r>
    </w:p>
    <w:p>
      <w:pPr>
        <w:spacing w:after="0" w:line="174" w:lineRule="exact"/>
        <w:rPr>
          <w:sz w:val="20"/>
          <w:szCs w:val="20"/>
          <w:color w:val="auto"/>
        </w:rPr>
      </w:pPr>
    </w:p>
    <w:p>
      <w:pPr>
        <w:jc w:val="both"/>
        <w:ind w:right="3679"/>
        <w:spacing w:after="0" w:line="235" w:lineRule="auto"/>
        <w:rPr>
          <w:sz w:val="20"/>
          <w:szCs w:val="20"/>
          <w:color w:val="auto"/>
        </w:rPr>
      </w:pPr>
      <w:r>
        <w:rPr>
          <w:rFonts w:ascii="Courier New" w:cs="Courier New" w:eastAsia="Courier New" w:hAnsi="Courier New"/>
          <w:sz w:val="15"/>
          <w:szCs w:val="15"/>
          <w:color w:val="auto"/>
        </w:rPr>
        <w:t>In September 1998, a pretax charge of $432 million ($368 million after tax, $0.65 per share - diluted), classified in Cost of goods sold and services, consisting primarily of the following:</w:t>
      </w:r>
    </w:p>
    <w:p>
      <w:pPr>
        <w:spacing w:after="0" w:line="174" w:lineRule="exact"/>
        <w:rPr>
          <w:sz w:val="20"/>
          <w:szCs w:val="20"/>
          <w:color w:val="auto"/>
        </w:rPr>
      </w:pPr>
    </w:p>
    <w:p>
      <w:pPr>
        <w:ind w:left="440" w:right="3319" w:hanging="343"/>
        <w:spacing w:after="0" w:line="235" w:lineRule="auto"/>
        <w:tabs>
          <w:tab w:leader="none" w:pos="52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$314 million ($257 million after tax) related to Oilfield Services, including severance costs of $69 million; facility closure costs of $61 million; operating assets write-offs of $137 million; and $43 million of customer receivable reserves where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624" w:right="1440" w:bottom="1440" w:gutter="0" w:footer="0" w:header="0"/>
        </w:sectPr>
      </w:pPr>
    </w:p>
    <w:bookmarkStart w:id="37" w:name="page38"/>
    <w:bookmarkEnd w:id="37"/>
    <w:p>
      <w:pPr>
        <w:ind w:left="440" w:right="3679"/>
        <w:spacing w:after="0" w:line="235" w:lineRule="auto"/>
        <w:rPr>
          <w:sz w:val="20"/>
          <w:szCs w:val="20"/>
          <w:color w:val="auto"/>
        </w:rPr>
      </w:pPr>
      <w:r>
        <w:rPr>
          <w:rFonts w:ascii="Courier New" w:cs="Courier New" w:eastAsia="Courier New" w:hAnsi="Courier New"/>
          <w:sz w:val="15"/>
          <w:szCs w:val="15"/>
          <w:color w:val="auto"/>
        </w:rPr>
        <w:t>collection was considered doubtful due to the customers' financial condition and/or country risk. This charge was due to the reduction in business activity.</w:t>
      </w:r>
    </w:p>
    <w:p>
      <w:pPr>
        <w:spacing w:after="0" w:line="5" w:lineRule="exact"/>
        <w:rPr>
          <w:sz w:val="20"/>
          <w:szCs w:val="20"/>
          <w:color w:val="auto"/>
        </w:rPr>
      </w:pPr>
    </w:p>
    <w:p>
      <w:pPr>
        <w:ind w:left="440" w:right="3139" w:hanging="343"/>
        <w:spacing w:after="0" w:line="234" w:lineRule="auto"/>
        <w:tabs>
          <w:tab w:leader="none" w:pos="52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$48 million ($63 million after tax) for merger-related costs in connection with the acquisition of Camco.</w:t>
      </w:r>
    </w:p>
    <w:p>
      <w:pPr>
        <w:spacing w:after="0" w:line="5" w:lineRule="exact"/>
        <w:rPr>
          <w:sz w:val="20"/>
          <w:szCs w:val="20"/>
          <w:color w:val="auto"/>
        </w:rPr>
      </w:pPr>
    </w:p>
    <w:p>
      <w:pPr>
        <w:ind w:left="440" w:right="3239" w:hanging="343"/>
        <w:spacing w:after="0" w:line="236" w:lineRule="auto"/>
        <w:tabs>
          <w:tab w:leader="none" w:pos="52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charge of $61 million ($43 million after tax) related to Resource Management Services and Test &amp; Transactions, consisting primarily of $21 million of severance and $40 million of environmental costs resulting from a reassessment of ongoing future monitoring and maintenance requirements at locations no longer in operation.</w:t>
      </w:r>
    </w:p>
    <w:p>
      <w:pPr>
        <w:spacing w:after="0" w:line="174"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December 2000 charge included severance costs of $9 million (380 people) none of which had been paid at December 31, 2000. The December 1999 charge included severance costs of $13 million (300 people) which have been paid. Severance costs included in the September 1998 charge (6200 people; $90 million) and the March 1999 charge (4700 people; $124 million) have been paid and the actual number of employees terminated was slightly higher than originally planned; however, this had no material impact on the actual severance costs paid as compared with the amount originally accrued.</w:t>
      </w:r>
    </w:p>
    <w:p>
      <w:pPr>
        <w:spacing w:after="0" w:line="177"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$61 million of facility closure costs accrued in 1998 were substantially paid in accordance with the original plan.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Discontinued Operations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December 31, 1999, Schlumberger completed the spin-off of its offshore contract drilling business, Sedco Forex, to its stockholders and the subsequent merger of Sedco Forex and Transocean Offshore Inc., which changed its name to Transocean Sedco Forex Inc. following the merger. The spin-off was approved by stockholders on December 10, 1999.</w:t>
      </w:r>
    </w:p>
    <w:p>
      <w:pPr>
        <w:spacing w:after="0" w:line="174"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Upon completion of the merger, Schlumberger stockholders held approximately 52% of the ordinary shares of Transocean Sedco Forex Inc., and Transocean Offshore Inc. shareholders held the remaining 48%. Schlumberger retained no ownership in the combined company.</w:t>
      </w:r>
    </w:p>
    <w:p>
      <w:pPr>
        <w:spacing w:after="0" w:line="17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the spin-off, Schlumberger stockholders received one share of Sedco Forex for each share of Schlumberger owned on the record date of December 20, 1999. In the merger, each Sedco Forex share was exchanged for 0.1936 ordinary share of Transocean Sedco Forex Inc. Stockholders received cash in lieu of fractional shares.</w:t>
      </w:r>
    </w:p>
    <w:p>
      <w:pPr>
        <w:spacing w:after="0" w:line="174" w:lineRule="exact"/>
        <w:rPr>
          <w:sz w:val="20"/>
          <w:szCs w:val="20"/>
          <w:color w:val="auto"/>
        </w:rPr>
      </w:pPr>
    </w:p>
    <w:p>
      <w:pPr>
        <w:jc w:val="both"/>
        <w:ind w:right="3939"/>
        <w:spacing w:after="0" w:line="235" w:lineRule="auto"/>
        <w:rPr>
          <w:sz w:val="20"/>
          <w:szCs w:val="20"/>
          <w:color w:val="auto"/>
        </w:rPr>
      </w:pPr>
      <w:r>
        <w:rPr>
          <w:rFonts w:ascii="Courier New" w:cs="Courier New" w:eastAsia="Courier New" w:hAnsi="Courier New"/>
          <w:sz w:val="15"/>
          <w:szCs w:val="15"/>
          <w:color w:val="auto"/>
        </w:rPr>
        <w:t>Results for the Sedco Forex operations spun off by Schlumberger for this transaction are reported as discontinued operations in the Consolidated Statement of Income.</w:t>
      </w:r>
    </w:p>
    <w:p>
      <w:pPr>
        <w:spacing w:after="0" w:line="174"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Discontinued Operations on the Consolidated Statement of Income includes the operating results of the spun-off Sedco Forex business and the following charges:</w:t>
      </w:r>
    </w:p>
    <w:p>
      <w:pPr>
        <w:spacing w:after="0" w:line="174" w:lineRule="exact"/>
        <w:rPr>
          <w:sz w:val="20"/>
          <w:szCs w:val="20"/>
          <w:color w:val="auto"/>
        </w:rPr>
      </w:pPr>
    </w:p>
    <w:p>
      <w:pPr>
        <w:ind w:left="440" w:right="3579" w:hanging="430"/>
        <w:spacing w:after="0" w:line="234" w:lineRule="auto"/>
        <w:tabs>
          <w:tab w:leader="none" w:pos="17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December 1999, an after-tax charge of $50 million ($0.09 per share diluted) for costs directly associated with the spin-off.</w:t>
      </w:r>
    </w:p>
    <w:p>
      <w:pPr>
        <w:spacing w:after="0" w:line="5" w:lineRule="exact"/>
        <w:rPr>
          <w:rFonts w:ascii="Courier New" w:cs="Courier New" w:eastAsia="Courier New" w:hAnsi="Courier New"/>
          <w:sz w:val="15"/>
          <w:szCs w:val="15"/>
          <w:color w:val="auto"/>
        </w:rPr>
      </w:pPr>
    </w:p>
    <w:p>
      <w:pPr>
        <w:ind w:left="440" w:right="3679" w:hanging="430"/>
        <w:spacing w:after="0" w:line="234" w:lineRule="auto"/>
        <w:tabs>
          <w:tab w:leader="none" w:pos="17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March 1999, an after-tax charge of $33 million ($0.06 per share - diluted) for severance costs ($13 million) and legal claims.</w:t>
      </w:r>
    </w:p>
    <w:p>
      <w:pPr>
        <w:spacing w:after="0" w:line="5" w:lineRule="exact"/>
        <w:rPr>
          <w:rFonts w:ascii="Courier New" w:cs="Courier New" w:eastAsia="Courier New" w:hAnsi="Courier New"/>
          <w:sz w:val="15"/>
          <w:szCs w:val="15"/>
          <w:color w:val="auto"/>
        </w:rPr>
      </w:pPr>
    </w:p>
    <w:p>
      <w:pPr>
        <w:ind w:left="440" w:right="3319" w:hanging="430"/>
        <w:spacing w:after="0" w:line="234" w:lineRule="auto"/>
        <w:tabs>
          <w:tab w:leader="none" w:pos="178"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September 1998, an after-tax charge of $12 million ($0.02 per share - diluted) for severance costs.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624" w:right="1440" w:bottom="1440" w:gutter="0" w:footer="0" w:header="0"/>
        </w:sectPr>
      </w:pPr>
    </w:p>
    <w:bookmarkStart w:id="38" w:name="page39"/>
    <w:bookmarkEnd w:id="38"/>
    <w:p>
      <w:pPr>
        <w:ind w:right="3239"/>
        <w:spacing w:after="0" w:line="236" w:lineRule="auto"/>
        <w:rPr>
          <w:sz w:val="20"/>
          <w:szCs w:val="20"/>
          <w:color w:val="auto"/>
        </w:rPr>
      </w:pPr>
      <w:r>
        <w:rPr>
          <w:rFonts w:ascii="Courier New" w:cs="Courier New" w:eastAsia="Courier New" w:hAnsi="Courier New"/>
          <w:sz w:val="15"/>
          <w:szCs w:val="15"/>
          <w:color w:val="auto"/>
        </w:rPr>
        <w:t>As a result of the spin-off, Schlumberger Income Retained for Use in the Business was reduced by $918 million representing the spun-off net assets of Sedco Forex ($1.23 billion) less payments received in settlement of intercompany balances between Schlumberger and Sedco Forex ($313 million). The net assets spun off included $1.3 billion of fixed assets.</w:t>
      </w:r>
    </w:p>
    <w:p>
      <w:pPr>
        <w:spacing w:after="0" w:line="174"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Pursuant to Accounting Principles Board Opinion (APB) No. 30, Reporting the Results of Operations-Reporting the Effects of Disposal of a Segment of a Business, and Extraordinary, Unusual and Infrequently Occurring Events and Transactions, the revenue and expenses of Sedco Forex have been excluded from the respective captions in the Consolidated Statement of Income. The net operating results of Sedco Forex have been reported, net of applicable income taxes, as Discontinued Operations.</w:t>
      </w:r>
    </w:p>
    <w:p>
      <w:pPr>
        <w:spacing w:after="0" w:line="176"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Summarized 1999 and 1998 financial information for the discontinued operations, is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(Stated in millions)</w:t>
            </w:r>
          </w:p>
        </w:tc>
      </w:tr>
      <w:tr>
        <w:trPr>
          <w:trHeight w:val="168"/>
        </w:trPr>
        <w:tc>
          <w:tcPr>
            <w:tcW w:w="2280" w:type="dxa"/>
            <w:vAlign w:val="bottom"/>
          </w:tcPr>
          <w:p>
            <w:pPr>
              <w:spacing w:after="0"/>
              <w:rPr>
                <w:sz w:val="14"/>
                <w:szCs w:val="14"/>
                <w:color w:val="auto"/>
              </w:rPr>
            </w:pPr>
          </w:p>
        </w:tc>
        <w:tc>
          <w:tcPr>
            <w:tcW w:w="1540" w:type="dxa"/>
            <w:vAlign w:val="bottom"/>
            <w:gridSpan w:val="2"/>
          </w:tcPr>
          <w:p>
            <w:pPr>
              <w:ind w:left="700"/>
              <w:spacing w:after="0" w:line="168" w:lineRule="exact"/>
              <w:rPr>
                <w:sz w:val="20"/>
                <w:szCs w:val="20"/>
                <w:color w:val="auto"/>
              </w:rPr>
            </w:pPr>
            <w:r>
              <w:rPr>
                <w:rFonts w:ascii="Courier New" w:cs="Courier New" w:eastAsia="Courier New" w:hAnsi="Courier New"/>
                <w:sz w:val="15"/>
                <w:szCs w:val="15"/>
                <w:color w:val="auto"/>
              </w:rPr>
              <w:t>1999</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2280" w:type="dxa"/>
            <w:vAlign w:val="bottom"/>
          </w:tcPr>
          <w:p>
            <w:pPr>
              <w:spacing w:after="0"/>
              <w:rPr>
                <w:sz w:val="14"/>
                <w:szCs w:val="14"/>
                <w:color w:val="auto"/>
              </w:rPr>
            </w:pPr>
          </w:p>
        </w:tc>
        <w:tc>
          <w:tcPr>
            <w:tcW w:w="15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84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648</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$ 1,091</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Income before taxes</w:t>
            </w:r>
          </w:p>
        </w:tc>
        <w:tc>
          <w:tcPr>
            <w:tcW w:w="84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29</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$ 428</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Income after taxes</w:t>
            </w:r>
          </w:p>
        </w:tc>
        <w:tc>
          <w:tcPr>
            <w:tcW w:w="840" w:type="dxa"/>
            <w:vAlign w:val="bottom"/>
          </w:tcPr>
          <w:p>
            <w:pPr>
              <w:ind w:left="7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37</w:t>
            </w:r>
          </w:p>
        </w:tc>
        <w:tc>
          <w:tcPr>
            <w:tcW w:w="10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$ 396</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2000, subsidiaries of Schlumberger acquired the following:</w:t>
      </w:r>
    </w:p>
    <w:p>
      <w:pPr>
        <w:spacing w:after="0" w:line="166" w:lineRule="exact"/>
        <w:rPr>
          <w:sz w:val="20"/>
          <w:szCs w:val="20"/>
          <w:color w:val="auto"/>
        </w:rPr>
      </w:pPr>
    </w:p>
    <w:p>
      <w:pPr>
        <w:ind w:left="540" w:hanging="443"/>
        <w:spacing w:after="0"/>
        <w:tabs>
          <w:tab w:leader="none" w:pos="54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January, Telweb Inc., an Internet access company based in Quebec,</w:t>
      </w:r>
    </w:p>
    <w:p>
      <w:pPr>
        <w:spacing w:after="0" w:line="5" w:lineRule="exact"/>
        <w:rPr>
          <w:sz w:val="20"/>
          <w:szCs w:val="20"/>
          <w:color w:val="auto"/>
        </w:rPr>
      </w:pPr>
    </w:p>
    <w:p>
      <w:pPr>
        <w:ind w:left="440" w:right="3499"/>
        <w:spacing w:after="0" w:line="254" w:lineRule="auto"/>
        <w:rPr>
          <w:sz w:val="20"/>
          <w:szCs w:val="20"/>
          <w:color w:val="auto"/>
        </w:rPr>
      </w:pPr>
      <w:r>
        <w:rPr>
          <w:rFonts w:ascii="Courier New" w:cs="Courier New" w:eastAsia="Courier New" w:hAnsi="Courier New"/>
          <w:sz w:val="14"/>
          <w:szCs w:val="14"/>
          <w:color w:val="auto"/>
        </w:rPr>
        <w:t>Canada. The purchase price was $28 million and the cost in excess of net assets acquired was $28 million which is being amortized over 10 years.</w:t>
      </w:r>
    </w:p>
    <w:p>
      <w:pPr>
        <w:spacing w:after="0" w:line="1" w:lineRule="exact"/>
        <w:rPr>
          <w:sz w:val="20"/>
          <w:szCs w:val="20"/>
          <w:color w:val="auto"/>
        </w:rPr>
      </w:pPr>
    </w:p>
    <w:p>
      <w:pPr>
        <w:ind w:left="440" w:right="3239" w:hanging="343"/>
        <w:spacing w:after="0" w:line="254" w:lineRule="auto"/>
        <w:tabs>
          <w:tab w:leader="none" w:pos="527" w:val="left"/>
        </w:tabs>
        <w:numPr>
          <w:ilvl w:val="0"/>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April, Operational Services, Inc., which provides a systematic approach to production management though efficient systems and processes. The</w:t>
      </w:r>
    </w:p>
    <w:p>
      <w:pPr>
        <w:spacing w:after="0" w:line="1" w:lineRule="exact"/>
        <w:rPr>
          <w:sz w:val="20"/>
          <w:szCs w:val="20"/>
          <w:color w:val="auto"/>
        </w:rPr>
      </w:pPr>
    </w:p>
    <w:p>
      <w:pPr>
        <w:ind w:left="440" w:right="3939"/>
        <w:spacing w:after="0" w:line="254" w:lineRule="auto"/>
        <w:rPr>
          <w:sz w:val="20"/>
          <w:szCs w:val="20"/>
          <w:color w:val="auto"/>
        </w:rPr>
      </w:pPr>
      <w:r>
        <w:rPr>
          <w:rFonts w:ascii="Courier New" w:cs="Courier New" w:eastAsia="Courier New" w:hAnsi="Courier New"/>
          <w:sz w:val="14"/>
          <w:szCs w:val="14"/>
          <w:color w:val="auto"/>
        </w:rPr>
        <w:t>purchase price was $13 million and the cost in excess of net assets acquired was $13 million which is being amortized over 15 years.</w:t>
      </w:r>
    </w:p>
    <w:p>
      <w:pPr>
        <w:spacing w:after="0" w:line="1" w:lineRule="exact"/>
        <w:rPr>
          <w:sz w:val="20"/>
          <w:szCs w:val="20"/>
          <w:color w:val="auto"/>
        </w:rPr>
      </w:pPr>
    </w:p>
    <w:p>
      <w:pPr>
        <w:ind w:left="440" w:right="3239" w:hanging="343"/>
        <w:spacing w:after="0" w:line="254" w:lineRule="auto"/>
        <w:tabs>
          <w:tab w:leader="none" w:pos="527"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May, substantially all of the assets of CellNet Data Systems, Inc., a provider of telemetry services for the development and deployment of large-scale automatic metering reading systems. The acquisition was handled through Chapter 11 procedure and was approved by the bankruptcy court. The purchase price was $209 million and the cost in excess of net assets</w:t>
      </w:r>
    </w:p>
    <w:p>
      <w:pPr>
        <w:ind w:left="440"/>
        <w:spacing w:after="0" w:line="233" w:lineRule="auto"/>
        <w:rPr>
          <w:sz w:val="20"/>
          <w:szCs w:val="20"/>
          <w:color w:val="auto"/>
        </w:rPr>
      </w:pPr>
      <w:r>
        <w:rPr>
          <w:rFonts w:ascii="Courier New" w:cs="Courier New" w:eastAsia="Courier New" w:hAnsi="Courier New"/>
          <w:sz w:val="15"/>
          <w:szCs w:val="15"/>
          <w:color w:val="auto"/>
        </w:rPr>
        <w:t>acquired was zero.</w:t>
      </w:r>
    </w:p>
    <w:p>
      <w:pPr>
        <w:spacing w:after="0" w:line="5" w:lineRule="exact"/>
        <w:rPr>
          <w:sz w:val="20"/>
          <w:szCs w:val="20"/>
          <w:color w:val="auto"/>
        </w:rPr>
      </w:pPr>
    </w:p>
    <w:p>
      <w:pPr>
        <w:ind w:left="440" w:right="3499" w:hanging="343"/>
        <w:spacing w:after="0" w:line="254" w:lineRule="auto"/>
        <w:tabs>
          <w:tab w:leader="none" w:pos="527" w:val="left"/>
        </w:tabs>
        <w:numPr>
          <w:ilvl w:val="0"/>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October, Data Marine Systems Limited, a global provider of telecommunications services for transmitting data from remote locations. The purchase price was $83 million and the cost in excess of net assets</w:t>
      </w:r>
    </w:p>
    <w:p>
      <w:pPr>
        <w:ind w:left="440"/>
        <w:spacing w:after="0" w:line="232" w:lineRule="auto"/>
        <w:rPr>
          <w:sz w:val="20"/>
          <w:szCs w:val="20"/>
          <w:color w:val="auto"/>
        </w:rPr>
      </w:pPr>
      <w:r>
        <w:rPr>
          <w:rFonts w:ascii="Courier New" w:cs="Courier New" w:eastAsia="Courier New" w:hAnsi="Courier New"/>
          <w:sz w:val="15"/>
          <w:szCs w:val="15"/>
          <w:color w:val="auto"/>
        </w:rPr>
        <w:t>acquired was $75 million which is being amortized over 15 years.</w:t>
      </w:r>
    </w:p>
    <w:p>
      <w:pPr>
        <w:spacing w:after="0" w:line="5" w:lineRule="exact"/>
        <w:rPr>
          <w:sz w:val="20"/>
          <w:szCs w:val="20"/>
          <w:color w:val="auto"/>
        </w:rPr>
      </w:pPr>
    </w:p>
    <w:p>
      <w:pPr>
        <w:ind w:left="440" w:right="3139" w:hanging="343"/>
        <w:spacing w:after="0" w:line="256" w:lineRule="auto"/>
        <w:tabs>
          <w:tab w:leader="none" w:pos="527" w:val="left"/>
        </w:tabs>
        <w:numPr>
          <w:ilvl w:val="0"/>
          <w:numId w:val="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November, a 70% interest in the Convergent Group, a provider of business consulting, software engineering, system integration and project management services. The purchase price was $263 million and the cost in excess of net assets acquired was $214 million which is being amortized over 15 years.</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624" w:right="1440" w:bottom="1440" w:gutter="0" w:footer="0" w:header="0"/>
        </w:sectPr>
      </w:pPr>
    </w:p>
    <w:bookmarkStart w:id="39" w:name="page40"/>
    <w:bookmarkEnd w:id="39"/>
    <w:p>
      <w:pPr>
        <w:ind w:left="440" w:right="3239" w:hanging="343"/>
        <w:spacing w:after="0" w:line="236" w:lineRule="auto"/>
        <w:tabs>
          <w:tab w:leader="none" w:pos="527"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November, a 70% interest in WesternGeco, a new venture which combined the Schlumberger surface seismic business, Geco-Prakla, and the Western Geophysical seismic unit of Baker Hughes Inc. The purchase price was $720 million which comprised $500 million in cash and a 30% interest, valued at $220 million, in Geco-Prakla. The cost in excess of net assets acquired was zero.</w:t>
      </w:r>
    </w:p>
    <w:p>
      <w:pPr>
        <w:spacing w:after="0" w:line="17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These acquisitions were accounted for using the purchase method of accounting and costs in excess of net assets acquired are being amortized on a straight-line basis.</w:t>
      </w:r>
    </w:p>
    <w:p>
      <w:pPr>
        <w:spacing w:after="0" w:line="17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Unaudited APB 16 proforma results pertaining to the above acquisitions are not presented as the impact was not significant.</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During 1999, subsidiaries of Schlumberger acquired Merak, a market leader in petroleum software solutions; Secure Oil Tools, a leader in multilateral completions; and substantially all of the assets of Panther Software Corporation, a provider of hardware and software products and services for managing large volumes of seismic data. These acquisitions were accounted for using the purchase method of accounting. Costs in excess of net assets acquired were $106 million which are being amortized on a straight-line basis over 7 to 20 years.</w:t>
      </w:r>
    </w:p>
    <w:p>
      <w:pPr>
        <w:spacing w:after="0" w:line="177"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 the third quarter of 1999, the Omnes joint venture, created in 1995 between Schlumberger and Cable &amp; Wireless, was restructured into two separate business units. Under the agreement, equal ownership and access to products, technology and intellectual property was given to both parent companies. Schlumberger retained ownership of the Omnes name. Omnes is now a fully operational company within Test &amp; Transactions.</w:t>
      </w:r>
    </w:p>
    <w:p>
      <w:pPr>
        <w:spacing w:after="0" w:line="17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August 31, 1998, the merger of Schlumberger Technology Corporation, a wholly owned subsidiary of Schlumberger, and Camco International Inc. was completed. Under the terms of the merger agreement, approximately 38.2 million shares of Camco common stock were exchanged for 45.1 million shares of Schlumberger common stock at the exchange rate of 1.18 shares of Schlumberger stock for each share of Camco. Based on the Schlumberger average price of $47.875 on August 28, the transaction was valued at $2.2 billion. The business combination was accounted for using the pooling-of-interests method of accounting.</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in Affiliated Companies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the third quarter of 1999, Schlumberger and Smith International Inc. entered into an agreement whereby their drilling fluids operations were combined to form a joint venture. Under the terms of the agreement, Schlumberger contributed its non-US drilling fluids business and a total of $325 million to the joint venture. Schlumberger owns a 40% interest in the joint venture and records income using the equity method of accounting. Schlumberger's investment on December 31, 2000 and 1999 was $461 million and $414 million, respectively. Schlumberger's equity income from this joint venture in 2000 was $33 million and was not material in 1999.</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624" w:right="1440" w:bottom="1440" w:gutter="0" w:footer="0" w:header="0"/>
        </w:sectPr>
      </w:pPr>
    </w:p>
    <w:bookmarkStart w:id="40" w:name="page41"/>
    <w:bookmarkEnd w:id="40"/>
    <w:p>
      <w:pPr>
        <w:spacing w:after="0"/>
        <w:rPr>
          <w:sz w:val="20"/>
          <w:szCs w:val="20"/>
          <w:color w:val="auto"/>
        </w:rPr>
      </w:pPr>
      <w:r>
        <w:rPr>
          <w:rFonts w:ascii="Courier New" w:cs="Courier New" w:eastAsia="Courier New" w:hAnsi="Courier New"/>
          <w:sz w:val="15"/>
          <w:szCs w:val="15"/>
          <w:color w:val="auto"/>
        </w:rPr>
        <w:t>Investments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Consolidated Balance Sheet reflects the Schlumberger investment portfolio separated between current and long term, based on maturity. Except for $139 million of investments which are considered trading on December 31, 2000 ($130 million in 1999), under normal circumstances it is the intent of Schlumberger to hold the investments until maturity.</w:t>
      </w:r>
    </w:p>
    <w:p>
      <w:pPr>
        <w:spacing w:after="0" w:line="174"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Long-term investments mature as follows: $564 million in 2002, $228 million in 2003 and $755 million thereafter.</w:t>
      </w:r>
    </w:p>
    <w:p>
      <w:pPr>
        <w:spacing w:after="0" w:line="173" w:lineRule="exact"/>
        <w:rPr>
          <w:sz w:val="20"/>
          <w:szCs w:val="20"/>
          <w:color w:val="auto"/>
        </w:rPr>
      </w:pPr>
    </w:p>
    <w:p>
      <w:pPr>
        <w:jc w:val="both"/>
        <w:ind w:right="3319"/>
        <w:spacing w:after="0" w:line="235" w:lineRule="auto"/>
        <w:rPr>
          <w:sz w:val="20"/>
          <w:szCs w:val="20"/>
          <w:color w:val="auto"/>
        </w:rPr>
      </w:pPr>
      <w:r>
        <w:rPr>
          <w:rFonts w:ascii="Courier New" w:cs="Courier New" w:eastAsia="Courier New" w:hAnsi="Courier New"/>
          <w:sz w:val="15"/>
          <w:szCs w:val="15"/>
          <w:color w:val="auto"/>
        </w:rPr>
        <w:t>On December 31, 2000, there were no interest rate swap arrangements outstanding related to investments. Interest rate swap arrangements had no material effect on consolidated interest income.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Securitization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September 2000, a wholly-owned subsidiary of Schlumberger entered into an agreement to sell, on an ongoing basis, up to $220 million of an undivided interest in its accounts receivable. The amount of receivables sold under this agreement totaled $183 million at December 31, 2000. Costs of the program, which primarily consist of the purchasers' financing and administrative costs, were not significant.</w:t>
      </w:r>
    </w:p>
    <w:p>
      <w:pPr>
        <w:spacing w:after="0" w:line="17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Schlumberger continues to service the receivables and maintains an allowance for doubtful accounts based upon the expected collectibility of all Schlumberger accounts receivable, including the portion of receivables sold. Unless extended by amendment, the agreement expires in September 2001.</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Fixed Assets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20"/>
                <w:szCs w:val="20"/>
                <w:color w:val="auto"/>
              </w:rPr>
            </w:pPr>
            <w:r>
              <w:rPr>
                <w:rFonts w:ascii="Courier New" w:cs="Courier New" w:eastAsia="Courier New" w:hAnsi="Courier New"/>
                <w:sz w:val="15"/>
                <w:szCs w:val="15"/>
                <w:color w:val="auto"/>
              </w:rPr>
              <w:t>A summary of fixed assets follows:</w:t>
            </w:r>
          </w:p>
        </w:tc>
        <w:tc>
          <w:tcPr>
            <w:tcW w:w="136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336"/>
        </w:trPr>
        <w:tc>
          <w:tcPr>
            <w:tcW w:w="32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92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(Stated in millions)</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December 31,</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2000</w:t>
            </w:r>
          </w:p>
        </w:tc>
        <w:tc>
          <w:tcPr>
            <w:tcW w:w="19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1999</w:t>
            </w:r>
          </w:p>
        </w:tc>
      </w:tr>
      <w:tr>
        <w:trPr>
          <w:trHeight w:val="168"/>
        </w:trPr>
        <w:tc>
          <w:tcPr>
            <w:tcW w:w="328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1360" w:type="dxa"/>
            <w:vAlign w:val="bottom"/>
          </w:tcPr>
          <w:p>
            <w:pPr>
              <w:jc w:val="right"/>
              <w:ind w:right="7"/>
              <w:spacing w:after="0"/>
              <w:rPr>
                <w:sz w:val="20"/>
                <w:szCs w:val="20"/>
                <w:color w:val="auto"/>
              </w:rPr>
            </w:pPr>
            <w:r>
              <w:rPr>
                <w:rFonts w:ascii="Courier New" w:cs="Courier New" w:eastAsia="Courier New" w:hAnsi="Courier New"/>
                <w:sz w:val="15"/>
                <w:szCs w:val="15"/>
                <w:color w:val="auto"/>
              </w:rPr>
              <w:t>$  80</w:t>
            </w:r>
          </w:p>
        </w:tc>
        <w:tc>
          <w:tcPr>
            <w:tcW w:w="1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  68</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 &amp; Improvements</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1,081</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1,086</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&amp; Equipment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9,661</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8,485</w:t>
            </w:r>
          </w:p>
        </w:tc>
      </w:tr>
      <w:tr>
        <w:trPr>
          <w:trHeight w:val="168"/>
        </w:trPr>
        <w:tc>
          <w:tcPr>
            <w:tcW w:w="328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cost</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10,822</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9,639</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depreciation</w:t>
            </w: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6,427</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6,078</w:t>
            </w:r>
          </w:p>
        </w:tc>
      </w:tr>
      <w:tr>
        <w:trPr>
          <w:trHeight w:val="168"/>
        </w:trPr>
        <w:tc>
          <w:tcPr>
            <w:tcW w:w="328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1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$ 4,395</w:t>
            </w:r>
          </w:p>
        </w:tc>
        <w:tc>
          <w:tcPr>
            <w:tcW w:w="1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$ 3,561</w:t>
            </w:r>
          </w:p>
        </w:tc>
      </w:tr>
      <w:tr>
        <w:trPr>
          <w:trHeight w:val="168"/>
        </w:trPr>
        <w:tc>
          <w:tcPr>
            <w:tcW w:w="3280" w:type="dxa"/>
            <w:vAlign w:val="bottom"/>
          </w:tcPr>
          <w:p>
            <w:pPr>
              <w:spacing w:after="0"/>
              <w:rPr>
                <w:sz w:val="14"/>
                <w:szCs w:val="14"/>
                <w:color w:val="auto"/>
              </w:rPr>
            </w:pP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estimated useful lives of Buildings &amp; Improvements are primarily 30 to 40 years. For Machinery &amp; Equipment, 11% is being depreciated over 16 to 25 years, 14% over 10 to 15 years and 75% over 2 to 9 years.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617" w:right="1440" w:bottom="1440" w:gutter="0" w:footer="0" w:header="0"/>
        </w:sectPr>
      </w:pPr>
    </w:p>
    <w:bookmarkStart w:id="41" w:name="page42"/>
    <w:bookmarkEnd w:id="41"/>
    <w:p>
      <w:pPr>
        <w:spacing w:after="0"/>
        <w:rPr>
          <w:sz w:val="20"/>
          <w:szCs w:val="20"/>
          <w:color w:val="auto"/>
        </w:rPr>
      </w:pPr>
      <w:r>
        <w:rPr>
          <w:rFonts w:ascii="Courier New" w:cs="Courier New" w:eastAsia="Courier New" w:hAnsi="Courier New"/>
          <w:sz w:val="15"/>
          <w:szCs w:val="15"/>
          <w:color w:val="auto"/>
        </w:rPr>
        <w:t>Long-term Debt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summary of long-term debt by currency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160" w:type="dxa"/>
            <w:vAlign w:val="bottom"/>
          </w:tcPr>
          <w:p>
            <w:pPr>
              <w:spacing w:after="0"/>
              <w:rPr>
                <w:sz w:val="14"/>
                <w:szCs w:val="14"/>
                <w:color w:val="auto"/>
              </w:rPr>
            </w:pPr>
          </w:p>
        </w:tc>
        <w:tc>
          <w:tcPr>
            <w:tcW w:w="37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December 31,</w:t>
            </w:r>
          </w:p>
        </w:tc>
        <w:tc>
          <w:tcPr>
            <w:tcW w:w="22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2000</w:t>
            </w:r>
          </w:p>
        </w:tc>
        <w:tc>
          <w:tcPr>
            <w:tcW w:w="14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2160" w:type="dxa"/>
            <w:vAlign w:val="bottom"/>
          </w:tcPr>
          <w:p>
            <w:pPr>
              <w:spacing w:after="0"/>
              <w:rPr>
                <w:sz w:val="14"/>
                <w:szCs w:val="14"/>
                <w:color w:val="auto"/>
              </w:rPr>
            </w:pPr>
          </w:p>
        </w:tc>
        <w:tc>
          <w:tcPr>
            <w:tcW w:w="2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160" w:type="dxa"/>
            <w:vAlign w:val="bottom"/>
          </w:tcPr>
          <w:p>
            <w:pPr>
              <w:spacing w:after="0"/>
              <w:rPr>
                <w:sz w:val="20"/>
                <w:szCs w:val="20"/>
                <w:color w:val="auto"/>
              </w:rPr>
            </w:pPr>
            <w:r>
              <w:rPr>
                <w:rFonts w:ascii="Courier New" w:cs="Courier New" w:eastAsia="Courier New" w:hAnsi="Courier New"/>
                <w:sz w:val="15"/>
                <w:szCs w:val="15"/>
                <w:color w:val="auto"/>
              </w:rPr>
              <w:t>US dollar</w:t>
            </w:r>
          </w:p>
        </w:tc>
        <w:tc>
          <w:tcPr>
            <w:tcW w:w="22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$ 2,969</w:t>
            </w:r>
          </w:p>
        </w:tc>
        <w:tc>
          <w:tcPr>
            <w:tcW w:w="1440" w:type="dxa"/>
            <w:vAlign w:val="bottom"/>
          </w:tcPr>
          <w:p>
            <w:pPr>
              <w:jc w:val="right"/>
              <w:ind w:right="7"/>
              <w:spacing w:after="0"/>
              <w:rPr>
                <w:sz w:val="20"/>
                <w:szCs w:val="20"/>
                <w:color w:val="auto"/>
              </w:rPr>
            </w:pPr>
            <w:r>
              <w:rPr>
                <w:rFonts w:ascii="Courier New" w:cs="Courier New" w:eastAsia="Courier New" w:hAnsi="Courier New"/>
                <w:sz w:val="15"/>
                <w:szCs w:val="15"/>
                <w:color w:val="auto"/>
              </w:rPr>
              <w:t>$ 2,369</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Euro</w:t>
            </w:r>
          </w:p>
        </w:tc>
        <w:tc>
          <w:tcPr>
            <w:tcW w:w="2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214</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411</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UK pound</w:t>
            </w:r>
          </w:p>
        </w:tc>
        <w:tc>
          <w:tcPr>
            <w:tcW w:w="2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170</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Japanese yen</w:t>
            </w:r>
          </w:p>
        </w:tc>
        <w:tc>
          <w:tcPr>
            <w:tcW w:w="2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132</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146</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Canadian dollar</w:t>
            </w:r>
          </w:p>
        </w:tc>
        <w:tc>
          <w:tcPr>
            <w:tcW w:w="2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73</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w:t>
            </w:r>
          </w:p>
        </w:tc>
      </w:tr>
      <w:tr>
        <w:trPr>
          <w:trHeight w:val="168"/>
        </w:trPr>
        <w:tc>
          <w:tcPr>
            <w:tcW w:w="21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2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15</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132</w:t>
            </w:r>
          </w:p>
        </w:tc>
      </w:tr>
      <w:tr>
        <w:trPr>
          <w:trHeight w:val="168"/>
        </w:trPr>
        <w:tc>
          <w:tcPr>
            <w:tcW w:w="2160" w:type="dxa"/>
            <w:vAlign w:val="bottom"/>
          </w:tcPr>
          <w:p>
            <w:pPr>
              <w:spacing w:after="0"/>
              <w:rPr>
                <w:sz w:val="14"/>
                <w:szCs w:val="14"/>
                <w:color w:val="auto"/>
              </w:rPr>
            </w:pPr>
          </w:p>
        </w:tc>
        <w:tc>
          <w:tcPr>
            <w:tcW w:w="2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160" w:type="dxa"/>
            <w:vAlign w:val="bottom"/>
          </w:tcPr>
          <w:p>
            <w:pPr>
              <w:spacing w:after="0"/>
              <w:rPr>
                <w:sz w:val="14"/>
                <w:szCs w:val="14"/>
                <w:color w:val="auto"/>
              </w:rPr>
            </w:pPr>
          </w:p>
        </w:tc>
        <w:tc>
          <w:tcPr>
            <w:tcW w:w="226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$ 3,573</w:t>
            </w:r>
          </w:p>
        </w:tc>
        <w:tc>
          <w:tcPr>
            <w:tcW w:w="1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$ 3,183</w:t>
            </w:r>
          </w:p>
        </w:tc>
      </w:tr>
      <w:tr>
        <w:trPr>
          <w:trHeight w:val="168"/>
        </w:trPr>
        <w:tc>
          <w:tcPr>
            <w:tcW w:w="2160" w:type="dxa"/>
            <w:vAlign w:val="bottom"/>
          </w:tcPr>
          <w:p>
            <w:pPr>
              <w:spacing w:after="0"/>
              <w:rPr>
                <w:sz w:val="14"/>
                <w:szCs w:val="14"/>
                <w:color w:val="auto"/>
              </w:rPr>
            </w:pPr>
          </w:p>
        </w:tc>
        <w:tc>
          <w:tcPr>
            <w:tcW w:w="22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majority of the long-term debt is at variable interest rates; the weighted-average interest rate of the debt outstanding on December 31, 2000 was 5.7%. Such rates are reset every six months or sooner. The carrying value of long-term debt on December 31, 2000 approximates the aggregate fair market value.</w:t>
      </w:r>
    </w:p>
    <w:p>
      <w:pPr>
        <w:spacing w:after="0" w:line="17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Long-term debt on December 31, 2000, is due as follows: $118 million in 2002, $2,469 million in 2003, $327 million in 2004, $234 million in 2005 and $425 million thereafter.</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December 31, 2000, interest rate swap arrangements outstanding were: pay fixed/receive floating on US dollar debt of $800 million; pay fixed/receive floating on Japanese yen debt of $97 million. These arrangements mature at various dates to December 2009. Interest rate swap arrangements had no material effect on consolidated interest expense in 2000 and 1999, respectively. The likelihood of nonperformance by the other parties to the arrangements is considered to be remote.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Lines of Credit</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December 31, 2000, the principal US subsidiary of Schlumberger had available a Revolving Credit Agreement with a syndicate of banks. The Agreement provided that the subsidiary may borrow up to $1 billion until August 2003 at money market-based rates (6.6% on December 31, 2000 and 6.1% on December 31, 1999) of which $630 million was outstanding on December 31, 2000. In addition, on December 31, 2000 and 1999, Schlumberger and its subsidiaries also had available unused lines of credit of approximately $825 million and $793 million, respectively. Commitment and facility fees are not material.</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Stock</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Schlumberger is authorized to issue 1,000,000,000 shares of common stock, par value $0.01 per share, of which 572,724,694 and 565,931,130 shares were outstanding on December 31, 2000 and 1999, respectively. Schlumberger is also authorized to issue 200,000,000 shares of cumulative preferred stock, par value $0.01 per share, which may be issued in series with terms and conditions determined by the Board of Directors. No shares of preferred stock have been issued. Holders of common stock and preferred stock are entitled to one vote for each share of stock held.</w:t>
      </w:r>
    </w:p>
    <w:p>
      <w:pPr>
        <w:spacing w:after="0" w:line="177"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In January 1993, Schlumberger acquired the remaining 50% interest in the Dowell Schlumberger group of companies. The purchase price included a warrant, expiring in 7.5 years and valued at $100 million, to purchase 15,153,018 shares of Schlumberger common stock at an exercise price of $29.672 per share. The warrant was exercised by Dow Chemical on December 16, 1999.</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617" w:right="1440" w:bottom="1440" w:gutter="0" w:footer="0" w:header="0"/>
        </w:sectPr>
      </w:pPr>
    </w:p>
    <w:bookmarkStart w:id="42" w:name="page43"/>
    <w:bookmarkEnd w:id="42"/>
    <w:p>
      <w:pPr>
        <w:spacing w:after="0"/>
        <w:rPr>
          <w:sz w:val="20"/>
          <w:szCs w:val="20"/>
          <w:color w:val="auto"/>
        </w:rPr>
      </w:pPr>
      <w:r>
        <w:rPr>
          <w:rFonts w:ascii="Courier New" w:cs="Courier New" w:eastAsia="Courier New" w:hAnsi="Courier New"/>
          <w:sz w:val="15"/>
          <w:szCs w:val="15"/>
          <w:color w:val="auto"/>
        </w:rPr>
        <w:t>Stock Compensation Plans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As of December 31, 2000, Schlumberger had two types of stock-based compensation plans, which are described below. Schlumberger applies APB Opinion 25 and related Interpretations in accounting for its plans. Accordingly, no compensation cost has been recognized for its stock option plans and its stock purchase plan. Had compensation cost for the stock-based Schlumberger plans been determined based on the fair value at the grant dates for awards under those plans, consistent with the method of SFAS 123, Schlumberger net income and earnings per share would have been the pro forma amounts indicated below: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42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(Stated in millions except per share amounts)</w:t>
            </w:r>
          </w:p>
        </w:tc>
      </w:tr>
      <w:tr>
        <w:trPr>
          <w:trHeight w:val="168"/>
        </w:trPr>
        <w:tc>
          <w:tcPr>
            <w:tcW w:w="25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88"/>
              </w:rPr>
              <w:t>2000</w:t>
            </w:r>
          </w:p>
        </w:tc>
        <w:tc>
          <w:tcPr>
            <w:tcW w:w="520" w:type="dxa"/>
            <w:vAlign w:val="bottom"/>
          </w:tcPr>
          <w:p>
            <w:pPr>
              <w:spacing w:after="0"/>
              <w:rPr>
                <w:sz w:val="14"/>
                <w:szCs w:val="14"/>
                <w:color w:val="auto"/>
              </w:rPr>
            </w:pP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88"/>
              </w:rPr>
              <w:t>1999</w:t>
            </w:r>
          </w:p>
        </w:tc>
        <w:tc>
          <w:tcPr>
            <w:tcW w:w="52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2540" w:type="dxa"/>
            <w:vAlign w:val="bottom"/>
          </w:tcPr>
          <w:p>
            <w:pPr>
              <w:spacing w:after="0"/>
              <w:rPr>
                <w:sz w:val="14"/>
                <w:szCs w:val="14"/>
                <w:color w:val="auto"/>
              </w:rPr>
            </w:pPr>
          </w:p>
        </w:tc>
        <w:tc>
          <w:tcPr>
            <w:tcW w:w="15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5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As reported</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735</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367</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1,014</w:t>
            </w:r>
          </w:p>
        </w:tc>
      </w:tr>
      <w:tr>
        <w:trPr>
          <w:trHeight w:val="168"/>
        </w:trPr>
        <w:tc>
          <w:tcPr>
            <w:tcW w:w="2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 forma</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633</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268</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893</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Basic earnings per share</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2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As reported</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0.67</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1.86</w:t>
            </w:r>
          </w:p>
        </w:tc>
      </w:tr>
      <w:tr>
        <w:trPr>
          <w:trHeight w:val="168"/>
        </w:trPr>
        <w:tc>
          <w:tcPr>
            <w:tcW w:w="2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 forma</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1.11</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0.49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1.64</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Diluted earnings per share</w:t>
            </w:r>
          </w:p>
        </w:tc>
        <w:tc>
          <w:tcPr>
            <w:tcW w:w="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2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As reported</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1.27</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0.65</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1.81</w:t>
            </w:r>
          </w:p>
        </w:tc>
      </w:tr>
      <w:tr>
        <w:trPr>
          <w:trHeight w:val="168"/>
        </w:trPr>
        <w:tc>
          <w:tcPr>
            <w:tcW w:w="25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Pro forma</w:t>
            </w: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0.48</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1.59</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 PLANS</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During 2000, 1999, 1998 and in prior years, officers and key employees were granted stock options under Schlumberger stock option plans. For all of the stock options granted, the exercise price of each option equals the market price of Schlumberger stock on the date of grant; an option's maximum term is ten years, and options generally vest in 20% increments over five years.</w:t>
      </w:r>
    </w:p>
    <w:p>
      <w:pPr>
        <w:spacing w:after="0" w:line="174"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As required by SFAS 123, the fair value of each grant is estimated on the date of grant using the multiple option Black-Scholes option-pricing model with the following weighted-average assumptions used for 2000, 1999 and 1998: Dividend of $0.75; expected volatility of 27%-33% for 2000 grants, 25%-29% for 1999 grants and 21%-25% for 1998 grants; risk-free interest rates for the 2000 grants of 5.75%-6.84% for officers and 5.69%-6.72% for the 2000 grants to all other employees; risk-free interest rates for the 1999 grant of 4.92%-5.29% for officers and 4.80%-6.25% for the 1999 grants to all other employees; risk-free interest rates for 1998 grants of 5.59%-5.68% for officers and 4.35%-5.62% for all other employees; and expected option lives of 7.16 years for officers and</w:t>
      </w:r>
    </w:p>
    <w:p>
      <w:pPr>
        <w:spacing w:after="0" w:line="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5.49 years for other employees for 2000 grants, 7.14 years for officers and 5.28 years for other employees for 1999 grants and 6.98 years for officers and 5.02 years for other employees for 1998.</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617" w:right="1440" w:bottom="1440" w:gutter="0" w:footer="0" w:header="0"/>
        </w:sectPr>
      </w:pPr>
    </w:p>
    <w:bookmarkStart w:id="43" w:name="page44"/>
    <w:bookmarkEnd w:id="43"/>
    <w:p>
      <w:pPr>
        <w:jc w:val="both"/>
        <w:ind w:right="3860"/>
        <w:spacing w:after="0" w:line="235" w:lineRule="auto"/>
        <w:rPr>
          <w:sz w:val="20"/>
          <w:szCs w:val="20"/>
          <w:color w:val="auto"/>
        </w:rPr>
      </w:pPr>
      <w:r>
        <w:rPr>
          <w:rFonts w:ascii="Courier New" w:cs="Courier New" w:eastAsia="Courier New" w:hAnsi="Courier New"/>
          <w:sz w:val="15"/>
          <w:szCs w:val="15"/>
          <w:color w:val="auto"/>
        </w:rPr>
        <w:t>A summary of the status of the Schlumberger stock option plans as of December 31, 2000, 1999 and 1998, and changes during the years ended on those dates is presented below:</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80" w:type="dxa"/>
            <w:vAlign w:val="bottom"/>
          </w:tcPr>
          <w:p>
            <w:pPr>
              <w:jc w:val="right"/>
              <w:ind w:right="1167"/>
              <w:spacing w:after="0"/>
              <w:rPr>
                <w:sz w:val="20"/>
                <w:szCs w:val="20"/>
                <w:color w:val="auto"/>
              </w:rPr>
            </w:pPr>
            <w:r>
              <w:rPr>
                <w:rFonts w:ascii="Courier New" w:cs="Courier New" w:eastAsia="Courier New" w:hAnsi="Courier New"/>
                <w:sz w:val="15"/>
                <w:szCs w:val="15"/>
                <w:color w:val="auto"/>
                <w:w w:val="88"/>
              </w:rPr>
              <w:t>2000</w:t>
            </w:r>
          </w:p>
        </w:tc>
        <w:tc>
          <w:tcPr>
            <w:tcW w:w="16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1999/1/</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580" w:type="dxa"/>
            <w:vAlign w:val="bottom"/>
          </w:tcPr>
          <w:p>
            <w:pPr>
              <w:jc w:val="right"/>
              <w:ind w:right="887"/>
              <w:spacing w:after="0"/>
              <w:rPr>
                <w:sz w:val="20"/>
                <w:szCs w:val="20"/>
                <w:color w:val="auto"/>
              </w:rPr>
            </w:pPr>
            <w:r>
              <w:rPr>
                <w:rFonts w:ascii="Courier New" w:cs="Courier New" w:eastAsia="Courier New" w:hAnsi="Courier New"/>
                <w:sz w:val="15"/>
                <w:szCs w:val="15"/>
                <w:color w:val="auto"/>
                <w:w w:val="95"/>
              </w:rPr>
              <w:t>1998/1/</w:t>
            </w:r>
          </w:p>
        </w:tc>
      </w:tr>
      <w:tr>
        <w:trPr>
          <w:trHeight w:val="168"/>
        </w:trPr>
        <w:tc>
          <w:tcPr>
            <w:tcW w:w="1940" w:type="dxa"/>
            <w:vAlign w:val="bottom"/>
          </w:tcPr>
          <w:p>
            <w:pPr>
              <w:spacing w:after="0"/>
              <w:rPr>
                <w:sz w:val="14"/>
                <w:szCs w:val="14"/>
                <w:color w:val="auto"/>
              </w:rPr>
            </w:pPr>
          </w:p>
        </w:tc>
        <w:tc>
          <w:tcPr>
            <w:tcW w:w="32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2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5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1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80" w:type="dxa"/>
            <w:vAlign w:val="bottom"/>
          </w:tcPr>
          <w:p>
            <w:pPr>
              <w:jc w:val="center"/>
              <w:ind w:left="347"/>
              <w:spacing w:after="0" w:line="168" w:lineRule="exact"/>
              <w:rPr>
                <w:sz w:val="20"/>
                <w:szCs w:val="20"/>
                <w:color w:val="auto"/>
              </w:rPr>
            </w:pPr>
            <w:r>
              <w:rPr>
                <w:rFonts w:ascii="Courier New" w:cs="Courier New" w:eastAsia="Courier New" w:hAnsi="Courier New"/>
                <w:sz w:val="15"/>
                <w:szCs w:val="15"/>
                <w:color w:val="auto"/>
                <w:w w:val="98"/>
              </w:rPr>
              <w:t>Weighted-</w:t>
            </w:r>
          </w:p>
        </w:tc>
        <w:tc>
          <w:tcPr>
            <w:tcW w:w="1660" w:type="dxa"/>
            <w:vAlign w:val="bottom"/>
          </w:tcPr>
          <w:p>
            <w:pPr>
              <w:spacing w:after="0"/>
              <w:rPr>
                <w:sz w:val="14"/>
                <w:szCs w:val="14"/>
                <w:color w:val="auto"/>
              </w:rPr>
            </w:pPr>
          </w:p>
        </w:tc>
        <w:tc>
          <w:tcPr>
            <w:tcW w:w="10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6"/>
              </w:rPr>
              <w:t>Weighted-</w:t>
            </w:r>
          </w:p>
        </w:tc>
        <w:tc>
          <w:tcPr>
            <w:tcW w:w="960" w:type="dxa"/>
            <w:vAlign w:val="bottom"/>
          </w:tcPr>
          <w:p>
            <w:pPr>
              <w:spacing w:after="0"/>
              <w:rPr>
                <w:sz w:val="14"/>
                <w:szCs w:val="14"/>
                <w:color w:val="auto"/>
              </w:rPr>
            </w:pPr>
          </w:p>
        </w:tc>
        <w:tc>
          <w:tcPr>
            <w:tcW w:w="158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8"/>
              </w:rPr>
              <w:t>Weighted-</w:t>
            </w:r>
          </w:p>
        </w:tc>
      </w:tr>
      <w:tr>
        <w:trPr>
          <w:trHeight w:val="168"/>
        </w:trPr>
        <w:tc>
          <w:tcPr>
            <w:tcW w:w="1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80" w:type="dxa"/>
            <w:vAlign w:val="bottom"/>
          </w:tcPr>
          <w:p>
            <w:pPr>
              <w:jc w:val="center"/>
              <w:ind w:left="347"/>
              <w:spacing w:after="0" w:line="168" w:lineRule="exact"/>
              <w:rPr>
                <w:sz w:val="20"/>
                <w:szCs w:val="20"/>
                <w:color w:val="auto"/>
              </w:rPr>
            </w:pPr>
            <w:r>
              <w:rPr>
                <w:rFonts w:ascii="Courier New" w:cs="Courier New" w:eastAsia="Courier New" w:hAnsi="Courier New"/>
                <w:sz w:val="15"/>
                <w:szCs w:val="15"/>
                <w:color w:val="auto"/>
                <w:w w:val="95"/>
              </w:rPr>
              <w:t>average</w:t>
            </w:r>
          </w:p>
        </w:tc>
        <w:tc>
          <w:tcPr>
            <w:tcW w:w="1660" w:type="dxa"/>
            <w:vAlign w:val="bottom"/>
          </w:tcPr>
          <w:p>
            <w:pPr>
              <w:spacing w:after="0"/>
              <w:rPr>
                <w:sz w:val="14"/>
                <w:szCs w:val="14"/>
                <w:color w:val="auto"/>
              </w:rPr>
            </w:pPr>
          </w:p>
        </w:tc>
        <w:tc>
          <w:tcPr>
            <w:tcW w:w="104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8"/>
              </w:rPr>
              <w:t>average</w:t>
            </w:r>
          </w:p>
        </w:tc>
        <w:tc>
          <w:tcPr>
            <w:tcW w:w="960" w:type="dxa"/>
            <w:vAlign w:val="bottom"/>
          </w:tcPr>
          <w:p>
            <w:pPr>
              <w:spacing w:after="0"/>
              <w:rPr>
                <w:sz w:val="14"/>
                <w:szCs w:val="14"/>
                <w:color w:val="auto"/>
              </w:rPr>
            </w:pPr>
          </w:p>
        </w:tc>
        <w:tc>
          <w:tcPr>
            <w:tcW w:w="158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5"/>
              </w:rPr>
              <w:t>average</w:t>
            </w:r>
          </w:p>
        </w:tc>
      </w:tr>
      <w:tr>
        <w:trPr>
          <w:trHeight w:val="168"/>
        </w:trPr>
        <w:tc>
          <w:tcPr>
            <w:tcW w:w="194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58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exercise</w:t>
            </w:r>
          </w:p>
        </w:tc>
        <w:tc>
          <w:tcPr>
            <w:tcW w:w="16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exercise</w:t>
            </w:r>
          </w:p>
        </w:tc>
        <w:tc>
          <w:tcPr>
            <w:tcW w:w="960" w:type="dxa"/>
            <w:vAlign w:val="bottom"/>
          </w:tcPr>
          <w:p>
            <w:pPr>
              <w:spacing w:after="0"/>
              <w:rPr>
                <w:sz w:val="14"/>
                <w:szCs w:val="14"/>
                <w:color w:val="auto"/>
              </w:rPr>
            </w:pPr>
          </w:p>
        </w:tc>
        <w:tc>
          <w:tcPr>
            <w:tcW w:w="15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1940" w:type="dxa"/>
            <w:vAlign w:val="bottom"/>
          </w:tcPr>
          <w:p>
            <w:pPr>
              <w:spacing w:after="0" w:line="168" w:lineRule="exact"/>
              <w:rPr>
                <w:sz w:val="20"/>
                <w:szCs w:val="20"/>
                <w:color w:val="auto"/>
              </w:rPr>
            </w:pPr>
            <w:r>
              <w:rPr>
                <w:rFonts w:ascii="Courier New" w:cs="Courier New" w:eastAsia="Courier New" w:hAnsi="Courier New"/>
                <w:sz w:val="15"/>
                <w:szCs w:val="15"/>
                <w:color w:val="auto"/>
              </w:rPr>
              <w:t>FIXED OPTIONS</w:t>
            </w:r>
          </w:p>
        </w:tc>
        <w:tc>
          <w:tcPr>
            <w:tcW w:w="166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w w:val="92"/>
              </w:rPr>
              <w:t>Shares</w:t>
            </w:r>
          </w:p>
        </w:tc>
        <w:tc>
          <w:tcPr>
            <w:tcW w:w="1580" w:type="dxa"/>
            <w:vAlign w:val="bottom"/>
          </w:tcPr>
          <w:p>
            <w:pPr>
              <w:jc w:val="center"/>
              <w:ind w:left="347"/>
              <w:spacing w:after="0" w:line="168" w:lineRule="exact"/>
              <w:rPr>
                <w:sz w:val="20"/>
                <w:szCs w:val="20"/>
                <w:color w:val="auto"/>
              </w:rPr>
            </w:pPr>
            <w:r>
              <w:rPr>
                <w:rFonts w:ascii="Courier New" w:cs="Courier New" w:eastAsia="Courier New" w:hAnsi="Courier New"/>
                <w:sz w:val="15"/>
                <w:szCs w:val="15"/>
                <w:color w:val="auto"/>
                <w:w w:val="97"/>
              </w:rPr>
              <w:t>price</w:t>
            </w:r>
          </w:p>
        </w:tc>
        <w:tc>
          <w:tcPr>
            <w:tcW w:w="16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Shares</w:t>
            </w:r>
          </w:p>
        </w:tc>
        <w:tc>
          <w:tcPr>
            <w:tcW w:w="104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7"/>
              </w:rPr>
              <w:t>price</w:t>
            </w:r>
          </w:p>
        </w:tc>
        <w:tc>
          <w:tcPr>
            <w:tcW w:w="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2"/>
              </w:rPr>
              <w:t>Shares</w:t>
            </w:r>
          </w:p>
        </w:tc>
        <w:tc>
          <w:tcPr>
            <w:tcW w:w="1580" w:type="dxa"/>
            <w:vAlign w:val="bottom"/>
          </w:tcPr>
          <w:p>
            <w:pPr>
              <w:jc w:val="center"/>
              <w:ind w:left="547"/>
              <w:spacing w:after="0" w:line="168" w:lineRule="exact"/>
              <w:rPr>
                <w:sz w:val="20"/>
                <w:szCs w:val="20"/>
                <w:color w:val="auto"/>
              </w:rPr>
            </w:pPr>
            <w:r>
              <w:rPr>
                <w:rFonts w:ascii="Courier New" w:cs="Courier New" w:eastAsia="Courier New" w:hAnsi="Courier New"/>
                <w:sz w:val="15"/>
                <w:szCs w:val="15"/>
                <w:color w:val="auto"/>
                <w:w w:val="97"/>
              </w:rPr>
              <w:t>price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20"/>
                <w:szCs w:val="20"/>
                <w:color w:val="auto"/>
              </w:rPr>
            </w:pPr>
            <w:r>
              <w:rPr>
                <w:rFonts w:ascii="Courier New" w:cs="Courier New" w:eastAsia="Courier New" w:hAnsi="Courier New"/>
                <w:sz w:val="15"/>
                <w:szCs w:val="15"/>
                <w:color w:val="auto"/>
              </w:rPr>
              <w:t>Outstanding at</w:t>
            </w:r>
          </w:p>
        </w:tc>
        <w:tc>
          <w:tcPr>
            <w:tcW w:w="1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beginning of year</w:t>
            </w:r>
          </w:p>
        </w:tc>
        <w:tc>
          <w:tcPr>
            <w:tcW w:w="17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31,613,924</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$46.25</w:t>
            </w:r>
          </w:p>
        </w:tc>
        <w:tc>
          <w:tcPr>
            <w:tcW w:w="1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30,310,579</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$42.50</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31,542,758</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$39.81</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Granted</w:t>
            </w:r>
          </w:p>
        </w:tc>
        <w:tc>
          <w:tcPr>
            <w:tcW w:w="17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5,643,500</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$79.64</w:t>
            </w:r>
          </w:p>
        </w:tc>
        <w:tc>
          <w:tcPr>
            <w:tcW w:w="17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6,012,168</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$54.04</w:t>
            </w:r>
          </w:p>
        </w:tc>
        <w:tc>
          <w:tcPr>
            <w:tcW w:w="17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2,027,812</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$62.57</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Exercised</w:t>
            </w: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(5,447,870)</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$30.76</w:t>
            </w:r>
          </w:p>
        </w:tc>
        <w:tc>
          <w:tcPr>
            <w:tcW w:w="1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(3,634,790)</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$28.68</w:t>
            </w:r>
          </w:p>
        </w:tc>
        <w:tc>
          <w:tcPr>
            <w:tcW w:w="1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(2,527,380)</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$24.15</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Forfeited</w:t>
            </w:r>
          </w:p>
        </w:tc>
        <w:tc>
          <w:tcPr>
            <w:tcW w:w="17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(601,233)</w:t>
            </w:r>
          </w:p>
        </w:tc>
        <w:tc>
          <w:tcPr>
            <w:tcW w:w="9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$62.03</w:t>
            </w:r>
          </w:p>
        </w:tc>
        <w:tc>
          <w:tcPr>
            <w:tcW w:w="1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(1,074,033)</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$52.50</w:t>
            </w:r>
          </w:p>
        </w:tc>
        <w:tc>
          <w:tcPr>
            <w:tcW w:w="1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(732,611)</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$47.61</w:t>
            </w:r>
          </w:p>
        </w:tc>
      </w:tr>
      <w:tr>
        <w:trPr>
          <w:trHeight w:val="168"/>
        </w:trPr>
        <w:tc>
          <w:tcPr>
            <w:tcW w:w="2540" w:type="dxa"/>
            <w:vAlign w:val="bottom"/>
          </w:tcPr>
          <w:p>
            <w:pPr>
              <w:spacing w:after="0"/>
              <w:rPr>
                <w:sz w:val="14"/>
                <w:szCs w:val="14"/>
                <w:color w:val="auto"/>
              </w:rPr>
            </w:pPr>
          </w:p>
        </w:tc>
        <w:tc>
          <w:tcPr>
            <w:tcW w:w="17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at year-end</w:t>
            </w:r>
          </w:p>
        </w:tc>
        <w:tc>
          <w:tcPr>
            <w:tcW w:w="17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31,208,321</w:t>
            </w:r>
          </w:p>
        </w:tc>
        <w:tc>
          <w:tcPr>
            <w:tcW w:w="9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$54.54</w:t>
            </w:r>
          </w:p>
        </w:tc>
        <w:tc>
          <w:tcPr>
            <w:tcW w:w="1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31,613,924</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$46.25</w:t>
            </w: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30,310,579</w:t>
            </w: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$42.50</w:t>
            </w:r>
          </w:p>
        </w:tc>
      </w:tr>
      <w:tr>
        <w:trPr>
          <w:trHeight w:val="168"/>
        </w:trPr>
        <w:tc>
          <w:tcPr>
            <w:tcW w:w="2540" w:type="dxa"/>
            <w:vAlign w:val="bottom"/>
          </w:tcPr>
          <w:p>
            <w:pPr>
              <w:spacing w:after="0"/>
              <w:rPr>
                <w:sz w:val="14"/>
                <w:szCs w:val="14"/>
                <w:color w:val="auto"/>
              </w:rPr>
            </w:pPr>
          </w:p>
        </w:tc>
        <w:tc>
          <w:tcPr>
            <w:tcW w:w="17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spacing w:after="0"/>
              <w:rPr>
                <w:sz w:val="14"/>
                <w:szCs w:val="14"/>
                <w:color w:val="auto"/>
              </w:rPr>
            </w:pP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Options exercisable at</w:t>
            </w:r>
          </w:p>
        </w:tc>
        <w:tc>
          <w:tcPr>
            <w:tcW w:w="1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year-end</w:t>
            </w:r>
          </w:p>
        </w:tc>
        <w:tc>
          <w:tcPr>
            <w:tcW w:w="17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16,277,868</w:t>
            </w:r>
          </w:p>
        </w:tc>
        <w:tc>
          <w:tcPr>
            <w:tcW w:w="920" w:type="dxa"/>
            <w:vAlign w:val="bottom"/>
          </w:tcPr>
          <w:p>
            <w:pPr>
              <w:spacing w:after="0"/>
              <w:rPr>
                <w:sz w:val="14"/>
                <w:szCs w:val="14"/>
                <w:color w:val="auto"/>
              </w:rPr>
            </w:pPr>
          </w:p>
        </w:tc>
        <w:tc>
          <w:tcPr>
            <w:tcW w:w="1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16,396,821</w:t>
            </w:r>
          </w:p>
        </w:tc>
        <w:tc>
          <w:tcPr>
            <w:tcW w:w="920" w:type="dxa"/>
            <w:vAlign w:val="bottom"/>
          </w:tcPr>
          <w:p>
            <w:pPr>
              <w:spacing w:after="0"/>
              <w:rPr>
                <w:sz w:val="14"/>
                <w:szCs w:val="14"/>
                <w:color w:val="auto"/>
              </w:rPr>
            </w:pP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15,914,440</w:t>
            </w:r>
          </w:p>
        </w:tc>
        <w:tc>
          <w:tcPr>
            <w:tcW w:w="800" w:type="dxa"/>
            <w:vAlign w:val="bottom"/>
          </w:tcPr>
          <w:p>
            <w:pPr>
              <w:spacing w:after="0"/>
              <w:rPr>
                <w:sz w:val="14"/>
                <w:szCs w:val="14"/>
                <w:color w:val="auto"/>
              </w:rPr>
            </w:pP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Weighted-average fair</w:t>
            </w:r>
          </w:p>
        </w:tc>
        <w:tc>
          <w:tcPr>
            <w:tcW w:w="1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value of options granted</w:t>
            </w:r>
          </w:p>
        </w:tc>
        <w:tc>
          <w:tcPr>
            <w:tcW w:w="1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during the year</w:t>
            </w:r>
          </w:p>
        </w:tc>
        <w:tc>
          <w:tcPr>
            <w:tcW w:w="17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30.03</w:t>
            </w:r>
          </w:p>
        </w:tc>
        <w:tc>
          <w:tcPr>
            <w:tcW w:w="920" w:type="dxa"/>
            <w:vAlign w:val="bottom"/>
          </w:tcPr>
          <w:p>
            <w:pPr>
              <w:spacing w:after="0"/>
              <w:rPr>
                <w:sz w:val="14"/>
                <w:szCs w:val="14"/>
                <w:color w:val="auto"/>
              </w:rPr>
            </w:pPr>
          </w:p>
        </w:tc>
        <w:tc>
          <w:tcPr>
            <w:tcW w:w="1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17.72</w:t>
            </w:r>
          </w:p>
        </w:tc>
        <w:tc>
          <w:tcPr>
            <w:tcW w:w="920" w:type="dxa"/>
            <w:vAlign w:val="bottom"/>
          </w:tcPr>
          <w:p>
            <w:pPr>
              <w:spacing w:after="0"/>
              <w:rPr>
                <w:sz w:val="14"/>
                <w:szCs w:val="14"/>
                <w:color w:val="auto"/>
              </w:rPr>
            </w:pPr>
          </w:p>
        </w:tc>
        <w:tc>
          <w:tcPr>
            <w:tcW w:w="1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22.24</w:t>
            </w:r>
          </w:p>
        </w:tc>
        <w:tc>
          <w:tcPr>
            <w:tcW w:w="800" w:type="dxa"/>
            <w:vAlign w:val="bottom"/>
          </w:tcPr>
          <w:p>
            <w:pPr>
              <w:spacing w:after="0"/>
              <w:rPr>
                <w:sz w:val="14"/>
                <w:szCs w:val="14"/>
                <w:color w:val="auto"/>
              </w:rPr>
            </w:pPr>
          </w:p>
        </w:tc>
      </w:tr>
    </w:tbl>
    <w:p>
      <w:pPr>
        <w:spacing w:after="0" w:line="341" w:lineRule="exact"/>
        <w:rPr>
          <w:sz w:val="20"/>
          <w:szCs w:val="20"/>
          <w:color w:val="auto"/>
        </w:rPr>
      </w:pPr>
    </w:p>
    <w:p>
      <w:pPr>
        <w:ind w:left="360" w:right="3760" w:hanging="359"/>
        <w:spacing w:after="0" w:line="235" w:lineRule="auto"/>
        <w:tabs>
          <w:tab w:leader="none" w:pos="340" w:val="left"/>
        </w:tabs>
        <w:rPr>
          <w:sz w:val="20"/>
          <w:szCs w:val="20"/>
          <w:color w:val="auto"/>
        </w:rPr>
      </w:pPr>
      <w:r>
        <w:rPr>
          <w:rFonts w:ascii="Courier New" w:cs="Courier New" w:eastAsia="Courier New" w:hAnsi="Courier New"/>
          <w:sz w:val="15"/>
          <w:szCs w:val="15"/>
          <w:color w:val="auto"/>
        </w:rPr>
        <w:t>/1/</w:t>
        <w:tab/>
        <w:t>Shares and exercise price were restated to reflect adjustments made as a result of the spin-off of Sedco Forex, in accordance with EITF Issue 90-9, Changes to Fixed Employee Stock Option Plans as Result of Equity Restructuring.</w:t>
      </w:r>
    </w:p>
    <w:p>
      <w:pPr>
        <w:spacing w:after="0" w:line="175" w:lineRule="exact"/>
        <w:rPr>
          <w:sz w:val="20"/>
          <w:szCs w:val="20"/>
          <w:color w:val="auto"/>
        </w:rPr>
      </w:pPr>
    </w:p>
    <w:p>
      <w:pPr>
        <w:ind w:right="3680"/>
        <w:spacing w:after="0" w:line="261" w:lineRule="auto"/>
        <w:rPr>
          <w:sz w:val="20"/>
          <w:szCs w:val="20"/>
          <w:color w:val="auto"/>
        </w:rPr>
      </w:pPr>
      <w:r>
        <w:rPr>
          <w:rFonts w:ascii="Courier New" w:cs="Courier New" w:eastAsia="Courier New" w:hAnsi="Courier New"/>
          <w:sz w:val="14"/>
          <w:szCs w:val="14"/>
          <w:color w:val="auto"/>
        </w:rPr>
        <w:t>The following table summarizes information concerning currently outstanding and exercisable options by three ranges of exercise prices on December 31, 2000:</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0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700" w:type="dxa"/>
            <w:vAlign w:val="bottom"/>
          </w:tcPr>
          <w:p>
            <w:pPr>
              <w:spacing w:after="0"/>
              <w:rPr>
                <w:sz w:val="20"/>
                <w:szCs w:val="20"/>
                <w:color w:val="auto"/>
              </w:rPr>
            </w:pPr>
            <w:r>
              <w:rPr>
                <w:rFonts w:ascii="Courier New" w:cs="Courier New" w:eastAsia="Courier New" w:hAnsi="Courier New"/>
                <w:sz w:val="15"/>
                <w:szCs w:val="15"/>
                <w:color w:val="auto"/>
                <w:w w:val="98"/>
              </w:rPr>
              <w:t>Options Outstanding</w:t>
            </w:r>
          </w:p>
        </w:tc>
        <w:tc>
          <w:tcPr>
            <w:tcW w:w="1220" w:type="dxa"/>
            <w:vAlign w:val="bottom"/>
          </w:tcPr>
          <w:p>
            <w:pPr>
              <w:spacing w:after="0"/>
              <w:rPr>
                <w:sz w:val="14"/>
                <w:szCs w:val="14"/>
                <w:color w:val="auto"/>
              </w:rPr>
            </w:pPr>
          </w:p>
        </w:tc>
        <w:tc>
          <w:tcPr>
            <w:tcW w:w="3280" w:type="dxa"/>
            <w:vAlign w:val="bottom"/>
            <w:gridSpan w:val="2"/>
          </w:tcPr>
          <w:p>
            <w:pPr>
              <w:ind w:left="920"/>
              <w:spacing w:after="0"/>
              <w:rPr>
                <w:sz w:val="20"/>
                <w:szCs w:val="20"/>
                <w:color w:val="auto"/>
              </w:rPr>
            </w:pPr>
            <w:r>
              <w:rPr>
                <w:rFonts w:ascii="Courier New" w:cs="Courier New" w:eastAsia="Courier New" w:hAnsi="Courier New"/>
                <w:sz w:val="15"/>
                <w:szCs w:val="15"/>
                <w:color w:val="auto"/>
              </w:rPr>
              <w:t>Options Exercisable</w:t>
            </w:r>
          </w:p>
        </w:tc>
      </w:tr>
      <w:tr>
        <w:trPr>
          <w:trHeight w:val="168"/>
        </w:trPr>
        <w:tc>
          <w:tcPr>
            <w:tcW w:w="2020" w:type="dxa"/>
            <w:vAlign w:val="bottom"/>
          </w:tcPr>
          <w:p>
            <w:pPr>
              <w:spacing w:after="0"/>
              <w:rPr>
                <w:sz w:val="14"/>
                <w:szCs w:val="14"/>
                <w:color w:val="auto"/>
              </w:rPr>
            </w:pPr>
          </w:p>
        </w:tc>
        <w:tc>
          <w:tcPr>
            <w:tcW w:w="3720" w:type="dxa"/>
            <w:vAlign w:val="bottom"/>
            <w:gridSpan w:val="2"/>
          </w:tcPr>
          <w:p>
            <w:pPr>
              <w:ind w:left="700"/>
              <w:spacing w:after="0"/>
              <w:rPr>
                <w:sz w:val="20"/>
                <w:szCs w:val="20"/>
                <w:color w:val="auto"/>
              </w:rPr>
            </w:pPr>
            <w:r>
              <w:rPr>
                <w:rFonts w:ascii="Courier New" w:cs="Courier New" w:eastAsia="Courier New" w:hAnsi="Courier New"/>
                <w:sz w:val="14"/>
                <w:szCs w:val="14"/>
                <w:color w:val="auto"/>
                <w:w w:val="74"/>
              </w:rPr>
              <w:t>------------------------------------------------</w:t>
            </w:r>
          </w:p>
        </w:tc>
        <w:tc>
          <w:tcPr>
            <w:tcW w:w="1220" w:type="dxa"/>
            <w:vAlign w:val="bottom"/>
          </w:tcPr>
          <w:p>
            <w:pPr>
              <w:spacing w:after="0"/>
              <w:rPr>
                <w:sz w:val="14"/>
                <w:szCs w:val="14"/>
                <w:color w:val="auto"/>
              </w:rPr>
            </w:pPr>
          </w:p>
        </w:tc>
        <w:tc>
          <w:tcPr>
            <w:tcW w:w="3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02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7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8"/>
              </w:rPr>
              <w:t>Weighted-</w:t>
            </w:r>
          </w:p>
        </w:tc>
        <w:tc>
          <w:tcPr>
            <w:tcW w:w="122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6"/>
              </w:rPr>
              <w:t>Weighted-</w:t>
            </w:r>
          </w:p>
        </w:tc>
        <w:tc>
          <w:tcPr>
            <w:tcW w:w="1920" w:type="dxa"/>
            <w:vAlign w:val="bottom"/>
          </w:tcPr>
          <w:p>
            <w:pPr>
              <w:spacing w:after="0"/>
              <w:rPr>
                <w:sz w:val="14"/>
                <w:szCs w:val="14"/>
                <w:color w:val="auto"/>
              </w:rPr>
            </w:pPr>
          </w:p>
        </w:tc>
        <w:tc>
          <w:tcPr>
            <w:tcW w:w="136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8"/>
              </w:rPr>
              <w:t>Weighted-</w:t>
            </w:r>
          </w:p>
        </w:tc>
      </w:tr>
      <w:tr>
        <w:trPr>
          <w:trHeight w:val="168"/>
        </w:trPr>
        <w:tc>
          <w:tcPr>
            <w:tcW w:w="2020" w:type="dxa"/>
            <w:vAlign w:val="bottom"/>
          </w:tcPr>
          <w:p>
            <w:pPr>
              <w:spacing w:after="0"/>
              <w:rPr>
                <w:sz w:val="14"/>
                <w:szCs w:val="14"/>
                <w:color w:val="auto"/>
              </w:rPr>
            </w:pPr>
          </w:p>
        </w:tc>
        <w:tc>
          <w:tcPr>
            <w:tcW w:w="202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Number</w:t>
            </w:r>
          </w:p>
        </w:tc>
        <w:tc>
          <w:tcPr>
            <w:tcW w:w="17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5"/>
              </w:rPr>
              <w:t>average</w:t>
            </w:r>
          </w:p>
        </w:tc>
        <w:tc>
          <w:tcPr>
            <w:tcW w:w="122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8"/>
              </w:rPr>
              <w:t>average</w:t>
            </w:r>
          </w:p>
        </w:tc>
        <w:tc>
          <w:tcPr>
            <w:tcW w:w="19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Number</w:t>
            </w:r>
          </w:p>
        </w:tc>
        <w:tc>
          <w:tcPr>
            <w:tcW w:w="136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5"/>
              </w:rPr>
              <w:t>average</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Range of</w:t>
            </w:r>
          </w:p>
        </w:tc>
        <w:tc>
          <w:tcPr>
            <w:tcW w:w="202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outstanding</w:t>
            </w:r>
          </w:p>
        </w:tc>
        <w:tc>
          <w:tcPr>
            <w:tcW w:w="17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8"/>
              </w:rPr>
              <w:t>remaining</w:t>
            </w:r>
          </w:p>
        </w:tc>
        <w:tc>
          <w:tcPr>
            <w:tcW w:w="1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exercise</w:t>
            </w:r>
          </w:p>
        </w:tc>
        <w:tc>
          <w:tcPr>
            <w:tcW w:w="19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exercisable</w:t>
            </w:r>
          </w:p>
        </w:tc>
        <w:tc>
          <w:tcPr>
            <w:tcW w:w="13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exercise</w:t>
            </w:r>
          </w:p>
        </w:tc>
      </w:tr>
      <w:tr>
        <w:trPr>
          <w:trHeight w:val="168"/>
        </w:trPr>
        <w:tc>
          <w:tcPr>
            <w:tcW w:w="20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exercise prices</w:t>
            </w:r>
          </w:p>
        </w:tc>
        <w:tc>
          <w:tcPr>
            <w:tcW w:w="20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as of 12/31/00</w:t>
            </w:r>
          </w:p>
        </w:tc>
        <w:tc>
          <w:tcPr>
            <w:tcW w:w="1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contractual life</w:t>
            </w:r>
          </w:p>
        </w:tc>
        <w:tc>
          <w:tcPr>
            <w:tcW w:w="122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7"/>
              </w:rPr>
              <w:t>price</w:t>
            </w:r>
          </w:p>
        </w:tc>
        <w:tc>
          <w:tcPr>
            <w:tcW w:w="192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as of 12/31/00</w:t>
            </w:r>
          </w:p>
        </w:tc>
        <w:tc>
          <w:tcPr>
            <w:tcW w:w="1360" w:type="dxa"/>
            <w:vAlign w:val="bottom"/>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price</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88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3.831 -</w:t>
            </w:r>
          </w:p>
        </w:tc>
        <w:tc>
          <w:tcPr>
            <w:tcW w:w="122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$38.473</w:t>
            </w:r>
          </w:p>
        </w:tc>
        <w:tc>
          <w:tcPr>
            <w:tcW w:w="20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12,248,665</w:t>
            </w:r>
          </w:p>
        </w:tc>
        <w:tc>
          <w:tcPr>
            <w:tcW w:w="1220" w:type="dxa"/>
            <w:vAlign w:val="bottom"/>
          </w:tcPr>
          <w:p>
            <w:pPr>
              <w:jc w:val="right"/>
              <w:ind w:right="507"/>
              <w:spacing w:after="0"/>
              <w:rPr>
                <w:sz w:val="20"/>
                <w:szCs w:val="20"/>
                <w:color w:val="auto"/>
              </w:rPr>
            </w:pPr>
            <w:r>
              <w:rPr>
                <w:rFonts w:ascii="Courier New" w:cs="Courier New" w:eastAsia="Courier New" w:hAnsi="Courier New"/>
                <w:sz w:val="15"/>
                <w:szCs w:val="15"/>
                <w:color w:val="auto"/>
              </w:rPr>
              <w:t>4.14</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30.855</w:t>
            </w:r>
          </w:p>
        </w:tc>
        <w:tc>
          <w:tcPr>
            <w:tcW w:w="1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10,822,533</w:t>
            </w:r>
          </w:p>
        </w:tc>
        <w:tc>
          <w:tcPr>
            <w:tcW w:w="5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30.281</w:t>
            </w:r>
          </w:p>
        </w:tc>
      </w:tr>
      <w:tr>
        <w:trPr>
          <w:trHeight w:val="168"/>
        </w:trPr>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42.170</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$71.315</w:t>
            </w:r>
          </w:p>
        </w:tc>
        <w:tc>
          <w:tcPr>
            <w:tcW w:w="2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8,581,520</w:t>
            </w:r>
          </w:p>
        </w:tc>
        <w:tc>
          <w:tcPr>
            <w:tcW w:w="12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7.86</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55.292</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2,376,169</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54.053</w:t>
            </w:r>
          </w:p>
        </w:tc>
      </w:tr>
      <w:tr>
        <w:trPr>
          <w:trHeight w:val="168"/>
        </w:trPr>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73.032</w:t>
            </w:r>
          </w:p>
        </w:tc>
        <w:tc>
          <w:tcPr>
            <w:tcW w:w="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$82.348</w:t>
            </w:r>
          </w:p>
        </w:tc>
        <w:tc>
          <w:tcPr>
            <w:tcW w:w="2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10,378,136</w:t>
            </w:r>
          </w:p>
        </w:tc>
        <w:tc>
          <w:tcPr>
            <w:tcW w:w="12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8.28</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81.515</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3,079,166</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82.323</w:t>
            </w:r>
          </w:p>
        </w:tc>
      </w:tr>
      <w:tr>
        <w:trPr>
          <w:trHeight w:val="168"/>
        </w:trPr>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31,208,321</w:t>
            </w:r>
          </w:p>
        </w:tc>
        <w:tc>
          <w:tcPr>
            <w:tcW w:w="12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6.54</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54.421</w:t>
            </w: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16,277,868</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43.595</w:t>
            </w:r>
          </w:p>
        </w:tc>
      </w:tr>
      <w:tr>
        <w:trPr>
          <w:trHeight w:val="168"/>
        </w:trPr>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0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STOCK PURCHASE PLAN</w:t>
      </w:r>
    </w:p>
    <w:p>
      <w:pPr>
        <w:spacing w:after="0" w:line="5" w:lineRule="exact"/>
        <w:rPr>
          <w:sz w:val="20"/>
          <w:szCs w:val="20"/>
          <w:color w:val="auto"/>
        </w:rPr>
      </w:pPr>
    </w:p>
    <w:p>
      <w:pPr>
        <w:ind w:right="3600"/>
        <w:spacing w:after="0" w:line="255" w:lineRule="auto"/>
        <w:rPr>
          <w:sz w:val="20"/>
          <w:szCs w:val="20"/>
          <w:color w:val="auto"/>
        </w:rPr>
      </w:pPr>
      <w:r>
        <w:rPr>
          <w:rFonts w:ascii="Courier New" w:cs="Courier New" w:eastAsia="Courier New" w:hAnsi="Courier New"/>
          <w:sz w:val="14"/>
          <w:szCs w:val="14"/>
          <w:color w:val="auto"/>
        </w:rPr>
        <w:t>Under the Schlumberger Discounted Stock Purchase Plan, Schlumberger is authorized to issue up to 22,012,245 shares of common stock to its employees. Under the terms of the Plan, employees can choose each year to have up to 10% of their annual earnings withheld to purchase Schlumberger common stock. The purchase price of the stock is 85% of the lower of its beginning or end of the Plan year market price. Under the Plan, Schlumberger sold 1,431,309, 1,324,848 and 1,266,840 shares to employees in 2000, 1999 and 1998, respectively. Compensation cost has been computed for the fair value of the employees'</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600"/>
          </w:cols>
          <w:pgMar w:left="220" w:top="624" w:right="1079" w:bottom="1440" w:gutter="0" w:footer="0" w:header="0"/>
        </w:sectPr>
      </w:pPr>
    </w:p>
    <w:bookmarkStart w:id="44" w:name="page45"/>
    <w:bookmarkEnd w:id="44"/>
    <w:p>
      <w:pPr>
        <w:ind w:right="3239"/>
        <w:spacing w:after="0" w:line="255" w:lineRule="auto"/>
        <w:rPr>
          <w:sz w:val="20"/>
          <w:szCs w:val="20"/>
          <w:color w:val="auto"/>
        </w:rPr>
      </w:pPr>
      <w:r>
        <w:rPr>
          <w:rFonts w:ascii="Courier New" w:cs="Courier New" w:eastAsia="Courier New" w:hAnsi="Courier New"/>
          <w:sz w:val="14"/>
          <w:szCs w:val="14"/>
          <w:color w:val="auto"/>
        </w:rPr>
        <w:t>purchase rights, which was estimated using the Black-Scholes model with the following assumptions for 2000, 1999 and 1998: Dividend of $0.75; expected life of one year; expected volatility of 38% for 2000, 40% for 1999 and 34% for 1998; and risk-free interest rates of 5.71% for 2000, 5.33% for 1999 and 4.44% for 1998. The weighted-average fair value of those purchase rights granted in 2000, 1999 and 1998, was $23.141, $19.829 and $19.817, respectively.</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 Expense</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Schlumberger and its subsidiaries operate in more than 100 taxing jurisdictions where statutory tax rates generally vary from 0% to 50%.</w:t>
      </w:r>
    </w:p>
    <w:p>
      <w:pPr>
        <w:spacing w:after="0" w:line="173" w:lineRule="exact"/>
        <w:rPr>
          <w:sz w:val="20"/>
          <w:szCs w:val="20"/>
          <w:color w:val="auto"/>
        </w:rPr>
      </w:pPr>
    </w:p>
    <w:p>
      <w:pPr>
        <w:ind w:right="3499"/>
        <w:spacing w:after="0" w:line="261" w:lineRule="auto"/>
        <w:rPr>
          <w:sz w:val="20"/>
          <w:szCs w:val="20"/>
          <w:color w:val="auto"/>
        </w:rPr>
      </w:pPr>
      <w:r>
        <w:rPr>
          <w:rFonts w:ascii="Courier New" w:cs="Courier New" w:eastAsia="Courier New" w:hAnsi="Courier New"/>
          <w:sz w:val="14"/>
          <w:szCs w:val="14"/>
          <w:color w:val="auto"/>
        </w:rPr>
        <w:t>Pretax book income from continuing operations subject to US and non-US income taxes for each of the three years ended December 31,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4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280" w:type="dxa"/>
            <w:vAlign w:val="bottom"/>
          </w:tcPr>
          <w:p>
            <w:pPr>
              <w:spacing w:after="0"/>
              <w:rPr>
                <w:sz w:val="14"/>
                <w:szCs w:val="14"/>
                <w:color w:val="auto"/>
              </w:rPr>
            </w:pPr>
          </w:p>
        </w:tc>
        <w:tc>
          <w:tcPr>
            <w:tcW w:w="15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14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1999</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2280" w:type="dxa"/>
            <w:vAlign w:val="bottom"/>
          </w:tcPr>
          <w:p>
            <w:pPr>
              <w:spacing w:after="0"/>
              <w:rPr>
                <w:sz w:val="14"/>
                <w:szCs w:val="14"/>
                <w:color w:val="auto"/>
              </w:rPr>
            </w:pP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280" w:type="dxa"/>
            <w:vAlign w:val="bottom"/>
          </w:tcPr>
          <w:p>
            <w:pPr>
              <w:spacing w:after="0"/>
              <w:rPr>
                <w:sz w:val="20"/>
                <w:szCs w:val="20"/>
                <w:color w:val="auto"/>
              </w:rPr>
            </w:pPr>
            <w:r>
              <w:rPr>
                <w:rFonts w:ascii="Courier New" w:cs="Courier New" w:eastAsia="Courier New" w:hAnsi="Courier New"/>
                <w:sz w:val="15"/>
                <w:szCs w:val="15"/>
                <w:color w:val="auto"/>
              </w:rPr>
              <w:t>United States</w:t>
            </w: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$ 51</w:t>
            </w:r>
          </w:p>
        </w:tc>
        <w:tc>
          <w:tcPr>
            <w:tcW w:w="14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(172)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$ 24</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Outside United States</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910</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653</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879</w:t>
            </w:r>
          </w:p>
        </w:tc>
      </w:tr>
      <w:tr>
        <w:trPr>
          <w:trHeight w:val="336"/>
        </w:trPr>
        <w:tc>
          <w:tcPr>
            <w:tcW w:w="2280" w:type="dxa"/>
            <w:vAlign w:val="bottom"/>
          </w:tcPr>
          <w:p>
            <w:pPr>
              <w:spacing w:after="0"/>
              <w:rPr>
                <w:sz w:val="24"/>
                <w:szCs w:val="24"/>
                <w:color w:val="auto"/>
              </w:rPr>
            </w:pPr>
          </w:p>
        </w:tc>
        <w:tc>
          <w:tcPr>
            <w:tcW w:w="15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68"/>
        </w:trPr>
        <w:tc>
          <w:tcPr>
            <w:tcW w:w="228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income</w:t>
            </w: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$961</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$481</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$903</w:t>
            </w:r>
          </w:p>
        </w:tc>
      </w:tr>
      <w:tr>
        <w:trPr>
          <w:trHeight w:val="168"/>
        </w:trPr>
        <w:tc>
          <w:tcPr>
            <w:tcW w:w="2280" w:type="dxa"/>
            <w:vAlign w:val="bottom"/>
          </w:tcPr>
          <w:p>
            <w:pPr>
              <w:spacing w:after="0"/>
              <w:rPr>
                <w:sz w:val="14"/>
                <w:szCs w:val="14"/>
                <w:color w:val="auto"/>
              </w:rPr>
            </w:pPr>
          </w:p>
        </w:tc>
        <w:tc>
          <w:tcPr>
            <w:tcW w:w="15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Schlumberger had net deductible temporary differences of $1.0 billion on December 31, 2000, $1.1 billion on December 31, 1999 and $1.2 billion on December 31, 1998. Temporary differences at December 31, 2000 pertain to postretirement medical benefits ($0.5 billion), employee benefits ($0.2 billion), multiclient seismic data ($0.2 billion), and fixed assets, inventory and other ($0.1 billion).</w:t>
      </w:r>
    </w:p>
    <w:p>
      <w:pPr>
        <w:spacing w:after="0" w:line="175"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The components of consolidated income tax expense from continuing operations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300" w:type="dxa"/>
            <w:vAlign w:val="bottom"/>
            <w:gridSpan w:val="4"/>
          </w:tcPr>
          <w:p>
            <w:pPr>
              <w:ind w:left="380"/>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800" w:type="dxa"/>
            <w:vAlign w:val="bottom"/>
          </w:tcPr>
          <w:p>
            <w:pPr>
              <w:spacing w:after="0"/>
              <w:rPr>
                <w:sz w:val="14"/>
                <w:szCs w:val="14"/>
                <w:color w:val="auto"/>
              </w:rPr>
            </w:pPr>
          </w:p>
        </w:tc>
        <w:tc>
          <w:tcPr>
            <w:tcW w:w="146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2000</w:t>
            </w:r>
          </w:p>
        </w:tc>
        <w:tc>
          <w:tcPr>
            <w:tcW w:w="74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94"/>
              </w:rPr>
              <w:t>1999</w:t>
            </w:r>
          </w:p>
        </w:tc>
        <w:tc>
          <w:tcPr>
            <w:tcW w:w="4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1998</w:t>
            </w:r>
          </w:p>
        </w:tc>
        <w:tc>
          <w:tcPr>
            <w:tcW w:w="3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14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w:t>
            </w: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United States - Federal</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(74)</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124</w:t>
            </w: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United States - State</w:t>
            </w:r>
          </w:p>
        </w:tc>
        <w:tc>
          <w:tcPr>
            <w:tcW w:w="840" w:type="dxa"/>
            <w:vAlign w:val="bottom"/>
          </w:tcPr>
          <w:p>
            <w:pPr>
              <w:spacing w:after="0"/>
              <w:rPr>
                <w:sz w:val="14"/>
                <w:szCs w:val="14"/>
                <w:color w:val="auto"/>
              </w:rPr>
            </w:pP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w:t>
            </w:r>
          </w:p>
        </w:tc>
        <w:tc>
          <w:tcPr>
            <w:tcW w:w="740" w:type="dxa"/>
            <w:vAlign w:val="bottom"/>
          </w:tcPr>
          <w:p>
            <w:pPr>
              <w:spacing w:after="0"/>
              <w:rPr>
                <w:sz w:val="14"/>
                <w:szCs w:val="14"/>
                <w:color w:val="auto"/>
              </w:rPr>
            </w:pP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w:t>
            </w:r>
          </w:p>
        </w:tc>
        <w:tc>
          <w:tcPr>
            <w:tcW w:w="740" w:type="dxa"/>
            <w:vAlign w:val="bottom"/>
          </w:tcPr>
          <w:p>
            <w:pPr>
              <w:spacing w:after="0"/>
              <w:rPr>
                <w:sz w:val="14"/>
                <w:szCs w:val="14"/>
                <w:color w:val="auto"/>
              </w:rPr>
            </w:pP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Outside United States</w:t>
            </w:r>
          </w:p>
        </w:tc>
        <w:tc>
          <w:tcPr>
            <w:tcW w:w="840" w:type="dxa"/>
            <w:vAlign w:val="bottom"/>
          </w:tcPr>
          <w:p>
            <w:pPr>
              <w:spacing w:after="0"/>
              <w:rPr>
                <w:sz w:val="14"/>
                <w:szCs w:val="14"/>
                <w:color w:val="auto"/>
              </w:rPr>
            </w:pP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194</w:t>
            </w:r>
          </w:p>
        </w:tc>
        <w:tc>
          <w:tcPr>
            <w:tcW w:w="740" w:type="dxa"/>
            <w:vAlign w:val="bottom"/>
          </w:tcPr>
          <w:p>
            <w:pPr>
              <w:spacing w:after="0"/>
              <w:rPr>
                <w:sz w:val="14"/>
                <w:szCs w:val="14"/>
                <w:color w:val="auto"/>
              </w:rPr>
            </w:pP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88"/>
              </w:rPr>
              <w:t>206</w:t>
            </w:r>
          </w:p>
        </w:tc>
        <w:tc>
          <w:tcPr>
            <w:tcW w:w="740" w:type="dxa"/>
            <w:vAlign w:val="bottom"/>
          </w:tcPr>
          <w:p>
            <w:pPr>
              <w:spacing w:after="0"/>
              <w:rPr>
                <w:sz w:val="14"/>
                <w:szCs w:val="14"/>
                <w:color w:val="auto"/>
              </w:rPr>
            </w:pP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225</w:t>
            </w:r>
          </w:p>
        </w:tc>
      </w:tr>
      <w:tr>
        <w:trPr>
          <w:trHeight w:val="168"/>
        </w:trPr>
        <w:tc>
          <w:tcPr>
            <w:tcW w:w="2800" w:type="dxa"/>
            <w:vAlign w:val="bottom"/>
          </w:tcPr>
          <w:p>
            <w:pPr>
              <w:spacing w:after="0"/>
              <w:rPr>
                <w:sz w:val="14"/>
                <w:szCs w:val="14"/>
                <w:color w:val="auto"/>
              </w:rPr>
            </w:pPr>
          </w:p>
        </w:tc>
        <w:tc>
          <w:tcPr>
            <w:tcW w:w="14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219</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88"/>
              </w:rPr>
              <w:t>125</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364</w:t>
            </w:r>
          </w:p>
        </w:tc>
      </w:tr>
      <w:tr>
        <w:trPr>
          <w:trHeight w:val="168"/>
        </w:trPr>
        <w:tc>
          <w:tcPr>
            <w:tcW w:w="2800" w:type="dxa"/>
            <w:vAlign w:val="bottom"/>
          </w:tcPr>
          <w:p>
            <w:pPr>
              <w:spacing w:after="0"/>
              <w:rPr>
                <w:sz w:val="14"/>
                <w:szCs w:val="14"/>
                <w:color w:val="auto"/>
              </w:rPr>
            </w:pPr>
          </w:p>
        </w:tc>
        <w:tc>
          <w:tcPr>
            <w:tcW w:w="14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w:t>
            </w: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United States - Federal</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(68)</w:t>
            </w: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United States - State</w:t>
            </w:r>
          </w:p>
        </w:tc>
        <w:tc>
          <w:tcPr>
            <w:tcW w:w="840" w:type="dxa"/>
            <w:vAlign w:val="bottom"/>
          </w:tcPr>
          <w:p>
            <w:pPr>
              <w:spacing w:after="0"/>
              <w:rPr>
                <w:sz w:val="14"/>
                <w:szCs w:val="14"/>
                <w:color w:val="auto"/>
              </w:rPr>
            </w:pP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w:t>
            </w:r>
          </w:p>
        </w:tc>
        <w:tc>
          <w:tcPr>
            <w:tcW w:w="740" w:type="dxa"/>
            <w:vAlign w:val="bottom"/>
          </w:tcPr>
          <w:p>
            <w:pPr>
              <w:spacing w:after="0"/>
              <w:rPr>
                <w:sz w:val="14"/>
                <w:szCs w:val="14"/>
                <w:color w:val="auto"/>
              </w:rPr>
            </w:pP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74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28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Outside United States</w:t>
            </w:r>
          </w:p>
        </w:tc>
        <w:tc>
          <w:tcPr>
            <w:tcW w:w="8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28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w:t>
            </w:r>
          </w:p>
        </w:tc>
        <w:tc>
          <w:tcPr>
            <w:tcW w:w="740" w:type="dxa"/>
            <w:vAlign w:val="bottom"/>
          </w:tcPr>
          <w:p>
            <w:pPr>
              <w:spacing w:after="0"/>
              <w:rPr>
                <w:sz w:val="14"/>
                <w:szCs w:val="14"/>
                <w:color w:val="auto"/>
              </w:rPr>
            </w:pP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74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(13)</w:t>
            </w:r>
          </w:p>
        </w:tc>
      </w:tr>
      <w:tr>
        <w:trPr>
          <w:trHeight w:val="168"/>
        </w:trPr>
        <w:tc>
          <w:tcPr>
            <w:tcW w:w="2800" w:type="dxa"/>
            <w:vAlign w:val="bottom"/>
          </w:tcPr>
          <w:p>
            <w:pPr>
              <w:spacing w:after="0"/>
              <w:rPr>
                <w:sz w:val="14"/>
                <w:szCs w:val="14"/>
                <w:color w:val="auto"/>
              </w:rPr>
            </w:pPr>
          </w:p>
        </w:tc>
        <w:tc>
          <w:tcPr>
            <w:tcW w:w="14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00" w:type="dxa"/>
            <w:vAlign w:val="bottom"/>
          </w:tcPr>
          <w:p>
            <w:pPr>
              <w:spacing w:after="0"/>
              <w:rPr>
                <w:sz w:val="14"/>
                <w:szCs w:val="14"/>
                <w:color w:val="auto"/>
              </w:rPr>
            </w:pP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(88)</w:t>
            </w:r>
          </w:p>
        </w:tc>
      </w:tr>
      <w:tr>
        <w:trPr>
          <w:trHeight w:val="168"/>
        </w:trPr>
        <w:tc>
          <w:tcPr>
            <w:tcW w:w="2800" w:type="dxa"/>
            <w:vAlign w:val="bottom"/>
          </w:tcPr>
          <w:p>
            <w:pPr>
              <w:spacing w:after="0"/>
              <w:rPr>
                <w:sz w:val="14"/>
                <w:szCs w:val="14"/>
                <w:color w:val="auto"/>
              </w:rPr>
            </w:pPr>
          </w:p>
        </w:tc>
        <w:tc>
          <w:tcPr>
            <w:tcW w:w="14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Consolidated taxes on income</w:t>
            </w:r>
          </w:p>
        </w:tc>
        <w:tc>
          <w:tcPr>
            <w:tcW w:w="840" w:type="dxa"/>
            <w:vAlign w:val="bottom"/>
          </w:tcPr>
          <w:p>
            <w:pPr>
              <w:spacing w:after="0"/>
              <w:rPr>
                <w:sz w:val="24"/>
                <w:szCs w:val="24"/>
                <w:color w:val="auto"/>
              </w:rPr>
            </w:pPr>
          </w:p>
        </w:tc>
        <w:tc>
          <w:tcPr>
            <w:tcW w:w="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$228</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88"/>
              </w:rPr>
              <w:t>141</w:t>
            </w:r>
          </w:p>
        </w:tc>
        <w:tc>
          <w:tcPr>
            <w:tcW w:w="74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7"/>
              <w:spacing w:after="0"/>
              <w:rPr>
                <w:sz w:val="20"/>
                <w:szCs w:val="20"/>
                <w:color w:val="auto"/>
              </w:rPr>
            </w:pPr>
            <w:r>
              <w:rPr>
                <w:rFonts w:ascii="Courier New" w:cs="Courier New" w:eastAsia="Courier New" w:hAnsi="Courier New"/>
                <w:sz w:val="15"/>
                <w:szCs w:val="15"/>
                <w:color w:val="auto"/>
                <w:w w:val="88"/>
              </w:rPr>
              <w:t>276</w:t>
            </w:r>
          </w:p>
        </w:tc>
      </w:tr>
      <w:tr>
        <w:trPr>
          <w:trHeight w:val="168"/>
        </w:trPr>
        <w:tc>
          <w:tcPr>
            <w:tcW w:w="2800" w:type="dxa"/>
            <w:vAlign w:val="bottom"/>
          </w:tcPr>
          <w:p>
            <w:pPr>
              <w:spacing w:after="0"/>
              <w:rPr>
                <w:sz w:val="14"/>
                <w:szCs w:val="14"/>
                <w:color w:val="auto"/>
              </w:rPr>
            </w:pPr>
          </w:p>
        </w:tc>
        <w:tc>
          <w:tcPr>
            <w:tcW w:w="14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00" w:type="dxa"/>
            <w:vAlign w:val="bottom"/>
          </w:tcPr>
          <w:p>
            <w:pPr>
              <w:spacing w:after="0"/>
              <w:rPr>
                <w:sz w:val="20"/>
                <w:szCs w:val="20"/>
                <w:color w:val="auto"/>
              </w:rPr>
            </w:pPr>
            <w:r>
              <w:rPr>
                <w:rFonts w:ascii="Courier New" w:cs="Courier New" w:eastAsia="Courier New" w:hAnsi="Courier New"/>
                <w:sz w:val="15"/>
                <w:szCs w:val="15"/>
                <w:color w:val="auto"/>
              </w:rPr>
              <w:t>Effective tax rate</w:t>
            </w:r>
          </w:p>
        </w:tc>
        <w:tc>
          <w:tcPr>
            <w:tcW w:w="840" w:type="dxa"/>
            <w:vAlign w:val="bottom"/>
          </w:tcPr>
          <w:p>
            <w:pPr>
              <w:spacing w:after="0"/>
              <w:rPr>
                <w:sz w:val="24"/>
                <w:szCs w:val="24"/>
                <w:color w:val="auto"/>
              </w:rPr>
            </w:pPr>
          </w:p>
        </w:tc>
        <w:tc>
          <w:tcPr>
            <w:tcW w:w="6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w:t>
            </w:r>
          </w:p>
        </w:tc>
        <w:tc>
          <w:tcPr>
            <w:tcW w:w="740" w:type="dxa"/>
            <w:vAlign w:val="bottom"/>
          </w:tcPr>
          <w:p>
            <w:pPr>
              <w:spacing w:after="0"/>
              <w:rPr>
                <w:sz w:val="24"/>
                <w:szCs w:val="24"/>
                <w:color w:val="auto"/>
              </w:rPr>
            </w:pPr>
          </w:p>
        </w:tc>
        <w:tc>
          <w:tcPr>
            <w:tcW w:w="4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30%</w:t>
            </w:r>
          </w:p>
        </w:tc>
        <w:tc>
          <w:tcPr>
            <w:tcW w:w="740" w:type="dxa"/>
            <w:vAlign w:val="bottom"/>
          </w:tcPr>
          <w:p>
            <w:pPr>
              <w:spacing w:after="0"/>
              <w:rPr>
                <w:sz w:val="24"/>
                <w:szCs w:val="24"/>
                <w:color w:val="auto"/>
              </w:rPr>
            </w:pP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31%</w:t>
            </w:r>
          </w:p>
        </w:tc>
      </w:tr>
      <w:tr>
        <w:trPr>
          <w:trHeight w:val="168"/>
        </w:trPr>
        <w:tc>
          <w:tcPr>
            <w:tcW w:w="2800" w:type="dxa"/>
            <w:vAlign w:val="bottom"/>
          </w:tcPr>
          <w:p>
            <w:pPr>
              <w:spacing w:after="0"/>
              <w:rPr>
                <w:sz w:val="14"/>
                <w:szCs w:val="14"/>
                <w:color w:val="auto"/>
              </w:rPr>
            </w:pPr>
          </w:p>
        </w:tc>
        <w:tc>
          <w:tcPr>
            <w:tcW w:w="14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28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40" w:type="dxa"/>
            <w:vAlign w:val="bottom"/>
          </w:tcPr>
          <w:p>
            <w:pPr>
              <w:spacing w:after="0"/>
              <w:rPr>
                <w:sz w:val="24"/>
                <w:szCs w:val="24"/>
                <w:color w:val="auto"/>
              </w:rPr>
            </w:pPr>
          </w:p>
        </w:tc>
      </w:tr>
    </w:tbl>
    <w:p>
      <w:pPr>
        <w:sectPr>
          <w:pgSz w:w="11900" w:h="16838" w:orient="portrait"/>
          <w:cols w:equalWidth="0" w:num="1">
            <w:col w:w="10239"/>
          </w:cols>
          <w:pgMar w:left="220" w:top="624" w:right="1440" w:bottom="1440" w:gutter="0" w:footer="0" w:header="0"/>
        </w:sectPr>
      </w:pPr>
    </w:p>
    <w:bookmarkStart w:id="45" w:name="page46"/>
    <w:bookmarkEnd w:id="45"/>
    <w:p>
      <w:pPr>
        <w:ind w:right="3239"/>
        <w:spacing w:after="0" w:line="236" w:lineRule="auto"/>
        <w:rPr>
          <w:sz w:val="20"/>
          <w:szCs w:val="20"/>
          <w:color w:val="auto"/>
        </w:rPr>
      </w:pPr>
      <w:r>
        <w:rPr>
          <w:rFonts w:ascii="Courier New" w:cs="Courier New" w:eastAsia="Courier New" w:hAnsi="Courier New"/>
          <w:sz w:val="15"/>
          <w:szCs w:val="15"/>
          <w:color w:val="auto"/>
        </w:rPr>
        <w:t>For the three years, the variations from the US statutory federal tax rate (35%) and Schlumberger effective tax rates were due to several factors, including a substantial proportion of operations in countries where taxation on income is lower than in the US partially offset by the effect of permanent book/tax differences in the US, such as goodwill amortization.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Leases and Lease Commitments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Total rental expense was $287 million in 2000, $303 million in 1999 and $304 million in 1998. Future minimum rental commitments under noncancelable leases for years ending December 31 are: $175 million in 2001; $147 million in 2002; $113 million in 2003; $88 million in 2004; and $79 million in 2005. For the ensuing three five-year periods, these commitments decrease from $624 million to $3 million. The minimum rentals over the remaining terms of the leases aggregate to $34 million.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Contingencies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Consolidated Balance Sheet includes accruals for the estimated future costs associated with certain environmental remediation activities related to the past use or disposal of hazardous materials. Substantially all such costs relate to divested operations and to facilities or locations that are no longer in operation. Due to a number of uncertainties, including uncertainty of timing, the scope of remediation, future technology, regulatory changes and other factors, it is possible that the ultimate remediation costs may exceed the amounts estimated. However, in the opinion of management, such additional costs are not expected to be material relative to consolidated liquidity, financial position or future results of operations.</w:t>
      </w:r>
    </w:p>
    <w:p>
      <w:pPr>
        <w:spacing w:after="0" w:line="179"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addition, Schlumberger and its subsidiaries are party to various other legal proceedings. Although the ultimate disposition of these proceedings is not presently determinable, in the opinion of Schlumberger any liability that might ensue would not be material in relation to the consolidated liquidity, financial position or future results of operations.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624" w:right="1440" w:bottom="1440" w:gutter="0" w:footer="0" w:header="0"/>
        </w:sectPr>
      </w:pPr>
    </w:p>
    <w:bookmarkStart w:id="46" w:name="page47"/>
    <w:bookmarkEnd w:id="46"/>
    <w:p>
      <w:pPr>
        <w:spacing w:after="0"/>
        <w:rPr>
          <w:sz w:val="20"/>
          <w:szCs w:val="20"/>
          <w:color w:val="auto"/>
        </w:rPr>
      </w:pPr>
      <w:r>
        <w:rPr>
          <w:rFonts w:ascii="Courier New" w:cs="Courier New" w:eastAsia="Courier New" w:hAnsi="Courier New"/>
          <w:sz w:val="15"/>
          <w:szCs w:val="15"/>
          <w:color w:val="auto"/>
        </w:rPr>
        <w:t>Segment Information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839"/>
        <w:spacing w:after="0" w:line="261" w:lineRule="auto"/>
        <w:rPr>
          <w:sz w:val="20"/>
          <w:szCs w:val="20"/>
          <w:color w:val="auto"/>
        </w:rPr>
      </w:pPr>
      <w:r>
        <w:rPr>
          <w:rFonts w:ascii="Courier New" w:cs="Courier New" w:eastAsia="Courier New" w:hAnsi="Courier New"/>
          <w:sz w:val="14"/>
          <w:szCs w:val="14"/>
          <w:color w:val="auto"/>
        </w:rPr>
        <w:t>Schlumberger operates three reportable segments: Oilfield Services (OFS), Resource Management Services (RMS) and Test &amp; Transactions (T&amp;T).</w:t>
      </w:r>
    </w:p>
    <w:p>
      <w:pPr>
        <w:spacing w:after="0" w:line="160"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Schlumberger OFS segment falls into four clearly defined economic and geographical areas and is evaluated on the following basis: First, North America (NAM) is a major self-contained market. Second, Latin America (LAM) comprises regional markets that share a common dependence on the United States. Third, Europe (ECA) is another major self-contained market that includes the CIS and West Africa, whose economy is increasingly linked to that of Europe. Fourth, Other Eastern includes the remainder of the Eastern Hemisphere, which consists of many countries at different stages of economic development that share a common dependence on the oil and gas industry.</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The OFS segment provides virtually all exploration and production services required during the life of an oil and gas reservoir. Schlumberger believes that all the products/services are interrelated and expects similar performance from each. The RMS segment is essentially a global provider of measurement solutions, products and systems for electricity, gas and water utilities. The T&amp;T segment supplies technology products, services and system solutions to the semiconductor, banking, telecommunications, transportation and health care industries. The segment consists of Cards, Semiconductor, Network Solutions and e-Transactions. Services and products are described in more detail on pages 1 and 2 this 10-K report.</w:t>
      </w:r>
    </w:p>
    <w:p>
      <w:pPr>
        <w:spacing w:after="0" w:line="179"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Financial information for the years ended December 31, 2000, 1999 and 1998, by segment, is as follows: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617" w:right="1440"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680" w:type="dxa"/>
            <w:vAlign w:val="bottom"/>
          </w:tcPr>
          <w:p>
            <w:pPr>
              <w:spacing w:after="0"/>
              <w:rPr>
                <w:sz w:val="14"/>
                <w:szCs w:val="14"/>
                <w:color w:val="auto"/>
              </w:rPr>
            </w:pPr>
          </w:p>
        </w:tc>
        <w:tc>
          <w:tcPr>
            <w:tcW w:w="8860" w:type="dxa"/>
            <w:vAlign w:val="bottom"/>
            <w:gridSpan w:val="19"/>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Other</w:t>
            </w:r>
          </w:p>
        </w:tc>
        <w:tc>
          <w:tcPr>
            <w:tcW w:w="280" w:type="dxa"/>
            <w:vAlign w:val="bottom"/>
          </w:tcPr>
          <w:p>
            <w:pPr>
              <w:spacing w:after="0"/>
              <w:rPr>
                <w:sz w:val="14"/>
                <w:szCs w:val="14"/>
                <w:color w:val="auto"/>
              </w:rPr>
            </w:pP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Elims/</w:t>
            </w:r>
          </w:p>
        </w:tc>
        <w:tc>
          <w:tcPr>
            <w:tcW w:w="22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Elims/</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68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2000</w:t>
            </w:r>
          </w:p>
        </w:tc>
        <w:tc>
          <w:tcPr>
            <w:tcW w:w="300" w:type="dxa"/>
            <w:vAlign w:val="bottom"/>
          </w:tcPr>
          <w:p>
            <w:pPr>
              <w:spacing w:after="0"/>
              <w:rPr>
                <w:sz w:val="14"/>
                <w:szCs w:val="14"/>
                <w:color w:val="auto"/>
              </w:rPr>
            </w:pPr>
          </w:p>
        </w:tc>
        <w:tc>
          <w:tcPr>
            <w:tcW w:w="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NAM</w:t>
            </w:r>
          </w:p>
        </w:tc>
        <w:tc>
          <w:tcPr>
            <w:tcW w:w="26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LAM</w:t>
            </w:r>
          </w:p>
        </w:tc>
        <w:tc>
          <w:tcPr>
            <w:tcW w:w="14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ECA</w:t>
            </w:r>
          </w:p>
        </w:tc>
        <w:tc>
          <w:tcPr>
            <w:tcW w:w="8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Eastern</w:t>
            </w:r>
          </w:p>
        </w:tc>
        <w:tc>
          <w:tcPr>
            <w:tcW w:w="280" w:type="dxa"/>
            <w:vAlign w:val="bottom"/>
          </w:tcPr>
          <w:p>
            <w:pPr>
              <w:spacing w:after="0"/>
              <w:rPr>
                <w:sz w:val="14"/>
                <w:szCs w:val="14"/>
                <w:color w:val="auto"/>
              </w:rPr>
            </w:pPr>
          </w:p>
        </w:tc>
        <w:tc>
          <w:tcPr>
            <w:tcW w:w="6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Other</w:t>
            </w:r>
          </w:p>
        </w:tc>
        <w:tc>
          <w:tcPr>
            <w:tcW w:w="2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OFS</w:t>
            </w:r>
          </w:p>
        </w:tc>
        <w:tc>
          <w:tcPr>
            <w:tcW w:w="22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RMS</w:t>
            </w: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T&amp;T</w:t>
            </w:r>
          </w:p>
        </w:tc>
        <w:tc>
          <w:tcPr>
            <w:tcW w:w="180" w:type="dxa"/>
            <w:vAlign w:val="bottom"/>
          </w:tcPr>
          <w:p>
            <w:pPr>
              <w:spacing w:after="0"/>
              <w:rPr>
                <w:sz w:val="14"/>
                <w:szCs w:val="14"/>
                <w:color w:val="auto"/>
              </w:rPr>
            </w:pP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w:t>
            </w:r>
          </w:p>
        </w:tc>
        <w:tc>
          <w:tcPr>
            <w:tcW w:w="1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2680" w:type="dxa"/>
            <w:vAlign w:val="bottom"/>
          </w:tcPr>
          <w:p>
            <w:pPr>
              <w:spacing w:after="0"/>
              <w:rPr>
                <w:sz w:val="14"/>
                <w:szCs w:val="14"/>
                <w:color w:val="auto"/>
              </w:rPr>
            </w:pPr>
          </w:p>
        </w:tc>
        <w:tc>
          <w:tcPr>
            <w:tcW w:w="8860" w:type="dxa"/>
            <w:vAlign w:val="bottom"/>
            <w:gridSpan w:val="19"/>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2,413</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1,151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1,603</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3"/>
              </w:rPr>
              <w:t>1,646</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220</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7,033</w:t>
            </w:r>
          </w:p>
        </w:tc>
        <w:tc>
          <w:tcPr>
            <w:tcW w:w="2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1,241 $</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1,409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9,611</w:t>
            </w:r>
          </w:p>
        </w:tc>
      </w:tr>
      <w:tr>
        <w:trPr>
          <w:trHeight w:val="168"/>
        </w:trPr>
        <w:tc>
          <w:tcPr>
            <w:tcW w:w="2680" w:type="dxa"/>
            <w:vAlign w:val="bottom"/>
          </w:tcPr>
          <w:p>
            <w:pPr>
              <w:spacing w:after="0"/>
              <w:rPr>
                <w:sz w:val="14"/>
                <w:szCs w:val="14"/>
                <w:color w:val="auto"/>
              </w:rPr>
            </w:pPr>
          </w:p>
        </w:tc>
        <w:tc>
          <w:tcPr>
            <w:tcW w:w="8860" w:type="dxa"/>
            <w:vAlign w:val="bottom"/>
            <w:gridSpan w:val="19"/>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Income</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281</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704</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15 $</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715</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30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22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c>
          <w:tcPr>
            <w:tcW w:w="22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6</w:t>
            </w:r>
          </w:p>
        </w:tc>
        <w:tc>
          <w:tcPr>
            <w:tcW w:w="180" w:type="dxa"/>
            <w:vAlign w:val="bottom"/>
          </w:tcPr>
          <w:p>
            <w:pPr>
              <w:spacing w:after="0"/>
              <w:rPr>
                <w:sz w:val="24"/>
                <w:szCs w:val="24"/>
                <w:color w:val="auto"/>
              </w:rPr>
            </w:pPr>
          </w:p>
        </w:tc>
        <w:tc>
          <w:tcPr>
            <w:tcW w:w="7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7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6</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Income Tax Expense /(1)/</w:t>
            </w:r>
          </w:p>
        </w:tc>
        <w:tc>
          <w:tcPr>
            <w:tcW w:w="300" w:type="dxa"/>
            <w:vAlign w:val="bottom"/>
          </w:tcPr>
          <w:p>
            <w:pPr>
              <w:spacing w:after="0"/>
              <w:rPr>
                <w:sz w:val="24"/>
                <w:szCs w:val="24"/>
                <w:color w:val="auto"/>
              </w:rPr>
            </w:pP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145</w:t>
            </w:r>
          </w:p>
        </w:tc>
        <w:tc>
          <w:tcPr>
            <w:tcW w:w="260" w:type="dxa"/>
            <w:vAlign w:val="bottom"/>
          </w:tcPr>
          <w:p>
            <w:pPr>
              <w:spacing w:after="0"/>
              <w:rPr>
                <w:sz w:val="24"/>
                <w:szCs w:val="24"/>
                <w:color w:val="auto"/>
              </w:rPr>
            </w:pPr>
          </w:p>
        </w:tc>
        <w:tc>
          <w:tcPr>
            <w:tcW w:w="6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w:t>
            </w:r>
          </w:p>
        </w:tc>
        <w:tc>
          <w:tcPr>
            <w:tcW w:w="14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w:t>
            </w:r>
          </w:p>
        </w:tc>
        <w:tc>
          <w:tcPr>
            <w:tcW w:w="260" w:type="dxa"/>
            <w:vAlign w:val="bottom"/>
          </w:tcPr>
          <w:p>
            <w:pPr>
              <w:spacing w:after="0"/>
              <w:rPr>
                <w:sz w:val="24"/>
                <w:szCs w:val="2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w:t>
            </w:r>
          </w:p>
        </w:tc>
        <w:tc>
          <w:tcPr>
            <w:tcW w:w="280" w:type="dxa"/>
            <w:vAlign w:val="bottom"/>
          </w:tcPr>
          <w:p>
            <w:pPr>
              <w:spacing w:after="0"/>
              <w:rPr>
                <w:sz w:val="24"/>
                <w:szCs w:val="24"/>
                <w:color w:val="auto"/>
              </w:rPr>
            </w:pPr>
          </w:p>
        </w:tc>
        <w:tc>
          <w:tcPr>
            <w:tcW w:w="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42</w:t>
            </w:r>
          </w:p>
        </w:tc>
        <w:tc>
          <w:tcPr>
            <w:tcW w:w="22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294</w:t>
            </w:r>
          </w:p>
        </w:tc>
        <w:tc>
          <w:tcPr>
            <w:tcW w:w="22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18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(60)</w:t>
            </w:r>
          </w:p>
        </w:tc>
        <w:tc>
          <w:tcPr>
            <w:tcW w:w="380" w:type="dxa"/>
            <w:vAlign w:val="bottom"/>
          </w:tcPr>
          <w:p>
            <w:pPr>
              <w:spacing w:after="0"/>
              <w:rPr>
                <w:sz w:val="24"/>
                <w:szCs w:val="24"/>
                <w:color w:val="auto"/>
              </w:rPr>
            </w:pPr>
          </w:p>
        </w:tc>
        <w:tc>
          <w:tcPr>
            <w:tcW w:w="7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218</w:t>
            </w:r>
          </w:p>
        </w:tc>
      </w:tr>
      <w:tr>
        <w:trPr>
          <w:trHeight w:val="168"/>
        </w:trPr>
        <w:tc>
          <w:tcPr>
            <w:tcW w:w="2680" w:type="dxa"/>
            <w:vAlign w:val="bottom"/>
          </w:tcPr>
          <w:p>
            <w:pPr>
              <w:spacing w:after="0"/>
              <w:rPr>
                <w:sz w:val="14"/>
                <w:szCs w:val="14"/>
                <w:color w:val="auto"/>
              </w:rPr>
            </w:pPr>
          </w:p>
        </w:tc>
        <w:tc>
          <w:tcPr>
            <w:tcW w:w="8860" w:type="dxa"/>
            <w:vAlign w:val="bottom"/>
            <w:gridSpan w:val="19"/>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Segment Income before tax &amp; MI</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380</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207</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310</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997</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15 $</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939</w:t>
            </w:r>
          </w:p>
        </w:tc>
      </w:tr>
      <w:tr>
        <w:trPr>
          <w:trHeight w:val="168"/>
        </w:trPr>
        <w:tc>
          <w:tcPr>
            <w:tcW w:w="2680" w:type="dxa"/>
            <w:vAlign w:val="bottom"/>
          </w:tcPr>
          <w:p>
            <w:pPr>
              <w:spacing w:after="0"/>
              <w:rPr>
                <w:sz w:val="14"/>
                <w:szCs w:val="14"/>
                <w:color w:val="auto"/>
              </w:rPr>
            </w:pPr>
          </w:p>
        </w:tc>
        <w:tc>
          <w:tcPr>
            <w:tcW w:w="7700" w:type="dxa"/>
            <w:vAlign w:val="bottom"/>
            <w:gridSpan w:val="17"/>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297</w:t>
            </w:r>
          </w:p>
        </w:tc>
      </w:tr>
      <w:tr>
        <w:trPr>
          <w:trHeight w:val="168"/>
        </w:trPr>
        <w:tc>
          <w:tcPr>
            <w:tcW w:w="2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(273)</w:t>
            </w:r>
          </w:p>
        </w:tc>
      </w:tr>
      <w:tr>
        <w:trPr>
          <w:trHeight w:val="168"/>
        </w:trPr>
        <w:tc>
          <w:tcPr>
            <w:tcW w:w="2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Charges</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w:t>
            </w:r>
          </w:p>
        </w:tc>
      </w:tr>
      <w:tr>
        <w:trPr>
          <w:trHeight w:val="168"/>
        </w:trPr>
        <w:tc>
          <w:tcPr>
            <w:tcW w:w="2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Income</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961</w:t>
            </w:r>
          </w:p>
        </w:tc>
      </w:tr>
      <w:tr>
        <w:trPr>
          <w:trHeight w:val="168"/>
        </w:trPr>
        <w:tc>
          <w:tcPr>
            <w:tcW w:w="2680" w:type="dxa"/>
            <w:vAlign w:val="bottom"/>
          </w:tcPr>
          <w:p>
            <w:pPr>
              <w:spacing w:after="0"/>
              <w:rPr>
                <w:sz w:val="14"/>
                <w:szCs w:val="14"/>
                <w:color w:val="auto"/>
              </w:rPr>
            </w:pPr>
          </w:p>
        </w:tc>
        <w:tc>
          <w:tcPr>
            <w:tcW w:w="8860" w:type="dxa"/>
            <w:vAlign w:val="bottom"/>
            <w:gridSpan w:val="19"/>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Assets</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2,984</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1,305</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1,689</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1,475</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1,759</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9,212</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1,417 $</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1,217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6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rPr>
              <w:t>$ 11,846</w:t>
            </w:r>
          </w:p>
        </w:tc>
      </w:tr>
      <w:tr>
        <w:trPr>
          <w:trHeight w:val="336"/>
        </w:trPr>
        <w:tc>
          <w:tcPr>
            <w:tcW w:w="2680" w:type="dxa"/>
            <w:vAlign w:val="bottom"/>
          </w:tcPr>
          <w:p>
            <w:pPr>
              <w:spacing w:after="0"/>
              <w:rPr>
                <w:sz w:val="20"/>
                <w:szCs w:val="20"/>
                <w:color w:val="auto"/>
              </w:rPr>
            </w:pPr>
            <w:r>
              <w:rPr>
                <w:rFonts w:ascii="Courier New" w:cs="Courier New" w:eastAsia="Courier New" w:hAnsi="Courier New"/>
                <w:sz w:val="15"/>
                <w:szCs w:val="15"/>
                <w:color w:val="auto"/>
              </w:rPr>
              <w:t>Corporate Assets</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5,327</w:t>
            </w:r>
          </w:p>
        </w:tc>
      </w:tr>
      <w:tr>
        <w:trPr>
          <w:trHeight w:val="168"/>
        </w:trPr>
        <w:tc>
          <w:tcPr>
            <w:tcW w:w="26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6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rPr>
              <w:t>$ 17,173</w:t>
            </w:r>
          </w:p>
        </w:tc>
      </w:tr>
      <w:tr>
        <w:trPr>
          <w:trHeight w:val="168"/>
        </w:trPr>
        <w:tc>
          <w:tcPr>
            <w:tcW w:w="2680" w:type="dxa"/>
            <w:vAlign w:val="bottom"/>
          </w:tcPr>
          <w:p>
            <w:pPr>
              <w:spacing w:after="0"/>
              <w:rPr>
                <w:sz w:val="14"/>
                <w:szCs w:val="14"/>
                <w:color w:val="auto"/>
              </w:rPr>
            </w:pPr>
          </w:p>
        </w:tc>
        <w:tc>
          <w:tcPr>
            <w:tcW w:w="8860" w:type="dxa"/>
            <w:vAlign w:val="bottom"/>
            <w:gridSpan w:val="19"/>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Depreciation /Amortization /(2)/ $</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418</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187</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226</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229</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1,113</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84 $</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1,271</w:t>
            </w:r>
          </w:p>
        </w:tc>
      </w:tr>
      <w:tr>
        <w:trPr>
          <w:trHeight w:val="168"/>
        </w:trPr>
        <w:tc>
          <w:tcPr>
            <w:tcW w:w="2680" w:type="dxa"/>
            <w:vAlign w:val="bottom"/>
          </w:tcPr>
          <w:p>
            <w:pPr>
              <w:spacing w:after="0"/>
              <w:rPr>
                <w:sz w:val="14"/>
                <w:szCs w:val="14"/>
                <w:color w:val="auto"/>
              </w:rPr>
            </w:pPr>
          </w:p>
        </w:tc>
        <w:tc>
          <w:tcPr>
            <w:tcW w:w="8860" w:type="dxa"/>
            <w:vAlign w:val="bottom"/>
            <w:gridSpan w:val="19"/>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 /(3)/</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608</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212</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259</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261</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1,355</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92 $</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1,546</w:t>
            </w:r>
          </w:p>
        </w:tc>
      </w:tr>
      <w:tr>
        <w:trPr>
          <w:trHeight w:val="168"/>
        </w:trPr>
        <w:tc>
          <w:tcPr>
            <w:tcW w:w="2680" w:type="dxa"/>
            <w:vAlign w:val="bottom"/>
          </w:tcPr>
          <w:p>
            <w:pPr>
              <w:spacing w:after="0"/>
              <w:rPr>
                <w:sz w:val="14"/>
                <w:szCs w:val="14"/>
                <w:color w:val="auto"/>
              </w:rPr>
            </w:pPr>
          </w:p>
        </w:tc>
        <w:tc>
          <w:tcPr>
            <w:tcW w:w="8860" w:type="dxa"/>
            <w:vAlign w:val="bottom"/>
            <w:gridSpan w:val="19"/>
          </w:tcPr>
          <w:p>
            <w:pPr>
              <w:jc w:val="right"/>
              <w:spacing w:after="0" w:line="168" w:lineRule="exact"/>
              <w:rPr>
                <w:sz w:val="20"/>
                <w:szCs w:val="20"/>
                <w:color w:val="auto"/>
              </w:rPr>
            </w:pPr>
            <w:r>
              <w:rPr>
                <w:rFonts w:ascii="Courier New" w:cs="Courier New" w:eastAsia="Courier New" w:hAnsi="Courier New"/>
                <w:sz w:val="15"/>
                <w:szCs w:val="15"/>
                <w:color w:val="auto"/>
                <w:w w:val="97"/>
              </w:rPr>
              <w:t>=====================================================================================================</w:t>
            </w:r>
          </w:p>
        </w:tc>
      </w:tr>
    </w:tbl>
    <w:p>
      <w:pPr>
        <w:spacing w:after="0" w:line="341" w:lineRule="exact"/>
        <w:rPr>
          <w:sz w:val="20"/>
          <w:szCs w:val="20"/>
          <w:color w:val="auto"/>
        </w:rPr>
      </w:pPr>
    </w:p>
    <w:p>
      <w:pPr>
        <w:ind w:left="1680" w:right="4980" w:hanging="358"/>
        <w:spacing w:after="0" w:line="234" w:lineRule="auto"/>
        <w:tabs>
          <w:tab w:leader="none" w:pos="16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2000 income tax expense excludes a charge of $10 million related to the Charges.</w:t>
      </w:r>
    </w:p>
    <w:p>
      <w:pPr>
        <w:spacing w:after="0" w:line="166"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multiclient seismic data costs.</w:t>
      </w:r>
    </w:p>
    <w:p>
      <w:pPr>
        <w:spacing w:after="0" w:line="166"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multiclient seismic data capitalized.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20" w:type="dxa"/>
            <w:vAlign w:val="bottom"/>
            <w:gridSpan w:val="3"/>
          </w:tcPr>
          <w:p>
            <w:pPr>
              <w:spacing w:after="0"/>
              <w:rPr>
                <w:sz w:val="20"/>
                <w:szCs w:val="20"/>
                <w:color w:val="auto"/>
              </w:rPr>
            </w:pPr>
            <w:r>
              <w:rPr>
                <w:rFonts w:ascii="Courier New" w:cs="Courier New" w:eastAsia="Courier New" w:hAnsi="Courier New"/>
                <w:sz w:val="15"/>
                <w:szCs w:val="15"/>
                <w:color w:val="auto"/>
                <w:w w:val="99"/>
              </w:rPr>
              <w:t>(Stated in millions)</w:t>
            </w:r>
          </w:p>
        </w:tc>
      </w:tr>
      <w:tr>
        <w:trPr>
          <w:trHeight w:val="168"/>
        </w:trPr>
        <w:tc>
          <w:tcPr>
            <w:tcW w:w="2720" w:type="dxa"/>
            <w:vAlign w:val="bottom"/>
          </w:tcPr>
          <w:p>
            <w:pPr>
              <w:spacing w:after="0"/>
              <w:rPr>
                <w:sz w:val="14"/>
                <w:szCs w:val="14"/>
                <w:color w:val="auto"/>
              </w:rPr>
            </w:pPr>
          </w:p>
        </w:tc>
        <w:tc>
          <w:tcPr>
            <w:tcW w:w="8820" w:type="dxa"/>
            <w:vAlign w:val="bottom"/>
            <w:gridSpan w:val="23"/>
          </w:tcPr>
          <w:p>
            <w:pP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2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Other</w:t>
            </w:r>
          </w:p>
        </w:tc>
        <w:tc>
          <w:tcPr>
            <w:tcW w:w="300" w:type="dxa"/>
            <w:vAlign w:val="bottom"/>
          </w:tcPr>
          <w:p>
            <w:pPr>
              <w:spacing w:after="0"/>
              <w:rPr>
                <w:sz w:val="14"/>
                <w:szCs w:val="14"/>
                <w:color w:val="auto"/>
              </w:rPr>
            </w:pP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Elims/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Total</w:t>
            </w: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Elims/</w:t>
            </w: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720" w:type="dxa"/>
            <w:vAlign w:val="bottom"/>
          </w:tcPr>
          <w:p>
            <w:pPr>
              <w:ind w:left="1760"/>
              <w:spacing w:after="0" w:line="168" w:lineRule="exact"/>
              <w:rPr>
                <w:sz w:val="20"/>
                <w:szCs w:val="20"/>
                <w:color w:val="auto"/>
              </w:rPr>
            </w:pPr>
            <w:r>
              <w:rPr>
                <w:rFonts w:ascii="Courier New" w:cs="Courier New" w:eastAsia="Courier New" w:hAnsi="Courier New"/>
                <w:sz w:val="15"/>
                <w:szCs w:val="15"/>
                <w:color w:val="auto"/>
              </w:rPr>
              <w:t>1999</w:t>
            </w:r>
          </w:p>
        </w:tc>
        <w:tc>
          <w:tcPr>
            <w:tcW w:w="360" w:type="dxa"/>
            <w:vAlign w:val="bottom"/>
          </w:tcPr>
          <w:p>
            <w:pPr>
              <w:spacing w:after="0"/>
              <w:rPr>
                <w:sz w:val="14"/>
                <w:szCs w:val="14"/>
                <w:color w:val="auto"/>
              </w:rPr>
            </w:pP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NAM</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LAM</w:t>
            </w:r>
          </w:p>
        </w:tc>
        <w:tc>
          <w:tcPr>
            <w:tcW w:w="12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ECA</w:t>
            </w:r>
          </w:p>
        </w:tc>
        <w:tc>
          <w:tcPr>
            <w:tcW w:w="100" w:type="dxa"/>
            <w:vAlign w:val="bottom"/>
          </w:tcPr>
          <w:p>
            <w:pPr>
              <w:spacing w:after="0"/>
              <w:rPr>
                <w:sz w:val="14"/>
                <w:szCs w:val="14"/>
                <w:color w:val="auto"/>
              </w:rPr>
            </w:pPr>
          </w:p>
        </w:tc>
        <w:tc>
          <w:tcPr>
            <w:tcW w:w="7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1"/>
              </w:rPr>
              <w:t>Eastern</w:t>
            </w:r>
          </w:p>
        </w:tc>
        <w:tc>
          <w:tcPr>
            <w:tcW w:w="300" w:type="dxa"/>
            <w:vAlign w:val="bottom"/>
          </w:tcPr>
          <w:p>
            <w:pPr>
              <w:spacing w:after="0"/>
              <w:rPr>
                <w:sz w:val="14"/>
                <w:szCs w:val="14"/>
                <w:color w:val="auto"/>
              </w:rPr>
            </w:pPr>
          </w:p>
        </w:tc>
        <w:tc>
          <w:tcPr>
            <w:tcW w:w="6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OFS</w:t>
            </w:r>
          </w:p>
        </w:tc>
        <w:tc>
          <w:tcPr>
            <w:tcW w:w="28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RMS</w:t>
            </w:r>
          </w:p>
        </w:tc>
        <w:tc>
          <w:tcPr>
            <w:tcW w:w="260" w:type="dxa"/>
            <w:vAlign w:val="bottom"/>
          </w:tcPr>
          <w:p>
            <w:pPr>
              <w:spacing w:after="0"/>
              <w:rPr>
                <w:sz w:val="14"/>
                <w:szCs w:val="14"/>
                <w:color w:val="auto"/>
              </w:rPr>
            </w:pPr>
          </w:p>
        </w:tc>
        <w:tc>
          <w:tcPr>
            <w:tcW w:w="5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88"/>
              </w:rPr>
              <w:t>T&amp;T</w:t>
            </w:r>
          </w:p>
        </w:tc>
        <w:tc>
          <w:tcPr>
            <w:tcW w:w="140" w:type="dxa"/>
            <w:vAlign w:val="bottom"/>
          </w:tcPr>
          <w:p>
            <w:pPr>
              <w:spacing w:after="0"/>
              <w:rPr>
                <w:sz w:val="14"/>
                <w:szCs w:val="14"/>
                <w:color w:val="auto"/>
              </w:rPr>
            </w:pPr>
          </w:p>
        </w:tc>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1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Consolidated</w:t>
            </w:r>
          </w:p>
        </w:tc>
      </w:tr>
      <w:tr>
        <w:trPr>
          <w:trHeight w:val="168"/>
        </w:trPr>
        <w:tc>
          <w:tcPr>
            <w:tcW w:w="2720" w:type="dxa"/>
            <w:vAlign w:val="bottom"/>
          </w:tcPr>
          <w:p>
            <w:pPr>
              <w:spacing w:after="0"/>
              <w:rPr>
                <w:sz w:val="14"/>
                <w:szCs w:val="14"/>
                <w:color w:val="auto"/>
              </w:rPr>
            </w:pPr>
          </w:p>
        </w:tc>
        <w:tc>
          <w:tcPr>
            <w:tcW w:w="8820" w:type="dxa"/>
            <w:vAlign w:val="bottom"/>
            <w:gridSpan w:val="23"/>
          </w:tcPr>
          <w:p>
            <w:pPr>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92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$ 1,649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947</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1,514</w:t>
            </w: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16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93"/>
              </w:rPr>
              <w:t>1,561</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198</w:t>
            </w:r>
          </w:p>
        </w:tc>
        <w:tc>
          <w:tcPr>
            <w:tcW w:w="180" w:type="dxa"/>
            <w:vAlign w:val="bottom"/>
          </w:tcPr>
          <w:p>
            <w:pPr>
              <w:spacing w:after="0"/>
              <w:rPr>
                <w:sz w:val="24"/>
                <w:szCs w:val="24"/>
                <w:color w:val="auto"/>
              </w:rPr>
            </w:pPr>
          </w:p>
        </w:tc>
        <w:tc>
          <w:tcPr>
            <w:tcW w:w="1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5,869</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1,375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3"/>
              </w:rPr>
              <w:t>1,183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(32)</w:t>
            </w:r>
          </w:p>
        </w:tc>
        <w:tc>
          <w:tcPr>
            <w:tcW w:w="3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8,395</w:t>
            </w:r>
          </w:p>
        </w:tc>
      </w:tr>
      <w:tr>
        <w:trPr>
          <w:trHeight w:val="168"/>
        </w:trPr>
        <w:tc>
          <w:tcPr>
            <w:tcW w:w="2720" w:type="dxa"/>
            <w:vAlign w:val="bottom"/>
          </w:tcPr>
          <w:p>
            <w:pPr>
              <w:spacing w:after="0"/>
              <w:rPr>
                <w:sz w:val="14"/>
                <w:szCs w:val="14"/>
                <w:color w:val="auto"/>
              </w:rPr>
            </w:pPr>
          </w:p>
        </w:tc>
        <w:tc>
          <w:tcPr>
            <w:tcW w:w="8820" w:type="dxa"/>
            <w:vAlign w:val="bottom"/>
            <w:gridSpan w:val="23"/>
          </w:tcPr>
          <w:p>
            <w:pP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Income</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83</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237</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18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403</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414</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360" w:type="dxa"/>
            <w:vAlign w:val="bottom"/>
          </w:tcPr>
          <w:p>
            <w:pPr>
              <w:spacing w:after="0"/>
              <w:rPr>
                <w:sz w:val="24"/>
                <w:szCs w:val="24"/>
                <w:color w:val="auto"/>
              </w:rPr>
            </w:pPr>
          </w:p>
        </w:tc>
        <w:tc>
          <w:tcPr>
            <w:tcW w:w="5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24"/>
                <w:szCs w:val="24"/>
                <w:color w:val="auto"/>
              </w:rPr>
            </w:pPr>
          </w:p>
        </w:tc>
        <w:tc>
          <w:tcPr>
            <w:tcW w:w="6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c>
          <w:tcPr>
            <w:tcW w:w="260" w:type="dxa"/>
            <w:vAlign w:val="bottom"/>
          </w:tcPr>
          <w:p>
            <w:pPr>
              <w:spacing w:after="0"/>
              <w:rPr>
                <w:sz w:val="24"/>
                <w:szCs w:val="24"/>
                <w:color w:val="auto"/>
              </w:rPr>
            </w:pPr>
          </w:p>
        </w:tc>
        <w:tc>
          <w:tcPr>
            <w:tcW w:w="5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w:t>
            </w:r>
          </w:p>
        </w:tc>
        <w:tc>
          <w:tcPr>
            <w:tcW w:w="14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7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11</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Income Tax Expense /(1)/</w:t>
            </w:r>
          </w:p>
        </w:tc>
        <w:tc>
          <w:tcPr>
            <w:tcW w:w="360" w:type="dxa"/>
            <w:vAlign w:val="bottom"/>
          </w:tcPr>
          <w:p>
            <w:pPr>
              <w:spacing w:after="0"/>
              <w:rPr>
                <w:sz w:val="24"/>
                <w:szCs w:val="24"/>
                <w:color w:val="auto"/>
              </w:rPr>
            </w:pPr>
          </w:p>
        </w:tc>
        <w:tc>
          <w:tcPr>
            <w:tcW w:w="5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20</w:t>
            </w:r>
          </w:p>
        </w:tc>
        <w:tc>
          <w:tcPr>
            <w:tcW w:w="120" w:type="dxa"/>
            <w:vAlign w:val="bottom"/>
          </w:tcPr>
          <w:p>
            <w:pPr>
              <w:spacing w:after="0"/>
              <w:rPr>
                <w:sz w:val="24"/>
                <w:szCs w:val="24"/>
                <w:color w:val="auto"/>
              </w:rPr>
            </w:pPr>
          </w:p>
        </w:tc>
        <w:tc>
          <w:tcPr>
            <w:tcW w:w="6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56</w:t>
            </w:r>
          </w:p>
        </w:tc>
        <w:tc>
          <w:tcPr>
            <w:tcW w:w="300" w:type="dxa"/>
            <w:vAlign w:val="bottom"/>
          </w:tcPr>
          <w:p>
            <w:pPr>
              <w:spacing w:after="0"/>
              <w:rPr>
                <w:sz w:val="24"/>
                <w:szCs w:val="2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w:t>
            </w: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173</w:t>
            </w:r>
          </w:p>
        </w:tc>
        <w:tc>
          <w:tcPr>
            <w:tcW w:w="28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26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140" w:type="dxa"/>
            <w:vAlign w:val="bottom"/>
          </w:tcPr>
          <w:p>
            <w:pPr>
              <w:spacing w:after="0"/>
              <w:rPr>
                <w:sz w:val="24"/>
                <w:szCs w:val="24"/>
                <w:color w:val="auto"/>
              </w:rPr>
            </w:pP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(47)</w:t>
            </w:r>
          </w:p>
        </w:tc>
        <w:tc>
          <w:tcPr>
            <w:tcW w:w="380" w:type="dxa"/>
            <w:vAlign w:val="bottom"/>
          </w:tcPr>
          <w:p>
            <w:pPr>
              <w:spacing w:after="0"/>
              <w:rPr>
                <w:sz w:val="24"/>
                <w:szCs w:val="24"/>
                <w:color w:val="auto"/>
              </w:rPr>
            </w:pPr>
          </w:p>
        </w:tc>
        <w:tc>
          <w:tcPr>
            <w:tcW w:w="7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132</w:t>
            </w:r>
          </w:p>
        </w:tc>
      </w:tr>
      <w:tr>
        <w:trPr>
          <w:trHeight w:val="168"/>
        </w:trPr>
        <w:tc>
          <w:tcPr>
            <w:tcW w:w="2720" w:type="dxa"/>
            <w:vAlign w:val="bottom"/>
          </w:tcPr>
          <w:p>
            <w:pPr>
              <w:spacing w:after="0"/>
              <w:rPr>
                <w:sz w:val="14"/>
                <w:szCs w:val="14"/>
                <w:color w:val="auto"/>
              </w:rPr>
            </w:pPr>
          </w:p>
        </w:tc>
        <w:tc>
          <w:tcPr>
            <w:tcW w:w="8820" w:type="dxa"/>
            <w:vAlign w:val="bottom"/>
            <w:gridSpan w:val="23"/>
          </w:tcPr>
          <w:p>
            <w:pP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Segment Income before tax &amp; MI</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125</w:t>
            </w: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1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293</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w:t>
            </w:r>
          </w:p>
        </w:tc>
        <w:tc>
          <w:tcPr>
            <w:tcW w:w="180" w:type="dxa"/>
            <w:vAlign w:val="bottom"/>
          </w:tcPr>
          <w:p>
            <w:pPr>
              <w:spacing w:after="0"/>
              <w:rPr>
                <w:sz w:val="14"/>
                <w:szCs w:val="14"/>
                <w:color w:val="auto"/>
              </w:rPr>
            </w:pPr>
          </w:p>
        </w:tc>
        <w:tc>
          <w:tcPr>
            <w:tcW w:w="1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576</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557</w:t>
            </w:r>
          </w:p>
        </w:tc>
      </w:tr>
      <w:tr>
        <w:trPr>
          <w:trHeight w:val="168"/>
        </w:trPr>
        <w:tc>
          <w:tcPr>
            <w:tcW w:w="2720" w:type="dxa"/>
            <w:vAlign w:val="bottom"/>
          </w:tcPr>
          <w:p>
            <w:pPr>
              <w:spacing w:after="0"/>
              <w:rPr>
                <w:sz w:val="14"/>
                <w:szCs w:val="14"/>
                <w:color w:val="auto"/>
              </w:rPr>
            </w:pPr>
          </w:p>
        </w:tc>
        <w:tc>
          <w:tcPr>
            <w:tcW w:w="8040" w:type="dxa"/>
            <w:vAlign w:val="bottom"/>
            <w:gridSpan w:val="22"/>
          </w:tcPr>
          <w:p>
            <w:pPr>
              <w:spacing w:after="0" w:line="168" w:lineRule="exact"/>
              <w:rPr>
                <w:sz w:val="20"/>
                <w:szCs w:val="20"/>
                <w:color w:val="auto"/>
              </w:rPr>
            </w:pPr>
            <w:r>
              <w:rPr>
                <w:rFonts w:ascii="Courier New" w:cs="Courier New" w:eastAsia="Courier New" w:hAnsi="Courier New"/>
                <w:sz w:val="15"/>
                <w:szCs w:val="15"/>
                <w:color w:val="auto"/>
                <w:w w:val="99"/>
              </w:rPr>
              <w:t>==========================================================================================</w:t>
            </w:r>
          </w:p>
        </w:tc>
        <w:tc>
          <w:tcPr>
            <w:tcW w:w="780" w:type="dxa"/>
            <w:vAlign w:val="bottom"/>
          </w:tcPr>
          <w:p>
            <w:pPr>
              <w:spacing w:after="0"/>
              <w:rPr>
                <w:sz w:val="14"/>
                <w:szCs w:val="14"/>
                <w:color w:val="auto"/>
              </w:rPr>
            </w:pP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20" w:type="dxa"/>
            <w:vAlign w:val="bottom"/>
            <w:gridSpan w:val="3"/>
          </w:tcPr>
          <w:p>
            <w:pPr>
              <w:ind w:left="140"/>
              <w:spacing w:after="0" w:line="168" w:lineRule="exact"/>
              <w:rPr>
                <w:sz w:val="20"/>
                <w:szCs w:val="20"/>
                <w:color w:val="auto"/>
              </w:rPr>
            </w:pPr>
            <w:r>
              <w:rPr>
                <w:rFonts w:ascii="Courier New" w:cs="Courier New" w:eastAsia="Courier New" w:hAnsi="Courier New"/>
                <w:sz w:val="15"/>
                <w:szCs w:val="15"/>
                <w:color w:val="auto"/>
                <w:w w:val="93"/>
              </w:rPr>
              <w:t>=========</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228</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88"/>
              </w:rPr>
              <w:t>$</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260" w:type="dxa"/>
            <w:vAlign w:val="bottom"/>
          </w:tcPr>
          <w:p>
            <w:pPr>
              <w:jc w:val="right"/>
              <w:ind w:right="108"/>
              <w:spacing w:after="0"/>
              <w:rPr>
                <w:sz w:val="20"/>
                <w:szCs w:val="20"/>
                <w:color w:val="auto"/>
              </w:rPr>
            </w:pPr>
            <w:r>
              <w:rPr>
                <w:rFonts w:ascii="Courier New" w:cs="Courier New" w:eastAsia="Courier New" w:hAnsi="Courier New"/>
                <w:sz w:val="14"/>
                <w:szCs w:val="14"/>
                <w:color w:val="auto"/>
                <w:w w:val="70"/>
              </w:rPr>
              <w:t>$</w:t>
            </w:r>
          </w:p>
        </w:tc>
        <w:tc>
          <w:tcPr>
            <w:tcW w:w="5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2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00" w:type="dxa"/>
            <w:vAlign w:val="bottom"/>
            <w:gridSpan w:val="5"/>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w w:val="95"/>
              </w:rPr>
              <w:t>=================</w:t>
            </w:r>
          </w:p>
        </w:tc>
        <w:tc>
          <w:tcPr>
            <w:tcW w:w="6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Charges</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(120)</w:t>
            </w:r>
          </w:p>
        </w:tc>
      </w:tr>
      <w:tr>
        <w:trPr>
          <w:trHeight w:val="168"/>
        </w:trPr>
        <w:tc>
          <w:tcPr>
            <w:tcW w:w="2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Income</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481</w:t>
            </w:r>
          </w:p>
        </w:tc>
      </w:tr>
      <w:tr>
        <w:trPr>
          <w:trHeight w:val="168"/>
        </w:trPr>
        <w:tc>
          <w:tcPr>
            <w:tcW w:w="2720" w:type="dxa"/>
            <w:vAlign w:val="bottom"/>
          </w:tcPr>
          <w:p>
            <w:pPr>
              <w:spacing w:after="0"/>
              <w:rPr>
                <w:sz w:val="14"/>
                <w:szCs w:val="14"/>
                <w:color w:val="auto"/>
              </w:rPr>
            </w:pPr>
          </w:p>
        </w:tc>
        <w:tc>
          <w:tcPr>
            <w:tcW w:w="8820" w:type="dxa"/>
            <w:vAlign w:val="bottom"/>
            <w:gridSpan w:val="23"/>
          </w:tcPr>
          <w:p>
            <w:pP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Assets</w:t>
            </w:r>
          </w:p>
        </w:tc>
        <w:tc>
          <w:tcPr>
            <w:tcW w:w="9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$ 1,787</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992</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1,414</w:t>
            </w:r>
          </w:p>
        </w:tc>
        <w:tc>
          <w:tcPr>
            <w:tcW w:w="10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1,299</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1,912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7,404</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989</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9,399</w:t>
            </w:r>
          </w:p>
        </w:tc>
      </w:tr>
      <w:tr>
        <w:trPr>
          <w:trHeight w:val="336"/>
        </w:trPr>
        <w:tc>
          <w:tcPr>
            <w:tcW w:w="2720" w:type="dxa"/>
            <w:vAlign w:val="bottom"/>
          </w:tcPr>
          <w:p>
            <w:pPr>
              <w:spacing w:after="0"/>
              <w:rPr>
                <w:sz w:val="20"/>
                <w:szCs w:val="20"/>
                <w:color w:val="auto"/>
              </w:rPr>
            </w:pPr>
            <w:r>
              <w:rPr>
                <w:rFonts w:ascii="Courier New" w:cs="Courier New" w:eastAsia="Courier New" w:hAnsi="Courier New"/>
                <w:sz w:val="15"/>
                <w:szCs w:val="15"/>
                <w:color w:val="auto"/>
              </w:rPr>
              <w:t>Corporate Assets</w:t>
            </w:r>
          </w:p>
        </w:tc>
        <w:tc>
          <w:tcPr>
            <w:tcW w:w="3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80" w:type="dxa"/>
            <w:vAlign w:val="bottom"/>
          </w:tcPr>
          <w:p>
            <w:pPr>
              <w:jc w:val="right"/>
              <w:ind w:right="167"/>
              <w:spacing w:after="0"/>
              <w:rPr>
                <w:sz w:val="20"/>
                <w:szCs w:val="20"/>
                <w:color w:val="auto"/>
              </w:rPr>
            </w:pPr>
            <w:r>
              <w:rPr>
                <w:rFonts w:ascii="Courier New" w:cs="Courier New" w:eastAsia="Courier New" w:hAnsi="Courier New"/>
                <w:sz w:val="15"/>
                <w:szCs w:val="15"/>
                <w:color w:val="auto"/>
              </w:rPr>
              <w:t>5,682</w:t>
            </w:r>
          </w:p>
        </w:tc>
      </w:tr>
      <w:tr>
        <w:trPr>
          <w:trHeight w:val="168"/>
        </w:trPr>
        <w:tc>
          <w:tcPr>
            <w:tcW w:w="27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3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160" w:type="dxa"/>
            <w:vAlign w:val="bottom"/>
            <w:gridSpan w:val="2"/>
          </w:tcPr>
          <w:p>
            <w:pPr>
              <w:jc w:val="right"/>
              <w:ind w:right="167"/>
              <w:spacing w:after="0" w:line="168" w:lineRule="exact"/>
              <w:rPr>
                <w:sz w:val="20"/>
                <w:szCs w:val="20"/>
                <w:color w:val="auto"/>
              </w:rPr>
            </w:pPr>
            <w:r>
              <w:rPr>
                <w:rFonts w:ascii="Courier New" w:cs="Courier New" w:eastAsia="Courier New" w:hAnsi="Courier New"/>
                <w:sz w:val="15"/>
                <w:szCs w:val="15"/>
                <w:color w:val="auto"/>
              </w:rPr>
              <w:t>$ 15,081</w:t>
            </w:r>
          </w:p>
        </w:tc>
      </w:tr>
      <w:tr>
        <w:trPr>
          <w:trHeight w:val="168"/>
        </w:trPr>
        <w:tc>
          <w:tcPr>
            <w:tcW w:w="2720" w:type="dxa"/>
            <w:vAlign w:val="bottom"/>
          </w:tcPr>
          <w:p>
            <w:pPr>
              <w:spacing w:after="0"/>
              <w:rPr>
                <w:sz w:val="14"/>
                <w:szCs w:val="14"/>
                <w:color w:val="auto"/>
              </w:rPr>
            </w:pPr>
          </w:p>
        </w:tc>
        <w:tc>
          <w:tcPr>
            <w:tcW w:w="8820" w:type="dxa"/>
            <w:vAlign w:val="bottom"/>
            <w:gridSpan w:val="23"/>
          </w:tcPr>
          <w:p>
            <w:pP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Depreciation /Amortization/(2)/</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325</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156</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228</w:t>
            </w:r>
          </w:p>
        </w:tc>
        <w:tc>
          <w:tcPr>
            <w:tcW w:w="10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237</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1,001</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1,150</w:t>
            </w:r>
          </w:p>
        </w:tc>
      </w:tr>
      <w:tr>
        <w:trPr>
          <w:trHeight w:val="168"/>
        </w:trPr>
        <w:tc>
          <w:tcPr>
            <w:tcW w:w="2720" w:type="dxa"/>
            <w:vAlign w:val="bottom"/>
          </w:tcPr>
          <w:p>
            <w:pPr>
              <w:spacing w:after="0"/>
              <w:rPr>
                <w:sz w:val="14"/>
                <w:szCs w:val="14"/>
                <w:color w:val="auto"/>
              </w:rPr>
            </w:pPr>
          </w:p>
        </w:tc>
        <w:tc>
          <w:tcPr>
            <w:tcW w:w="8820" w:type="dxa"/>
            <w:vAlign w:val="bottom"/>
            <w:gridSpan w:val="23"/>
          </w:tcPr>
          <w:p>
            <w:pP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72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 /(3)/</w:t>
            </w:r>
          </w:p>
        </w:tc>
        <w:tc>
          <w:tcPr>
            <w:tcW w:w="3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322</w:t>
            </w:r>
          </w:p>
        </w:tc>
        <w:tc>
          <w:tcPr>
            <w:tcW w:w="220" w:type="dxa"/>
            <w:vAlign w:val="bottom"/>
          </w:tcPr>
          <w:p>
            <w:pPr>
              <w:spacing w:after="0"/>
              <w:rPr>
                <w:sz w:val="14"/>
                <w:szCs w:val="14"/>
                <w:color w:val="auto"/>
              </w:rPr>
            </w:pPr>
          </w:p>
        </w:tc>
        <w:tc>
          <w:tcPr>
            <w:tcW w:w="8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189</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161</w:t>
            </w:r>
          </w:p>
        </w:tc>
        <w:tc>
          <w:tcPr>
            <w:tcW w:w="100" w:type="dxa"/>
            <w:vAlign w:val="bottom"/>
          </w:tcPr>
          <w:p>
            <w:pPr>
              <w:spacing w:after="0"/>
              <w:rPr>
                <w:sz w:val="14"/>
                <w:szCs w:val="14"/>
                <w:color w:val="auto"/>
              </w:rPr>
            </w:pPr>
          </w:p>
        </w:tc>
        <w:tc>
          <w:tcPr>
            <w:tcW w:w="160" w:type="dxa"/>
            <w:vAlign w:val="bottom"/>
          </w:tcPr>
          <w:p>
            <w:pPr>
              <w:ind w:left="80"/>
              <w:spacing w:after="0"/>
              <w:rPr>
                <w:sz w:val="20"/>
                <w:szCs w:val="20"/>
                <w:color w:val="auto"/>
              </w:rPr>
            </w:pPr>
            <w:r>
              <w:rPr>
                <w:rFonts w:ascii="Courier New" w:cs="Courier New" w:eastAsia="Courier New" w:hAnsi="Courier New"/>
                <w:sz w:val="14"/>
                <w:szCs w:val="14"/>
                <w:color w:val="auto"/>
                <w:w w:val="70"/>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183</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916</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w:t>
            </w:r>
          </w:p>
        </w:tc>
        <w:tc>
          <w:tcPr>
            <w:tcW w:w="3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1,019</w:t>
            </w:r>
          </w:p>
        </w:tc>
      </w:tr>
      <w:tr>
        <w:trPr>
          <w:trHeight w:val="168"/>
        </w:trPr>
        <w:tc>
          <w:tcPr>
            <w:tcW w:w="2720" w:type="dxa"/>
            <w:vAlign w:val="bottom"/>
          </w:tcPr>
          <w:p>
            <w:pPr>
              <w:spacing w:after="0"/>
              <w:rPr>
                <w:sz w:val="14"/>
                <w:szCs w:val="14"/>
                <w:color w:val="auto"/>
              </w:rPr>
            </w:pPr>
          </w:p>
        </w:tc>
        <w:tc>
          <w:tcPr>
            <w:tcW w:w="8820" w:type="dxa"/>
            <w:vAlign w:val="bottom"/>
            <w:gridSpan w:val="23"/>
          </w:tcPr>
          <w:p>
            <w:pPr>
              <w:spacing w:after="0" w:line="168" w:lineRule="exact"/>
              <w:rPr>
                <w:sz w:val="20"/>
                <w:szCs w:val="20"/>
                <w:color w:val="auto"/>
              </w:rPr>
            </w:pPr>
            <w:r>
              <w:rPr>
                <w:rFonts w:ascii="Courier New" w:cs="Courier New" w:eastAsia="Courier New" w:hAnsi="Courier New"/>
                <w:sz w:val="15"/>
                <w:szCs w:val="15"/>
                <w:color w:val="auto"/>
                <w:w w:val="97"/>
              </w:rPr>
              <w:t>----------------------------------------------------------------------------------------------------</w:t>
            </w:r>
          </w:p>
        </w:tc>
      </w:tr>
    </w:tbl>
    <w:p>
      <w:pPr>
        <w:spacing w:after="0" w:line="341" w:lineRule="exact"/>
        <w:rPr>
          <w:sz w:val="20"/>
          <w:szCs w:val="20"/>
          <w:color w:val="auto"/>
        </w:rPr>
      </w:pPr>
    </w:p>
    <w:p>
      <w:pPr>
        <w:ind w:left="1680" w:right="5060" w:hanging="358"/>
        <w:spacing w:after="0" w:line="234" w:lineRule="auto"/>
        <w:tabs>
          <w:tab w:leader="none" w:pos="16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1999 income tax expense excludes a charge of $8 million related to the Charges.</w:t>
      </w:r>
    </w:p>
    <w:p>
      <w:pPr>
        <w:spacing w:after="0" w:line="166"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multiclient seismic data costs.</w:t>
      </w:r>
    </w:p>
    <w:p>
      <w:pPr>
        <w:spacing w:after="0" w:line="166" w:lineRule="exact"/>
        <w:rPr>
          <w:rFonts w:ascii="Courier New" w:cs="Courier New" w:eastAsia="Courier New" w:hAnsi="Courier New"/>
          <w:sz w:val="15"/>
          <w:szCs w:val="15"/>
          <w:color w:val="auto"/>
        </w:rPr>
      </w:pPr>
    </w:p>
    <w:p>
      <w:pPr>
        <w:ind w:left="1680" w:hanging="358"/>
        <w:spacing w:after="0"/>
        <w:tabs>
          <w:tab w:leader="none" w:pos="168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multiclient seismic data capitalized.</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1540"/>
          </w:cols>
          <w:pgMar w:left="220" w:top="954" w:right="139" w:bottom="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170"/>
        </w:trPr>
        <w:tc>
          <w:tcPr>
            <w:tcW w:w="2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00" w:type="dxa"/>
            <w:vAlign w:val="bottom"/>
            <w:gridSpan w:val="4"/>
          </w:tcPr>
          <w:p>
            <w:pPr>
              <w:jc w:val="right"/>
              <w:ind w:right="7"/>
              <w:spacing w:after="0"/>
              <w:rPr>
                <w:sz w:val="20"/>
                <w:szCs w:val="20"/>
                <w:color w:val="auto"/>
              </w:rPr>
            </w:pPr>
            <w:r>
              <w:rPr>
                <w:rFonts w:ascii="Courier New" w:cs="Courier New" w:eastAsia="Courier New" w:hAnsi="Courier New"/>
                <w:sz w:val="15"/>
                <w:szCs w:val="15"/>
                <w:color w:val="auto"/>
                <w:w w:val="99"/>
              </w:rPr>
              <w:t>(Stated in millions)</w:t>
            </w:r>
          </w:p>
        </w:tc>
      </w:tr>
      <w:tr>
        <w:trPr>
          <w:trHeight w:val="168"/>
        </w:trPr>
        <w:tc>
          <w:tcPr>
            <w:tcW w:w="2420" w:type="dxa"/>
            <w:vAlign w:val="bottom"/>
          </w:tcPr>
          <w:p>
            <w:pPr>
              <w:spacing w:after="0"/>
              <w:rPr>
                <w:sz w:val="14"/>
                <w:szCs w:val="14"/>
                <w:color w:val="auto"/>
              </w:rPr>
            </w:pPr>
          </w:p>
        </w:tc>
        <w:tc>
          <w:tcPr>
            <w:tcW w:w="9120" w:type="dxa"/>
            <w:vAlign w:val="bottom"/>
            <w:gridSpan w:val="20"/>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Other</w:t>
            </w:r>
          </w:p>
        </w:tc>
        <w:tc>
          <w:tcPr>
            <w:tcW w:w="9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Elims/</w:t>
            </w:r>
          </w:p>
        </w:tc>
        <w:tc>
          <w:tcPr>
            <w:tcW w:w="22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Total</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Elins/</w:t>
            </w: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336"/>
        </w:trPr>
        <w:tc>
          <w:tcPr>
            <w:tcW w:w="2420" w:type="dxa"/>
            <w:vAlign w:val="bottom"/>
          </w:tcPr>
          <w:p>
            <w:pPr>
              <w:ind w:left="1400"/>
              <w:spacing w:after="0"/>
              <w:rPr>
                <w:sz w:val="20"/>
                <w:szCs w:val="20"/>
                <w:color w:val="auto"/>
              </w:rPr>
            </w:pPr>
            <w:r>
              <w:rPr>
                <w:rFonts w:ascii="Courier New" w:cs="Courier New" w:eastAsia="Courier New" w:hAnsi="Courier New"/>
                <w:sz w:val="15"/>
                <w:szCs w:val="15"/>
                <w:color w:val="auto"/>
              </w:rPr>
              <w:t>1998</w:t>
            </w:r>
          </w:p>
        </w:tc>
        <w:tc>
          <w:tcPr>
            <w:tcW w:w="440" w:type="dxa"/>
            <w:vAlign w:val="bottom"/>
          </w:tcPr>
          <w:p>
            <w:pPr>
              <w:spacing w:after="0"/>
              <w:rPr>
                <w:sz w:val="24"/>
                <w:szCs w:val="24"/>
                <w:color w:val="auto"/>
              </w:rPr>
            </w:pPr>
          </w:p>
        </w:tc>
        <w:tc>
          <w:tcPr>
            <w:tcW w:w="6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NAM</w:t>
            </w:r>
          </w:p>
        </w:tc>
        <w:tc>
          <w:tcPr>
            <w:tcW w:w="180" w:type="dxa"/>
            <w:vAlign w:val="bottom"/>
          </w:tcPr>
          <w:p>
            <w:pPr>
              <w:spacing w:after="0"/>
              <w:rPr>
                <w:sz w:val="24"/>
                <w:szCs w:val="24"/>
                <w:color w:val="auto"/>
              </w:rPr>
            </w:pPr>
          </w:p>
        </w:tc>
        <w:tc>
          <w:tcPr>
            <w:tcW w:w="6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LAM</w:t>
            </w:r>
          </w:p>
        </w:tc>
        <w:tc>
          <w:tcPr>
            <w:tcW w:w="220" w:type="dxa"/>
            <w:vAlign w:val="bottom"/>
          </w:tcPr>
          <w:p>
            <w:pPr>
              <w:spacing w:after="0"/>
              <w:rPr>
                <w:sz w:val="24"/>
                <w:szCs w:val="24"/>
                <w:color w:val="auto"/>
              </w:rPr>
            </w:pPr>
          </w:p>
        </w:tc>
        <w:tc>
          <w:tcPr>
            <w:tcW w:w="6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ECA</w:t>
            </w:r>
          </w:p>
        </w:tc>
        <w:tc>
          <w:tcPr>
            <w:tcW w:w="8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Eastern</w:t>
            </w:r>
          </w:p>
        </w:tc>
        <w:tc>
          <w:tcPr>
            <w:tcW w:w="220" w:type="dxa"/>
            <w:vAlign w:val="bottom"/>
          </w:tcPr>
          <w:p>
            <w:pPr>
              <w:spacing w:after="0"/>
              <w:rPr>
                <w:sz w:val="24"/>
                <w:szCs w:val="2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Other</w:t>
            </w:r>
          </w:p>
        </w:tc>
        <w:tc>
          <w:tcPr>
            <w:tcW w:w="220" w:type="dxa"/>
            <w:vAlign w:val="bottom"/>
          </w:tcPr>
          <w:p>
            <w:pPr>
              <w:spacing w:after="0"/>
              <w:rPr>
                <w:sz w:val="24"/>
                <w:szCs w:val="24"/>
                <w:color w:val="auto"/>
              </w:rPr>
            </w:pPr>
          </w:p>
        </w:tc>
        <w:tc>
          <w:tcPr>
            <w:tcW w:w="6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OFS</w:t>
            </w:r>
          </w:p>
        </w:tc>
        <w:tc>
          <w:tcPr>
            <w:tcW w:w="260" w:type="dxa"/>
            <w:vAlign w:val="bottom"/>
          </w:tcPr>
          <w:p>
            <w:pPr>
              <w:spacing w:after="0"/>
              <w:rPr>
                <w:sz w:val="24"/>
                <w:szCs w:val="24"/>
                <w:color w:val="auto"/>
              </w:rPr>
            </w:pPr>
          </w:p>
        </w:tc>
        <w:tc>
          <w:tcPr>
            <w:tcW w:w="6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RMS</w:t>
            </w:r>
          </w:p>
        </w:tc>
        <w:tc>
          <w:tcPr>
            <w:tcW w:w="260" w:type="dxa"/>
            <w:vAlign w:val="bottom"/>
          </w:tcPr>
          <w:p>
            <w:pPr>
              <w:spacing w:after="0"/>
              <w:rPr>
                <w:sz w:val="24"/>
                <w:szCs w:val="24"/>
                <w:color w:val="auto"/>
              </w:rPr>
            </w:pPr>
          </w:p>
        </w:tc>
        <w:tc>
          <w:tcPr>
            <w:tcW w:w="6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T&amp;T</w:t>
            </w:r>
          </w:p>
        </w:tc>
        <w:tc>
          <w:tcPr>
            <w:tcW w:w="8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Other</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Consolidated</w:t>
            </w:r>
          </w:p>
        </w:tc>
      </w:tr>
      <w:tr>
        <w:trPr>
          <w:trHeight w:val="168"/>
        </w:trPr>
        <w:tc>
          <w:tcPr>
            <w:tcW w:w="2420" w:type="dxa"/>
            <w:vAlign w:val="bottom"/>
          </w:tcPr>
          <w:p>
            <w:pPr>
              <w:spacing w:after="0"/>
              <w:rPr>
                <w:sz w:val="14"/>
                <w:szCs w:val="14"/>
                <w:color w:val="auto"/>
              </w:rPr>
            </w:pPr>
          </w:p>
        </w:tc>
        <w:tc>
          <w:tcPr>
            <w:tcW w:w="9120" w:type="dxa"/>
            <w:vAlign w:val="bottom"/>
            <w:gridSpan w:val="20"/>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0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$ 2,364</w:t>
            </w:r>
          </w:p>
        </w:tc>
        <w:tc>
          <w:tcPr>
            <w:tcW w:w="8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$ 1,283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2,112</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7,796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1,465</w:t>
            </w:r>
          </w:p>
        </w:tc>
        <w:tc>
          <w:tcPr>
            <w:tcW w:w="9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$ 1,226</w:t>
            </w:r>
          </w:p>
        </w:tc>
        <w:tc>
          <w:tcPr>
            <w:tcW w:w="300" w:type="dxa"/>
            <w:vAlign w:val="bottom"/>
          </w:tcPr>
          <w:p>
            <w:pPr>
              <w:ind w:left="16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238</w:t>
            </w:r>
          </w:p>
        </w:tc>
        <w:tc>
          <w:tcPr>
            <w:tcW w:w="10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$ 10,725</w:t>
            </w:r>
          </w:p>
        </w:tc>
      </w:tr>
      <w:tr>
        <w:trPr>
          <w:trHeight w:val="168"/>
        </w:trPr>
        <w:tc>
          <w:tcPr>
            <w:tcW w:w="2420" w:type="dxa"/>
            <w:vAlign w:val="bottom"/>
          </w:tcPr>
          <w:p>
            <w:pPr>
              <w:spacing w:after="0"/>
              <w:rPr>
                <w:sz w:val="14"/>
                <w:szCs w:val="14"/>
                <w:color w:val="auto"/>
              </w:rPr>
            </w:pPr>
          </w:p>
        </w:tc>
        <w:tc>
          <w:tcPr>
            <w:tcW w:w="9120" w:type="dxa"/>
            <w:vAlign w:val="bottom"/>
            <w:gridSpan w:val="20"/>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Income</w:t>
            </w:r>
          </w:p>
        </w:tc>
        <w:tc>
          <w:tcPr>
            <w:tcW w:w="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428</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954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55</w:t>
            </w: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950</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Minority Interest</w:t>
            </w:r>
          </w:p>
        </w:tc>
        <w:tc>
          <w:tcPr>
            <w:tcW w:w="440" w:type="dxa"/>
            <w:vAlign w:val="bottom"/>
          </w:tcPr>
          <w:p>
            <w:pPr>
              <w:spacing w:after="0"/>
              <w:rPr>
                <w:sz w:val="24"/>
                <w:szCs w:val="24"/>
                <w:color w:val="auto"/>
              </w:rPr>
            </w:pPr>
          </w:p>
        </w:tc>
        <w:tc>
          <w:tcPr>
            <w:tcW w:w="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w:t>
            </w:r>
          </w:p>
        </w:tc>
        <w:tc>
          <w:tcPr>
            <w:tcW w:w="260" w:type="dxa"/>
            <w:vAlign w:val="bottom"/>
          </w:tcPr>
          <w:p>
            <w:pPr>
              <w:spacing w:after="0"/>
              <w:rPr>
                <w:sz w:val="24"/>
                <w:szCs w:val="24"/>
                <w:color w:val="auto"/>
              </w:rPr>
            </w:pP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w:t>
            </w:r>
          </w:p>
        </w:tc>
        <w:tc>
          <w:tcPr>
            <w:tcW w:w="300" w:type="dxa"/>
            <w:vAlign w:val="bottom"/>
          </w:tcPr>
          <w:p>
            <w:pPr>
              <w:spacing w:after="0"/>
              <w:rPr>
                <w:sz w:val="24"/>
                <w:szCs w:val="24"/>
                <w:color w:val="auto"/>
              </w:rPr>
            </w:pPr>
          </w:p>
        </w:tc>
        <w:tc>
          <w:tcPr>
            <w:tcW w:w="5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6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Income Tax Expense /(2)/</w:t>
            </w:r>
          </w:p>
        </w:tc>
        <w:tc>
          <w:tcPr>
            <w:tcW w:w="440" w:type="dxa"/>
            <w:vAlign w:val="bottom"/>
          </w:tcPr>
          <w:p>
            <w:pPr>
              <w:spacing w:after="0"/>
              <w:rPr>
                <w:sz w:val="24"/>
                <w:szCs w:val="24"/>
                <w:color w:val="auto"/>
              </w:rPr>
            </w:pPr>
          </w:p>
        </w:tc>
        <w:tc>
          <w:tcPr>
            <w:tcW w:w="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120</w:t>
            </w:r>
          </w:p>
        </w:tc>
        <w:tc>
          <w:tcPr>
            <w:tcW w:w="180" w:type="dxa"/>
            <w:vAlign w:val="bottom"/>
          </w:tcPr>
          <w:p>
            <w:pPr>
              <w:spacing w:after="0"/>
              <w:rPr>
                <w:sz w:val="24"/>
                <w:szCs w:val="24"/>
                <w:color w:val="auto"/>
              </w:rPr>
            </w:pP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49</w:t>
            </w:r>
          </w:p>
        </w:tc>
        <w:tc>
          <w:tcPr>
            <w:tcW w:w="220" w:type="dxa"/>
            <w:vAlign w:val="bottom"/>
          </w:tcPr>
          <w:p>
            <w:pPr>
              <w:spacing w:after="0"/>
              <w:rPr>
                <w:sz w:val="24"/>
                <w:szCs w:val="24"/>
                <w:color w:val="auto"/>
              </w:rPr>
            </w:pPr>
          </w:p>
        </w:tc>
        <w:tc>
          <w:tcPr>
            <w:tcW w:w="6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73</w:t>
            </w:r>
          </w:p>
        </w:tc>
        <w:tc>
          <w:tcPr>
            <w:tcW w:w="22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103</w:t>
            </w:r>
          </w:p>
        </w:tc>
        <w:tc>
          <w:tcPr>
            <w:tcW w:w="220" w:type="dxa"/>
            <w:vAlign w:val="bottom"/>
          </w:tcPr>
          <w:p>
            <w:pPr>
              <w:spacing w:after="0"/>
              <w:rPr>
                <w:sz w:val="24"/>
                <w:szCs w:val="24"/>
                <w:color w:val="auto"/>
              </w:rPr>
            </w:pPr>
          </w:p>
        </w:tc>
        <w:tc>
          <w:tcPr>
            <w:tcW w:w="7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w:t>
            </w:r>
          </w:p>
        </w:tc>
        <w:tc>
          <w:tcPr>
            <w:tcW w:w="22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352</w:t>
            </w:r>
          </w:p>
        </w:tc>
        <w:tc>
          <w:tcPr>
            <w:tcW w:w="260" w:type="dxa"/>
            <w:vAlign w:val="bottom"/>
          </w:tcPr>
          <w:p>
            <w:pPr>
              <w:spacing w:after="0"/>
              <w:rPr>
                <w:sz w:val="24"/>
                <w:szCs w:val="24"/>
                <w:color w:val="auto"/>
              </w:rPr>
            </w:pPr>
          </w:p>
        </w:tc>
        <w:tc>
          <w:tcPr>
            <w:tcW w:w="6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17</w:t>
            </w:r>
          </w:p>
        </w:tc>
        <w:tc>
          <w:tcPr>
            <w:tcW w:w="260" w:type="dxa"/>
            <w:vAlign w:val="bottom"/>
          </w:tcPr>
          <w:p>
            <w:pPr>
              <w:spacing w:after="0"/>
              <w:rPr>
                <w:sz w:val="24"/>
                <w:szCs w:val="24"/>
                <w:color w:val="auto"/>
              </w:rPr>
            </w:pP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w:t>
            </w:r>
          </w:p>
        </w:tc>
        <w:tc>
          <w:tcPr>
            <w:tcW w:w="3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c>
          <w:tcPr>
            <w:tcW w:w="400" w:type="dxa"/>
            <w:vAlign w:val="bottom"/>
          </w:tcPr>
          <w:p>
            <w:pPr>
              <w:spacing w:after="0"/>
              <w:rPr>
                <w:sz w:val="24"/>
                <w:szCs w:val="24"/>
                <w:color w:val="auto"/>
              </w:rPr>
            </w:pPr>
          </w:p>
        </w:tc>
        <w:tc>
          <w:tcPr>
            <w:tcW w:w="6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339</w:t>
            </w:r>
          </w:p>
        </w:tc>
      </w:tr>
      <w:tr>
        <w:trPr>
          <w:trHeight w:val="168"/>
        </w:trPr>
        <w:tc>
          <w:tcPr>
            <w:tcW w:w="2420" w:type="dxa"/>
            <w:vAlign w:val="bottom"/>
          </w:tcPr>
          <w:p>
            <w:pPr>
              <w:spacing w:after="0"/>
              <w:rPr>
                <w:sz w:val="14"/>
                <w:szCs w:val="14"/>
                <w:color w:val="auto"/>
              </w:rPr>
            </w:pPr>
          </w:p>
        </w:tc>
        <w:tc>
          <w:tcPr>
            <w:tcW w:w="9120" w:type="dxa"/>
            <w:vAlign w:val="bottom"/>
            <w:gridSpan w:val="20"/>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Income before</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4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tax and MI</w:t>
            </w:r>
          </w:p>
        </w:tc>
        <w:tc>
          <w:tcPr>
            <w:tcW w:w="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314</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1,306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80</w:t>
            </w: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1,298</w:t>
            </w:r>
          </w:p>
        </w:tc>
      </w:tr>
      <w:tr>
        <w:trPr>
          <w:trHeight w:val="168"/>
        </w:trPr>
        <w:tc>
          <w:tcPr>
            <w:tcW w:w="2420" w:type="dxa"/>
            <w:vAlign w:val="bottom"/>
          </w:tcPr>
          <w:p>
            <w:pPr>
              <w:spacing w:after="0"/>
              <w:rPr>
                <w:sz w:val="14"/>
                <w:szCs w:val="14"/>
                <w:color w:val="auto"/>
              </w:rPr>
            </w:pPr>
          </w:p>
        </w:tc>
        <w:tc>
          <w:tcPr>
            <w:tcW w:w="8440" w:type="dxa"/>
            <w:vAlign w:val="bottom"/>
            <w:gridSpan w:val="19"/>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spacing w:after="0"/>
              <w:rPr>
                <w:sz w:val="14"/>
                <w:szCs w:val="1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Income</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164</w:t>
            </w:r>
          </w:p>
        </w:tc>
      </w:tr>
      <w:tr>
        <w:trPr>
          <w:trHeight w:val="168"/>
        </w:trPr>
        <w:tc>
          <w:tcPr>
            <w:tcW w:w="2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Expense</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(127)</w:t>
            </w:r>
          </w:p>
        </w:tc>
      </w:tr>
      <w:tr>
        <w:trPr>
          <w:trHeight w:val="168"/>
        </w:trPr>
        <w:tc>
          <w:tcPr>
            <w:tcW w:w="2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Charges</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(432)</w:t>
            </w:r>
          </w:p>
        </w:tc>
      </w:tr>
      <w:tr>
        <w:trPr>
          <w:trHeight w:val="168"/>
        </w:trPr>
        <w:tc>
          <w:tcPr>
            <w:tcW w:w="2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Pretax Income</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903</w:t>
            </w:r>
          </w:p>
        </w:tc>
      </w:tr>
      <w:tr>
        <w:trPr>
          <w:trHeight w:val="168"/>
        </w:trPr>
        <w:tc>
          <w:tcPr>
            <w:tcW w:w="2420" w:type="dxa"/>
            <w:vAlign w:val="bottom"/>
          </w:tcPr>
          <w:p>
            <w:pPr>
              <w:spacing w:after="0"/>
              <w:rPr>
                <w:sz w:val="14"/>
                <w:szCs w:val="14"/>
                <w:color w:val="auto"/>
              </w:rPr>
            </w:pPr>
          </w:p>
        </w:tc>
        <w:tc>
          <w:tcPr>
            <w:tcW w:w="9120" w:type="dxa"/>
            <w:vAlign w:val="bottom"/>
            <w:gridSpan w:val="20"/>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Segment Assets</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$ 1,509</w:t>
            </w:r>
          </w:p>
        </w:tc>
        <w:tc>
          <w:tcPr>
            <w:tcW w:w="8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$ 1,031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1,583</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1,559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7,089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1,184</w:t>
            </w:r>
          </w:p>
        </w:tc>
        <w:tc>
          <w:tcPr>
            <w:tcW w:w="9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$ 1,069</w:t>
            </w: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9,342</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Corporate Assets</w:t>
            </w: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5,316</w:t>
            </w:r>
          </w:p>
        </w:tc>
      </w:tr>
      <w:tr>
        <w:trPr>
          <w:trHeight w:val="336"/>
        </w:trPr>
        <w:tc>
          <w:tcPr>
            <w:tcW w:w="2420" w:type="dxa"/>
            <w:vAlign w:val="bottom"/>
          </w:tcPr>
          <w:p>
            <w:pPr>
              <w:spacing w:after="0"/>
              <w:rPr>
                <w:sz w:val="20"/>
                <w:szCs w:val="20"/>
                <w:color w:val="auto"/>
              </w:rPr>
            </w:pPr>
            <w:r>
              <w:rPr>
                <w:rFonts w:ascii="Courier New" w:cs="Courier New" w:eastAsia="Courier New" w:hAnsi="Courier New"/>
                <w:sz w:val="15"/>
                <w:szCs w:val="15"/>
                <w:color w:val="auto"/>
              </w:rPr>
              <w:t>Discontinued Operations</w:t>
            </w: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68"/>
        </w:trPr>
        <w:tc>
          <w:tcPr>
            <w:tcW w:w="24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Assets</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1,420</w:t>
            </w:r>
          </w:p>
        </w:tc>
      </w:tr>
      <w:tr>
        <w:trPr>
          <w:trHeight w:val="168"/>
        </w:trPr>
        <w:tc>
          <w:tcPr>
            <w:tcW w:w="24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Assets</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$ 16,078</w:t>
            </w:r>
          </w:p>
        </w:tc>
      </w:tr>
      <w:tr>
        <w:trPr>
          <w:trHeight w:val="168"/>
        </w:trPr>
        <w:tc>
          <w:tcPr>
            <w:tcW w:w="2420" w:type="dxa"/>
            <w:vAlign w:val="bottom"/>
          </w:tcPr>
          <w:p>
            <w:pPr>
              <w:spacing w:after="0"/>
              <w:rPr>
                <w:sz w:val="14"/>
                <w:szCs w:val="14"/>
                <w:color w:val="auto"/>
              </w:rPr>
            </w:pPr>
          </w:p>
        </w:tc>
        <w:tc>
          <w:tcPr>
            <w:tcW w:w="9120" w:type="dxa"/>
            <w:vAlign w:val="bottom"/>
            <w:gridSpan w:val="20"/>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Depreciation /</w:t>
            </w: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/(2)/</w:t>
            </w:r>
          </w:p>
        </w:tc>
        <w:tc>
          <w:tcPr>
            <w:tcW w:w="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1,030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w:t>
            </w: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1,177</w:t>
            </w:r>
          </w:p>
        </w:tc>
      </w:tr>
      <w:tr>
        <w:trPr>
          <w:trHeight w:val="168"/>
        </w:trPr>
        <w:tc>
          <w:tcPr>
            <w:tcW w:w="2420" w:type="dxa"/>
            <w:vAlign w:val="bottom"/>
          </w:tcPr>
          <w:p>
            <w:pPr>
              <w:spacing w:after="0"/>
              <w:rPr>
                <w:sz w:val="14"/>
                <w:szCs w:val="14"/>
                <w:color w:val="auto"/>
              </w:rPr>
            </w:pPr>
          </w:p>
        </w:tc>
        <w:tc>
          <w:tcPr>
            <w:tcW w:w="9120" w:type="dxa"/>
            <w:vAlign w:val="bottom"/>
            <w:gridSpan w:val="20"/>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42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 Expenditures /(3)/</w:t>
            </w:r>
          </w:p>
        </w:tc>
        <w:tc>
          <w:tcPr>
            <w:tcW w:w="44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309</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1,507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w:t>
            </w:r>
          </w:p>
        </w:tc>
        <w:tc>
          <w:tcPr>
            <w:tcW w:w="3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w:t>
            </w:r>
          </w:p>
        </w:tc>
        <w:tc>
          <w:tcPr>
            <w:tcW w:w="4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1,650</w:t>
            </w:r>
          </w:p>
        </w:tc>
      </w:tr>
      <w:tr>
        <w:trPr>
          <w:trHeight w:val="168"/>
        </w:trPr>
        <w:tc>
          <w:tcPr>
            <w:tcW w:w="2420" w:type="dxa"/>
            <w:vAlign w:val="bottom"/>
          </w:tcPr>
          <w:p>
            <w:pPr>
              <w:spacing w:after="0"/>
              <w:rPr>
                <w:sz w:val="14"/>
                <w:szCs w:val="14"/>
                <w:color w:val="auto"/>
              </w:rPr>
            </w:pPr>
          </w:p>
        </w:tc>
        <w:tc>
          <w:tcPr>
            <w:tcW w:w="9120" w:type="dxa"/>
            <w:vAlign w:val="bottom"/>
            <w:gridSpan w:val="20"/>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341" w:lineRule="exact"/>
        <w:rPr>
          <w:sz w:val="20"/>
          <w:szCs w:val="20"/>
          <w:color w:val="auto"/>
        </w:rPr>
      </w:pPr>
    </w:p>
    <w:p>
      <w:pPr>
        <w:ind w:left="1680" w:right="4980" w:hanging="358"/>
        <w:spacing w:after="0" w:line="234" w:lineRule="auto"/>
        <w:tabs>
          <w:tab w:leader="none" w:pos="16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1998 income tax expense excludes a credit of $63 million related to the Charges.</w:t>
      </w:r>
    </w:p>
    <w:p>
      <w:pPr>
        <w:ind w:left="1680" w:hanging="358"/>
        <w:spacing w:after="0" w:line="237" w:lineRule="auto"/>
        <w:tabs>
          <w:tab w:leader="none" w:pos="16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multiclient seismic data cost.</w:t>
      </w:r>
    </w:p>
    <w:p>
      <w:pPr>
        <w:ind w:left="1680" w:hanging="358"/>
        <w:spacing w:after="0" w:line="237" w:lineRule="auto"/>
        <w:tabs>
          <w:tab w:leader="none" w:pos="168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multiclient seismic data capitalized.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assets largely comprise short-term and long-term investments.</w:t>
      </w:r>
    </w:p>
    <w:p>
      <w:pPr>
        <w:spacing w:after="0" w:line="173" w:lineRule="exact"/>
        <w:rPr>
          <w:sz w:val="20"/>
          <w:szCs w:val="20"/>
          <w:color w:val="auto"/>
        </w:rPr>
      </w:pPr>
    </w:p>
    <w:p>
      <w:pPr>
        <w:ind w:right="4620"/>
        <w:spacing w:after="0" w:line="234" w:lineRule="auto"/>
        <w:rPr>
          <w:sz w:val="20"/>
          <w:szCs w:val="20"/>
          <w:color w:val="auto"/>
        </w:rPr>
      </w:pPr>
      <w:r>
        <w:rPr>
          <w:rFonts w:ascii="Courier New" w:cs="Courier New" w:eastAsia="Courier New" w:hAnsi="Courier New"/>
          <w:sz w:val="15"/>
          <w:szCs w:val="15"/>
          <w:color w:val="auto"/>
        </w:rPr>
        <w:t>During the three years ended December 31, 2000, no single customer exceeded 10% of consolidated revenue.</w:t>
      </w:r>
    </w:p>
    <w:p>
      <w:pPr>
        <w:spacing w:after="0" w:line="173" w:lineRule="exact"/>
        <w:rPr>
          <w:sz w:val="20"/>
          <w:szCs w:val="20"/>
          <w:color w:val="auto"/>
        </w:rPr>
      </w:pPr>
    </w:p>
    <w:p>
      <w:pPr>
        <w:ind w:right="5060"/>
        <w:spacing w:after="0" w:line="234" w:lineRule="auto"/>
        <w:rPr>
          <w:sz w:val="20"/>
          <w:szCs w:val="20"/>
          <w:color w:val="auto"/>
        </w:rPr>
      </w:pPr>
      <w:r>
        <w:rPr>
          <w:rFonts w:ascii="Courier New" w:cs="Courier New" w:eastAsia="Courier New" w:hAnsi="Courier New"/>
          <w:sz w:val="15"/>
          <w:szCs w:val="15"/>
          <w:color w:val="auto"/>
        </w:rPr>
        <w:t>The accounting policies of the segments are the same as those described in Summary of Accounting Policies.</w:t>
      </w:r>
    </w:p>
    <w:p>
      <w:pPr>
        <w:spacing w:after="0" w:line="173" w:lineRule="exact"/>
        <w:rPr>
          <w:sz w:val="20"/>
          <w:szCs w:val="20"/>
          <w:color w:val="auto"/>
        </w:rPr>
      </w:pPr>
    </w:p>
    <w:p>
      <w:pPr>
        <w:ind w:right="4700"/>
        <w:spacing w:after="0" w:line="235" w:lineRule="auto"/>
        <w:rPr>
          <w:sz w:val="20"/>
          <w:szCs w:val="20"/>
          <w:color w:val="auto"/>
        </w:rPr>
      </w:pPr>
      <w:r>
        <w:rPr>
          <w:rFonts w:ascii="Courier New" w:cs="Courier New" w:eastAsia="Courier New" w:hAnsi="Courier New"/>
          <w:sz w:val="15"/>
          <w:szCs w:val="15"/>
          <w:color w:val="auto"/>
        </w:rPr>
        <w:t>Oilfield Services' net income eliminations include: certain headquarters administrative costs which are not allocated geographically, goodwill amortization, manufacturing and certain other operations, and costs maintained at the Oilfield Services level.</w:t>
      </w:r>
    </w:p>
    <w:p>
      <w:pPr>
        <w:spacing w:after="0" w:line="175" w:lineRule="exact"/>
        <w:rPr>
          <w:sz w:val="20"/>
          <w:szCs w:val="20"/>
          <w:color w:val="auto"/>
        </w:rPr>
      </w:pPr>
    </w:p>
    <w:p>
      <w:pPr>
        <w:ind w:right="4540"/>
        <w:spacing w:after="0" w:line="261" w:lineRule="auto"/>
        <w:rPr>
          <w:sz w:val="20"/>
          <w:szCs w:val="20"/>
          <w:color w:val="auto"/>
        </w:rPr>
      </w:pPr>
      <w:r>
        <w:rPr>
          <w:rFonts w:ascii="Courier New" w:cs="Courier New" w:eastAsia="Courier New" w:hAnsi="Courier New"/>
          <w:sz w:val="14"/>
          <w:szCs w:val="14"/>
          <w:color w:val="auto"/>
        </w:rPr>
        <w:t>Nonoperating expenses, such as certain intersegment charges and interest expense (except as shown above), are not included in segment operating income.</w:t>
      </w:r>
    </w:p>
    <w:p>
      <w:pPr>
        <w:spacing w:after="0" w:line="160" w:lineRule="exact"/>
        <w:rPr>
          <w:sz w:val="20"/>
          <w:szCs w:val="20"/>
          <w:color w:val="auto"/>
        </w:rPr>
      </w:pPr>
    </w:p>
    <w:p>
      <w:pPr>
        <w:jc w:val="both"/>
        <w:ind w:right="4620"/>
        <w:spacing w:after="0" w:line="256" w:lineRule="auto"/>
        <w:rPr>
          <w:sz w:val="20"/>
          <w:szCs w:val="20"/>
          <w:color w:val="auto"/>
        </w:rPr>
      </w:pPr>
      <w:r>
        <w:rPr>
          <w:rFonts w:ascii="Courier New" w:cs="Courier New" w:eastAsia="Courier New" w:hAnsi="Courier New"/>
          <w:sz w:val="14"/>
          <w:szCs w:val="14"/>
          <w:color w:val="auto"/>
        </w:rPr>
        <w:t>Schlumberger did not have revenue from third-party customers in its country of domicile during the last three years. In each of the three years, only revenue in the US exceeded 10% of consolidated revenue. Revenue in the US in 2000, 1999 and 1998 was $3.5 billion, $2.5 billion and $3.4 billion, respectively.</w:t>
      </w:r>
    </w:p>
    <w:p>
      <w:pPr>
        <w:spacing w:after="0" w:line="32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1540"/>
          </w:cols>
          <w:pgMar w:left="220" w:top="954" w:right="139"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Pension and Other Benefit Plans</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 PENSION PLANS</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Schlumberger and its US subsidiary sponsor several defined benefit pension plans that cover substantially all employees. The benefits are based on years of service and compensation on a career-average pay basis. These plans are fully funded with a trustee in respect to past and current service. Charges to expense are based upon costs computed by independent actuaries. The funding policy is to annually contribute amounts that are allowable for federal income tax purposes. These contributions are intended to provide for benefits earned to date and those expected to be earned in the future.</w:t>
      </w:r>
    </w:p>
    <w:p>
      <w:pPr>
        <w:spacing w:after="0" w:line="177"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assumed discount rate, compensation increases and return on plan assets used to determine pension expense in 2000 were 7.75%, 4.5% and 9%, respectively. In 1999, the assumptions were 7%, 4.5% and 9%, respectively. In 1998, the assumptions were 7.5%, 4.5% and 9%, respectively.</w:t>
      </w:r>
    </w:p>
    <w:p>
      <w:pPr>
        <w:spacing w:after="0" w:line="175"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Net pension cost in the US for 2000, 1999 and 1998, included the following components: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3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2000</w:t>
            </w:r>
          </w:p>
        </w:tc>
        <w:tc>
          <w:tcPr>
            <w:tcW w:w="520" w:type="dxa"/>
            <w:vAlign w:val="bottom"/>
          </w:tcPr>
          <w:p>
            <w:pPr>
              <w:spacing w:after="0"/>
              <w:rPr>
                <w:sz w:val="14"/>
                <w:szCs w:val="14"/>
                <w:color w:val="auto"/>
              </w:rPr>
            </w:pPr>
          </w:p>
        </w:tc>
        <w:tc>
          <w:tcPr>
            <w:tcW w:w="9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1999</w:t>
            </w:r>
          </w:p>
        </w:tc>
        <w:tc>
          <w:tcPr>
            <w:tcW w:w="60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286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60" w:type="dxa"/>
            <w:vAlign w:val="bottom"/>
          </w:tcPr>
          <w:p>
            <w:pPr>
              <w:spacing w:after="0"/>
              <w:rPr>
                <w:sz w:val="20"/>
                <w:szCs w:val="20"/>
                <w:color w:val="auto"/>
              </w:rPr>
            </w:pPr>
            <w:r>
              <w:rPr>
                <w:rFonts w:ascii="Courier New" w:cs="Courier New" w:eastAsia="Courier New" w:hAnsi="Courier New"/>
                <w:sz w:val="15"/>
                <w:szCs w:val="15"/>
                <w:color w:val="auto"/>
              </w:rPr>
              <w:t>Service cost-benefits earned</w:t>
            </w: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during the period</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36</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45</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 on projected</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 obligation</w:t>
            </w:r>
          </w:p>
        </w:tc>
        <w:tc>
          <w:tcPr>
            <w:tcW w:w="520" w:type="dxa"/>
            <w:vAlign w:val="bottom"/>
          </w:tcPr>
          <w:p>
            <w:pPr>
              <w:spacing w:after="0"/>
              <w:rPr>
                <w:sz w:val="14"/>
                <w:szCs w:val="14"/>
                <w:color w:val="auto"/>
              </w:rPr>
            </w:pPr>
          </w:p>
        </w:tc>
        <w:tc>
          <w:tcPr>
            <w:tcW w:w="7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76</w:t>
            </w:r>
          </w:p>
        </w:tc>
        <w:tc>
          <w:tcPr>
            <w:tcW w:w="520" w:type="dxa"/>
            <w:vAlign w:val="bottom"/>
          </w:tcPr>
          <w:p>
            <w:pPr>
              <w:spacing w:after="0"/>
              <w:rPr>
                <w:sz w:val="14"/>
                <w:szCs w:val="14"/>
                <w:color w:val="auto"/>
              </w:rPr>
            </w:pPr>
          </w:p>
        </w:tc>
        <w:tc>
          <w:tcPr>
            <w:tcW w:w="9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73</w:t>
            </w:r>
          </w:p>
        </w:tc>
        <w:tc>
          <w:tcPr>
            <w:tcW w:w="600" w:type="dxa"/>
            <w:vAlign w:val="bottom"/>
          </w:tcPr>
          <w:p>
            <w:pPr>
              <w:spacing w:after="0"/>
              <w:rPr>
                <w:sz w:val="14"/>
                <w:szCs w:val="14"/>
                <w:color w:val="auto"/>
              </w:rPr>
            </w:pPr>
          </w:p>
        </w:tc>
        <w:tc>
          <w:tcPr>
            <w:tcW w:w="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68</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return on plan assets</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(actual return: 2000 - $(2);</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1999 - $211; 1998 - $167)</w:t>
            </w:r>
          </w:p>
        </w:tc>
        <w:tc>
          <w:tcPr>
            <w:tcW w:w="520" w:type="dxa"/>
            <w:vAlign w:val="bottom"/>
          </w:tcPr>
          <w:p>
            <w:pPr>
              <w:spacing w:after="0"/>
              <w:rPr>
                <w:sz w:val="14"/>
                <w:szCs w:val="14"/>
                <w:color w:val="auto"/>
              </w:rPr>
            </w:pP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(97)</w:t>
            </w:r>
          </w:p>
        </w:tc>
        <w:tc>
          <w:tcPr>
            <w:tcW w:w="520" w:type="dxa"/>
            <w:vAlign w:val="bottom"/>
          </w:tcPr>
          <w:p>
            <w:pPr>
              <w:spacing w:after="0"/>
              <w:rPr>
                <w:sz w:val="14"/>
                <w:szCs w:val="14"/>
                <w:color w:val="auto"/>
              </w:rPr>
            </w:pPr>
          </w:p>
        </w:tc>
        <w:tc>
          <w:tcPr>
            <w:tcW w:w="9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(86)</w:t>
            </w:r>
          </w:p>
        </w:tc>
        <w:tc>
          <w:tcPr>
            <w:tcW w:w="60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transition</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assets</w:t>
            </w:r>
          </w:p>
        </w:tc>
        <w:tc>
          <w:tcPr>
            <w:tcW w:w="520" w:type="dxa"/>
            <w:vAlign w:val="bottom"/>
          </w:tcPr>
          <w:p>
            <w:pPr>
              <w:spacing w:after="0"/>
              <w:rPr>
                <w:sz w:val="14"/>
                <w:szCs w:val="14"/>
                <w:color w:val="auto"/>
              </w:rPr>
            </w:pP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w:t>
            </w:r>
          </w:p>
        </w:tc>
        <w:tc>
          <w:tcPr>
            <w:tcW w:w="520" w:type="dxa"/>
            <w:vAlign w:val="bottom"/>
          </w:tcPr>
          <w:p>
            <w:pPr>
              <w:spacing w:after="0"/>
              <w:rPr>
                <w:sz w:val="14"/>
                <w:szCs w:val="14"/>
                <w:color w:val="auto"/>
              </w:rPr>
            </w:pPr>
          </w:p>
        </w:tc>
        <w:tc>
          <w:tcPr>
            <w:tcW w:w="9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w:t>
            </w:r>
          </w:p>
        </w:tc>
        <w:tc>
          <w:tcPr>
            <w:tcW w:w="60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prior service</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cost/other</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2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w:t>
            </w:r>
          </w:p>
        </w:tc>
        <w:tc>
          <w:tcPr>
            <w:tcW w:w="520" w:type="dxa"/>
            <w:vAlign w:val="bottom"/>
          </w:tcPr>
          <w:p>
            <w:pPr>
              <w:spacing w:after="0"/>
              <w:rPr>
                <w:sz w:val="24"/>
                <w:szCs w:val="24"/>
                <w:color w:val="auto"/>
              </w:rPr>
            </w:pPr>
          </w:p>
        </w:tc>
        <w:tc>
          <w:tcPr>
            <w:tcW w:w="9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6</w:t>
            </w:r>
          </w:p>
        </w:tc>
        <w:tc>
          <w:tcPr>
            <w:tcW w:w="600" w:type="dxa"/>
            <w:vAlign w:val="bottom"/>
          </w:tcPr>
          <w:p>
            <w:pPr>
              <w:spacing w:after="0"/>
              <w:rPr>
                <w:sz w:val="24"/>
                <w:szCs w:val="24"/>
                <w:color w:val="auto"/>
              </w:rPr>
            </w:pP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w:t>
            </w:r>
          </w:p>
        </w:tc>
      </w:tr>
      <w:tr>
        <w:trPr>
          <w:trHeight w:val="168"/>
        </w:trPr>
        <w:tc>
          <w:tcPr>
            <w:tcW w:w="286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unrecognized</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gain</w:t>
            </w: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2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(11)</w:t>
            </w:r>
          </w:p>
        </w:tc>
        <w:tc>
          <w:tcPr>
            <w:tcW w:w="520" w:type="dxa"/>
            <w:vAlign w:val="bottom"/>
          </w:tcPr>
          <w:p>
            <w:pPr>
              <w:spacing w:after="0"/>
              <w:rPr>
                <w:sz w:val="24"/>
                <w:szCs w:val="24"/>
                <w:color w:val="auto"/>
              </w:rPr>
            </w:pPr>
          </w:p>
        </w:tc>
        <w:tc>
          <w:tcPr>
            <w:tcW w:w="9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spacing w:after="0"/>
              <w:rPr>
                <w:sz w:val="24"/>
                <w:szCs w:val="24"/>
                <w:color w:val="auto"/>
              </w:rPr>
            </w:pPr>
          </w:p>
        </w:tc>
        <w:tc>
          <w:tcPr>
            <w:tcW w:w="7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w:t>
            </w:r>
          </w:p>
        </w:tc>
      </w:tr>
      <w:tr>
        <w:trPr>
          <w:trHeight w:val="336"/>
        </w:trPr>
        <w:tc>
          <w:tcPr>
            <w:tcW w:w="2860" w:type="dxa"/>
            <w:vAlign w:val="bottom"/>
          </w:tcPr>
          <w:p>
            <w:pPr>
              <w:spacing w:after="0"/>
              <w:rPr>
                <w:sz w:val="24"/>
                <w:szCs w:val="24"/>
                <w:color w:val="auto"/>
              </w:rPr>
            </w:pPr>
          </w:p>
        </w:tc>
        <w:tc>
          <w:tcPr>
            <w:tcW w:w="1300" w:type="dxa"/>
            <w:vAlign w:val="bottom"/>
            <w:gridSpan w:val="2"/>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68"/>
        </w:trPr>
        <w:tc>
          <w:tcPr>
            <w:tcW w:w="28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pension cost</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36</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2860" w:type="dxa"/>
            <w:vAlign w:val="bottom"/>
          </w:tcPr>
          <w:p>
            <w:pPr>
              <w:spacing w:after="0"/>
              <w:rPr>
                <w:sz w:val="14"/>
                <w:szCs w:val="14"/>
                <w:color w:val="auto"/>
              </w:rPr>
            </w:pPr>
          </w:p>
        </w:tc>
        <w:tc>
          <w:tcPr>
            <w:tcW w:w="130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50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759"/>
        <w:spacing w:after="0" w:line="261" w:lineRule="auto"/>
        <w:rPr>
          <w:sz w:val="20"/>
          <w:szCs w:val="20"/>
          <w:color w:val="auto"/>
        </w:rPr>
      </w:pPr>
      <w:r>
        <w:rPr>
          <w:rFonts w:ascii="Courier New" w:cs="Courier New" w:eastAsia="Courier New" w:hAnsi="Courier New"/>
          <w:sz w:val="14"/>
          <w:szCs w:val="14"/>
          <w:color w:val="auto"/>
        </w:rPr>
        <w:t>Effective January 1, 2000, Schlumberger and its subsidiaries amended their pension plans to improve retirement benefits for active employees.</w:t>
      </w:r>
    </w:p>
    <w:p>
      <w:pPr>
        <w:spacing w:after="0" w:line="32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617" w:right="1440" w:bottom="1440" w:gutter="0" w:footer="0" w:header="0"/>
        </w:sectPr>
      </w:pPr>
    </w:p>
    <w:bookmarkStart w:id="50" w:name="page51"/>
    <w:bookmarkEnd w:id="50"/>
    <w:p>
      <w:pPr>
        <w:ind w:right="3239"/>
        <w:spacing w:after="0" w:line="234" w:lineRule="auto"/>
        <w:rPr>
          <w:sz w:val="20"/>
          <w:szCs w:val="20"/>
          <w:color w:val="auto"/>
        </w:rPr>
      </w:pPr>
      <w:r>
        <w:rPr>
          <w:rFonts w:ascii="Courier New" w:cs="Courier New" w:eastAsia="Courier New" w:hAnsi="Courier New"/>
          <w:sz w:val="15"/>
          <w:szCs w:val="15"/>
          <w:color w:val="auto"/>
        </w:rPr>
        <w:t>The change in the projected benefit obligation, plan assets and funded status of the plans on December 31, 2000 and 1999, was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960" w:type="dxa"/>
            <w:vAlign w:val="bottom"/>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3240" w:type="dxa"/>
            <w:vAlign w:val="bottom"/>
          </w:tcPr>
          <w:p>
            <w:pPr>
              <w:spacing w:after="0"/>
              <w:rPr>
                <w:sz w:val="14"/>
                <w:szCs w:val="14"/>
                <w:color w:val="auto"/>
              </w:rPr>
            </w:pPr>
          </w:p>
        </w:tc>
        <w:tc>
          <w:tcPr>
            <w:tcW w:w="18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2000</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3240" w:type="dxa"/>
            <w:vAlign w:val="bottom"/>
          </w:tcPr>
          <w:p>
            <w:pPr>
              <w:spacing w:after="0"/>
              <w:rPr>
                <w:sz w:val="14"/>
                <w:szCs w:val="14"/>
                <w:color w:val="auto"/>
              </w:rPr>
            </w:pPr>
          </w:p>
        </w:tc>
        <w:tc>
          <w:tcPr>
            <w:tcW w:w="1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Projected benefit obligation at</w:t>
            </w:r>
          </w:p>
        </w:tc>
        <w:tc>
          <w:tcPr>
            <w:tcW w:w="180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beginning of the year</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$1,052</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$1,060</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cost</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36</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76</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Actuarial losses (gains)</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17</w:t>
            </w:r>
          </w:p>
        </w:tc>
        <w:tc>
          <w:tcPr>
            <w:tcW w:w="1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 paid</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(62)</w:t>
            </w:r>
          </w:p>
        </w:tc>
        <w:tc>
          <w:tcPr>
            <w:tcW w:w="1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Amendments</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Projected benefit obligation at</w:t>
            </w:r>
          </w:p>
        </w:tc>
        <w:tc>
          <w:tcPr>
            <w:tcW w:w="180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end of the year</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$1,113</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$1,052</w:t>
            </w:r>
          </w:p>
        </w:tc>
      </w:tr>
      <w:tr>
        <w:trPr>
          <w:trHeight w:val="168"/>
        </w:trPr>
        <w:tc>
          <w:tcPr>
            <w:tcW w:w="3240" w:type="dxa"/>
            <w:vAlign w:val="bottom"/>
          </w:tcPr>
          <w:p>
            <w:pPr>
              <w:spacing w:after="0"/>
              <w:rPr>
                <w:sz w:val="14"/>
                <w:szCs w:val="14"/>
                <w:color w:val="auto"/>
              </w:rPr>
            </w:pP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Plan assets at market value at</w:t>
            </w:r>
          </w:p>
        </w:tc>
        <w:tc>
          <w:tcPr>
            <w:tcW w:w="18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beginning of the year</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$1,276</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$1,119</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Actual return on plan assets</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211</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Employer contribution</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 paid</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(62)</w:t>
            </w:r>
          </w:p>
        </w:tc>
        <w:tc>
          <w:tcPr>
            <w:tcW w:w="1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Plan assets at market value at</w:t>
            </w:r>
          </w:p>
        </w:tc>
        <w:tc>
          <w:tcPr>
            <w:tcW w:w="180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end of the year</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$1,212</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$1,276</w:t>
            </w:r>
          </w:p>
        </w:tc>
      </w:tr>
      <w:tr>
        <w:trPr>
          <w:trHeight w:val="168"/>
        </w:trPr>
        <w:tc>
          <w:tcPr>
            <w:tcW w:w="3240" w:type="dxa"/>
            <w:vAlign w:val="bottom"/>
          </w:tcPr>
          <w:p>
            <w:pPr>
              <w:spacing w:after="0"/>
              <w:rPr>
                <w:sz w:val="14"/>
                <w:szCs w:val="14"/>
                <w:color w:val="auto"/>
              </w:rPr>
            </w:pP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0"/>
                <w:szCs w:val="20"/>
                <w:color w:val="auto"/>
              </w:rPr>
            </w:pPr>
            <w:r>
              <w:rPr>
                <w:rFonts w:ascii="Courier New" w:cs="Courier New" w:eastAsia="Courier New" w:hAnsi="Courier New"/>
                <w:sz w:val="15"/>
                <w:szCs w:val="15"/>
                <w:color w:val="auto"/>
              </w:rPr>
              <w:t>Excess of assets over projected</w:t>
            </w:r>
          </w:p>
        </w:tc>
        <w:tc>
          <w:tcPr>
            <w:tcW w:w="1800" w:type="dxa"/>
            <w:vAlign w:val="bottom"/>
          </w:tcPr>
          <w:p>
            <w:pPr>
              <w:spacing w:after="0"/>
              <w:rPr>
                <w:sz w:val="24"/>
                <w:szCs w:val="24"/>
                <w:color w:val="auto"/>
              </w:rPr>
            </w:pPr>
          </w:p>
        </w:tc>
        <w:tc>
          <w:tcPr>
            <w:tcW w:w="1960" w:type="dxa"/>
            <w:vAlign w:val="bottom"/>
          </w:tcPr>
          <w:p>
            <w:pPr>
              <w:spacing w:after="0"/>
              <w:rPr>
                <w:sz w:val="24"/>
                <w:szCs w:val="24"/>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 obligation</w:t>
            </w: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99</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224</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gain</w:t>
            </w:r>
          </w:p>
        </w:tc>
        <w:tc>
          <w:tcPr>
            <w:tcW w:w="180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336"/>
        </w:trPr>
        <w:tc>
          <w:tcPr>
            <w:tcW w:w="3240" w:type="dxa"/>
            <w:vAlign w:val="bottom"/>
          </w:tcPr>
          <w:p>
            <w:pPr>
              <w:spacing w:after="0"/>
              <w:rPr>
                <w:sz w:val="24"/>
                <w:szCs w:val="24"/>
                <w:color w:val="auto"/>
              </w:rPr>
            </w:pPr>
          </w:p>
        </w:tc>
        <w:tc>
          <w:tcPr>
            <w:tcW w:w="180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(266)</w:t>
            </w:r>
          </w:p>
        </w:tc>
        <w:tc>
          <w:tcPr>
            <w:tcW w:w="1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(395)</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prior service cost</w:t>
            </w:r>
          </w:p>
        </w:tc>
        <w:tc>
          <w:tcPr>
            <w:tcW w:w="180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30</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asset at</w:t>
            </w:r>
          </w:p>
        </w:tc>
        <w:tc>
          <w:tcPr>
            <w:tcW w:w="180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8"/>
        </w:trPr>
        <w:tc>
          <w:tcPr>
            <w:tcW w:w="32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transition date</w:t>
            </w:r>
          </w:p>
        </w:tc>
        <w:tc>
          <w:tcPr>
            <w:tcW w:w="1800" w:type="dxa"/>
            <w:vAlign w:val="bottom"/>
          </w:tcPr>
          <w:p>
            <w:pPr>
              <w:spacing w:after="0"/>
              <w:rPr>
                <w:sz w:val="14"/>
                <w:szCs w:val="14"/>
                <w:color w:val="auto"/>
              </w:rPr>
            </w:pPr>
          </w:p>
        </w:tc>
        <w:tc>
          <w:tcPr>
            <w:tcW w:w="196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w:t>
            </w:r>
          </w:p>
        </w:tc>
        <w:tc>
          <w:tcPr>
            <w:tcW w:w="1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3240" w:type="dxa"/>
            <w:vAlign w:val="bottom"/>
          </w:tcPr>
          <w:p>
            <w:pPr>
              <w:spacing w:after="0"/>
              <w:rPr>
                <w:sz w:val="14"/>
                <w:szCs w:val="14"/>
                <w:color w:val="auto"/>
              </w:rPr>
            </w:pP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Pension liability</w:t>
            </w:r>
          </w:p>
        </w:tc>
        <w:tc>
          <w:tcPr>
            <w:tcW w:w="1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(138)</w:t>
            </w:r>
          </w:p>
        </w:tc>
        <w:tc>
          <w:tcPr>
            <w:tcW w:w="1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(129)</w:t>
            </w:r>
          </w:p>
        </w:tc>
      </w:tr>
      <w:tr>
        <w:trPr>
          <w:trHeight w:val="168"/>
        </w:trPr>
        <w:tc>
          <w:tcPr>
            <w:tcW w:w="3240" w:type="dxa"/>
            <w:vAlign w:val="bottom"/>
          </w:tcPr>
          <w:p>
            <w:pPr>
              <w:spacing w:after="0"/>
              <w:rPr>
                <w:sz w:val="14"/>
                <w:szCs w:val="14"/>
                <w:color w:val="auto"/>
              </w:rPr>
            </w:pPr>
          </w:p>
        </w:tc>
        <w:tc>
          <w:tcPr>
            <w:tcW w:w="1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assumed discount rate, the rate of compensation increases and the expected long-term rate of return on plan assets used to determine the projected benefit obligations were 7.5%, 4.5% and 9%, respectively, in 2000, and 7.75%, 4.5% and 9% respectively, in 1999. Plan assets on December 31, 2000, consisted of common stocks ($708 million), cash or cash equivalents ($114 million), fixed income investments ($279 million) and other investments ($95 million). Less than 1% of the plan assets on December 31, 2000, were represented by Schlumberger common stock.</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NON-US PENSION PLANS</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Outside the US, subsidiaries of Schlumberger sponsor several defined benefit and defined contribution plans that cover substantially all employees who are not covered by statutory plans. For defined benefit plans, charges to expense are based upon costs computed by independent actuaries. These plans are substantially fully funded with trustees in respect to past and current service. For all defined benefit plans, pension expense was $23 million, $19 million and $17 million in 2000, 1999 and 1998, respectively. Based on plan assets and the projected benefit obligation, the only significant defined benefit plan is in the UK.</w:t>
      </w:r>
    </w:p>
    <w:p>
      <w:pPr>
        <w:spacing w:after="0" w:line="178"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assumed discount rate, compensation increases and return on plan assets used to determine pension expense in 2000 were 6%, 4% and 9%, respectively. In 1999, the assumptions were 7%, 4% and 9%, respectively. In 1998, the assumptions were 7.5%, 5% and 9%, respectively.</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624" w:right="1440" w:bottom="1440" w:gutter="0" w:footer="0" w:header="0"/>
        </w:sectPr>
      </w:pPr>
    </w:p>
    <w:bookmarkStart w:id="51" w:name="page52"/>
    <w:bookmarkEnd w:id="51"/>
    <w:p>
      <w:pPr>
        <w:ind w:right="3499"/>
        <w:spacing w:after="0" w:line="235" w:lineRule="auto"/>
        <w:rPr>
          <w:sz w:val="20"/>
          <w:szCs w:val="20"/>
          <w:color w:val="auto"/>
        </w:rPr>
      </w:pPr>
      <w:r>
        <w:rPr>
          <w:rFonts w:ascii="Courier New" w:cs="Courier New" w:eastAsia="Courier New" w:hAnsi="Courier New"/>
          <w:sz w:val="15"/>
          <w:szCs w:val="15"/>
          <w:color w:val="auto"/>
        </w:rPr>
        <w:t>Net pension cost in the UK plan for 2000, 1999 and 1998 (translated into US dollars at the average exchange rate for the periods), included the following components: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7"/>
              </w:rPr>
              <w:t>(Stated in millions)</w:t>
            </w:r>
          </w:p>
        </w:tc>
      </w:tr>
      <w:tr>
        <w:trPr>
          <w:trHeight w:val="168"/>
        </w:trPr>
        <w:tc>
          <w:tcPr>
            <w:tcW w:w="29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w w:val="88"/>
              </w:rPr>
              <w:t>2000</w:t>
            </w:r>
          </w:p>
        </w:tc>
        <w:tc>
          <w:tcPr>
            <w:tcW w:w="660" w:type="dxa"/>
            <w:vAlign w:val="bottom"/>
          </w:tcPr>
          <w:p>
            <w:pPr>
              <w:spacing w:after="0"/>
              <w:rPr>
                <w:sz w:val="14"/>
                <w:szCs w:val="14"/>
                <w:color w:val="auto"/>
              </w:rPr>
            </w:pP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1999</w:t>
            </w:r>
          </w:p>
        </w:tc>
        <w:tc>
          <w:tcPr>
            <w:tcW w:w="134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1998</w:t>
            </w:r>
          </w:p>
        </w:tc>
      </w:tr>
      <w:tr>
        <w:trPr>
          <w:trHeight w:val="168"/>
        </w:trPr>
        <w:tc>
          <w:tcPr>
            <w:tcW w:w="2900" w:type="dxa"/>
            <w:vAlign w:val="bottom"/>
          </w:tcPr>
          <w:p>
            <w:pPr>
              <w:spacing w:after="0"/>
              <w:rPr>
                <w:sz w:val="14"/>
                <w:szCs w:val="14"/>
                <w:color w:val="auto"/>
              </w:rPr>
            </w:pPr>
          </w:p>
        </w:tc>
        <w:tc>
          <w:tcPr>
            <w:tcW w:w="11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ind w:left="1260"/>
              <w:spacing w:after="0" w:line="168" w:lineRule="exact"/>
              <w:rPr>
                <w:sz w:val="20"/>
                <w:szCs w:val="20"/>
                <w:color w:val="auto"/>
              </w:rPr>
            </w:pPr>
            <w:r>
              <w:rPr>
                <w:rFonts w:ascii="Courier New" w:cs="Courier New" w:eastAsia="Courier New" w:hAnsi="Courier New"/>
                <w:sz w:val="15"/>
                <w:szCs w:val="15"/>
                <w:color w:val="auto"/>
                <w:w w:val="92"/>
              </w:rPr>
              <w:t>------</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cost-benefits earned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2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during the period</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22</w:t>
            </w:r>
          </w:p>
        </w:tc>
        <w:tc>
          <w:tcPr>
            <w:tcW w:w="6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w:t>
            </w:r>
          </w:p>
        </w:tc>
        <w:tc>
          <w:tcPr>
            <w:tcW w:w="1340" w:type="dxa"/>
            <w:vAlign w:val="bottom"/>
          </w:tcPr>
          <w:p>
            <w:pPr>
              <w:ind w:left="1260"/>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 on projected</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2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benefit obligation</w:t>
            </w:r>
          </w:p>
        </w:tc>
        <w:tc>
          <w:tcPr>
            <w:tcW w:w="260" w:type="dxa"/>
            <w:vAlign w:val="bottom"/>
          </w:tcPr>
          <w:p>
            <w:pPr>
              <w:spacing w:after="0"/>
              <w:rPr>
                <w:sz w:val="14"/>
                <w:szCs w:val="14"/>
                <w:color w:val="auto"/>
              </w:rPr>
            </w:pP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17</w:t>
            </w:r>
          </w:p>
        </w:tc>
        <w:tc>
          <w:tcPr>
            <w:tcW w:w="660" w:type="dxa"/>
            <w:vAlign w:val="bottom"/>
          </w:tcPr>
          <w:p>
            <w:pPr>
              <w:spacing w:after="0"/>
              <w:rPr>
                <w:sz w:val="14"/>
                <w:szCs w:val="14"/>
                <w:color w:val="auto"/>
              </w:rPr>
            </w:pPr>
          </w:p>
        </w:tc>
        <w:tc>
          <w:tcPr>
            <w:tcW w:w="4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w:t>
            </w:r>
          </w:p>
        </w:tc>
        <w:tc>
          <w:tcPr>
            <w:tcW w:w="134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Expected return on plan assets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2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(actual return: 2000 - ($28);</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2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1999 - $106; 1998 - $23)</w:t>
            </w:r>
          </w:p>
        </w:tc>
        <w:tc>
          <w:tcPr>
            <w:tcW w:w="2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(34)</w:t>
            </w:r>
          </w:p>
        </w:tc>
        <w:tc>
          <w:tcPr>
            <w:tcW w:w="66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w:t>
            </w:r>
          </w:p>
        </w:tc>
        <w:tc>
          <w:tcPr>
            <w:tcW w:w="13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transition</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290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asset and other</w:t>
            </w:r>
          </w:p>
        </w:tc>
        <w:tc>
          <w:tcPr>
            <w:tcW w:w="2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w:t>
            </w:r>
          </w:p>
        </w:tc>
        <w:tc>
          <w:tcPr>
            <w:tcW w:w="66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c>
          <w:tcPr>
            <w:tcW w:w="13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336"/>
        </w:trPr>
        <w:tc>
          <w:tcPr>
            <w:tcW w:w="2900" w:type="dxa"/>
            <w:vAlign w:val="bottom"/>
          </w:tcPr>
          <w:p>
            <w:pPr>
              <w:spacing w:after="0"/>
              <w:rPr>
                <w:sz w:val="24"/>
                <w:szCs w:val="24"/>
                <w:color w:val="auto"/>
              </w:rPr>
            </w:pPr>
          </w:p>
        </w:tc>
        <w:tc>
          <w:tcPr>
            <w:tcW w:w="118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Net pension cost</w:t>
            </w:r>
          </w:p>
        </w:tc>
        <w:tc>
          <w:tcPr>
            <w:tcW w:w="260" w:type="dxa"/>
            <w:vAlign w:val="bottom"/>
          </w:tcPr>
          <w:p>
            <w:pPr>
              <w:ind w:left="180"/>
              <w:spacing w:after="0"/>
              <w:rPr>
                <w:sz w:val="20"/>
                <w:szCs w:val="20"/>
                <w:color w:val="auto"/>
              </w:rPr>
            </w:pPr>
            <w:r>
              <w:rPr>
                <w:rFonts w:ascii="Courier New" w:cs="Courier New" w:eastAsia="Courier New" w:hAnsi="Courier New"/>
                <w:sz w:val="14"/>
                <w:szCs w:val="14"/>
                <w:color w:val="auto"/>
                <w:w w:val="70"/>
              </w:rPr>
              <w:t>$</w:t>
            </w:r>
          </w:p>
        </w:tc>
        <w:tc>
          <w:tcPr>
            <w:tcW w:w="9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1340" w:type="dxa"/>
            <w:vAlign w:val="bottom"/>
          </w:tcPr>
          <w:p>
            <w:pPr>
              <w:ind w:left="1260"/>
              <w:spacing w:after="0"/>
              <w:rPr>
                <w:sz w:val="20"/>
                <w:szCs w:val="20"/>
                <w:color w:val="auto"/>
              </w:rPr>
            </w:pPr>
            <w:r>
              <w:rPr>
                <w:rFonts w:ascii="Courier New" w:cs="Courier New" w:eastAsia="Courier New" w:hAnsi="Courier New"/>
                <w:sz w:val="14"/>
                <w:szCs w:val="14"/>
                <w:color w:val="auto"/>
                <w:w w:val="70"/>
              </w:rPr>
              <w:t>$</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spacing w:after="0"/>
              <w:rPr>
                <w:sz w:val="14"/>
                <w:szCs w:val="14"/>
                <w:color w:val="auto"/>
              </w:rPr>
            </w:pPr>
          </w:p>
        </w:tc>
        <w:tc>
          <w:tcPr>
            <w:tcW w:w="1180" w:type="dxa"/>
            <w:vAlign w:val="bottom"/>
            <w:gridSpan w:val="2"/>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jc w:val="both"/>
        <w:ind w:right="3239"/>
        <w:spacing w:after="0" w:line="261" w:lineRule="auto"/>
        <w:rPr>
          <w:sz w:val="20"/>
          <w:szCs w:val="20"/>
          <w:color w:val="auto"/>
        </w:rPr>
      </w:pPr>
      <w:r>
        <w:rPr>
          <w:rFonts w:ascii="Courier New" w:cs="Courier New" w:eastAsia="Courier New" w:hAnsi="Courier New"/>
          <w:sz w:val="14"/>
          <w:szCs w:val="14"/>
          <w:color w:val="auto"/>
        </w:rPr>
        <w:t>The change in the projected benefit obligation, plan assets and funded status of the plan (translated into US dollars at year-end exchange rates) was as follows: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(Stated in</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millions)</w:t>
            </w:r>
          </w:p>
        </w:tc>
      </w:tr>
      <w:tr>
        <w:trPr>
          <w:trHeight w:val="168"/>
        </w:trPr>
        <w:tc>
          <w:tcPr>
            <w:tcW w:w="30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2000</w:t>
            </w:r>
          </w:p>
        </w:tc>
        <w:tc>
          <w:tcPr>
            <w:tcW w:w="1180" w:type="dxa"/>
            <w:vAlign w:val="bottom"/>
          </w:tcPr>
          <w:p>
            <w:pPr>
              <w:spacing w:after="0"/>
              <w:rPr>
                <w:sz w:val="14"/>
                <w:szCs w:val="14"/>
                <w:color w:val="auto"/>
              </w:rPr>
            </w:pPr>
          </w:p>
        </w:tc>
        <w:tc>
          <w:tcPr>
            <w:tcW w:w="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3080" w:type="dxa"/>
            <w:vAlign w:val="bottom"/>
          </w:tcPr>
          <w:p>
            <w:pPr>
              <w:spacing w:after="0"/>
              <w:rPr>
                <w:sz w:val="14"/>
                <w:szCs w:val="14"/>
                <w:color w:val="auto"/>
              </w:rPr>
            </w:pPr>
          </w:p>
        </w:tc>
        <w:tc>
          <w:tcPr>
            <w:tcW w:w="17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Projected benefit obligation at</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beginning of the year</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290</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229</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cost</w:t>
            </w:r>
          </w:p>
        </w:tc>
        <w:tc>
          <w:tcPr>
            <w:tcW w:w="900" w:type="dxa"/>
            <w:vAlign w:val="bottom"/>
          </w:tcPr>
          <w:p>
            <w:pPr>
              <w:spacing w:after="0"/>
              <w:rPr>
                <w:sz w:val="14"/>
                <w:szCs w:val="14"/>
                <w:color w:val="auto"/>
              </w:rPr>
            </w:pPr>
          </w:p>
        </w:tc>
        <w:tc>
          <w:tcPr>
            <w:tcW w:w="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w:t>
            </w:r>
          </w:p>
        </w:tc>
        <w:tc>
          <w:tcPr>
            <w:tcW w:w="118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w:t>
            </w:r>
          </w:p>
        </w:tc>
        <w:tc>
          <w:tcPr>
            <w:tcW w:w="900" w:type="dxa"/>
            <w:vAlign w:val="bottom"/>
          </w:tcPr>
          <w:p>
            <w:pPr>
              <w:spacing w:after="0"/>
              <w:rPr>
                <w:sz w:val="14"/>
                <w:szCs w:val="14"/>
                <w:color w:val="auto"/>
              </w:rPr>
            </w:pPr>
          </w:p>
        </w:tc>
        <w:tc>
          <w:tcPr>
            <w:tcW w:w="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w:t>
            </w:r>
          </w:p>
        </w:tc>
        <w:tc>
          <w:tcPr>
            <w:tcW w:w="118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Actuarial losses</w:t>
            </w:r>
          </w:p>
        </w:tc>
        <w:tc>
          <w:tcPr>
            <w:tcW w:w="900" w:type="dxa"/>
            <w:vAlign w:val="bottom"/>
          </w:tcPr>
          <w:p>
            <w:pPr>
              <w:spacing w:after="0"/>
              <w:rPr>
                <w:sz w:val="14"/>
                <w:szCs w:val="14"/>
                <w:color w:val="auto"/>
              </w:rPr>
            </w:pPr>
          </w:p>
        </w:tc>
        <w:tc>
          <w:tcPr>
            <w:tcW w:w="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w:t>
            </w:r>
          </w:p>
        </w:tc>
        <w:tc>
          <w:tcPr>
            <w:tcW w:w="118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in exchange</w:t>
            </w:r>
          </w:p>
        </w:tc>
        <w:tc>
          <w:tcPr>
            <w:tcW w:w="90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w:t>
            </w:r>
          </w:p>
        </w:tc>
        <w:tc>
          <w:tcPr>
            <w:tcW w:w="1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 paid</w:t>
            </w:r>
          </w:p>
        </w:tc>
        <w:tc>
          <w:tcPr>
            <w:tcW w:w="90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w:t>
            </w:r>
          </w:p>
        </w:tc>
        <w:tc>
          <w:tcPr>
            <w:tcW w:w="1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Projected benefit obligation at</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17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end of the year</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311</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290</w:t>
            </w:r>
          </w:p>
        </w:tc>
      </w:tr>
      <w:tr>
        <w:trPr>
          <w:trHeight w:val="168"/>
        </w:trPr>
        <w:tc>
          <w:tcPr>
            <w:tcW w:w="3080" w:type="dxa"/>
            <w:vAlign w:val="bottom"/>
          </w:tcPr>
          <w:p>
            <w:pPr>
              <w:spacing w:after="0"/>
              <w:rPr>
                <w:sz w:val="14"/>
                <w:szCs w:val="14"/>
                <w:color w:val="auto"/>
              </w:rPr>
            </w:pPr>
          </w:p>
        </w:tc>
        <w:tc>
          <w:tcPr>
            <w:tcW w:w="17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Plan assets at market value at</w:t>
            </w: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beginning of the year</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366</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Actual return on plan assets</w:t>
            </w:r>
          </w:p>
        </w:tc>
        <w:tc>
          <w:tcPr>
            <w:tcW w:w="90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w:t>
            </w:r>
          </w:p>
        </w:tc>
        <w:tc>
          <w:tcPr>
            <w:tcW w:w="118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Loss in exchange</w:t>
            </w:r>
          </w:p>
        </w:tc>
        <w:tc>
          <w:tcPr>
            <w:tcW w:w="90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w:t>
            </w:r>
          </w:p>
        </w:tc>
        <w:tc>
          <w:tcPr>
            <w:tcW w:w="1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Employer contribution</w:t>
            </w:r>
          </w:p>
        </w:tc>
        <w:tc>
          <w:tcPr>
            <w:tcW w:w="900" w:type="dxa"/>
            <w:vAlign w:val="bottom"/>
          </w:tcPr>
          <w:p>
            <w:pPr>
              <w:spacing w:after="0"/>
              <w:rPr>
                <w:sz w:val="14"/>
                <w:szCs w:val="14"/>
                <w:color w:val="auto"/>
              </w:rPr>
            </w:pPr>
          </w:p>
        </w:tc>
        <w:tc>
          <w:tcPr>
            <w:tcW w:w="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w:t>
            </w:r>
          </w:p>
        </w:tc>
        <w:tc>
          <w:tcPr>
            <w:tcW w:w="118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Employee contributions</w:t>
            </w:r>
          </w:p>
        </w:tc>
        <w:tc>
          <w:tcPr>
            <w:tcW w:w="900" w:type="dxa"/>
            <w:vAlign w:val="bottom"/>
          </w:tcPr>
          <w:p>
            <w:pPr>
              <w:spacing w:after="0"/>
              <w:rPr>
                <w:sz w:val="14"/>
                <w:szCs w:val="14"/>
                <w:color w:val="auto"/>
              </w:rPr>
            </w:pPr>
          </w:p>
        </w:tc>
        <w:tc>
          <w:tcPr>
            <w:tcW w:w="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w:t>
            </w:r>
          </w:p>
        </w:tc>
        <w:tc>
          <w:tcPr>
            <w:tcW w:w="118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 paid</w:t>
            </w:r>
          </w:p>
        </w:tc>
        <w:tc>
          <w:tcPr>
            <w:tcW w:w="90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w:t>
            </w:r>
          </w:p>
        </w:tc>
        <w:tc>
          <w:tcPr>
            <w:tcW w:w="1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Plan assets at market value at</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080" w:type="dxa"/>
            <w:vAlign w:val="bottom"/>
          </w:tcPr>
          <w:p>
            <w:pPr>
              <w:spacing w:after="0"/>
              <w:rPr>
                <w:sz w:val="14"/>
                <w:szCs w:val="14"/>
                <w:color w:val="auto"/>
              </w:rPr>
            </w:pPr>
          </w:p>
        </w:tc>
        <w:tc>
          <w:tcPr>
            <w:tcW w:w="17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end of the year</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385</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454</w:t>
            </w:r>
          </w:p>
        </w:tc>
      </w:tr>
      <w:tr>
        <w:trPr>
          <w:trHeight w:val="168"/>
        </w:trPr>
        <w:tc>
          <w:tcPr>
            <w:tcW w:w="3080" w:type="dxa"/>
            <w:vAlign w:val="bottom"/>
          </w:tcPr>
          <w:p>
            <w:pPr>
              <w:spacing w:after="0"/>
              <w:rPr>
                <w:sz w:val="14"/>
                <w:szCs w:val="14"/>
                <w:color w:val="auto"/>
              </w:rPr>
            </w:pPr>
          </w:p>
        </w:tc>
        <w:tc>
          <w:tcPr>
            <w:tcW w:w="17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0"/>
                <w:szCs w:val="20"/>
                <w:color w:val="auto"/>
              </w:rPr>
            </w:pPr>
            <w:r>
              <w:rPr>
                <w:rFonts w:ascii="Courier New" w:cs="Courier New" w:eastAsia="Courier New" w:hAnsi="Courier New"/>
                <w:sz w:val="15"/>
                <w:szCs w:val="15"/>
                <w:color w:val="auto"/>
              </w:rPr>
              <w:t>Excess of assets over projected</w:t>
            </w:r>
          </w:p>
        </w:tc>
        <w:tc>
          <w:tcPr>
            <w:tcW w:w="9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benefit obligation</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164</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gain</w:t>
            </w:r>
          </w:p>
        </w:tc>
        <w:tc>
          <w:tcPr>
            <w:tcW w:w="90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(39)</w:t>
            </w:r>
          </w:p>
        </w:tc>
        <w:tc>
          <w:tcPr>
            <w:tcW w:w="1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(135)</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prior service cost</w:t>
            </w:r>
          </w:p>
        </w:tc>
        <w:tc>
          <w:tcPr>
            <w:tcW w:w="900" w:type="dxa"/>
            <w:vAlign w:val="bottom"/>
          </w:tcPr>
          <w:p>
            <w:pPr>
              <w:spacing w:after="0"/>
              <w:rPr>
                <w:sz w:val="14"/>
                <w:szCs w:val="14"/>
                <w:color w:val="auto"/>
              </w:rPr>
            </w:pPr>
          </w:p>
        </w:tc>
        <w:tc>
          <w:tcPr>
            <w:tcW w:w="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w:t>
            </w:r>
          </w:p>
        </w:tc>
        <w:tc>
          <w:tcPr>
            <w:tcW w:w="118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asset at</w:t>
            </w:r>
          </w:p>
        </w:tc>
        <w:tc>
          <w:tcPr>
            <w:tcW w:w="9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0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transition date</w:t>
            </w:r>
          </w:p>
        </w:tc>
        <w:tc>
          <w:tcPr>
            <w:tcW w:w="900" w:type="dxa"/>
            <w:vAlign w:val="bottom"/>
          </w:tcPr>
          <w:p>
            <w:pPr>
              <w:spacing w:after="0"/>
              <w:rPr>
                <w:sz w:val="14"/>
                <w:szCs w:val="14"/>
                <w:color w:val="auto"/>
              </w:rPr>
            </w:pP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c>
          <w:tcPr>
            <w:tcW w:w="118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080" w:type="dxa"/>
            <w:vAlign w:val="bottom"/>
          </w:tcPr>
          <w:p>
            <w:pPr>
              <w:spacing w:after="0"/>
              <w:rPr>
                <w:sz w:val="14"/>
                <w:szCs w:val="14"/>
                <w:color w:val="auto"/>
              </w:rPr>
            </w:pPr>
          </w:p>
        </w:tc>
        <w:tc>
          <w:tcPr>
            <w:tcW w:w="17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tcPr>
          <w:p>
            <w:pPr>
              <w:spacing w:after="0" w:line="168" w:lineRule="exact"/>
              <w:rPr>
                <w:sz w:val="20"/>
                <w:szCs w:val="20"/>
                <w:color w:val="auto"/>
              </w:rPr>
            </w:pPr>
            <w:r>
              <w:rPr>
                <w:rFonts w:ascii="Courier New" w:cs="Courier New" w:eastAsia="Courier New" w:hAnsi="Courier New"/>
                <w:sz w:val="15"/>
                <w:szCs w:val="15"/>
                <w:color w:val="auto"/>
              </w:rPr>
              <w:t>Pension asset</w:t>
            </w:r>
          </w:p>
        </w:tc>
        <w:tc>
          <w:tcPr>
            <w:tcW w:w="9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3080" w:type="dxa"/>
            <w:vAlign w:val="bottom"/>
          </w:tcPr>
          <w:p>
            <w:pPr>
              <w:spacing w:after="0"/>
              <w:rPr>
                <w:sz w:val="14"/>
                <w:szCs w:val="14"/>
                <w:color w:val="auto"/>
              </w:rPr>
            </w:pPr>
          </w:p>
        </w:tc>
        <w:tc>
          <w:tcPr>
            <w:tcW w:w="17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210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80" w:type="dxa"/>
            <w:vAlign w:val="bottom"/>
          </w:tcPr>
          <w:p>
            <w:pPr>
              <w:spacing w:after="0"/>
              <w:rPr>
                <w:sz w:val="24"/>
                <w:szCs w:val="24"/>
                <w:color w:val="auto"/>
              </w:rPr>
            </w:pPr>
          </w:p>
        </w:tc>
        <w:tc>
          <w:tcPr>
            <w:tcW w:w="9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50</w:t>
            </w:r>
          </w:p>
        </w:tc>
        <w:tc>
          <w:tcPr>
            <w:tcW w:w="8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39"/>
          </w:cols>
          <w:pgMar w:left="220" w:top="624" w:right="1440" w:bottom="1440" w:gutter="0" w:footer="0" w:header="0"/>
        </w:sectPr>
      </w:pPr>
    </w:p>
    <w:bookmarkStart w:id="52" w:name="page53"/>
    <w:bookmarkEnd w:id="52"/>
    <w:p>
      <w:pPr>
        <w:ind w:right="3239"/>
        <w:spacing w:after="0" w:line="255" w:lineRule="auto"/>
        <w:rPr>
          <w:sz w:val="20"/>
          <w:szCs w:val="20"/>
          <w:color w:val="auto"/>
        </w:rPr>
      </w:pPr>
      <w:r>
        <w:rPr>
          <w:rFonts w:ascii="Courier New" w:cs="Courier New" w:eastAsia="Courier New" w:hAnsi="Courier New"/>
          <w:sz w:val="14"/>
          <w:szCs w:val="14"/>
          <w:color w:val="auto"/>
        </w:rPr>
        <w:t>The assumed discount rate and rate of compensation increases used to determine the projected benefit obligation were 6% and 4%, respectively, in 2000, and 6.5% and 4%, respectively, in 1999; the expected long-term rate of return on plan assets was 9% in 2000 and 1999. Plan assets consisted of common stocks ($319 million), cash or cash equivalents ($21 million) and fixed income investments ($45 million). None of the plan assets represented Schlumberger common stock.</w:t>
      </w:r>
    </w:p>
    <w:p>
      <w:pPr>
        <w:spacing w:after="0" w:line="166"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For defined contribution plans, funding and cost are generally based upon a predetermined percentage of employee compensation. Charges to expense in 2000, 1999 and 1998, were $22 million, $24 million and $25 million, respectively.</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DEFERRED BENEFITS</w:t>
      </w:r>
    </w:p>
    <w:p>
      <w:pPr>
        <w:spacing w:after="0" w:line="5"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In addition to providing pension benefits, Schlumberger and its subsidiaries have other deferred benefit programs, primarily profit sharing. Expenses for these programs were $114 million, $73 million and $128 million in 2000, 1999 and 1998, respectively.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HEALTH CARE BENEFITS</w:t>
      </w:r>
    </w:p>
    <w:p>
      <w:pPr>
        <w:spacing w:after="0" w:line="5"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Schlumberger and its US subsidiary provide health care benefits for certain active employees. The cost of providing these benefits is recognized as expense when incurred and aggregated $60 million, $53 million and $54 million in 2000,</w:t>
      </w:r>
    </w:p>
    <w:p>
      <w:pPr>
        <w:spacing w:after="0" w:line="161" w:lineRule="exact"/>
        <w:rPr>
          <w:sz w:val="20"/>
          <w:szCs w:val="20"/>
          <w:color w:val="auto"/>
        </w:rPr>
      </w:pPr>
    </w:p>
    <w:p>
      <w:pPr>
        <w:jc w:val="both"/>
        <w:ind w:right="3399"/>
        <w:spacing w:after="0" w:line="234" w:lineRule="auto"/>
        <w:rPr>
          <w:sz w:val="20"/>
          <w:szCs w:val="20"/>
          <w:color w:val="auto"/>
        </w:rPr>
      </w:pPr>
      <w:r>
        <w:rPr>
          <w:rFonts w:ascii="Courier New" w:cs="Courier New" w:eastAsia="Courier New" w:hAnsi="Courier New"/>
          <w:sz w:val="15"/>
          <w:szCs w:val="15"/>
          <w:color w:val="auto"/>
        </w:rPr>
        <w:t>1999 and 1998, respectively. Outside the US, such benefits are mostly provided through government-sponsored programs.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POSTRETIREMENT BENEFITS OTHER THAN PENSIONS</w:t>
      </w:r>
    </w:p>
    <w:p>
      <w:pPr>
        <w:spacing w:after="0" w:line="5"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Schlumberger and its US subsidiary provide certain health care benefits to former employees who have retired under the US pension plans.</w:t>
      </w:r>
    </w:p>
    <w:p>
      <w:pPr>
        <w:spacing w:after="0" w:line="173"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The principal actuarial assumptions used to measure costs were a discount rate of 7.75% in 2000, 7% in 1999 and 7.5% in 1998. The overall medical cost trend rate assumption is 9% graded to 5% over the next six years and 5% thereafter.</w:t>
      </w:r>
    </w:p>
    <w:p>
      <w:pPr>
        <w:spacing w:after="0" w:line="161"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Net periodic postretirement benefit cost in the US for 2000, 1999 and 1998, included the following components: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3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2000</w:t>
            </w:r>
          </w:p>
        </w:tc>
        <w:tc>
          <w:tcPr>
            <w:tcW w:w="6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1999</w:t>
            </w:r>
          </w:p>
        </w:tc>
        <w:tc>
          <w:tcPr>
            <w:tcW w:w="96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3200" w:type="dxa"/>
            <w:vAlign w:val="bottom"/>
          </w:tcPr>
          <w:p>
            <w:pPr>
              <w:spacing w:after="0"/>
              <w:rPr>
                <w:sz w:val="14"/>
                <w:szCs w:val="14"/>
                <w:color w:val="auto"/>
              </w:rPr>
            </w:pPr>
          </w:p>
        </w:tc>
        <w:tc>
          <w:tcPr>
            <w:tcW w:w="14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Service cost - benefits</w:t>
            </w:r>
          </w:p>
        </w:tc>
        <w:tc>
          <w:tcPr>
            <w:tcW w:w="4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68"/>
        </w:trPr>
        <w:tc>
          <w:tcPr>
            <w:tcW w:w="3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earned during the period</w:t>
            </w:r>
          </w:p>
        </w:tc>
        <w:tc>
          <w:tcPr>
            <w:tcW w:w="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10</w:t>
            </w:r>
          </w:p>
        </w:tc>
        <w:tc>
          <w:tcPr>
            <w:tcW w:w="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 on accumulated</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postretirement benefit obligation</w:t>
            </w:r>
          </w:p>
        </w:tc>
        <w:tc>
          <w:tcPr>
            <w:tcW w:w="440" w:type="dxa"/>
            <w:vAlign w:val="bottom"/>
          </w:tcPr>
          <w:p>
            <w:pPr>
              <w:spacing w:after="0"/>
              <w:rPr>
                <w:sz w:val="14"/>
                <w:szCs w:val="14"/>
                <w:color w:val="auto"/>
              </w:rPr>
            </w:pP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28</w:t>
            </w:r>
          </w:p>
        </w:tc>
        <w:tc>
          <w:tcPr>
            <w:tcW w:w="6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w:t>
            </w:r>
          </w:p>
        </w:tc>
        <w:tc>
          <w:tcPr>
            <w:tcW w:w="96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3200" w:type="dxa"/>
            <w:vAlign w:val="bottom"/>
          </w:tcPr>
          <w:p>
            <w:pPr>
              <w:spacing w:after="0" w:line="168" w:lineRule="exact"/>
              <w:rPr>
                <w:sz w:val="20"/>
                <w:szCs w:val="20"/>
                <w:color w:val="auto"/>
              </w:rPr>
            </w:pPr>
            <w:r>
              <w:rPr>
                <w:rFonts w:ascii="Courier New" w:cs="Courier New" w:eastAsia="Courier New" w:hAnsi="Courier New"/>
                <w:sz w:val="15"/>
                <w:szCs w:val="15"/>
                <w:color w:val="auto"/>
              </w:rPr>
              <w:t>Amortization of unrecognized net</w:t>
            </w:r>
          </w:p>
        </w:tc>
        <w:tc>
          <w:tcPr>
            <w:tcW w:w="4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2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gain and other</w:t>
            </w:r>
          </w:p>
        </w:tc>
        <w:tc>
          <w:tcPr>
            <w:tcW w:w="440" w:type="dxa"/>
            <w:vAlign w:val="bottom"/>
          </w:tcPr>
          <w:p>
            <w:pPr>
              <w:spacing w:after="0"/>
              <w:rPr>
                <w:sz w:val="14"/>
                <w:szCs w:val="14"/>
                <w:color w:val="auto"/>
              </w:rPr>
            </w:pPr>
          </w:p>
        </w:tc>
        <w:tc>
          <w:tcPr>
            <w:tcW w:w="10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w:t>
            </w:r>
          </w:p>
        </w:tc>
        <w:tc>
          <w:tcPr>
            <w:tcW w:w="6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w:t>
            </w:r>
          </w:p>
        </w:tc>
        <w:tc>
          <w:tcPr>
            <w:tcW w:w="96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3200" w:type="dxa"/>
            <w:vAlign w:val="bottom"/>
          </w:tcPr>
          <w:p>
            <w:pPr>
              <w:spacing w:after="0"/>
              <w:rPr>
                <w:sz w:val="14"/>
                <w:szCs w:val="14"/>
                <w:color w:val="auto"/>
              </w:rPr>
            </w:pPr>
          </w:p>
        </w:tc>
        <w:tc>
          <w:tcPr>
            <w:tcW w:w="14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rPr>
                <w:sz w:val="14"/>
                <w:szCs w:val="14"/>
                <w:color w:val="auto"/>
              </w:rPr>
            </w:pPr>
          </w:p>
        </w:tc>
        <w:tc>
          <w:tcPr>
            <w:tcW w:w="4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35</w:t>
            </w:r>
          </w:p>
        </w:tc>
        <w:tc>
          <w:tcPr>
            <w:tcW w:w="6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3200" w:type="dxa"/>
            <w:vAlign w:val="bottom"/>
          </w:tcPr>
          <w:p>
            <w:pPr>
              <w:spacing w:after="0"/>
              <w:rPr>
                <w:sz w:val="14"/>
                <w:szCs w:val="14"/>
                <w:color w:val="auto"/>
              </w:rPr>
            </w:pPr>
          </w:p>
        </w:tc>
        <w:tc>
          <w:tcPr>
            <w:tcW w:w="14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8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200" w:type="dxa"/>
            <w:vAlign w:val="bottom"/>
          </w:tcPr>
          <w:p>
            <w:pPr>
              <w:spacing w:after="0"/>
              <w:rPr>
                <w:sz w:val="24"/>
                <w:szCs w:val="24"/>
                <w:color w:val="auto"/>
              </w:rPr>
            </w:pPr>
          </w:p>
        </w:tc>
        <w:tc>
          <w:tcPr>
            <w:tcW w:w="440" w:type="dxa"/>
            <w:vAlign w:val="bottom"/>
          </w:tcPr>
          <w:p>
            <w:pPr>
              <w:ind w:left="220"/>
              <w:spacing w:after="0"/>
              <w:rPr>
                <w:sz w:val="20"/>
                <w:szCs w:val="20"/>
                <w:color w:val="auto"/>
              </w:rPr>
            </w:pPr>
            <w:r>
              <w:rPr>
                <w:rFonts w:ascii="Courier New" w:cs="Courier New" w:eastAsia="Courier New" w:hAnsi="Courier New"/>
                <w:sz w:val="15"/>
                <w:szCs w:val="15"/>
                <w:color w:val="auto"/>
              </w:rPr>
              <w:t>51</w:t>
            </w:r>
          </w:p>
        </w:tc>
        <w:tc>
          <w:tcPr>
            <w:tcW w:w="1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80" w:type="dxa"/>
            <w:vAlign w:val="bottom"/>
          </w:tcPr>
          <w:p>
            <w:pPr>
              <w:spacing w:after="0"/>
              <w:rPr>
                <w:sz w:val="24"/>
                <w:szCs w:val="24"/>
                <w:color w:val="auto"/>
              </w:rPr>
            </w:pPr>
          </w:p>
        </w:tc>
      </w:tr>
    </w:tbl>
    <w:p>
      <w:pPr>
        <w:sectPr>
          <w:pgSz w:w="11900" w:h="16838" w:orient="portrait"/>
          <w:cols w:equalWidth="0" w:num="1">
            <w:col w:w="10239"/>
          </w:cols>
          <w:pgMar w:left="220" w:top="960"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4"/>
          <w:szCs w:val="14"/>
          <w:color w:val="auto"/>
        </w:rPr>
        <w:t>The change in accumulated postretirement benefit obligation and funded status 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December 31, 2000 and 1999, was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(Stated in millions)</w:t>
            </w:r>
          </w:p>
        </w:tc>
      </w:tr>
      <w:tr>
        <w:trPr>
          <w:trHeight w:val="168"/>
        </w:trPr>
        <w:tc>
          <w:tcPr>
            <w:tcW w:w="3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2000</w:t>
            </w:r>
          </w:p>
        </w:tc>
        <w:tc>
          <w:tcPr>
            <w:tcW w:w="110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1999</w:t>
            </w:r>
          </w:p>
        </w:tc>
      </w:tr>
      <w:tr>
        <w:trPr>
          <w:trHeight w:val="168"/>
        </w:trPr>
        <w:tc>
          <w:tcPr>
            <w:tcW w:w="3640" w:type="dxa"/>
            <w:vAlign w:val="bottom"/>
          </w:tcPr>
          <w:p>
            <w:pPr>
              <w:spacing w:after="0"/>
              <w:rPr>
                <w:sz w:val="14"/>
                <w:szCs w:val="14"/>
                <w:color w:val="auto"/>
              </w:rPr>
            </w:pP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postretirement benefit</w:t>
            </w: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obligation at beginning of the year</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320</w:t>
            </w:r>
          </w:p>
        </w:tc>
        <w:tc>
          <w:tcPr>
            <w:tcW w:w="110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354</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Service cost</w:t>
            </w:r>
          </w:p>
        </w:tc>
        <w:tc>
          <w:tcPr>
            <w:tcW w:w="6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w:t>
            </w:r>
          </w:p>
        </w:tc>
        <w:tc>
          <w:tcPr>
            <w:tcW w:w="11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Interest cost</w:t>
            </w:r>
          </w:p>
        </w:tc>
        <w:tc>
          <w:tcPr>
            <w:tcW w:w="6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w:t>
            </w:r>
          </w:p>
        </w:tc>
        <w:tc>
          <w:tcPr>
            <w:tcW w:w="11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Actuarial losses (gains)</w:t>
            </w:r>
          </w:p>
        </w:tc>
        <w:tc>
          <w:tcPr>
            <w:tcW w:w="6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w:t>
            </w:r>
          </w:p>
        </w:tc>
        <w:tc>
          <w:tcPr>
            <w:tcW w:w="11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Benefits paid</w:t>
            </w:r>
          </w:p>
        </w:tc>
        <w:tc>
          <w:tcPr>
            <w:tcW w:w="6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c>
          <w:tcPr>
            <w:tcW w:w="11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3640" w:type="dxa"/>
            <w:vAlign w:val="bottom"/>
          </w:tcPr>
          <w:p>
            <w:pPr>
              <w:spacing w:after="0"/>
              <w:rPr>
                <w:sz w:val="14"/>
                <w:szCs w:val="14"/>
                <w:color w:val="auto"/>
              </w:rPr>
            </w:pP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ind w:left="10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Accumulated postretirement benefit</w:t>
            </w: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obligation at the end of the year</w:t>
            </w:r>
          </w:p>
        </w:tc>
        <w:tc>
          <w:tcPr>
            <w:tcW w:w="6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398</w:t>
            </w:r>
          </w:p>
        </w:tc>
        <w:tc>
          <w:tcPr>
            <w:tcW w:w="11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320</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net gain</w:t>
            </w:r>
          </w:p>
        </w:tc>
        <w:tc>
          <w:tcPr>
            <w:tcW w:w="6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w:t>
            </w:r>
          </w:p>
        </w:tc>
        <w:tc>
          <w:tcPr>
            <w:tcW w:w="11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124</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Unrecognized prior service cost</w:t>
            </w:r>
          </w:p>
        </w:tc>
        <w:tc>
          <w:tcPr>
            <w:tcW w:w="6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w:t>
            </w:r>
          </w:p>
        </w:tc>
        <w:tc>
          <w:tcPr>
            <w:tcW w:w="110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Postretirement benefit liability</w:t>
            </w: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on December 31</w:t>
            </w:r>
          </w:p>
        </w:tc>
        <w:tc>
          <w:tcPr>
            <w:tcW w:w="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469</w:t>
            </w:r>
          </w:p>
        </w:tc>
        <w:tc>
          <w:tcPr>
            <w:tcW w:w="1100" w:type="dxa"/>
            <w:vAlign w:val="bottom"/>
          </w:tcPr>
          <w:p>
            <w:pPr>
              <w:ind w:left="100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448</w:t>
            </w:r>
          </w:p>
        </w:tc>
      </w:tr>
      <w:tr>
        <w:trPr>
          <w:trHeight w:val="168"/>
        </w:trPr>
        <w:tc>
          <w:tcPr>
            <w:tcW w:w="3640" w:type="dxa"/>
            <w:vAlign w:val="bottom"/>
          </w:tcPr>
          <w:p>
            <w:pPr>
              <w:spacing w:after="0"/>
              <w:rPr>
                <w:sz w:val="14"/>
                <w:szCs w:val="14"/>
                <w:color w:val="auto"/>
              </w:rPr>
            </w:pPr>
          </w:p>
        </w:tc>
        <w:tc>
          <w:tcPr>
            <w:tcW w:w="14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8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components of the accumulated postretirement benefit obligation on December 31, 2000 and 1999,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6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6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2000</w:t>
            </w:r>
          </w:p>
        </w:tc>
        <w:tc>
          <w:tcPr>
            <w:tcW w:w="54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2200" w:type="dxa"/>
            <w:vAlign w:val="bottom"/>
          </w:tcPr>
          <w:p>
            <w:pPr>
              <w:spacing w:after="0"/>
              <w:rPr>
                <w:sz w:val="14"/>
                <w:szCs w:val="14"/>
                <w:color w:val="auto"/>
              </w:rPr>
            </w:pPr>
          </w:p>
        </w:tc>
        <w:tc>
          <w:tcPr>
            <w:tcW w:w="2440" w:type="dxa"/>
            <w:vAlign w:val="bottom"/>
            <w:gridSpan w:val="2"/>
          </w:tcPr>
          <w:p>
            <w:pPr>
              <w:ind w:left="96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2200" w:type="dxa"/>
            <w:vAlign w:val="bottom"/>
          </w:tcPr>
          <w:p>
            <w:pPr>
              <w:spacing w:after="0"/>
              <w:rPr>
                <w:sz w:val="20"/>
                <w:szCs w:val="20"/>
                <w:color w:val="auto"/>
              </w:rPr>
            </w:pPr>
            <w:r>
              <w:rPr>
                <w:rFonts w:ascii="Courier New" w:cs="Courier New" w:eastAsia="Courier New" w:hAnsi="Courier New"/>
                <w:sz w:val="15"/>
                <w:szCs w:val="15"/>
                <w:color w:val="auto"/>
              </w:rPr>
              <w:t>Retirees</w:t>
            </w:r>
          </w:p>
        </w:tc>
        <w:tc>
          <w:tcPr>
            <w:tcW w:w="1180" w:type="dxa"/>
            <w:vAlign w:val="bottom"/>
          </w:tcPr>
          <w:p>
            <w:pPr>
              <w:ind w:left="960"/>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216</w:t>
            </w:r>
          </w:p>
        </w:tc>
        <w:tc>
          <w:tcPr>
            <w:tcW w:w="5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161</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Fully eligible</w:t>
            </w:r>
          </w:p>
        </w:tc>
        <w:tc>
          <w:tcPr>
            <w:tcW w:w="1180" w:type="dxa"/>
            <w:vAlign w:val="bottom"/>
          </w:tcPr>
          <w:p>
            <w:pPr>
              <w:spacing w:after="0"/>
              <w:rPr>
                <w:sz w:val="14"/>
                <w:szCs w:val="14"/>
                <w:color w:val="auto"/>
              </w:rPr>
            </w:pPr>
          </w:p>
        </w:tc>
        <w:tc>
          <w:tcPr>
            <w:tcW w:w="12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47</w:t>
            </w:r>
          </w:p>
        </w:tc>
        <w:tc>
          <w:tcPr>
            <w:tcW w:w="5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45</w:t>
            </w:r>
          </w:p>
        </w:tc>
      </w:tr>
      <w:tr>
        <w:trPr>
          <w:trHeight w:val="168"/>
        </w:trPr>
        <w:tc>
          <w:tcPr>
            <w:tcW w:w="2200" w:type="dxa"/>
            <w:vAlign w:val="bottom"/>
          </w:tcPr>
          <w:p>
            <w:pPr>
              <w:spacing w:after="0" w:line="168" w:lineRule="exact"/>
              <w:rPr>
                <w:sz w:val="20"/>
                <w:szCs w:val="20"/>
                <w:color w:val="auto"/>
              </w:rPr>
            </w:pPr>
            <w:r>
              <w:rPr>
                <w:rFonts w:ascii="Courier New" w:cs="Courier New" w:eastAsia="Courier New" w:hAnsi="Courier New"/>
                <w:sz w:val="15"/>
                <w:szCs w:val="15"/>
                <w:color w:val="auto"/>
              </w:rPr>
              <w:t>Actives</w:t>
            </w:r>
          </w:p>
        </w:tc>
        <w:tc>
          <w:tcPr>
            <w:tcW w:w="1180" w:type="dxa"/>
            <w:vAlign w:val="bottom"/>
          </w:tcPr>
          <w:p>
            <w:pPr>
              <w:spacing w:after="0"/>
              <w:rPr>
                <w:sz w:val="14"/>
                <w:szCs w:val="14"/>
                <w:color w:val="auto"/>
              </w:rPr>
            </w:pPr>
          </w:p>
        </w:tc>
        <w:tc>
          <w:tcPr>
            <w:tcW w:w="12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135</w:t>
            </w:r>
          </w:p>
        </w:tc>
        <w:tc>
          <w:tcPr>
            <w:tcW w:w="5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114</w:t>
            </w:r>
          </w:p>
        </w:tc>
      </w:tr>
      <w:tr>
        <w:trPr>
          <w:trHeight w:val="168"/>
        </w:trPr>
        <w:tc>
          <w:tcPr>
            <w:tcW w:w="2200" w:type="dxa"/>
            <w:vAlign w:val="bottom"/>
          </w:tcPr>
          <w:p>
            <w:pPr>
              <w:spacing w:after="0"/>
              <w:rPr>
                <w:sz w:val="14"/>
                <w:szCs w:val="14"/>
                <w:color w:val="auto"/>
              </w:rPr>
            </w:pPr>
          </w:p>
        </w:tc>
        <w:tc>
          <w:tcPr>
            <w:tcW w:w="2440" w:type="dxa"/>
            <w:vAlign w:val="bottom"/>
            <w:gridSpan w:val="2"/>
          </w:tcPr>
          <w:p>
            <w:pPr>
              <w:ind w:left="96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2200" w:type="dxa"/>
            <w:vAlign w:val="bottom"/>
          </w:tcPr>
          <w:p>
            <w:pPr>
              <w:spacing w:after="0"/>
              <w:rPr>
                <w:sz w:val="14"/>
                <w:szCs w:val="14"/>
                <w:color w:val="auto"/>
              </w:rPr>
            </w:pPr>
          </w:p>
        </w:tc>
        <w:tc>
          <w:tcPr>
            <w:tcW w:w="118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398</w:t>
            </w:r>
          </w:p>
        </w:tc>
        <w:tc>
          <w:tcPr>
            <w:tcW w:w="5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320</w:t>
            </w:r>
          </w:p>
        </w:tc>
      </w:tr>
      <w:tr>
        <w:trPr>
          <w:trHeight w:val="168"/>
        </w:trPr>
        <w:tc>
          <w:tcPr>
            <w:tcW w:w="2200" w:type="dxa"/>
            <w:vAlign w:val="bottom"/>
          </w:tcPr>
          <w:p>
            <w:pPr>
              <w:spacing w:after="0"/>
              <w:rPr>
                <w:sz w:val="14"/>
                <w:szCs w:val="14"/>
                <w:color w:val="auto"/>
              </w:rPr>
            </w:pPr>
          </w:p>
        </w:tc>
        <w:tc>
          <w:tcPr>
            <w:tcW w:w="2440" w:type="dxa"/>
            <w:vAlign w:val="bottom"/>
            <w:gridSpan w:val="2"/>
          </w:tcPr>
          <w:p>
            <w:pPr>
              <w:ind w:left="96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4"/>
              </w:rPr>
              <w:t>============</w:t>
            </w:r>
          </w:p>
        </w:tc>
      </w:tr>
    </w:tbl>
    <w:p>
      <w:pPr>
        <w:spacing w:after="0" w:line="173" w:lineRule="exact"/>
        <w:rPr>
          <w:sz w:val="20"/>
          <w:szCs w:val="20"/>
          <w:color w:val="auto"/>
        </w:rPr>
      </w:pPr>
    </w:p>
    <w:p>
      <w:pPr>
        <w:ind w:right="3759"/>
        <w:spacing w:after="0" w:line="261" w:lineRule="auto"/>
        <w:rPr>
          <w:sz w:val="20"/>
          <w:szCs w:val="20"/>
          <w:color w:val="auto"/>
        </w:rPr>
      </w:pPr>
      <w:r>
        <w:rPr>
          <w:rFonts w:ascii="Courier New" w:cs="Courier New" w:eastAsia="Courier New" w:hAnsi="Courier New"/>
          <w:sz w:val="14"/>
          <w:szCs w:val="14"/>
          <w:color w:val="auto"/>
        </w:rPr>
        <w:t>The assumed discount rate used to determine the accumulated postretirement benefit obligation was 7.50% for 2000 and 7.75% for 1999.</w:t>
      </w:r>
    </w:p>
    <w:p>
      <w:pPr>
        <w:spacing w:after="0" w:line="160"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If the assumed medical cost trend rate was increased by one percentage point, health care cost in 2000 would have been $45 million, and the accumulated postretirement benefit obligation would have been $465 million on December 31, 2000.</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If the assumed medical cost trend rate was decreased by one percentage point, health care cost in 2000 would have been $32 million, and the accumulated postretirement benefit obligation would have been $360 million on December 31, 2000.</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792" w:right="1440" w:bottom="1440" w:gutter="0" w:footer="0" w:header="0"/>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Supplementary Information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Operating revenue and related cost of goods sold and services for continuing operations comprised the following:</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2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700" w:type="dxa"/>
            <w:vAlign w:val="bottom"/>
          </w:tcPr>
          <w:p>
            <w:pPr>
              <w:spacing w:after="0"/>
              <w:rPr>
                <w:sz w:val="14"/>
                <w:szCs w:val="14"/>
                <w:color w:val="auto"/>
              </w:rPr>
            </w:pPr>
          </w:p>
        </w:tc>
        <w:tc>
          <w:tcPr>
            <w:tcW w:w="12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2000</w:t>
            </w:r>
          </w:p>
        </w:tc>
        <w:tc>
          <w:tcPr>
            <w:tcW w:w="520" w:type="dxa"/>
            <w:vAlign w:val="bottom"/>
          </w:tcPr>
          <w:p>
            <w:pPr>
              <w:spacing w:after="0"/>
              <w:rPr>
                <w:sz w:val="14"/>
                <w:szCs w:val="14"/>
                <w:color w:val="auto"/>
              </w:rPr>
            </w:pPr>
          </w:p>
        </w:tc>
        <w:tc>
          <w:tcPr>
            <w:tcW w:w="1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1999</w:t>
            </w:r>
          </w:p>
        </w:tc>
        <w:tc>
          <w:tcPr>
            <w:tcW w:w="52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2540" w:type="dxa"/>
            <w:vAlign w:val="bottom"/>
          </w:tcPr>
          <w:p>
            <w:pPr>
              <w:spacing w:after="0"/>
              <w:rPr>
                <w:sz w:val="14"/>
                <w:szCs w:val="14"/>
                <w:color w:val="auto"/>
              </w:rPr>
            </w:pPr>
          </w:p>
        </w:tc>
        <w:tc>
          <w:tcPr>
            <w:tcW w:w="19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Operating revenue</w:t>
            </w: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Sales</w:t>
            </w:r>
          </w:p>
        </w:tc>
        <w:tc>
          <w:tcPr>
            <w:tcW w:w="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4,225</w:t>
            </w: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3,822</w:t>
            </w: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4,623</w:t>
            </w:r>
          </w:p>
        </w:tc>
      </w:tr>
      <w:tr>
        <w:trPr>
          <w:trHeight w:val="168"/>
        </w:trPr>
        <w:tc>
          <w:tcPr>
            <w:tcW w:w="25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Services</w:t>
            </w:r>
          </w:p>
        </w:tc>
        <w:tc>
          <w:tcPr>
            <w:tcW w:w="700" w:type="dxa"/>
            <w:vAlign w:val="bottom"/>
          </w:tcPr>
          <w:p>
            <w:pPr>
              <w:spacing w:after="0"/>
              <w:rPr>
                <w:sz w:val="14"/>
                <w:szCs w:val="14"/>
                <w:color w:val="auto"/>
              </w:rPr>
            </w:pPr>
          </w:p>
        </w:tc>
        <w:tc>
          <w:tcPr>
            <w:tcW w:w="12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5,386</w:t>
            </w:r>
          </w:p>
        </w:tc>
        <w:tc>
          <w:tcPr>
            <w:tcW w:w="52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4,573</w:t>
            </w:r>
          </w:p>
        </w:tc>
        <w:tc>
          <w:tcPr>
            <w:tcW w:w="5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6,102</w:t>
            </w:r>
          </w:p>
        </w:tc>
      </w:tr>
      <w:tr>
        <w:trPr>
          <w:trHeight w:val="168"/>
        </w:trPr>
        <w:tc>
          <w:tcPr>
            <w:tcW w:w="2540" w:type="dxa"/>
            <w:vAlign w:val="bottom"/>
          </w:tcPr>
          <w:p>
            <w:pPr>
              <w:spacing w:after="0"/>
              <w:rPr>
                <w:sz w:val="14"/>
                <w:szCs w:val="14"/>
                <w:color w:val="auto"/>
              </w:rPr>
            </w:pPr>
          </w:p>
        </w:tc>
        <w:tc>
          <w:tcPr>
            <w:tcW w:w="19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2540" w:type="dxa"/>
            <w:vAlign w:val="bottom"/>
          </w:tcPr>
          <w:p>
            <w:pPr>
              <w:spacing w:after="0"/>
              <w:rPr>
                <w:sz w:val="14"/>
                <w:szCs w:val="14"/>
                <w:color w:val="auto"/>
              </w:rPr>
            </w:pPr>
          </w:p>
        </w:tc>
        <w:tc>
          <w:tcPr>
            <w:tcW w:w="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9,611</w:t>
            </w: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8,395</w:t>
            </w: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10,725</w:t>
            </w:r>
          </w:p>
        </w:tc>
      </w:tr>
      <w:tr>
        <w:trPr>
          <w:trHeight w:val="168"/>
        </w:trPr>
        <w:tc>
          <w:tcPr>
            <w:tcW w:w="2540" w:type="dxa"/>
            <w:vAlign w:val="bottom"/>
          </w:tcPr>
          <w:p>
            <w:pPr>
              <w:spacing w:after="0"/>
              <w:rPr>
                <w:sz w:val="14"/>
                <w:szCs w:val="14"/>
                <w:color w:val="auto"/>
              </w:rPr>
            </w:pPr>
          </w:p>
        </w:tc>
        <w:tc>
          <w:tcPr>
            <w:tcW w:w="19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Direct operating costs</w:t>
            </w:r>
          </w:p>
        </w:tc>
        <w:tc>
          <w:tcPr>
            <w:tcW w:w="7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Goods sold</w:t>
            </w:r>
          </w:p>
        </w:tc>
        <w:tc>
          <w:tcPr>
            <w:tcW w:w="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2,582</w:t>
            </w: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2,461</w:t>
            </w: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2,916</w:t>
            </w:r>
          </w:p>
        </w:tc>
      </w:tr>
      <w:tr>
        <w:trPr>
          <w:trHeight w:val="168"/>
        </w:trPr>
        <w:tc>
          <w:tcPr>
            <w:tcW w:w="25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Services</w:t>
            </w:r>
          </w:p>
        </w:tc>
        <w:tc>
          <w:tcPr>
            <w:tcW w:w="700" w:type="dxa"/>
            <w:vAlign w:val="bottom"/>
          </w:tcPr>
          <w:p>
            <w:pPr>
              <w:spacing w:after="0"/>
              <w:rPr>
                <w:sz w:val="14"/>
                <w:szCs w:val="14"/>
                <w:color w:val="auto"/>
              </w:rPr>
            </w:pPr>
          </w:p>
        </w:tc>
        <w:tc>
          <w:tcPr>
            <w:tcW w:w="12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4,790</w:t>
            </w:r>
          </w:p>
        </w:tc>
        <w:tc>
          <w:tcPr>
            <w:tcW w:w="520" w:type="dxa"/>
            <w:vAlign w:val="bottom"/>
          </w:tcPr>
          <w:p>
            <w:pPr>
              <w:spacing w:after="0"/>
              <w:rPr>
                <w:sz w:val="14"/>
                <w:szCs w:val="14"/>
                <w:color w:val="auto"/>
              </w:rPr>
            </w:pP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4,288</w:t>
            </w:r>
          </w:p>
        </w:tc>
        <w:tc>
          <w:tcPr>
            <w:tcW w:w="520" w:type="dxa"/>
            <w:vAlign w:val="bottom"/>
          </w:tcPr>
          <w:p>
            <w:pPr>
              <w:spacing w:after="0"/>
              <w:rPr>
                <w:sz w:val="14"/>
                <w:szCs w:val="14"/>
                <w:color w:val="auto"/>
              </w:rPr>
            </w:pP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5,498</w:t>
            </w:r>
          </w:p>
        </w:tc>
      </w:tr>
      <w:tr>
        <w:trPr>
          <w:trHeight w:val="168"/>
        </w:trPr>
        <w:tc>
          <w:tcPr>
            <w:tcW w:w="2540" w:type="dxa"/>
            <w:vAlign w:val="bottom"/>
          </w:tcPr>
          <w:p>
            <w:pPr>
              <w:spacing w:after="0"/>
              <w:rPr>
                <w:sz w:val="14"/>
                <w:szCs w:val="14"/>
                <w:color w:val="auto"/>
              </w:rPr>
            </w:pPr>
          </w:p>
        </w:tc>
        <w:tc>
          <w:tcPr>
            <w:tcW w:w="19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2540" w:type="dxa"/>
            <w:vAlign w:val="bottom"/>
          </w:tcPr>
          <w:p>
            <w:pPr>
              <w:spacing w:after="0"/>
              <w:rPr>
                <w:sz w:val="14"/>
                <w:szCs w:val="14"/>
                <w:color w:val="auto"/>
              </w:rPr>
            </w:pPr>
          </w:p>
        </w:tc>
        <w:tc>
          <w:tcPr>
            <w:tcW w:w="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7,372</w:t>
            </w: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6,749</w:t>
            </w: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8,414</w:t>
            </w:r>
          </w:p>
        </w:tc>
      </w:tr>
      <w:tr>
        <w:trPr>
          <w:trHeight w:val="168"/>
        </w:trPr>
        <w:tc>
          <w:tcPr>
            <w:tcW w:w="2540" w:type="dxa"/>
            <w:vAlign w:val="bottom"/>
          </w:tcPr>
          <w:p>
            <w:pPr>
              <w:spacing w:after="0"/>
              <w:rPr>
                <w:sz w:val="14"/>
                <w:szCs w:val="14"/>
                <w:color w:val="auto"/>
              </w:rPr>
            </w:pPr>
          </w:p>
        </w:tc>
        <w:tc>
          <w:tcPr>
            <w:tcW w:w="19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5"/>
              </w:rPr>
              <w:t>=============</w:t>
            </w:r>
          </w:p>
        </w:tc>
      </w:tr>
    </w:tbl>
    <w:p>
      <w:pPr>
        <w:spacing w:after="0" w:line="341"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Cash paid for interest and income taxes for continuing operations was as follows: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2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700" w:type="dxa"/>
            <w:vAlign w:val="bottom"/>
          </w:tcPr>
          <w:p>
            <w:pPr>
              <w:spacing w:after="0"/>
              <w:rPr>
                <w:sz w:val="14"/>
                <w:szCs w:val="14"/>
                <w:color w:val="auto"/>
              </w:rPr>
            </w:pPr>
          </w:p>
        </w:tc>
        <w:tc>
          <w:tcPr>
            <w:tcW w:w="12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2000</w:t>
            </w:r>
          </w:p>
        </w:tc>
        <w:tc>
          <w:tcPr>
            <w:tcW w:w="520" w:type="dxa"/>
            <w:vAlign w:val="bottom"/>
          </w:tcPr>
          <w:p>
            <w:pPr>
              <w:spacing w:after="0"/>
              <w:rPr>
                <w:sz w:val="14"/>
                <w:szCs w:val="14"/>
                <w:color w:val="auto"/>
              </w:rPr>
            </w:pPr>
          </w:p>
        </w:tc>
        <w:tc>
          <w:tcPr>
            <w:tcW w:w="118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1999</w:t>
            </w:r>
          </w:p>
        </w:tc>
        <w:tc>
          <w:tcPr>
            <w:tcW w:w="520" w:type="dxa"/>
            <w:vAlign w:val="bottom"/>
          </w:tcPr>
          <w:p>
            <w:pPr>
              <w:spacing w:after="0"/>
              <w:rPr>
                <w:sz w:val="14"/>
                <w:szCs w:val="14"/>
                <w:color w:val="auto"/>
              </w:rPr>
            </w:pPr>
          </w:p>
        </w:tc>
        <w:tc>
          <w:tcPr>
            <w:tcW w:w="9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2540" w:type="dxa"/>
            <w:vAlign w:val="bottom"/>
          </w:tcPr>
          <w:p>
            <w:pPr>
              <w:spacing w:after="0"/>
              <w:rPr>
                <w:sz w:val="14"/>
                <w:szCs w:val="14"/>
                <w:color w:val="auto"/>
              </w:rPr>
            </w:pPr>
          </w:p>
        </w:tc>
        <w:tc>
          <w:tcPr>
            <w:tcW w:w="19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70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30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Interest</w:t>
            </w:r>
          </w:p>
        </w:tc>
        <w:tc>
          <w:tcPr>
            <w:tcW w:w="700" w:type="dxa"/>
            <w:vAlign w:val="bottom"/>
          </w:tcPr>
          <w:p>
            <w:pPr>
              <w:ind w:left="540"/>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268</w:t>
            </w:r>
          </w:p>
        </w:tc>
        <w:tc>
          <w:tcPr>
            <w:tcW w:w="52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200</w:t>
            </w:r>
          </w:p>
        </w:tc>
        <w:tc>
          <w:tcPr>
            <w:tcW w:w="5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128</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taxes</w:t>
            </w:r>
          </w:p>
        </w:tc>
        <w:tc>
          <w:tcPr>
            <w:tcW w:w="7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231</w:t>
            </w: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182</w:t>
            </w: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299</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payable and accrued liabilities are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80" w:type="dxa"/>
            <w:vAlign w:val="bottom"/>
            <w:gridSpan w:val="3"/>
          </w:tcPr>
          <w:p>
            <w:pPr>
              <w:jc w:val="right"/>
              <w:ind w:right="207"/>
              <w:spacing w:after="0"/>
              <w:rPr>
                <w:sz w:val="20"/>
                <w:szCs w:val="20"/>
                <w:color w:val="auto"/>
              </w:rPr>
            </w:pPr>
            <w:r>
              <w:rPr>
                <w:rFonts w:ascii="Courier New" w:cs="Courier New" w:eastAsia="Courier New" w:hAnsi="Courier New"/>
                <w:sz w:val="15"/>
                <w:szCs w:val="15"/>
                <w:color w:val="auto"/>
              </w:rPr>
              <w:t>(Stated in millions)</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780" w:type="dxa"/>
            <w:vAlign w:val="bottom"/>
          </w:tcPr>
          <w:p>
            <w:pPr>
              <w:spacing w:after="0"/>
              <w:rPr>
                <w:sz w:val="14"/>
                <w:szCs w:val="14"/>
                <w:color w:val="auto"/>
              </w:rPr>
            </w:pPr>
          </w:p>
        </w:tc>
        <w:tc>
          <w:tcPr>
            <w:tcW w:w="128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2000</w:t>
            </w:r>
          </w:p>
        </w:tc>
        <w:tc>
          <w:tcPr>
            <w:tcW w:w="5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1999</w:t>
            </w:r>
          </w:p>
        </w:tc>
      </w:tr>
      <w:tr>
        <w:trPr>
          <w:trHeight w:val="168"/>
        </w:trPr>
        <w:tc>
          <w:tcPr>
            <w:tcW w:w="2680" w:type="dxa"/>
            <w:vAlign w:val="bottom"/>
          </w:tcPr>
          <w:p>
            <w:pPr>
              <w:spacing w:after="0"/>
              <w:rPr>
                <w:sz w:val="14"/>
                <w:szCs w:val="14"/>
                <w:color w:val="auto"/>
              </w:rPr>
            </w:pPr>
          </w:p>
        </w:tc>
        <w:tc>
          <w:tcPr>
            <w:tcW w:w="206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Payroll, vacation and</w:t>
            </w:r>
          </w:p>
        </w:tc>
        <w:tc>
          <w:tcPr>
            <w:tcW w:w="7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6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employee benefits</w:t>
            </w:r>
          </w:p>
        </w:tc>
        <w:tc>
          <w:tcPr>
            <w:tcW w:w="7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672</w:t>
            </w: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564</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Trade</w:t>
            </w:r>
          </w:p>
        </w:tc>
        <w:tc>
          <w:tcPr>
            <w:tcW w:w="780" w:type="dxa"/>
            <w:vAlign w:val="bottom"/>
          </w:tcPr>
          <w:p>
            <w:pPr>
              <w:spacing w:after="0"/>
              <w:rPr>
                <w:sz w:val="14"/>
                <w:szCs w:val="14"/>
                <w:color w:val="auto"/>
              </w:rPr>
            </w:pPr>
          </w:p>
        </w:tc>
        <w:tc>
          <w:tcPr>
            <w:tcW w:w="12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946</w:t>
            </w:r>
          </w:p>
        </w:tc>
        <w:tc>
          <w:tcPr>
            <w:tcW w:w="52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663</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Taxes, other than income</w:t>
            </w:r>
          </w:p>
        </w:tc>
        <w:tc>
          <w:tcPr>
            <w:tcW w:w="780" w:type="dxa"/>
            <w:vAlign w:val="bottom"/>
          </w:tcPr>
          <w:p>
            <w:pPr>
              <w:spacing w:after="0"/>
              <w:rPr>
                <w:sz w:val="14"/>
                <w:szCs w:val="14"/>
                <w:color w:val="auto"/>
              </w:rPr>
            </w:pPr>
          </w:p>
        </w:tc>
        <w:tc>
          <w:tcPr>
            <w:tcW w:w="12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204</w:t>
            </w:r>
          </w:p>
        </w:tc>
        <w:tc>
          <w:tcPr>
            <w:tcW w:w="52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169</w:t>
            </w:r>
          </w:p>
        </w:tc>
      </w:tr>
      <w:tr>
        <w:trPr>
          <w:trHeight w:val="168"/>
        </w:trPr>
        <w:tc>
          <w:tcPr>
            <w:tcW w:w="26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780" w:type="dxa"/>
            <w:vAlign w:val="bottom"/>
          </w:tcPr>
          <w:p>
            <w:pPr>
              <w:spacing w:after="0"/>
              <w:rPr>
                <w:sz w:val="14"/>
                <w:szCs w:val="14"/>
                <w:color w:val="auto"/>
              </w:rPr>
            </w:pPr>
          </w:p>
        </w:tc>
        <w:tc>
          <w:tcPr>
            <w:tcW w:w="12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1,089</w:t>
            </w:r>
          </w:p>
        </w:tc>
        <w:tc>
          <w:tcPr>
            <w:tcW w:w="52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887</w:t>
            </w:r>
          </w:p>
        </w:tc>
      </w:tr>
      <w:tr>
        <w:trPr>
          <w:trHeight w:val="168"/>
        </w:trPr>
        <w:tc>
          <w:tcPr>
            <w:tcW w:w="2680" w:type="dxa"/>
            <w:vAlign w:val="bottom"/>
          </w:tcPr>
          <w:p>
            <w:pPr>
              <w:spacing w:after="0"/>
              <w:rPr>
                <w:sz w:val="14"/>
                <w:szCs w:val="14"/>
                <w:color w:val="auto"/>
              </w:rPr>
            </w:pPr>
          </w:p>
        </w:tc>
        <w:tc>
          <w:tcPr>
            <w:tcW w:w="206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2680" w:type="dxa"/>
            <w:vAlign w:val="bottom"/>
          </w:tcPr>
          <w:p>
            <w:pPr>
              <w:spacing w:after="0"/>
              <w:rPr>
                <w:sz w:val="14"/>
                <w:szCs w:val="14"/>
                <w:color w:val="auto"/>
              </w:rPr>
            </w:pPr>
          </w:p>
        </w:tc>
        <w:tc>
          <w:tcPr>
            <w:tcW w:w="78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2,911</w:t>
            </w: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2,283</w:t>
            </w:r>
          </w:p>
        </w:tc>
      </w:tr>
      <w:tr>
        <w:trPr>
          <w:trHeight w:val="168"/>
        </w:trPr>
        <w:tc>
          <w:tcPr>
            <w:tcW w:w="2680" w:type="dxa"/>
            <w:vAlign w:val="bottom"/>
          </w:tcPr>
          <w:p>
            <w:pPr>
              <w:spacing w:after="0"/>
              <w:rPr>
                <w:sz w:val="14"/>
                <w:szCs w:val="14"/>
                <w:color w:val="auto"/>
              </w:rPr>
            </w:pPr>
          </w:p>
        </w:tc>
        <w:tc>
          <w:tcPr>
            <w:tcW w:w="206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and other income includes the following:</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7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(Stated in millions)</w:t>
            </w:r>
          </w:p>
        </w:tc>
      </w:tr>
      <w:tr>
        <w:trPr>
          <w:trHeight w:val="168"/>
        </w:trPr>
        <w:tc>
          <w:tcPr>
            <w:tcW w:w="3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2000</w:t>
            </w:r>
          </w:p>
        </w:tc>
        <w:tc>
          <w:tcPr>
            <w:tcW w:w="52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1999</w:t>
            </w:r>
          </w:p>
        </w:tc>
        <w:tc>
          <w:tcPr>
            <w:tcW w:w="820" w:type="dxa"/>
            <w:vAlign w:val="bottom"/>
          </w:tcPr>
          <w:p>
            <w:pPr>
              <w:spacing w:after="0"/>
              <w:rPr>
                <w:sz w:val="14"/>
                <w:szCs w:val="14"/>
                <w:color w:val="auto"/>
              </w:rPr>
            </w:pPr>
          </w:p>
        </w:tc>
        <w:tc>
          <w:tcPr>
            <w:tcW w:w="9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1998</w:t>
            </w:r>
          </w:p>
        </w:tc>
      </w:tr>
      <w:tr>
        <w:trPr>
          <w:trHeight w:val="168"/>
        </w:trPr>
        <w:tc>
          <w:tcPr>
            <w:tcW w:w="3340" w:type="dxa"/>
            <w:vAlign w:val="bottom"/>
          </w:tcPr>
          <w:p>
            <w:pPr>
              <w:spacing w:after="0"/>
              <w:rPr>
                <w:sz w:val="14"/>
                <w:szCs w:val="14"/>
                <w:color w:val="auto"/>
              </w:rPr>
            </w:pPr>
          </w:p>
        </w:tc>
        <w:tc>
          <w:tcPr>
            <w:tcW w:w="16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340"/>
              <w:spacing w:after="0" w:line="168" w:lineRule="exact"/>
              <w:rPr>
                <w:sz w:val="20"/>
                <w:szCs w:val="20"/>
                <w:color w:val="auto"/>
              </w:rPr>
            </w:pPr>
            <w:r>
              <w:rPr>
                <w:rFonts w:ascii="Courier New" w:cs="Courier New" w:eastAsia="Courier New" w:hAnsi="Courier New"/>
                <w:sz w:val="15"/>
                <w:szCs w:val="15"/>
                <w:color w:val="auto"/>
                <w:w w:val="96"/>
              </w:rPr>
              <w:t>---------</w:t>
            </w:r>
          </w:p>
        </w:tc>
        <w:tc>
          <w:tcPr>
            <w:tcW w:w="1740" w:type="dxa"/>
            <w:vAlign w:val="bottom"/>
            <w:gridSpan w:val="2"/>
          </w:tcPr>
          <w:p>
            <w:pPr>
              <w:ind w:left="60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Interest income</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302</w:t>
            </w:r>
          </w:p>
        </w:tc>
        <w:tc>
          <w:tcPr>
            <w:tcW w:w="52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235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167</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 in net earnings of</w:t>
            </w:r>
          </w:p>
        </w:tc>
        <w:tc>
          <w:tcPr>
            <w:tcW w:w="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4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affiliated companies</w:t>
            </w:r>
          </w:p>
        </w:tc>
        <w:tc>
          <w:tcPr>
            <w:tcW w:w="74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w:t>
            </w:r>
          </w:p>
        </w:tc>
        <w:tc>
          <w:tcPr>
            <w:tcW w:w="5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w:t>
            </w:r>
          </w:p>
        </w:tc>
        <w:tc>
          <w:tcPr>
            <w:tcW w:w="82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Gain on sale of business</w:t>
            </w:r>
          </w:p>
        </w:tc>
        <w:tc>
          <w:tcPr>
            <w:tcW w:w="74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82</w:t>
            </w:r>
          </w:p>
        </w:tc>
        <w:tc>
          <w:tcPr>
            <w:tcW w:w="5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Gain on sale of financial instruments</w:t>
            </w:r>
          </w:p>
        </w:tc>
        <w:tc>
          <w:tcPr>
            <w:tcW w:w="740" w:type="dxa"/>
            <w:vAlign w:val="bottom"/>
          </w:tcPr>
          <w:p>
            <w:pPr>
              <w:spacing w:after="0"/>
              <w:rPr>
                <w:sz w:val="14"/>
                <w:szCs w:val="14"/>
                <w:color w:val="auto"/>
              </w:rPr>
            </w:pP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103</w:t>
            </w:r>
          </w:p>
        </w:tc>
        <w:tc>
          <w:tcPr>
            <w:tcW w:w="82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16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423</w:t>
            </w: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357</w:t>
            </w:r>
          </w:p>
        </w:tc>
        <w:tc>
          <w:tcPr>
            <w:tcW w:w="8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173</w:t>
            </w:r>
          </w:p>
        </w:tc>
      </w:tr>
      <w:tr>
        <w:trPr>
          <w:trHeight w:val="168"/>
        </w:trPr>
        <w:tc>
          <w:tcPr>
            <w:tcW w:w="3340" w:type="dxa"/>
            <w:vAlign w:val="bottom"/>
          </w:tcPr>
          <w:p>
            <w:pPr>
              <w:spacing w:after="0"/>
              <w:rPr>
                <w:sz w:val="14"/>
                <w:szCs w:val="14"/>
                <w:color w:val="auto"/>
              </w:rPr>
            </w:pPr>
          </w:p>
        </w:tc>
        <w:tc>
          <w:tcPr>
            <w:tcW w:w="16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505"/>
        </w:trPr>
        <w:tc>
          <w:tcPr>
            <w:tcW w:w="3340" w:type="dxa"/>
            <w:vAlign w:val="bottom"/>
          </w:tcPr>
          <w:p>
            <w:pPr>
              <w:spacing w:after="0"/>
              <w:rPr>
                <w:sz w:val="24"/>
                <w:szCs w:val="24"/>
                <w:color w:val="auto"/>
              </w:rPr>
            </w:pPr>
          </w:p>
        </w:tc>
        <w:tc>
          <w:tcPr>
            <w:tcW w:w="7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53</w:t>
            </w:r>
          </w:p>
        </w:tc>
        <w:tc>
          <w:tcPr>
            <w:tcW w:w="9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55" w:name="page56"/>
    <w:bookmarkEnd w:id="55"/>
    <w:p>
      <w:pPr>
        <w:spacing w:after="0"/>
        <w:rPr>
          <w:sz w:val="20"/>
          <w:szCs w:val="20"/>
          <w:color w:val="auto"/>
        </w:rPr>
      </w:pPr>
      <w:r>
        <w:rPr>
          <w:rFonts w:ascii="Courier New" w:cs="Courier New" w:eastAsia="Courier New" w:hAnsi="Courier New"/>
          <w:sz w:val="15"/>
          <w:szCs w:val="15"/>
          <w:color w:val="auto"/>
        </w:rPr>
        <w:t>Subsequent Event - Business Acquisition</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February 12, 2001, Schlumberger announced that it had reached agreement with the board of directors of Sema plc on the terms of a recommended cash offer for the entire issued and to be issued share capital of Sema plc. The offer will be made on the basis of (pound)5.60 (approximately $8.09) per share which represents a purchase price of about $5.2 billion plus expenses. Schlumberger expects to complete the transaction in the second quarter. The purchase price will be paid from existing available cash, investments and new borrowings. The transaction is subject to customary regulatory approvals and Sema plc shareholders acceptance.</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Mark of Schlumberger</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617"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To the Board of Directors and Stockholders</w:t>
      </w:r>
    </w:p>
    <w:p>
      <w:pPr>
        <w:spacing w:after="0" w:line="237" w:lineRule="auto"/>
        <w:rPr>
          <w:sz w:val="20"/>
          <w:szCs w:val="20"/>
          <w:color w:val="auto"/>
        </w:rPr>
      </w:pPr>
      <w:r>
        <w:rPr>
          <w:rFonts w:ascii="Courier New" w:cs="Courier New" w:eastAsia="Courier New" w:hAnsi="Courier New"/>
          <w:sz w:val="15"/>
          <w:szCs w:val="15"/>
          <w:color w:val="auto"/>
        </w:rPr>
        <w:t>of Schlumberger Limited</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In our opinion, the accompanying consolidated balance sheets and the related consolidated statements of income, of stockholders' equity and of cash flows present fairly, in all material respects, the financial position of Schlumberger Limited and its subsidiaries at December 31, 2000 and December 31, 1999, and the results of their operations and their cash flows for each of the three years in the period ended December 31, 2000,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3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PricewaterhouseCoopers LLP</w:t>
      </w:r>
    </w:p>
    <w:p>
      <w:pPr>
        <w:ind w:left="180" w:hanging="170"/>
        <w:spacing w:after="0" w:line="237" w:lineRule="auto"/>
        <w:tabs>
          <w:tab w:leader="none" w:pos="18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rFonts w:ascii="Courier New" w:cs="Courier New" w:eastAsia="Courier New" w:hAnsi="Courier New"/>
          <w:sz w:val="15"/>
          <w:szCs w:val="15"/>
          <w:color w:val="auto"/>
        </w:rPr>
      </w:pPr>
    </w:p>
    <w:p>
      <w:pPr>
        <w:ind w:right="795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PricewaterhouseCoopers LLP New York, New York</w:t>
      </w:r>
    </w:p>
    <w:p>
      <w:pPr>
        <w:spacing w:after="0" w:line="5" w:lineRule="exact"/>
        <w:rPr>
          <w:rFonts w:ascii="Courier New" w:cs="Courier New" w:eastAsia="Courier New" w:hAnsi="Courier New"/>
          <w:sz w:val="15"/>
          <w:szCs w:val="15"/>
          <w:color w:val="auto"/>
        </w:rPr>
      </w:pPr>
    </w:p>
    <w:p>
      <w:pPr>
        <w:ind w:right="3499"/>
        <w:spacing w:after="0" w:line="234"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January 24, 2001, except as to "Subsequent Event - Business Acquisition" Note which is as of February 16, 2001</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617" w:right="1440" w:bottom="1440" w:gutter="0" w:footer="0" w:header="0"/>
        </w:sectPr>
      </w:pPr>
    </w:p>
    <w:bookmarkStart w:id="57" w:name="page58"/>
    <w:bookmarkEnd w:id="57"/>
    <w:p>
      <w:pPr>
        <w:spacing w:after="0"/>
        <w:rPr>
          <w:sz w:val="20"/>
          <w:szCs w:val="20"/>
          <w:color w:val="auto"/>
        </w:rPr>
      </w:pPr>
      <w:r>
        <w:rPr>
          <w:rFonts w:ascii="Courier New" w:cs="Courier New" w:eastAsia="Courier New" w:hAnsi="Courier New"/>
          <w:sz w:val="15"/>
          <w:szCs w:val="15"/>
          <w:color w:val="auto"/>
        </w:rPr>
        <w:t>QUARTERLY RESULTS</w:t>
      </w:r>
    </w:p>
    <w:p>
      <w:pPr>
        <w:ind w:left="180" w:hanging="170"/>
        <w:spacing w:after="0" w:line="237" w:lineRule="auto"/>
        <w:tabs>
          <w:tab w:leader="none" w:pos="18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(UNAUDITED)</w:t>
      </w:r>
    </w:p>
    <w:p>
      <w:pPr>
        <w:spacing w:after="0" w:line="173" w:lineRule="exact"/>
        <w:rPr>
          <w:sz w:val="20"/>
          <w:szCs w:val="20"/>
          <w:color w:val="auto"/>
        </w:rPr>
      </w:pPr>
    </w:p>
    <w:p>
      <w:pPr>
        <w:ind w:right="3680"/>
        <w:spacing w:after="0" w:line="235" w:lineRule="auto"/>
        <w:rPr>
          <w:sz w:val="20"/>
          <w:szCs w:val="20"/>
          <w:color w:val="auto"/>
        </w:rPr>
      </w:pPr>
      <w:r>
        <w:rPr>
          <w:rFonts w:ascii="Courier New" w:cs="Courier New" w:eastAsia="Courier New" w:hAnsi="Courier New"/>
          <w:sz w:val="15"/>
          <w:szCs w:val="15"/>
          <w:color w:val="auto"/>
        </w:rPr>
        <w:t>The following table summarizes results for each of the four quarters for the years ended December 31, 2000 and 1999. Gross margin equals operating revenue less cost of goods sold and services.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412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w w:val="96"/>
              </w:rPr>
              <w:t>(Stated in millions except per share amounts)</w:t>
            </w:r>
          </w:p>
        </w:tc>
      </w:tr>
      <w:tr>
        <w:trPr>
          <w:trHeight w:val="336"/>
        </w:trPr>
        <w:tc>
          <w:tcPr>
            <w:tcW w:w="14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3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Continuing Operations</w:t>
            </w: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Total</w:t>
            </w:r>
          </w:p>
        </w:tc>
        <w:tc>
          <w:tcPr>
            <w:tcW w:w="1060" w:type="dxa"/>
            <w:vAlign w:val="bottom"/>
          </w:tcPr>
          <w:p>
            <w:pPr>
              <w:spacing w:after="0"/>
              <w:rPr>
                <w:sz w:val="24"/>
                <w:szCs w:val="24"/>
                <w:color w:val="auto"/>
              </w:rPr>
            </w:pPr>
          </w:p>
        </w:tc>
      </w:tr>
      <w:tr>
        <w:trPr>
          <w:trHeight w:val="168"/>
        </w:trPr>
        <w:tc>
          <w:tcPr>
            <w:tcW w:w="146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4"/>
              </w:rPr>
              <w:t>---------------------------------------------------------------</w:t>
            </w: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Gross</w:t>
            </w:r>
          </w:p>
        </w:tc>
        <w:tc>
          <w:tcPr>
            <w:tcW w:w="400" w:type="dxa"/>
            <w:vAlign w:val="bottom"/>
          </w:tcPr>
          <w:p>
            <w:pPr>
              <w:spacing w:after="0"/>
              <w:rPr>
                <w:sz w:val="14"/>
                <w:szCs w:val="14"/>
                <w:color w:val="auto"/>
              </w:rPr>
            </w:pPr>
          </w:p>
        </w:tc>
        <w:tc>
          <w:tcPr>
            <w:tcW w:w="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Net</w:t>
            </w:r>
          </w:p>
        </w:tc>
        <w:tc>
          <w:tcPr>
            <w:tcW w:w="2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Earnings per share/4/</w:t>
            </w:r>
          </w:p>
        </w:tc>
        <w:tc>
          <w:tcPr>
            <w:tcW w:w="10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Net</w:t>
            </w:r>
          </w:p>
        </w:tc>
        <w:tc>
          <w:tcPr>
            <w:tcW w:w="2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Earnings per share/4/</w:t>
            </w:r>
          </w:p>
        </w:tc>
      </w:tr>
      <w:tr>
        <w:trPr>
          <w:trHeight w:val="168"/>
        </w:trPr>
        <w:tc>
          <w:tcPr>
            <w:tcW w:w="14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c>
          <w:tcPr>
            <w:tcW w:w="1040" w:type="dxa"/>
            <w:vAlign w:val="bottom"/>
          </w:tcPr>
          <w:p>
            <w:pPr>
              <w:spacing w:after="0"/>
              <w:rPr>
                <w:sz w:val="14"/>
                <w:szCs w:val="14"/>
                <w:color w:val="auto"/>
              </w:rPr>
            </w:pPr>
          </w:p>
        </w:tc>
        <w:tc>
          <w:tcPr>
            <w:tcW w:w="2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spacing w:after="0"/>
              <w:rPr>
                <w:sz w:val="14"/>
                <w:szCs w:val="14"/>
                <w:color w:val="auto"/>
              </w:rPr>
            </w:pPr>
          </w:p>
        </w:tc>
        <w:tc>
          <w:tcPr>
            <w:tcW w:w="152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Revenue</w:t>
            </w:r>
          </w:p>
        </w:tc>
        <w:tc>
          <w:tcPr>
            <w:tcW w:w="1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Margin</w:t>
            </w:r>
          </w:p>
        </w:tc>
        <w:tc>
          <w:tcPr>
            <w:tcW w:w="10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Income</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Basic</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Diluted</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Income</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Basic</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Diluted</w:t>
            </w:r>
          </w:p>
        </w:tc>
      </w:tr>
      <w:tr>
        <w:trPr>
          <w:trHeight w:val="168"/>
        </w:trPr>
        <w:tc>
          <w:tcPr>
            <w:tcW w:w="1460" w:type="dxa"/>
            <w:vAlign w:val="bottom"/>
          </w:tcPr>
          <w:p>
            <w:pPr>
              <w:spacing w:after="0"/>
              <w:rPr>
                <w:sz w:val="14"/>
                <w:szCs w:val="14"/>
                <w:color w:val="auto"/>
              </w:rPr>
            </w:pPr>
          </w:p>
        </w:tc>
        <w:tc>
          <w:tcPr>
            <w:tcW w:w="1520" w:type="dxa"/>
            <w:vAlign w:val="bottom"/>
          </w:tcPr>
          <w:p>
            <w:pPr>
              <w:jc w:val="right"/>
              <w:ind w:right="19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w:t>
            </w: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460" w:type="dxa"/>
            <w:vAlign w:val="bottom"/>
          </w:tcPr>
          <w:p>
            <w:pPr>
              <w:spacing w:after="0"/>
              <w:rPr>
                <w:sz w:val="20"/>
                <w:szCs w:val="20"/>
                <w:color w:val="auto"/>
              </w:rPr>
            </w:pPr>
            <w:r>
              <w:rPr>
                <w:rFonts w:ascii="Courier New" w:cs="Courier New" w:eastAsia="Courier New" w:hAnsi="Courier New"/>
                <w:sz w:val="15"/>
                <w:szCs w:val="15"/>
                <w:color w:val="auto"/>
              </w:rPr>
              <w:t>Quarters-2000</w:t>
            </w: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1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First</w:t>
            </w:r>
          </w:p>
        </w:tc>
        <w:tc>
          <w:tcPr>
            <w:tcW w:w="152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$ 2,138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504</w:t>
            </w:r>
          </w:p>
        </w:tc>
        <w:tc>
          <w:tcPr>
            <w:tcW w:w="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136</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$ 0.24</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$ 0.24</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$ 136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$ 0.24</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$ 0.24</w:t>
            </w:r>
          </w:p>
        </w:tc>
      </w:tr>
      <w:tr>
        <w:trPr>
          <w:trHeight w:val="168"/>
        </w:trPr>
        <w:tc>
          <w:tcPr>
            <w:tcW w:w="1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Second</w:t>
            </w:r>
          </w:p>
        </w:tc>
        <w:tc>
          <w:tcPr>
            <w:tcW w:w="152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2,338</w:t>
            </w:r>
          </w:p>
        </w:tc>
        <w:tc>
          <w:tcPr>
            <w:tcW w:w="1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544</w:t>
            </w:r>
          </w:p>
        </w:tc>
        <w:tc>
          <w:tcPr>
            <w:tcW w:w="40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156</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0.27</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0.27</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156</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0.27</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0.27</w:t>
            </w:r>
          </w:p>
        </w:tc>
      </w:tr>
      <w:tr>
        <w:trPr>
          <w:trHeight w:val="168"/>
        </w:trPr>
        <w:tc>
          <w:tcPr>
            <w:tcW w:w="1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Third</w:t>
            </w:r>
          </w:p>
        </w:tc>
        <w:tc>
          <w:tcPr>
            <w:tcW w:w="152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2,447</w:t>
            </w:r>
          </w:p>
        </w:tc>
        <w:tc>
          <w:tcPr>
            <w:tcW w:w="1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593</w:t>
            </w:r>
          </w:p>
        </w:tc>
        <w:tc>
          <w:tcPr>
            <w:tcW w:w="40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205</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0.36</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0.35</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204</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0.36</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0.35</w:t>
            </w:r>
          </w:p>
        </w:tc>
      </w:tr>
      <w:tr>
        <w:trPr>
          <w:trHeight w:val="168"/>
        </w:trPr>
        <w:tc>
          <w:tcPr>
            <w:tcW w:w="1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Fourth/1/</w:t>
            </w:r>
          </w:p>
        </w:tc>
        <w:tc>
          <w:tcPr>
            <w:tcW w:w="152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2,688</w:t>
            </w:r>
          </w:p>
        </w:tc>
        <w:tc>
          <w:tcPr>
            <w:tcW w:w="1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599</w:t>
            </w:r>
          </w:p>
        </w:tc>
        <w:tc>
          <w:tcPr>
            <w:tcW w:w="40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238</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0.42</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0.41</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239</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0.41</w:t>
            </w:r>
          </w:p>
        </w:tc>
      </w:tr>
      <w:tr>
        <w:trPr>
          <w:trHeight w:val="168"/>
        </w:trPr>
        <w:tc>
          <w:tcPr>
            <w:tcW w:w="1460" w:type="dxa"/>
            <w:vAlign w:val="bottom"/>
          </w:tcPr>
          <w:p>
            <w:pPr>
              <w:spacing w:after="0"/>
              <w:rPr>
                <w:sz w:val="14"/>
                <w:szCs w:val="14"/>
                <w:color w:val="auto"/>
              </w:rPr>
            </w:pPr>
          </w:p>
        </w:tc>
        <w:tc>
          <w:tcPr>
            <w:tcW w:w="152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spacing w:after="0"/>
              <w:rPr>
                <w:sz w:val="14"/>
                <w:szCs w:val="14"/>
                <w:color w:val="auto"/>
              </w:rPr>
            </w:pPr>
          </w:p>
        </w:tc>
        <w:tc>
          <w:tcPr>
            <w:tcW w:w="152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$ 9,611</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$ 2,240</w:t>
            </w:r>
          </w:p>
        </w:tc>
        <w:tc>
          <w:tcPr>
            <w:tcW w:w="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735</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$ 1.29</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$ 1.27</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$ 735</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$ 1.29</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$ 1.27</w:t>
            </w:r>
          </w:p>
        </w:tc>
      </w:tr>
      <w:tr>
        <w:trPr>
          <w:trHeight w:val="168"/>
        </w:trPr>
        <w:tc>
          <w:tcPr>
            <w:tcW w:w="1460" w:type="dxa"/>
            <w:vAlign w:val="bottom"/>
          </w:tcPr>
          <w:p>
            <w:pPr>
              <w:spacing w:after="0"/>
              <w:rPr>
                <w:sz w:val="14"/>
                <w:szCs w:val="14"/>
                <w:color w:val="auto"/>
              </w:rPr>
            </w:pPr>
          </w:p>
        </w:tc>
        <w:tc>
          <w:tcPr>
            <w:tcW w:w="152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460" w:type="dxa"/>
            <w:vAlign w:val="bottom"/>
          </w:tcPr>
          <w:p>
            <w:pPr>
              <w:spacing w:after="0"/>
              <w:rPr>
                <w:sz w:val="20"/>
                <w:szCs w:val="20"/>
                <w:color w:val="auto"/>
              </w:rPr>
            </w:pPr>
            <w:r>
              <w:rPr>
                <w:rFonts w:ascii="Courier New" w:cs="Courier New" w:eastAsia="Courier New" w:hAnsi="Courier New"/>
                <w:sz w:val="15"/>
                <w:szCs w:val="15"/>
                <w:color w:val="auto"/>
              </w:rPr>
              <w:t>Quarters-1999</w:t>
            </w: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1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First/2/</w:t>
            </w:r>
          </w:p>
        </w:tc>
        <w:tc>
          <w:tcPr>
            <w:tcW w:w="152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$ 2,117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344</w:t>
            </w:r>
          </w:p>
        </w:tc>
        <w:tc>
          <w:tcPr>
            <w:tcW w:w="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$ 0.13</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$ 0.12</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89</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$ 0.16</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$ 0.16</w:t>
            </w:r>
          </w:p>
        </w:tc>
      </w:tr>
      <w:tr>
        <w:trPr>
          <w:trHeight w:val="168"/>
        </w:trPr>
        <w:tc>
          <w:tcPr>
            <w:tcW w:w="1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Second</w:t>
            </w:r>
          </w:p>
        </w:tc>
        <w:tc>
          <w:tcPr>
            <w:tcW w:w="152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2,012</w:t>
            </w:r>
          </w:p>
        </w:tc>
        <w:tc>
          <w:tcPr>
            <w:tcW w:w="1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432</w:t>
            </w:r>
          </w:p>
        </w:tc>
        <w:tc>
          <w:tcPr>
            <w:tcW w:w="40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0.17</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0.16</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0.23</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0.23</w:t>
            </w:r>
          </w:p>
        </w:tc>
      </w:tr>
      <w:tr>
        <w:trPr>
          <w:trHeight w:val="168"/>
        </w:trPr>
        <w:tc>
          <w:tcPr>
            <w:tcW w:w="1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Third</w:t>
            </w:r>
          </w:p>
        </w:tc>
        <w:tc>
          <w:tcPr>
            <w:tcW w:w="152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2,087</w:t>
            </w:r>
          </w:p>
        </w:tc>
        <w:tc>
          <w:tcPr>
            <w:tcW w:w="1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472</w:t>
            </w:r>
          </w:p>
        </w:tc>
        <w:tc>
          <w:tcPr>
            <w:tcW w:w="40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111</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0.20</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139</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0.25</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0.25</w:t>
            </w:r>
          </w:p>
        </w:tc>
      </w:tr>
      <w:tr>
        <w:trPr>
          <w:trHeight w:val="168"/>
        </w:trPr>
        <w:tc>
          <w:tcPr>
            <w:tcW w:w="14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Fourth/3/</w:t>
            </w:r>
          </w:p>
        </w:tc>
        <w:tc>
          <w:tcPr>
            <w:tcW w:w="152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2,179</w:t>
            </w:r>
          </w:p>
        </w:tc>
        <w:tc>
          <w:tcPr>
            <w:tcW w:w="18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409</w:t>
            </w:r>
          </w:p>
        </w:tc>
        <w:tc>
          <w:tcPr>
            <w:tcW w:w="40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0.11</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0.10</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0.02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0.02</w:t>
            </w:r>
          </w:p>
        </w:tc>
      </w:tr>
      <w:tr>
        <w:trPr>
          <w:trHeight w:val="168"/>
        </w:trPr>
        <w:tc>
          <w:tcPr>
            <w:tcW w:w="1460" w:type="dxa"/>
            <w:vAlign w:val="bottom"/>
          </w:tcPr>
          <w:p>
            <w:pPr>
              <w:spacing w:after="0"/>
              <w:rPr>
                <w:sz w:val="14"/>
                <w:szCs w:val="14"/>
                <w:color w:val="auto"/>
              </w:rPr>
            </w:pPr>
          </w:p>
        </w:tc>
        <w:tc>
          <w:tcPr>
            <w:tcW w:w="152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460" w:type="dxa"/>
            <w:vAlign w:val="bottom"/>
          </w:tcPr>
          <w:p>
            <w:pPr>
              <w:spacing w:after="0"/>
              <w:rPr>
                <w:sz w:val="14"/>
                <w:szCs w:val="14"/>
                <w:color w:val="auto"/>
              </w:rPr>
            </w:pPr>
          </w:p>
        </w:tc>
        <w:tc>
          <w:tcPr>
            <w:tcW w:w="152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$ 8,395</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$ 1,657</w:t>
            </w:r>
          </w:p>
        </w:tc>
        <w:tc>
          <w:tcPr>
            <w:tcW w:w="4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329</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$ 0.60</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$ 0.58</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$ 367</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$ 0.67</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$ 0.65</w:t>
            </w:r>
          </w:p>
        </w:tc>
      </w:tr>
      <w:tr>
        <w:trPr>
          <w:trHeight w:val="168"/>
        </w:trPr>
        <w:tc>
          <w:tcPr>
            <w:tcW w:w="1460" w:type="dxa"/>
            <w:vAlign w:val="bottom"/>
          </w:tcPr>
          <w:p>
            <w:pPr>
              <w:spacing w:after="0"/>
              <w:rPr>
                <w:sz w:val="14"/>
                <w:szCs w:val="14"/>
                <w:color w:val="auto"/>
              </w:rPr>
            </w:pPr>
          </w:p>
        </w:tc>
        <w:tc>
          <w:tcPr>
            <w:tcW w:w="1520" w:type="dxa"/>
            <w:vAlign w:val="bottom"/>
          </w:tcPr>
          <w:p>
            <w:pPr>
              <w:jc w:val="right"/>
              <w:ind w:right="37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360" w:right="3580" w:hanging="359"/>
        <w:spacing w:after="0" w:line="234" w:lineRule="auto"/>
        <w:tabs>
          <w:tab w:leader="none" w:pos="340" w:val="left"/>
        </w:tabs>
        <w:rPr>
          <w:sz w:val="20"/>
          <w:szCs w:val="20"/>
          <w:color w:val="auto"/>
        </w:rPr>
      </w:pPr>
      <w:r>
        <w:rPr>
          <w:rFonts w:ascii="Courier New" w:cs="Courier New" w:eastAsia="Courier New" w:hAnsi="Courier New"/>
          <w:sz w:val="15"/>
          <w:szCs w:val="15"/>
          <w:color w:val="auto"/>
        </w:rPr>
        <w:t>/1/</w:t>
        <w:tab/>
        <w:t>Includes a net after-tax and minority interest charge of $3 million ($0.00 per share--diluted).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Includes an after-tax charge of $58 million ($0.10 per share--diluted).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Includes an after-tax charge of $71 million ($0.13 per share--diluted).</w:t>
      </w:r>
    </w:p>
    <w:p>
      <w:pPr>
        <w:spacing w:after="0" w:line="173" w:lineRule="exact"/>
        <w:rPr>
          <w:sz w:val="20"/>
          <w:szCs w:val="20"/>
          <w:color w:val="auto"/>
        </w:rPr>
      </w:pPr>
    </w:p>
    <w:p>
      <w:pPr>
        <w:ind w:left="360" w:right="3420" w:hanging="359"/>
        <w:spacing w:after="0" w:line="234" w:lineRule="auto"/>
        <w:tabs>
          <w:tab w:leader="none" w:pos="340" w:val="left"/>
        </w:tabs>
        <w:rPr>
          <w:sz w:val="20"/>
          <w:szCs w:val="20"/>
          <w:color w:val="auto"/>
        </w:rPr>
      </w:pPr>
      <w:r>
        <w:rPr>
          <w:rFonts w:ascii="Courier New" w:cs="Courier New" w:eastAsia="Courier New" w:hAnsi="Courier New"/>
          <w:sz w:val="15"/>
          <w:szCs w:val="15"/>
          <w:color w:val="auto"/>
        </w:rPr>
        <w:t>/4/</w:t>
        <w:tab/>
        <w:t>Due to rounding, the addition of earnings per share by quarter may not equal total earnings per share for the year.</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4"/>
          <w:szCs w:val="14"/>
          <w:color w:val="auto"/>
        </w:rPr>
        <w:t>Changes in and Disagreements with Accountants on Accounting and</w:t>
      </w:r>
    </w:p>
    <w:p>
      <w:pPr>
        <w:spacing w:after="0"/>
        <w:tabs>
          <w:tab w:leader="none" w:pos="8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ind w:left="700"/>
        <w:spacing w:after="0" w:line="238" w:lineRule="auto"/>
        <w:rPr>
          <w:sz w:val="20"/>
          <w:szCs w:val="20"/>
          <w:color w:val="auto"/>
        </w:rPr>
      </w:pPr>
      <w:r>
        <w:rPr>
          <w:rFonts w:ascii="Courier New" w:cs="Courier New" w:eastAsia="Courier New" w:hAnsi="Courier New"/>
          <w:sz w:val="15"/>
          <w:szCs w:val="15"/>
          <w:color w:val="auto"/>
        </w:rPr>
        <w:t>Financial Disclosures</w:t>
      </w:r>
    </w:p>
    <w:p>
      <w:pPr>
        <w:ind w:left="7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420"/>
          </w:cols>
          <w:pgMar w:left="220" w:top="617" w:right="1259" w:bottom="1440" w:gutter="0" w:footer="0" w:header="0"/>
        </w:sectPr>
      </w:pPr>
    </w:p>
    <w:bookmarkStart w:id="58" w:name="page59"/>
    <w:bookmarkEnd w:id="58"/>
    <w:p>
      <w:pPr>
        <w:spacing w:after="0"/>
        <w:rPr>
          <w:sz w:val="20"/>
          <w:szCs w:val="20"/>
          <w:color w:val="auto"/>
        </w:rPr>
      </w:pPr>
      <w:r>
        <w:rPr>
          <w:rFonts w:ascii="Courier New" w:cs="Courier New" w:eastAsia="Courier New" w:hAnsi="Courier New"/>
          <w:sz w:val="15"/>
          <w:szCs w:val="15"/>
          <w:color w:val="auto"/>
        </w:rPr>
        <w:t>PART III</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10</w:t>
      </w:r>
      <w:r>
        <w:rPr>
          <w:sz w:val="20"/>
          <w:szCs w:val="20"/>
          <w:color w:val="auto"/>
        </w:rPr>
        <w:tab/>
      </w:r>
      <w:r>
        <w:rPr>
          <w:rFonts w:ascii="Courier New" w:cs="Courier New" w:eastAsia="Courier New" w:hAnsi="Courier New"/>
          <w:sz w:val="14"/>
          <w:szCs w:val="14"/>
          <w:color w:val="auto"/>
        </w:rPr>
        <w:t>Directors and Executive Officers of the Registrant</w:t>
      </w:r>
    </w:p>
    <w:p>
      <w:pPr>
        <w:spacing w:after="0"/>
        <w:tabs>
          <w:tab w:leader="none" w:pos="9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See Part I (on pages 5 and 6) for Item 10 information regarding Executive Officers of the Registrant. The information with respect to the remaining portion of Item 10 is set forth in the first section under the caption, "Election of Directors", in the Company's Proxy Statement dated March 7, 2001 for the April 11, 2001 Annual General Meeting, and is incorporated by reference.</w:t>
      </w:r>
    </w:p>
    <w:p>
      <w:pPr>
        <w:spacing w:after="0" w:line="157"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11</w:t>
      </w:r>
      <w:r>
        <w:rPr>
          <w:sz w:val="20"/>
          <w:szCs w:val="20"/>
          <w:color w:val="auto"/>
        </w:rPr>
        <w:tab/>
      </w:r>
      <w:r>
        <w:rPr>
          <w:rFonts w:ascii="Courier New" w:cs="Courier New" w:eastAsia="Courier New" w:hAnsi="Courier New"/>
          <w:sz w:val="14"/>
          <w:szCs w:val="14"/>
          <w:color w:val="auto"/>
        </w:rPr>
        <w:t>Executive Compensation</w:t>
      </w:r>
    </w:p>
    <w:p>
      <w:pPr>
        <w:spacing w:after="0"/>
        <w:tabs>
          <w:tab w:leader="none" w:pos="9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The information set forth under "Executive Compensation" (other than that set forth under the subcaptions "Corporate Performance Graph" and "Compensation Committee Report on Executive Compensation") in the Company's Proxy Statement dated March 7, 2001 is incorporated by reference.</w:t>
      </w:r>
    </w:p>
    <w:p>
      <w:pPr>
        <w:spacing w:after="0" w:line="158"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12</w:t>
      </w:r>
      <w:r>
        <w:rPr>
          <w:sz w:val="20"/>
          <w:szCs w:val="20"/>
          <w:color w:val="auto"/>
        </w:rPr>
        <w:tab/>
      </w:r>
      <w:r>
        <w:rPr>
          <w:rFonts w:ascii="Courier New" w:cs="Courier New" w:eastAsia="Courier New" w:hAnsi="Courier New"/>
          <w:sz w:val="14"/>
          <w:szCs w:val="14"/>
          <w:color w:val="auto"/>
        </w:rPr>
        <w:t>Security Ownership of Certain Beneficial Owners and Management</w:t>
      </w:r>
    </w:p>
    <w:p>
      <w:pPr>
        <w:spacing w:after="0"/>
        <w:tabs>
          <w:tab w:leader="none" w:pos="9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information with respect to Item 12 is set forth in the Company's Proxy Statement dated March 7, 2001 under the caption, "Security Ownership of Certain Beneficial Owners and Management," and such information is incorporated herein by reference.</w:t>
      </w:r>
    </w:p>
    <w:p>
      <w:pPr>
        <w:spacing w:after="0" w:line="169"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Certain Relationships and Related Transactions</w:t>
      </w:r>
    </w:p>
    <w:p>
      <w:pPr>
        <w:spacing w:after="0"/>
        <w:tabs>
          <w:tab w:leader="none" w:pos="960" w:val="left"/>
        </w:tabs>
        <w:rPr>
          <w:sz w:val="20"/>
          <w:szCs w:val="20"/>
          <w:color w:val="auto"/>
        </w:rPr>
      </w:pPr>
      <w:r>
        <w:rPr>
          <w:rFonts w:ascii="Courier New" w:cs="Courier New" w:eastAsia="Courier New" w:hAnsi="Courier New"/>
          <w:sz w:val="15"/>
          <w:szCs w:val="15"/>
          <w:color w:val="auto"/>
        </w:rPr>
        <w:t>- -------</w:t>
      </w:r>
      <w:r>
        <w:rPr>
          <w:sz w:val="20"/>
          <w:szCs w:val="20"/>
          <w:color w:val="auto"/>
        </w:rPr>
        <w:tab/>
      </w:r>
      <w:r>
        <w:rPr>
          <w:rFonts w:ascii="Courier New" w:cs="Courier New" w:eastAsia="Courier New" w:hAnsi="Courier New"/>
          <w:sz w:val="14"/>
          <w:szCs w:val="14"/>
          <w:color w:val="auto"/>
        </w:rPr>
        <w:t>----------------------------------------------</w:t>
      </w:r>
    </w:p>
    <w:p>
      <w:pPr>
        <w:spacing w:after="0" w:line="173"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Information regarding this item may be found on page 3, the last two sentences of footnote 2, in the Company's Proxy Statement dated March 7, 2001 for the April 11, 2001 Annual General Meeting and is incorporated by reference.</w:t>
      </w:r>
    </w:p>
    <w:p>
      <w:pPr>
        <w:spacing w:after="0" w:line="15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617" w:right="1440"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20"/>
                <w:szCs w:val="20"/>
                <w:color w:val="auto"/>
              </w:rPr>
            </w:pPr>
            <w:r>
              <w:rPr>
                <w:rFonts w:ascii="Courier New" w:cs="Courier New" w:eastAsia="Courier New" w:hAnsi="Courier New"/>
                <w:sz w:val="15"/>
                <w:szCs w:val="15"/>
                <w:color w:val="auto"/>
              </w:rPr>
              <w:t>PART IV</w:t>
            </w:r>
          </w:p>
        </w:tc>
        <w:tc>
          <w:tcPr>
            <w:tcW w:w="48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336"/>
        </w:trPr>
        <w:tc>
          <w:tcPr>
            <w:tcW w:w="6560" w:type="dxa"/>
            <w:vAlign w:val="bottom"/>
            <w:gridSpan w:val="3"/>
          </w:tcPr>
          <w:p>
            <w:pPr>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tc>
        <w:tc>
          <w:tcPr>
            <w:tcW w:w="440" w:type="dxa"/>
            <w:vAlign w:val="bottom"/>
          </w:tcPr>
          <w:p>
            <w:pPr>
              <w:spacing w:after="0"/>
              <w:rPr>
                <w:sz w:val="24"/>
                <w:szCs w:val="24"/>
                <w:color w:val="auto"/>
              </w:rPr>
            </w:pP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55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440" w:type="dxa"/>
            <w:vAlign w:val="bottom"/>
          </w:tcPr>
          <w:p>
            <w:pPr>
              <w:spacing w:after="0"/>
              <w:rPr>
                <w:sz w:val="14"/>
                <w:szCs w:val="14"/>
                <w:color w:val="auto"/>
              </w:rPr>
            </w:pPr>
          </w:p>
        </w:tc>
      </w:tr>
      <w:tr>
        <w:trPr>
          <w:trHeight w:val="336"/>
        </w:trPr>
        <w:tc>
          <w:tcPr>
            <w:tcW w:w="5920" w:type="dxa"/>
            <w:vAlign w:val="bottom"/>
            <w:gridSpan w:val="2"/>
          </w:tcPr>
          <w:p>
            <w:pPr>
              <w:spacing w:after="0"/>
              <w:rPr>
                <w:sz w:val="20"/>
                <w:szCs w:val="20"/>
                <w:color w:val="auto"/>
              </w:rPr>
            </w:pPr>
            <w:r>
              <w:rPr>
                <w:rFonts w:ascii="Courier New" w:cs="Courier New" w:eastAsia="Courier New" w:hAnsi="Courier New"/>
                <w:sz w:val="15"/>
                <w:szCs w:val="15"/>
                <w:color w:val="auto"/>
              </w:rPr>
              <w:t>The following documents are filed as part of this report:</w:t>
            </w:r>
          </w:p>
        </w:tc>
        <w:tc>
          <w:tcPr>
            <w:tcW w:w="108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Page(s)</w:t>
            </w:r>
          </w:p>
        </w:tc>
      </w:tr>
      <w:tr>
        <w:trPr>
          <w:trHeight w:val="336"/>
        </w:trPr>
        <w:tc>
          <w:tcPr>
            <w:tcW w:w="1060" w:type="dxa"/>
            <w:vAlign w:val="bottom"/>
          </w:tcPr>
          <w:p>
            <w:pPr>
              <w:ind w:left="800"/>
              <w:spacing w:after="0"/>
              <w:rPr>
                <w:sz w:val="20"/>
                <w:szCs w:val="20"/>
                <w:color w:val="auto"/>
              </w:rPr>
            </w:pPr>
            <w:r>
              <w:rPr>
                <w:rFonts w:ascii="Courier New" w:cs="Courier New" w:eastAsia="Courier New" w:hAnsi="Courier New"/>
                <w:sz w:val="15"/>
                <w:szCs w:val="15"/>
                <w:color w:val="auto"/>
                <w:w w:val="88"/>
              </w:rPr>
              <w:t>(1)</w:t>
            </w:r>
          </w:p>
        </w:tc>
        <w:tc>
          <w:tcPr>
            <w:tcW w:w="4860" w:type="dxa"/>
            <w:vAlign w:val="bottom"/>
          </w:tcPr>
          <w:p>
            <w:pPr>
              <w:ind w:left="520"/>
              <w:spacing w:after="0"/>
              <w:rPr>
                <w:sz w:val="20"/>
                <w:szCs w:val="20"/>
                <w:color w:val="auto"/>
              </w:rPr>
            </w:pPr>
            <w:r>
              <w:rPr>
                <w:rFonts w:ascii="Courier New" w:cs="Courier New" w:eastAsia="Courier New" w:hAnsi="Courier New"/>
                <w:sz w:val="15"/>
                <w:szCs w:val="15"/>
                <w:color w:val="auto"/>
              </w:rPr>
              <w:t>Financial Statements</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336"/>
        </w:trPr>
        <w:tc>
          <w:tcPr>
            <w:tcW w:w="1060" w:type="dxa"/>
            <w:vAlign w:val="bottom"/>
          </w:tcPr>
          <w:p>
            <w:pPr>
              <w:spacing w:after="0"/>
              <w:rPr>
                <w:sz w:val="24"/>
                <w:szCs w:val="24"/>
                <w:color w:val="auto"/>
              </w:rPr>
            </w:pPr>
          </w:p>
        </w:tc>
        <w:tc>
          <w:tcPr>
            <w:tcW w:w="4860" w:type="dxa"/>
            <w:vAlign w:val="bottom"/>
          </w:tcPr>
          <w:p>
            <w:pPr>
              <w:ind w:left="520"/>
              <w:spacing w:after="0"/>
              <w:rPr>
                <w:sz w:val="20"/>
                <w:szCs w:val="20"/>
                <w:color w:val="auto"/>
              </w:rPr>
            </w:pPr>
            <w:r>
              <w:rPr>
                <w:rFonts w:ascii="Courier New" w:cs="Courier New" w:eastAsia="Courier New" w:hAnsi="Courier New"/>
                <w:sz w:val="15"/>
                <w:szCs w:val="15"/>
                <w:color w:val="auto"/>
              </w:rPr>
              <w:t>Consolidated Statement of Income</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1060" w:type="dxa"/>
            <w:vAlign w:val="bottom"/>
          </w:tcPr>
          <w:p>
            <w:pPr>
              <w:spacing w:after="0"/>
              <w:rPr>
                <w:sz w:val="14"/>
                <w:szCs w:val="14"/>
                <w:color w:val="auto"/>
              </w:rPr>
            </w:pPr>
          </w:p>
        </w:tc>
        <w:tc>
          <w:tcPr>
            <w:tcW w:w="48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for the three years ended December 31, 1999</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w:t>
            </w:r>
          </w:p>
        </w:tc>
        <w:tc>
          <w:tcPr>
            <w:tcW w:w="440" w:type="dxa"/>
            <w:vAlign w:val="bottom"/>
          </w:tcPr>
          <w:p>
            <w:pPr>
              <w:spacing w:after="0"/>
              <w:rPr>
                <w:sz w:val="14"/>
                <w:szCs w:val="14"/>
                <w:color w:val="auto"/>
              </w:rPr>
            </w:pPr>
          </w:p>
        </w:tc>
      </w:tr>
      <w:tr>
        <w:trPr>
          <w:trHeight w:val="336"/>
        </w:trPr>
        <w:tc>
          <w:tcPr>
            <w:tcW w:w="1060" w:type="dxa"/>
            <w:vAlign w:val="bottom"/>
          </w:tcPr>
          <w:p>
            <w:pPr>
              <w:spacing w:after="0"/>
              <w:rPr>
                <w:sz w:val="24"/>
                <w:szCs w:val="24"/>
                <w:color w:val="auto"/>
              </w:rPr>
            </w:pPr>
          </w:p>
        </w:tc>
        <w:tc>
          <w:tcPr>
            <w:tcW w:w="4860" w:type="dxa"/>
            <w:vAlign w:val="bottom"/>
          </w:tcPr>
          <w:p>
            <w:pPr>
              <w:ind w:left="520"/>
              <w:spacing w:after="0"/>
              <w:rPr>
                <w:sz w:val="20"/>
                <w:szCs w:val="20"/>
                <w:color w:val="auto"/>
              </w:rPr>
            </w:pPr>
            <w:r>
              <w:rPr>
                <w:rFonts w:ascii="Courier New" w:cs="Courier New" w:eastAsia="Courier New" w:hAnsi="Courier New"/>
                <w:sz w:val="15"/>
                <w:szCs w:val="15"/>
                <w:color w:val="auto"/>
              </w:rPr>
              <w:t>Consolidated Balance Sheet</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1060" w:type="dxa"/>
            <w:vAlign w:val="bottom"/>
          </w:tcPr>
          <w:p>
            <w:pPr>
              <w:spacing w:after="0"/>
              <w:rPr>
                <w:sz w:val="14"/>
                <w:szCs w:val="14"/>
                <w:color w:val="auto"/>
              </w:rPr>
            </w:pPr>
          </w:p>
        </w:tc>
        <w:tc>
          <w:tcPr>
            <w:tcW w:w="48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at December 31, 1999 and 1998</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w:t>
            </w:r>
          </w:p>
        </w:tc>
        <w:tc>
          <w:tcPr>
            <w:tcW w:w="440" w:type="dxa"/>
            <w:vAlign w:val="bottom"/>
          </w:tcPr>
          <w:p>
            <w:pPr>
              <w:spacing w:after="0"/>
              <w:rPr>
                <w:sz w:val="14"/>
                <w:szCs w:val="14"/>
                <w:color w:val="auto"/>
              </w:rPr>
            </w:pPr>
          </w:p>
        </w:tc>
      </w:tr>
      <w:tr>
        <w:trPr>
          <w:trHeight w:val="336"/>
        </w:trPr>
        <w:tc>
          <w:tcPr>
            <w:tcW w:w="1060" w:type="dxa"/>
            <w:vAlign w:val="bottom"/>
          </w:tcPr>
          <w:p>
            <w:pPr>
              <w:spacing w:after="0"/>
              <w:rPr>
                <w:sz w:val="24"/>
                <w:szCs w:val="24"/>
                <w:color w:val="auto"/>
              </w:rPr>
            </w:pPr>
          </w:p>
        </w:tc>
        <w:tc>
          <w:tcPr>
            <w:tcW w:w="4860" w:type="dxa"/>
            <w:vAlign w:val="bottom"/>
          </w:tcPr>
          <w:p>
            <w:pPr>
              <w:ind w:left="520"/>
              <w:spacing w:after="0"/>
              <w:rPr>
                <w:sz w:val="20"/>
                <w:szCs w:val="20"/>
                <w:color w:val="auto"/>
              </w:rPr>
            </w:pPr>
            <w:r>
              <w:rPr>
                <w:rFonts w:ascii="Courier New" w:cs="Courier New" w:eastAsia="Courier New" w:hAnsi="Courier New"/>
                <w:sz w:val="15"/>
                <w:szCs w:val="15"/>
                <w:color w:val="auto"/>
              </w:rPr>
              <w:t>Consolidated Statement of Cash Flows</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1060" w:type="dxa"/>
            <w:vAlign w:val="bottom"/>
          </w:tcPr>
          <w:p>
            <w:pPr>
              <w:spacing w:after="0"/>
              <w:rPr>
                <w:sz w:val="14"/>
                <w:szCs w:val="14"/>
                <w:color w:val="auto"/>
              </w:rPr>
            </w:pPr>
          </w:p>
        </w:tc>
        <w:tc>
          <w:tcPr>
            <w:tcW w:w="48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for the three years ended December 31, 1999</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c>
          <w:tcPr>
            <w:tcW w:w="440" w:type="dxa"/>
            <w:vAlign w:val="bottom"/>
          </w:tcPr>
          <w:p>
            <w:pPr>
              <w:spacing w:after="0"/>
              <w:rPr>
                <w:sz w:val="14"/>
                <w:szCs w:val="14"/>
                <w:color w:val="auto"/>
              </w:rPr>
            </w:pPr>
          </w:p>
        </w:tc>
      </w:tr>
      <w:tr>
        <w:trPr>
          <w:trHeight w:val="336"/>
        </w:trPr>
        <w:tc>
          <w:tcPr>
            <w:tcW w:w="1060" w:type="dxa"/>
            <w:vAlign w:val="bottom"/>
          </w:tcPr>
          <w:p>
            <w:pPr>
              <w:spacing w:after="0"/>
              <w:rPr>
                <w:sz w:val="24"/>
                <w:szCs w:val="24"/>
                <w:color w:val="auto"/>
              </w:rPr>
            </w:pPr>
          </w:p>
        </w:tc>
        <w:tc>
          <w:tcPr>
            <w:tcW w:w="4860" w:type="dxa"/>
            <w:vAlign w:val="bottom"/>
          </w:tcPr>
          <w:p>
            <w:pPr>
              <w:ind w:left="520"/>
              <w:spacing w:after="0"/>
              <w:rPr>
                <w:sz w:val="20"/>
                <w:szCs w:val="20"/>
                <w:color w:val="auto"/>
              </w:rPr>
            </w:pPr>
            <w:r>
              <w:rPr>
                <w:rFonts w:ascii="Courier New" w:cs="Courier New" w:eastAsia="Courier New" w:hAnsi="Courier New"/>
                <w:sz w:val="15"/>
                <w:szCs w:val="15"/>
                <w:color w:val="auto"/>
              </w:rPr>
              <w:t>Consolidated Statement of Stockholders' Equity</w:t>
            </w: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1060" w:type="dxa"/>
            <w:vAlign w:val="bottom"/>
          </w:tcPr>
          <w:p>
            <w:pPr>
              <w:spacing w:after="0"/>
              <w:rPr>
                <w:sz w:val="14"/>
                <w:szCs w:val="14"/>
                <w:color w:val="auto"/>
              </w:rPr>
            </w:pPr>
          </w:p>
        </w:tc>
        <w:tc>
          <w:tcPr>
            <w:tcW w:w="486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for the three years ended December 31, 1999</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w:t>
            </w:r>
          </w:p>
        </w:tc>
        <w:tc>
          <w:tcPr>
            <w:tcW w:w="440" w:type="dxa"/>
            <w:vAlign w:val="bottom"/>
          </w:tcPr>
          <w:p>
            <w:pPr>
              <w:spacing w:after="0"/>
              <w:rPr>
                <w:sz w:val="14"/>
                <w:szCs w:val="14"/>
                <w:color w:val="auto"/>
              </w:rPr>
            </w:pPr>
          </w:p>
        </w:tc>
      </w:tr>
      <w:tr>
        <w:trPr>
          <w:trHeight w:val="336"/>
        </w:trPr>
        <w:tc>
          <w:tcPr>
            <w:tcW w:w="1060" w:type="dxa"/>
            <w:vAlign w:val="bottom"/>
          </w:tcPr>
          <w:p>
            <w:pPr>
              <w:spacing w:after="0"/>
              <w:rPr>
                <w:sz w:val="24"/>
                <w:szCs w:val="24"/>
                <w:color w:val="auto"/>
              </w:rPr>
            </w:pPr>
          </w:p>
        </w:tc>
        <w:tc>
          <w:tcPr>
            <w:tcW w:w="4860" w:type="dxa"/>
            <w:vAlign w:val="bottom"/>
          </w:tcPr>
          <w:p>
            <w:pPr>
              <w:ind w:left="52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w:t>
            </w:r>
          </w:p>
        </w:tc>
        <w:tc>
          <w:tcPr>
            <w:tcW w:w="440" w:type="dxa"/>
            <w:vAlign w:val="bottom"/>
          </w:tcPr>
          <w:p>
            <w:pPr>
              <w:spacing w:after="0"/>
              <w:rPr>
                <w:sz w:val="20"/>
                <w:szCs w:val="20"/>
                <w:color w:val="auto"/>
              </w:rPr>
            </w:pPr>
            <w:r>
              <w:rPr>
                <w:rFonts w:ascii="Courier New" w:cs="Courier New" w:eastAsia="Courier New" w:hAnsi="Courier New"/>
                <w:sz w:val="15"/>
                <w:szCs w:val="15"/>
                <w:color w:val="auto"/>
                <w:w w:val="93"/>
              </w:rPr>
              <w:t>to 54</w:t>
            </w:r>
          </w:p>
        </w:tc>
      </w:tr>
      <w:tr>
        <w:trPr>
          <w:trHeight w:val="336"/>
        </w:trPr>
        <w:tc>
          <w:tcPr>
            <w:tcW w:w="1060" w:type="dxa"/>
            <w:vAlign w:val="bottom"/>
          </w:tcPr>
          <w:p>
            <w:pPr>
              <w:spacing w:after="0"/>
              <w:rPr>
                <w:sz w:val="24"/>
                <w:szCs w:val="24"/>
                <w:color w:val="auto"/>
              </w:rPr>
            </w:pPr>
          </w:p>
        </w:tc>
        <w:tc>
          <w:tcPr>
            <w:tcW w:w="4860" w:type="dxa"/>
            <w:vAlign w:val="bottom"/>
          </w:tcPr>
          <w:p>
            <w:pPr>
              <w:ind w:left="520"/>
              <w:spacing w:after="0"/>
              <w:rPr>
                <w:sz w:val="20"/>
                <w:szCs w:val="20"/>
                <w:color w:val="auto"/>
              </w:rPr>
            </w:pPr>
            <w:r>
              <w:rPr>
                <w:rFonts w:ascii="Courier New" w:cs="Courier New" w:eastAsia="Courier New" w:hAnsi="Courier New"/>
                <w:sz w:val="15"/>
                <w:szCs w:val="15"/>
                <w:color w:val="auto"/>
              </w:rPr>
              <w:t>Report of Independent Accountants</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55</w:t>
            </w:r>
          </w:p>
        </w:tc>
        <w:tc>
          <w:tcPr>
            <w:tcW w:w="440" w:type="dxa"/>
            <w:vAlign w:val="bottom"/>
          </w:tcPr>
          <w:p>
            <w:pPr>
              <w:spacing w:after="0"/>
              <w:rPr>
                <w:sz w:val="24"/>
                <w:szCs w:val="24"/>
                <w:color w:val="auto"/>
              </w:rPr>
            </w:pPr>
          </w:p>
        </w:tc>
      </w:tr>
      <w:tr>
        <w:trPr>
          <w:trHeight w:val="336"/>
        </w:trPr>
        <w:tc>
          <w:tcPr>
            <w:tcW w:w="1060" w:type="dxa"/>
            <w:vAlign w:val="bottom"/>
          </w:tcPr>
          <w:p>
            <w:pPr>
              <w:spacing w:after="0"/>
              <w:rPr>
                <w:sz w:val="24"/>
                <w:szCs w:val="24"/>
                <w:color w:val="auto"/>
              </w:rPr>
            </w:pPr>
          </w:p>
        </w:tc>
        <w:tc>
          <w:tcPr>
            <w:tcW w:w="4860" w:type="dxa"/>
            <w:vAlign w:val="bottom"/>
          </w:tcPr>
          <w:p>
            <w:pPr>
              <w:ind w:left="520"/>
              <w:spacing w:after="0"/>
              <w:rPr>
                <w:sz w:val="20"/>
                <w:szCs w:val="20"/>
                <w:color w:val="auto"/>
              </w:rPr>
            </w:pPr>
            <w:r>
              <w:rPr>
                <w:rFonts w:ascii="Courier New" w:cs="Courier New" w:eastAsia="Courier New" w:hAnsi="Courier New"/>
                <w:sz w:val="15"/>
                <w:szCs w:val="15"/>
                <w:color w:val="auto"/>
              </w:rPr>
              <w:t>Quarterly Results (Unaudited)</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56</w:t>
            </w:r>
          </w:p>
        </w:tc>
        <w:tc>
          <w:tcPr>
            <w:tcW w:w="440" w:type="dxa"/>
            <w:vAlign w:val="bottom"/>
          </w:tcPr>
          <w:p>
            <w:pPr>
              <w:spacing w:after="0"/>
              <w:rPr>
                <w:sz w:val="24"/>
                <w:szCs w:val="24"/>
                <w:color w:val="auto"/>
              </w:rPr>
            </w:pPr>
          </w:p>
        </w:tc>
      </w:tr>
    </w:tbl>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Financial statements of 20% - 50% owned companies accounted for under the equity method and unconsolidated subsidiaries have been omitted because they do not meet the materiality tests for assets or income.</w:t>
      </w:r>
    </w:p>
    <w:p>
      <w:pPr>
        <w:spacing w:after="0" w:line="167" w:lineRule="exact"/>
        <w:rPr>
          <w:sz w:val="20"/>
          <w:szCs w:val="20"/>
          <w:color w:val="auto"/>
        </w:rPr>
      </w:pPr>
    </w:p>
    <w:p>
      <w:pPr>
        <w:ind w:left="1580" w:hanging="783"/>
        <w:spacing w:after="0"/>
        <w:tabs>
          <w:tab w:leader="none" w:pos="15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Schedules not required.</w:t>
      </w:r>
    </w:p>
    <w:p>
      <w:pPr>
        <w:spacing w:after="0" w:line="172" w:lineRule="exact"/>
        <w:rPr>
          <w:rFonts w:ascii="Courier New" w:cs="Courier New" w:eastAsia="Courier New" w:hAnsi="Courier New"/>
          <w:sz w:val="15"/>
          <w:szCs w:val="15"/>
          <w:color w:val="auto"/>
        </w:rPr>
      </w:pPr>
    </w:p>
    <w:p>
      <w:pPr>
        <w:ind w:left="1580" w:right="3319" w:hanging="783"/>
        <w:spacing w:after="0" w:line="234" w:lineRule="auto"/>
        <w:tabs>
          <w:tab w:leader="none" w:pos="158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following Exhibits are filed or incorporated by reference as indicated in the Index to Exhibits.</w:t>
      </w:r>
    </w:p>
    <w:p>
      <w:pPr>
        <w:spacing w:after="0" w:line="167" w:lineRule="exact"/>
        <w:rPr>
          <w:sz w:val="20"/>
          <w:szCs w:val="20"/>
          <w:color w:val="auto"/>
        </w:rPr>
      </w:pPr>
    </w:p>
    <w:tbl>
      <w:tblPr>
        <w:tblLayout w:type="fixed"/>
        <w:tblInd w:w="1580" w:type="dxa"/>
        <w:tblCellMar>
          <w:top w:w="0" w:type="dxa"/>
          <w:left w:w="0" w:type="dxa"/>
          <w:bottom w:w="0" w:type="dxa"/>
          <w:right w:w="0" w:type="dxa"/>
        </w:tblCellMar>
      </w:tblPr>
      <w:tr>
        <w:trPr>
          <w:trHeight w:val="170"/>
        </w:trPr>
        <w:tc>
          <w:tcPr>
            <w:tcW w:w="660" w:type="dxa"/>
            <w:vAlign w:val="bottom"/>
          </w:tcPr>
          <w:p>
            <w:pPr>
              <w:spacing w:after="0"/>
              <w:rPr>
                <w:sz w:val="20"/>
                <w:szCs w:val="20"/>
                <w:color w:val="auto"/>
              </w:rPr>
            </w:pPr>
            <w:r>
              <w:rPr>
                <w:rFonts w:ascii="Courier New" w:cs="Courier New" w:eastAsia="Courier New" w:hAnsi="Courier New"/>
                <w:sz w:val="15"/>
                <w:szCs w:val="15"/>
                <w:color w:val="auto"/>
              </w:rPr>
              <w:t>Deed of</w:t>
            </w:r>
          </w:p>
        </w:tc>
        <w:tc>
          <w:tcPr>
            <w:tcW w:w="2020" w:type="dxa"/>
            <w:vAlign w:val="bottom"/>
          </w:tcPr>
          <w:p>
            <w:pPr>
              <w:ind w:left="40"/>
              <w:spacing w:after="0"/>
              <w:rPr>
                <w:sz w:val="20"/>
                <w:szCs w:val="20"/>
                <w:color w:val="auto"/>
              </w:rPr>
            </w:pPr>
            <w:r>
              <w:rPr>
                <w:rFonts w:ascii="Courier New" w:cs="Courier New" w:eastAsia="Courier New" w:hAnsi="Courier New"/>
                <w:sz w:val="15"/>
                <w:szCs w:val="15"/>
                <w:color w:val="auto"/>
              </w:rPr>
              <w:t>Incorporation</w:t>
            </w:r>
          </w:p>
        </w:tc>
        <w:tc>
          <w:tcPr>
            <w:tcW w:w="1040" w:type="dxa"/>
            <w:vAlign w:val="bottom"/>
          </w:tcPr>
          <w:p>
            <w:pPr>
              <w:spacing w:after="0"/>
              <w:rPr>
                <w:sz w:val="14"/>
                <w:szCs w:val="14"/>
                <w:color w:val="auto"/>
              </w:rPr>
            </w:pPr>
          </w:p>
        </w:tc>
        <w:tc>
          <w:tcPr>
            <w:tcW w:w="1700" w:type="dxa"/>
            <w:vAlign w:val="bottom"/>
          </w:tcPr>
          <w:p>
            <w:pPr>
              <w:spacing w:after="0"/>
              <w:rPr>
                <w:sz w:val="14"/>
                <w:szCs w:val="14"/>
                <w:color w:val="auto"/>
              </w:rPr>
            </w:pP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as last</w:t>
            </w:r>
          </w:p>
        </w:tc>
        <w:tc>
          <w:tcPr>
            <w:tcW w:w="30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amended on April 29, 1997</w:t>
            </w:r>
          </w:p>
        </w:tc>
        <w:tc>
          <w:tcPr>
            <w:tcW w:w="17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Exhibit 3</w:t>
            </w:r>
          </w:p>
        </w:tc>
      </w:tr>
      <w:tr>
        <w:trPr>
          <w:trHeight w:val="336"/>
        </w:trPr>
        <w:tc>
          <w:tcPr>
            <w:tcW w:w="660" w:type="dxa"/>
            <w:vAlign w:val="bottom"/>
          </w:tcPr>
          <w:p>
            <w:pPr>
              <w:spacing w:after="0"/>
              <w:rPr>
                <w:sz w:val="20"/>
                <w:szCs w:val="20"/>
                <w:color w:val="auto"/>
              </w:rPr>
            </w:pPr>
            <w:r>
              <w:rPr>
                <w:rFonts w:ascii="Courier New" w:cs="Courier New" w:eastAsia="Courier New" w:hAnsi="Courier New"/>
                <w:sz w:val="15"/>
                <w:szCs w:val="15"/>
                <w:color w:val="auto"/>
              </w:rPr>
              <w:t>By-Laws</w:t>
            </w:r>
          </w:p>
        </w:tc>
        <w:tc>
          <w:tcPr>
            <w:tcW w:w="20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as last</w:t>
            </w:r>
          </w:p>
        </w:tc>
        <w:tc>
          <w:tcPr>
            <w:tcW w:w="2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amended on October 20,</w:t>
            </w:r>
          </w:p>
        </w:tc>
        <w:tc>
          <w:tcPr>
            <w:tcW w:w="10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1993</w:t>
            </w:r>
          </w:p>
        </w:tc>
        <w:tc>
          <w:tcPr>
            <w:tcW w:w="17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rPr>
              <w:t>Exhibit 3</w:t>
            </w:r>
          </w:p>
        </w:tc>
      </w:tr>
      <w:tr>
        <w:trPr>
          <w:trHeight w:val="336"/>
        </w:trPr>
        <w:tc>
          <w:tcPr>
            <w:tcW w:w="2680" w:type="dxa"/>
            <w:vAlign w:val="bottom"/>
            <w:gridSpan w:val="2"/>
          </w:tcPr>
          <w:p>
            <w:pPr>
              <w:spacing w:after="0"/>
              <w:rPr>
                <w:sz w:val="20"/>
                <w:szCs w:val="20"/>
                <w:color w:val="auto"/>
              </w:rPr>
            </w:pPr>
            <w:r>
              <w:rPr>
                <w:rFonts w:ascii="Courier New" w:cs="Courier New" w:eastAsia="Courier New" w:hAnsi="Courier New"/>
                <w:sz w:val="15"/>
                <w:szCs w:val="15"/>
                <w:color w:val="auto"/>
                <w:w w:val="98"/>
              </w:rPr>
              <w:t>Schlumberger 1994 Stock Option</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Plan*</w:t>
            </w:r>
          </w:p>
        </w:tc>
        <w:tc>
          <w:tcPr>
            <w:tcW w:w="1700" w:type="dxa"/>
            <w:vAlign w:val="bottom"/>
          </w:tcPr>
          <w:p>
            <w:pPr>
              <w:spacing w:after="0"/>
              <w:rPr>
                <w:sz w:val="24"/>
                <w:szCs w:val="24"/>
                <w:color w:val="auto"/>
              </w:rPr>
            </w:pPr>
          </w:p>
        </w:tc>
      </w:tr>
      <w:tr>
        <w:trPr>
          <w:trHeight w:val="168"/>
        </w:trPr>
        <w:tc>
          <w:tcPr>
            <w:tcW w:w="2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as amended on January 5, 1995</w:t>
            </w:r>
          </w:p>
        </w:tc>
        <w:tc>
          <w:tcPr>
            <w:tcW w:w="1040" w:type="dxa"/>
            <w:vAlign w:val="bottom"/>
          </w:tcPr>
          <w:p>
            <w:pPr>
              <w:spacing w:after="0"/>
              <w:rPr>
                <w:sz w:val="14"/>
                <w:szCs w:val="14"/>
                <w:color w:val="auto"/>
              </w:rPr>
            </w:pPr>
          </w:p>
        </w:tc>
        <w:tc>
          <w:tcPr>
            <w:tcW w:w="17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5"/>
              </w:rPr>
              <w:t>Exhibit 10(a)</w:t>
            </w:r>
          </w:p>
        </w:tc>
      </w:tr>
      <w:tr>
        <w:trPr>
          <w:trHeight w:val="336"/>
        </w:trPr>
        <w:tc>
          <w:tcPr>
            <w:tcW w:w="2680" w:type="dxa"/>
            <w:vAlign w:val="bottom"/>
            <w:gridSpan w:val="2"/>
          </w:tcPr>
          <w:p>
            <w:pPr>
              <w:spacing w:after="0"/>
              <w:rPr>
                <w:sz w:val="20"/>
                <w:szCs w:val="20"/>
                <w:color w:val="auto"/>
              </w:rPr>
            </w:pPr>
            <w:r>
              <w:rPr>
                <w:rFonts w:ascii="Courier New" w:cs="Courier New" w:eastAsia="Courier New" w:hAnsi="Courier New"/>
                <w:sz w:val="15"/>
                <w:szCs w:val="15"/>
                <w:color w:val="auto"/>
                <w:w w:val="98"/>
              </w:rPr>
              <w:t>Schlumberger 1994 Stock Option</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Plan*</w:t>
            </w:r>
          </w:p>
        </w:tc>
        <w:tc>
          <w:tcPr>
            <w:tcW w:w="1700" w:type="dxa"/>
            <w:vAlign w:val="bottom"/>
          </w:tcPr>
          <w:p>
            <w:pPr>
              <w:spacing w:after="0"/>
              <w:rPr>
                <w:sz w:val="24"/>
                <w:szCs w:val="24"/>
                <w:color w:val="auto"/>
              </w:rPr>
            </w:pPr>
          </w:p>
        </w:tc>
      </w:tr>
      <w:tr>
        <w:trPr>
          <w:trHeight w:val="168"/>
        </w:trPr>
        <w:tc>
          <w:tcPr>
            <w:tcW w:w="2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Second Amendment</w:t>
            </w:r>
          </w:p>
        </w:tc>
        <w:tc>
          <w:tcPr>
            <w:tcW w:w="1040" w:type="dxa"/>
            <w:vAlign w:val="bottom"/>
          </w:tcPr>
          <w:p>
            <w:pPr>
              <w:spacing w:after="0"/>
              <w:rPr>
                <w:sz w:val="14"/>
                <w:szCs w:val="14"/>
                <w:color w:val="auto"/>
              </w:rPr>
            </w:pPr>
          </w:p>
        </w:tc>
        <w:tc>
          <w:tcPr>
            <w:tcW w:w="17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5"/>
              </w:rPr>
              <w:t>Exhibit 10(b)</w:t>
            </w:r>
          </w:p>
        </w:tc>
      </w:tr>
      <w:tr>
        <w:trPr>
          <w:trHeight w:val="336"/>
        </w:trPr>
        <w:tc>
          <w:tcPr>
            <w:tcW w:w="2680" w:type="dxa"/>
            <w:vAlign w:val="bottom"/>
            <w:gridSpan w:val="2"/>
          </w:tcPr>
          <w:p>
            <w:pPr>
              <w:spacing w:after="0"/>
              <w:rPr>
                <w:sz w:val="20"/>
                <w:szCs w:val="20"/>
                <w:color w:val="auto"/>
              </w:rPr>
            </w:pPr>
            <w:r>
              <w:rPr>
                <w:rFonts w:ascii="Courier New" w:cs="Courier New" w:eastAsia="Courier New" w:hAnsi="Courier New"/>
                <w:sz w:val="15"/>
                <w:szCs w:val="15"/>
                <w:color w:val="auto"/>
                <w:w w:val="98"/>
              </w:rPr>
              <w:t>Schlumberger 1994 Stock Option</w:t>
            </w:r>
          </w:p>
        </w:tc>
        <w:tc>
          <w:tcPr>
            <w:tcW w:w="1040" w:type="dxa"/>
            <w:vAlign w:val="bottom"/>
          </w:tcPr>
          <w:p>
            <w:pPr>
              <w:ind w:left="40"/>
              <w:spacing w:after="0"/>
              <w:rPr>
                <w:sz w:val="20"/>
                <w:szCs w:val="20"/>
                <w:color w:val="auto"/>
              </w:rPr>
            </w:pPr>
            <w:r>
              <w:rPr>
                <w:rFonts w:ascii="Courier New" w:cs="Courier New" w:eastAsia="Courier New" w:hAnsi="Courier New"/>
                <w:sz w:val="15"/>
                <w:szCs w:val="15"/>
                <w:color w:val="auto"/>
              </w:rPr>
              <w:t>Plan*</w:t>
            </w:r>
          </w:p>
        </w:tc>
        <w:tc>
          <w:tcPr>
            <w:tcW w:w="1700" w:type="dxa"/>
            <w:vAlign w:val="bottom"/>
          </w:tcPr>
          <w:p>
            <w:pPr>
              <w:spacing w:after="0"/>
              <w:rPr>
                <w:sz w:val="24"/>
                <w:szCs w:val="24"/>
                <w:color w:val="auto"/>
              </w:rPr>
            </w:pPr>
          </w:p>
        </w:tc>
      </w:tr>
      <w:tr>
        <w:trPr>
          <w:trHeight w:val="168"/>
        </w:trPr>
        <w:tc>
          <w:tcPr>
            <w:tcW w:w="26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Third Amendment</w:t>
            </w:r>
          </w:p>
        </w:tc>
        <w:tc>
          <w:tcPr>
            <w:tcW w:w="1040" w:type="dxa"/>
            <w:vAlign w:val="bottom"/>
          </w:tcPr>
          <w:p>
            <w:pPr>
              <w:spacing w:after="0"/>
              <w:rPr>
                <w:sz w:val="14"/>
                <w:szCs w:val="14"/>
                <w:color w:val="auto"/>
              </w:rPr>
            </w:pPr>
          </w:p>
        </w:tc>
        <w:tc>
          <w:tcPr>
            <w:tcW w:w="170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95"/>
              </w:rPr>
              <w:t>Exhibit 10(c)</w:t>
            </w:r>
          </w:p>
        </w:tc>
      </w:tr>
    </w:tbl>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Schlumberger Limited Supplementary Benefit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w:t>
      </w:r>
    </w:p>
    <w:p>
      <w:pPr>
        <w:spacing w:after="0" w:line="173" w:lineRule="exact"/>
        <w:rPr>
          <w:sz w:val="20"/>
          <w:szCs w:val="20"/>
          <w:color w:val="auto"/>
        </w:rPr>
      </w:pPr>
    </w:p>
    <w:p>
      <w:pPr>
        <w:ind w:left="3420" w:right="5419" w:hanging="3410"/>
        <w:spacing w:after="0" w:line="465" w:lineRule="auto"/>
        <w:tabs>
          <w:tab w:leader="none" w:pos="184"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Compensatory plan required to be filed as an exhibit. 58</w:t>
      </w:r>
    </w:p>
    <w:p>
      <w:pPr>
        <w:sectPr>
          <w:pgSz w:w="11900" w:h="16838" w:orient="portrait"/>
          <w:cols w:equalWidth="0" w:num="1">
            <w:col w:w="10239"/>
          </w:cols>
          <w:pgMar w:left="220" w:top="617" w:right="1440" w:bottom="1440" w:gutter="0" w:footer="0" w:header="0"/>
        </w:sectPr>
      </w:pPr>
    </w:p>
    <w:bookmarkStart w:id="60" w:name="page61"/>
    <w:bookmarkEnd w:id="60"/>
    <w:tbl>
      <w:tblPr>
        <w:tblLayout w:type="fixed"/>
        <w:tblInd w:w="1580" w:type="dxa"/>
        <w:tblCellMar>
          <w:top w:w="0" w:type="dxa"/>
          <w:left w:w="0" w:type="dxa"/>
          <w:bottom w:w="0" w:type="dxa"/>
          <w:right w:w="0" w:type="dxa"/>
        </w:tblCellMar>
      </w:tblPr>
      <w:tr>
        <w:trPr>
          <w:trHeight w:val="170"/>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as amended on January 1, 1995</w:t>
            </w:r>
          </w:p>
        </w:tc>
        <w:tc>
          <w:tcPr>
            <w:tcW w:w="1520" w:type="dxa"/>
            <w:vAlign w:val="bottom"/>
          </w:tcPr>
          <w:p>
            <w:pPr>
              <w:ind w:left="380"/>
              <w:spacing w:after="0"/>
              <w:rPr>
                <w:sz w:val="20"/>
                <w:szCs w:val="20"/>
                <w:color w:val="auto"/>
              </w:rPr>
            </w:pPr>
            <w:r>
              <w:rPr>
                <w:rFonts w:ascii="Courier New" w:cs="Courier New" w:eastAsia="Courier New" w:hAnsi="Courier New"/>
                <w:sz w:val="15"/>
                <w:szCs w:val="15"/>
                <w:color w:val="auto"/>
                <w:w w:val="95"/>
              </w:rPr>
              <w:t>Exhibit 10(d)</w:t>
            </w:r>
          </w:p>
        </w:tc>
      </w:tr>
      <w:tr>
        <w:trPr>
          <w:trHeight w:val="336"/>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Schlumberger 1989 Stock Incentive Plan*</w:t>
            </w:r>
          </w:p>
        </w:tc>
        <w:tc>
          <w:tcPr>
            <w:tcW w:w="1520" w:type="dxa"/>
            <w:vAlign w:val="bottom"/>
          </w:tcPr>
          <w:p>
            <w:pPr>
              <w:spacing w:after="0"/>
              <w:rPr>
                <w:sz w:val="24"/>
                <w:szCs w:val="24"/>
                <w:color w:val="auto"/>
              </w:rPr>
            </w:pP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as amended</w:t>
            </w:r>
          </w:p>
        </w:tc>
        <w:tc>
          <w:tcPr>
            <w:tcW w:w="1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95"/>
              </w:rPr>
              <w:t>Exhibit 10(e)</w:t>
            </w:r>
          </w:p>
        </w:tc>
      </w:tr>
      <w:tr>
        <w:trPr>
          <w:trHeight w:val="336"/>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Schlumberger 1989 Stock Incentive Plan*</w:t>
            </w:r>
          </w:p>
        </w:tc>
        <w:tc>
          <w:tcPr>
            <w:tcW w:w="1520" w:type="dxa"/>
            <w:vAlign w:val="bottom"/>
          </w:tcPr>
          <w:p>
            <w:pPr>
              <w:spacing w:after="0"/>
              <w:rPr>
                <w:sz w:val="24"/>
                <w:szCs w:val="24"/>
                <w:color w:val="auto"/>
              </w:rPr>
            </w:pP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Third Amendment</w:t>
            </w:r>
          </w:p>
        </w:tc>
        <w:tc>
          <w:tcPr>
            <w:tcW w:w="1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95"/>
              </w:rPr>
              <w:t>Exhibit 10(f)</w:t>
            </w:r>
          </w:p>
        </w:tc>
      </w:tr>
      <w:tr>
        <w:trPr>
          <w:trHeight w:val="336"/>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Schlumberger Restoration Savings Plan*</w:t>
            </w:r>
          </w:p>
        </w:tc>
        <w:tc>
          <w:tcPr>
            <w:tcW w:w="1520" w:type="dxa"/>
            <w:vAlign w:val="bottom"/>
          </w:tcPr>
          <w:p>
            <w:pPr>
              <w:ind w:left="380"/>
              <w:spacing w:after="0"/>
              <w:rPr>
                <w:sz w:val="20"/>
                <w:szCs w:val="20"/>
                <w:color w:val="auto"/>
              </w:rPr>
            </w:pPr>
            <w:r>
              <w:rPr>
                <w:rFonts w:ascii="Courier New" w:cs="Courier New" w:eastAsia="Courier New" w:hAnsi="Courier New"/>
                <w:sz w:val="15"/>
                <w:szCs w:val="15"/>
                <w:color w:val="auto"/>
                <w:w w:val="95"/>
              </w:rPr>
              <w:t>Exhibit 10(g)</w:t>
            </w:r>
          </w:p>
        </w:tc>
      </w:tr>
      <w:tr>
        <w:trPr>
          <w:trHeight w:val="336"/>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Schlumberger 1998 Stock Option Plan*</w:t>
            </w:r>
          </w:p>
        </w:tc>
        <w:tc>
          <w:tcPr>
            <w:tcW w:w="1520" w:type="dxa"/>
            <w:vAlign w:val="bottom"/>
          </w:tcPr>
          <w:p>
            <w:pPr>
              <w:ind w:left="380"/>
              <w:spacing w:after="0"/>
              <w:rPr>
                <w:sz w:val="20"/>
                <w:szCs w:val="20"/>
                <w:color w:val="auto"/>
              </w:rPr>
            </w:pPr>
            <w:r>
              <w:rPr>
                <w:rFonts w:ascii="Courier New" w:cs="Courier New" w:eastAsia="Courier New" w:hAnsi="Courier New"/>
                <w:sz w:val="15"/>
                <w:szCs w:val="15"/>
                <w:color w:val="auto"/>
                <w:w w:val="95"/>
              </w:rPr>
              <w:t>Exhibit 10(h)</w:t>
            </w:r>
          </w:p>
        </w:tc>
      </w:tr>
      <w:tr>
        <w:trPr>
          <w:trHeight w:val="336"/>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Schlumberger 1998 Stock Option Plan*</w:t>
            </w:r>
          </w:p>
        </w:tc>
        <w:tc>
          <w:tcPr>
            <w:tcW w:w="1520" w:type="dxa"/>
            <w:vAlign w:val="bottom"/>
          </w:tcPr>
          <w:p>
            <w:pPr>
              <w:spacing w:after="0"/>
              <w:rPr>
                <w:sz w:val="24"/>
                <w:szCs w:val="24"/>
                <w:color w:val="auto"/>
              </w:rPr>
            </w:pP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First Amendment</w:t>
            </w:r>
          </w:p>
        </w:tc>
        <w:tc>
          <w:tcPr>
            <w:tcW w:w="1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95"/>
              </w:rPr>
              <w:t>Exhibit 10(i)</w:t>
            </w:r>
          </w:p>
        </w:tc>
      </w:tr>
      <w:tr>
        <w:trPr>
          <w:trHeight w:val="336"/>
        </w:trPr>
        <w:tc>
          <w:tcPr>
            <w:tcW w:w="400" w:type="dxa"/>
            <w:vAlign w:val="bottom"/>
          </w:tcPr>
          <w:p>
            <w:pPr>
              <w:jc w:val="right"/>
              <w:spacing w:after="0"/>
              <w:rPr>
                <w:sz w:val="20"/>
                <w:szCs w:val="20"/>
                <w:color w:val="auto"/>
              </w:rPr>
            </w:pPr>
            <w:r>
              <w:rPr>
                <w:rFonts w:ascii="Courier New" w:cs="Courier New" w:eastAsia="Courier New" w:hAnsi="Courier New"/>
                <w:sz w:val="15"/>
                <w:szCs w:val="15"/>
                <w:color w:val="auto"/>
                <w:w w:val="94"/>
              </w:rPr>
              <w:t>1997</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Long-Term Incentive Plan of Camco</w:t>
            </w:r>
          </w:p>
        </w:tc>
        <w:tc>
          <w:tcPr>
            <w:tcW w:w="1520" w:type="dxa"/>
            <w:vAlign w:val="bottom"/>
          </w:tcPr>
          <w:p>
            <w:pPr>
              <w:spacing w:after="0"/>
              <w:rPr>
                <w:sz w:val="24"/>
                <w:szCs w:val="24"/>
                <w:color w:val="auto"/>
              </w:rPr>
            </w:pP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International Inc.; Long-Term Incentive Plan</w:t>
            </w:r>
          </w:p>
        </w:tc>
        <w:tc>
          <w:tcPr>
            <w:tcW w:w="1520" w:type="dxa"/>
            <w:vAlign w:val="bottom"/>
          </w:tcPr>
          <w:p>
            <w:pPr>
              <w:spacing w:after="0"/>
              <w:rPr>
                <w:sz w:val="14"/>
                <w:szCs w:val="14"/>
                <w:color w:val="auto"/>
              </w:rPr>
            </w:pP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of Camco International Inc. Production Operators</w:t>
            </w:r>
          </w:p>
        </w:tc>
        <w:tc>
          <w:tcPr>
            <w:tcW w:w="1520" w:type="dxa"/>
            <w:vAlign w:val="bottom"/>
          </w:tcPr>
          <w:p>
            <w:pPr>
              <w:spacing w:after="0"/>
              <w:rPr>
                <w:sz w:val="14"/>
                <w:szCs w:val="14"/>
                <w:color w:val="auto"/>
              </w:rPr>
            </w:pP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Corp. 1992 Long-Term Incentive Plan;</w:t>
            </w:r>
          </w:p>
        </w:tc>
        <w:tc>
          <w:tcPr>
            <w:tcW w:w="1520" w:type="dxa"/>
            <w:vAlign w:val="bottom"/>
          </w:tcPr>
          <w:p>
            <w:pPr>
              <w:spacing w:after="0"/>
              <w:rPr>
                <w:sz w:val="14"/>
                <w:szCs w:val="14"/>
                <w:color w:val="auto"/>
              </w:rPr>
            </w:pP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Camco 1996 Savings Related Share Option</w:t>
            </w:r>
          </w:p>
        </w:tc>
        <w:tc>
          <w:tcPr>
            <w:tcW w:w="1520" w:type="dxa"/>
            <w:vAlign w:val="bottom"/>
          </w:tcPr>
          <w:p>
            <w:pPr>
              <w:spacing w:after="0"/>
              <w:rPr>
                <w:sz w:val="14"/>
                <w:szCs w:val="14"/>
                <w:color w:val="auto"/>
              </w:rPr>
            </w:pP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Scheme; Camco International Inc. Amended</w:t>
            </w:r>
          </w:p>
        </w:tc>
        <w:tc>
          <w:tcPr>
            <w:tcW w:w="1520" w:type="dxa"/>
            <w:vAlign w:val="bottom"/>
          </w:tcPr>
          <w:p>
            <w:pPr>
              <w:spacing w:after="0"/>
              <w:rPr>
                <w:sz w:val="14"/>
                <w:szCs w:val="14"/>
                <w:color w:val="auto"/>
              </w:rPr>
            </w:pP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 Restated Stock Option Plan for</w:t>
            </w:r>
          </w:p>
        </w:tc>
        <w:tc>
          <w:tcPr>
            <w:tcW w:w="1520" w:type="dxa"/>
            <w:vAlign w:val="bottom"/>
          </w:tcPr>
          <w:p>
            <w:pPr>
              <w:spacing w:after="0"/>
              <w:rPr>
                <w:sz w:val="14"/>
                <w:szCs w:val="14"/>
                <w:color w:val="auto"/>
              </w:rPr>
            </w:pPr>
          </w:p>
        </w:tc>
      </w:tr>
      <w:tr>
        <w:trPr>
          <w:trHeight w:val="168"/>
        </w:trPr>
        <w:tc>
          <w:tcPr>
            <w:tcW w:w="4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Nonemployee Directors</w:t>
            </w:r>
          </w:p>
        </w:tc>
        <w:tc>
          <w:tcPr>
            <w:tcW w:w="1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w w:val="95"/>
              </w:rPr>
              <w:t>Exhibit 10(j)</w:t>
            </w:r>
          </w:p>
        </w:tc>
      </w:tr>
      <w:tr>
        <w:trPr>
          <w:trHeight w:val="336"/>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Subsidiaries</w:t>
            </w:r>
          </w:p>
        </w:tc>
        <w:tc>
          <w:tcPr>
            <w:tcW w:w="1520" w:type="dxa"/>
            <w:vAlign w:val="bottom"/>
          </w:tcPr>
          <w:p>
            <w:pPr>
              <w:ind w:left="380"/>
              <w:spacing w:after="0"/>
              <w:rPr>
                <w:sz w:val="20"/>
                <w:szCs w:val="20"/>
                <w:color w:val="auto"/>
              </w:rPr>
            </w:pPr>
            <w:r>
              <w:rPr>
                <w:rFonts w:ascii="Courier New" w:cs="Courier New" w:eastAsia="Courier New" w:hAnsi="Courier New"/>
                <w:sz w:val="15"/>
                <w:szCs w:val="15"/>
                <w:color w:val="auto"/>
              </w:rPr>
              <w:t>Exhibit 21</w:t>
            </w:r>
          </w:p>
        </w:tc>
      </w:tr>
      <w:tr>
        <w:trPr>
          <w:trHeight w:val="336"/>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Consent of Independent Accountants</w:t>
            </w:r>
          </w:p>
        </w:tc>
        <w:tc>
          <w:tcPr>
            <w:tcW w:w="1520" w:type="dxa"/>
            <w:vAlign w:val="bottom"/>
          </w:tcPr>
          <w:p>
            <w:pPr>
              <w:ind w:left="380"/>
              <w:spacing w:after="0"/>
              <w:rPr>
                <w:sz w:val="20"/>
                <w:szCs w:val="20"/>
                <w:color w:val="auto"/>
              </w:rPr>
            </w:pPr>
            <w:r>
              <w:rPr>
                <w:rFonts w:ascii="Courier New" w:cs="Courier New" w:eastAsia="Courier New" w:hAnsi="Courier New"/>
                <w:sz w:val="15"/>
                <w:szCs w:val="15"/>
                <w:color w:val="auto"/>
              </w:rPr>
              <w:t>Exhibit 23</w:t>
            </w:r>
          </w:p>
        </w:tc>
      </w:tr>
      <w:tr>
        <w:trPr>
          <w:trHeight w:val="336"/>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Powers of Attorney</w:t>
            </w:r>
          </w:p>
        </w:tc>
        <w:tc>
          <w:tcPr>
            <w:tcW w:w="1520" w:type="dxa"/>
            <w:vAlign w:val="bottom"/>
          </w:tcPr>
          <w:p>
            <w:pPr>
              <w:ind w:left="380"/>
              <w:spacing w:after="0"/>
              <w:rPr>
                <w:sz w:val="20"/>
                <w:szCs w:val="20"/>
                <w:color w:val="auto"/>
              </w:rPr>
            </w:pPr>
            <w:r>
              <w:rPr>
                <w:rFonts w:ascii="Courier New" w:cs="Courier New" w:eastAsia="Courier New" w:hAnsi="Courier New"/>
                <w:sz w:val="15"/>
                <w:szCs w:val="15"/>
                <w:color w:val="auto"/>
              </w:rPr>
              <w:t>Exhibit 24</w:t>
            </w:r>
          </w:p>
        </w:tc>
      </w:tr>
      <w:tr>
        <w:trPr>
          <w:trHeight w:val="336"/>
        </w:trPr>
        <w:tc>
          <w:tcPr>
            <w:tcW w:w="400" w:type="dxa"/>
            <w:vAlign w:val="bottom"/>
          </w:tcPr>
          <w:p>
            <w:pPr>
              <w:ind w:left="100"/>
              <w:spacing w:after="0"/>
              <w:rPr>
                <w:sz w:val="20"/>
                <w:szCs w:val="20"/>
                <w:color w:val="auto"/>
              </w:rPr>
            </w:pPr>
            <w:r>
              <w:rPr>
                <w:rFonts w:ascii="Courier New" w:cs="Courier New" w:eastAsia="Courier New" w:hAnsi="Courier New"/>
                <w:sz w:val="15"/>
                <w:szCs w:val="15"/>
                <w:color w:val="auto"/>
              </w:rPr>
              <w:t>(a)</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Don E. Ackerman - dated 1/12/01</w:t>
            </w:r>
          </w:p>
        </w:tc>
        <w:tc>
          <w:tcPr>
            <w:tcW w:w="1520" w:type="dxa"/>
            <w:vAlign w:val="bottom"/>
          </w:tcPr>
          <w:p>
            <w:pPr>
              <w:spacing w:after="0"/>
              <w:rPr>
                <w:sz w:val="24"/>
                <w:szCs w:val="24"/>
                <w:color w:val="auto"/>
              </w:rPr>
            </w:pPr>
          </w:p>
        </w:tc>
      </w:tr>
      <w:tr>
        <w:trPr>
          <w:trHeight w:val="168"/>
        </w:trPr>
        <w:tc>
          <w:tcPr>
            <w:tcW w:w="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(b)</w:t>
            </w: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 Euan Baird - dated 1/12/01</w:t>
            </w:r>
          </w:p>
        </w:tc>
        <w:tc>
          <w:tcPr>
            <w:tcW w:w="1520" w:type="dxa"/>
            <w:vAlign w:val="bottom"/>
          </w:tcPr>
          <w:p>
            <w:pPr>
              <w:spacing w:after="0"/>
              <w:rPr>
                <w:sz w:val="14"/>
                <w:szCs w:val="14"/>
                <w:color w:val="auto"/>
              </w:rPr>
            </w:pPr>
          </w:p>
        </w:tc>
      </w:tr>
      <w:tr>
        <w:trPr>
          <w:trHeight w:val="168"/>
        </w:trPr>
        <w:tc>
          <w:tcPr>
            <w:tcW w:w="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w:t>
            </w: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John Deutch - dated 1/12/01</w:t>
            </w:r>
          </w:p>
        </w:tc>
        <w:tc>
          <w:tcPr>
            <w:tcW w:w="1520" w:type="dxa"/>
            <w:vAlign w:val="bottom"/>
          </w:tcPr>
          <w:p>
            <w:pPr>
              <w:spacing w:after="0"/>
              <w:rPr>
                <w:sz w:val="14"/>
                <w:szCs w:val="14"/>
                <w:color w:val="auto"/>
              </w:rPr>
            </w:pPr>
          </w:p>
        </w:tc>
      </w:tr>
      <w:tr>
        <w:trPr>
          <w:trHeight w:val="168"/>
        </w:trPr>
        <w:tc>
          <w:tcPr>
            <w:tcW w:w="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w:t>
            </w: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Victor E. Grijalva - dated 1/12/01</w:t>
            </w:r>
          </w:p>
        </w:tc>
        <w:tc>
          <w:tcPr>
            <w:tcW w:w="1520" w:type="dxa"/>
            <w:vAlign w:val="bottom"/>
          </w:tcPr>
          <w:p>
            <w:pPr>
              <w:spacing w:after="0"/>
              <w:rPr>
                <w:sz w:val="14"/>
                <w:szCs w:val="14"/>
                <w:color w:val="auto"/>
              </w:rPr>
            </w:pPr>
          </w:p>
        </w:tc>
      </w:tr>
      <w:tr>
        <w:trPr>
          <w:trHeight w:val="168"/>
        </w:trPr>
        <w:tc>
          <w:tcPr>
            <w:tcW w:w="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(e)</w:t>
            </w: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Denys Henderson - dated 1/16/01</w:t>
            </w:r>
          </w:p>
        </w:tc>
        <w:tc>
          <w:tcPr>
            <w:tcW w:w="1520" w:type="dxa"/>
            <w:vAlign w:val="bottom"/>
          </w:tcPr>
          <w:p>
            <w:pPr>
              <w:spacing w:after="0"/>
              <w:rPr>
                <w:sz w:val="14"/>
                <w:szCs w:val="14"/>
                <w:color w:val="auto"/>
              </w:rPr>
            </w:pPr>
          </w:p>
        </w:tc>
      </w:tr>
      <w:tr>
        <w:trPr>
          <w:trHeight w:val="168"/>
        </w:trPr>
        <w:tc>
          <w:tcPr>
            <w:tcW w:w="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w:t>
            </w: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Andre Levy-Lang - dated 1/15/01</w:t>
            </w:r>
          </w:p>
        </w:tc>
        <w:tc>
          <w:tcPr>
            <w:tcW w:w="1520" w:type="dxa"/>
            <w:vAlign w:val="bottom"/>
          </w:tcPr>
          <w:p>
            <w:pPr>
              <w:spacing w:after="0"/>
              <w:rPr>
                <w:sz w:val="14"/>
                <w:szCs w:val="14"/>
                <w:color w:val="auto"/>
              </w:rPr>
            </w:pPr>
          </w:p>
        </w:tc>
      </w:tr>
      <w:tr>
        <w:trPr>
          <w:trHeight w:val="168"/>
        </w:trPr>
        <w:tc>
          <w:tcPr>
            <w:tcW w:w="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(g)</w:t>
            </w: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William T. McCormick, Jr. - dated 1/12/01</w:t>
            </w:r>
          </w:p>
        </w:tc>
        <w:tc>
          <w:tcPr>
            <w:tcW w:w="1520" w:type="dxa"/>
            <w:vAlign w:val="bottom"/>
          </w:tcPr>
          <w:p>
            <w:pPr>
              <w:spacing w:after="0"/>
              <w:rPr>
                <w:sz w:val="14"/>
                <w:szCs w:val="14"/>
                <w:color w:val="auto"/>
              </w:rPr>
            </w:pPr>
          </w:p>
        </w:tc>
      </w:tr>
      <w:tr>
        <w:trPr>
          <w:trHeight w:val="168"/>
        </w:trPr>
        <w:tc>
          <w:tcPr>
            <w:tcW w:w="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(h)</w:t>
            </w: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Didier Primat - dated 1/12/01</w:t>
            </w:r>
          </w:p>
        </w:tc>
        <w:tc>
          <w:tcPr>
            <w:tcW w:w="1520" w:type="dxa"/>
            <w:vAlign w:val="bottom"/>
          </w:tcPr>
          <w:p>
            <w:pPr>
              <w:spacing w:after="0"/>
              <w:rPr>
                <w:sz w:val="14"/>
                <w:szCs w:val="14"/>
                <w:color w:val="auto"/>
              </w:rPr>
            </w:pPr>
          </w:p>
        </w:tc>
      </w:tr>
      <w:tr>
        <w:trPr>
          <w:trHeight w:val="168"/>
        </w:trPr>
        <w:tc>
          <w:tcPr>
            <w:tcW w:w="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w:t>
            </w: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Nicolas Seydoux - dated 1/12/01</w:t>
            </w:r>
          </w:p>
        </w:tc>
        <w:tc>
          <w:tcPr>
            <w:tcW w:w="1520" w:type="dxa"/>
            <w:vAlign w:val="bottom"/>
          </w:tcPr>
          <w:p>
            <w:pPr>
              <w:spacing w:after="0"/>
              <w:rPr>
                <w:sz w:val="14"/>
                <w:szCs w:val="14"/>
                <w:color w:val="auto"/>
              </w:rPr>
            </w:pPr>
          </w:p>
        </w:tc>
      </w:tr>
      <w:tr>
        <w:trPr>
          <w:trHeight w:val="168"/>
        </w:trPr>
        <w:tc>
          <w:tcPr>
            <w:tcW w:w="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(j)</w:t>
            </w: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Linda G. Stuntz - dated 1/12/01</w:t>
            </w:r>
          </w:p>
        </w:tc>
        <w:tc>
          <w:tcPr>
            <w:tcW w:w="1520" w:type="dxa"/>
            <w:vAlign w:val="bottom"/>
          </w:tcPr>
          <w:p>
            <w:pPr>
              <w:spacing w:after="0"/>
              <w:rPr>
                <w:sz w:val="14"/>
                <w:szCs w:val="14"/>
                <w:color w:val="auto"/>
              </w:rPr>
            </w:pPr>
          </w:p>
        </w:tc>
      </w:tr>
      <w:tr>
        <w:trPr>
          <w:trHeight w:val="168"/>
        </w:trPr>
        <w:tc>
          <w:tcPr>
            <w:tcW w:w="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(k)</w:t>
            </w: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Sven Ullring - dated 1/15/01</w:t>
            </w:r>
          </w:p>
        </w:tc>
        <w:tc>
          <w:tcPr>
            <w:tcW w:w="1520" w:type="dxa"/>
            <w:vAlign w:val="bottom"/>
          </w:tcPr>
          <w:p>
            <w:pPr>
              <w:spacing w:after="0"/>
              <w:rPr>
                <w:sz w:val="14"/>
                <w:szCs w:val="14"/>
                <w:color w:val="auto"/>
              </w:rPr>
            </w:pPr>
          </w:p>
        </w:tc>
      </w:tr>
      <w:tr>
        <w:trPr>
          <w:trHeight w:val="168"/>
        </w:trPr>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Yoshihiko Wakumuto - dated 1/16/01</w:t>
            </w:r>
          </w:p>
        </w:tc>
        <w:tc>
          <w:tcPr>
            <w:tcW w:w="1520" w:type="dxa"/>
            <w:vAlign w:val="bottom"/>
          </w:tcPr>
          <w:p>
            <w:pPr>
              <w:spacing w:after="0"/>
              <w:rPr>
                <w:sz w:val="14"/>
                <w:szCs w:val="14"/>
                <w:color w:val="auto"/>
              </w:rPr>
            </w:pPr>
          </w:p>
        </w:tc>
      </w:tr>
      <w:tr>
        <w:trPr>
          <w:trHeight w:val="336"/>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Financial Data Schedule</w:t>
            </w:r>
          </w:p>
        </w:tc>
        <w:tc>
          <w:tcPr>
            <w:tcW w:w="1520" w:type="dxa"/>
            <w:vAlign w:val="bottom"/>
          </w:tcPr>
          <w:p>
            <w:pPr>
              <w:ind w:left="380"/>
              <w:spacing w:after="0"/>
              <w:rPr>
                <w:sz w:val="20"/>
                <w:szCs w:val="20"/>
                <w:color w:val="auto"/>
              </w:rPr>
            </w:pPr>
            <w:r>
              <w:rPr>
                <w:rFonts w:ascii="Courier New" w:cs="Courier New" w:eastAsia="Courier New" w:hAnsi="Courier New"/>
                <w:sz w:val="15"/>
                <w:szCs w:val="15"/>
                <w:color w:val="auto"/>
              </w:rPr>
              <w:t>Exhibit 27</w:t>
            </w:r>
          </w:p>
        </w:tc>
      </w:tr>
      <w:tr>
        <w:trPr>
          <w:trHeight w:val="336"/>
        </w:trPr>
        <w:tc>
          <w:tcPr>
            <w:tcW w:w="4600" w:type="dxa"/>
            <w:vAlign w:val="bottom"/>
            <w:gridSpan w:val="2"/>
          </w:tcPr>
          <w:p>
            <w:pPr>
              <w:spacing w:after="0"/>
              <w:rPr>
                <w:sz w:val="20"/>
                <w:szCs w:val="20"/>
                <w:color w:val="auto"/>
              </w:rPr>
            </w:pPr>
            <w:r>
              <w:rPr>
                <w:rFonts w:ascii="Courier New" w:cs="Courier New" w:eastAsia="Courier New" w:hAnsi="Courier New"/>
                <w:sz w:val="15"/>
                <w:szCs w:val="15"/>
                <w:color w:val="auto"/>
              </w:rPr>
              <w:t>Additional Exhibit:</w:t>
            </w:r>
          </w:p>
        </w:tc>
        <w:tc>
          <w:tcPr>
            <w:tcW w:w="1520" w:type="dxa"/>
            <w:vAlign w:val="bottom"/>
          </w:tcPr>
          <w:p>
            <w:pPr>
              <w:spacing w:after="0"/>
              <w:rPr>
                <w:sz w:val="24"/>
                <w:szCs w:val="24"/>
                <w:color w:val="auto"/>
              </w:rPr>
            </w:pP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Form</w:t>
            </w:r>
          </w:p>
        </w:tc>
        <w:tc>
          <w:tcPr>
            <w:tcW w:w="42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S-8 Undertakings</w:t>
            </w:r>
          </w:p>
        </w:tc>
        <w:tc>
          <w:tcPr>
            <w:tcW w:w="152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Exhibit 99</w:t>
            </w:r>
          </w:p>
        </w:tc>
      </w:tr>
    </w:tbl>
    <w:p>
      <w:pPr>
        <w:spacing w:after="0" w:line="341"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No reports on Form 10-K were filed during the last quarter of the period covered by this report.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w:t>
      </w:r>
    </w:p>
    <w:p>
      <w:pPr>
        <w:spacing w:after="0" w:line="173" w:lineRule="exact"/>
        <w:rPr>
          <w:sz w:val="20"/>
          <w:szCs w:val="20"/>
          <w:color w:val="auto"/>
        </w:rPr>
      </w:pPr>
    </w:p>
    <w:p>
      <w:pPr>
        <w:ind w:left="3420" w:right="5419" w:hanging="3410"/>
        <w:spacing w:after="0" w:line="465" w:lineRule="auto"/>
        <w:tabs>
          <w:tab w:leader="none" w:pos="184"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Compensatory plan required to be filed as an exhibit. 59</w:t>
      </w:r>
    </w:p>
    <w:p>
      <w:pPr>
        <w:sectPr>
          <w:pgSz w:w="11900" w:h="16838" w:orient="portrait"/>
          <w:cols w:equalWidth="0" w:num="1">
            <w:col w:w="10239"/>
          </w:cols>
          <w:pgMar w:left="220" w:top="953" w:right="1440" w:bottom="1440" w:gutter="0" w:footer="0" w:header="0"/>
        </w:sectPr>
      </w:pPr>
    </w:p>
    <w:bookmarkStart w:id="61" w:name="page62"/>
    <w:bookmarkEnd w:id="61"/>
    <w:p>
      <w:pPr>
        <w:jc w:val="center"/>
        <w:ind w:right="3399"/>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SCHLUMBERGER LIMITED</w:t>
      </w:r>
    </w:p>
    <w:p>
      <w:pPr>
        <w:sectPr>
          <w:pgSz w:w="11900" w:h="16838" w:orient="portrait"/>
          <w:cols w:equalWidth="0" w:num="1">
            <w:col w:w="10239"/>
          </w:cols>
          <w:pgMar w:left="220" w:top="617" w:right="1440" w:bottom="1440" w:gutter="0" w:footer="0" w:header="0"/>
        </w:sectPr>
      </w:pP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 MARCH 8, 2001</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Jack Liu</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Jack Liu</w:t>
      </w:r>
    </w:p>
    <w:p>
      <w:pPr>
        <w:spacing w:after="0" w:line="173" w:lineRule="exact"/>
        <w:rPr>
          <w:sz w:val="20"/>
          <w:szCs w:val="20"/>
          <w:color w:val="auto"/>
        </w:rPr>
      </w:pPr>
    </w:p>
    <w:p>
      <w:pPr>
        <w:sectPr>
          <w:pgSz w:w="11900" w:h="16838" w:orient="portrait"/>
          <w:cols w:equalWidth="0" w:num="3">
            <w:col w:w="1680" w:space="700"/>
            <w:col w:w="260" w:space="160"/>
            <w:col w:w="7439"/>
          </w:cols>
          <w:pgMar w:left="220" w:top="617" w:right="1440" w:bottom="1440" w:gutter="0" w:footer="0" w:header="0"/>
          <w:type w:val="continuous"/>
        </w:sectPr>
      </w:pPr>
    </w:p>
    <w:p>
      <w:pPr>
        <w:ind w:left="2540"/>
        <w:spacing w:after="0"/>
        <w:rPr>
          <w:sz w:val="20"/>
          <w:szCs w:val="20"/>
          <w:color w:val="auto"/>
        </w:rPr>
      </w:pPr>
      <w:r>
        <w:rPr>
          <w:rFonts w:ascii="Courier New" w:cs="Courier New" w:eastAsia="Courier New" w:hAnsi="Courier New"/>
          <w:sz w:val="14"/>
          <w:szCs w:val="14"/>
          <w:color w:val="auto"/>
        </w:rPr>
        <w:t>Executive Vice President, Chief Financial Officer</w:t>
      </w:r>
    </w:p>
    <w:p>
      <w:pPr>
        <w:spacing w:after="0" w:line="3"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and Chief Accounting Officer</w:t>
      </w:r>
    </w:p>
    <w:p>
      <w:pPr>
        <w:sectPr>
          <w:pgSz w:w="11900" w:h="16838" w:orient="portrait"/>
          <w:cols w:equalWidth="0" w:num="1">
            <w:col w:w="10239"/>
          </w:cols>
          <w:pgMar w:left="220" w:top="617" w:right="1440" w:bottom="1440" w:gutter="0" w:footer="0" w:header="0"/>
          <w:type w:val="continuous"/>
        </w:sectPr>
      </w:pP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0239"/>
          </w:cols>
          <w:pgMar w:left="220" w:top="617" w:right="1440" w:bottom="1440" w:gutter="0" w:footer="0" w:header="0"/>
          <w:type w:val="continuous"/>
        </w:sectPr>
      </w:pPr>
    </w:p>
    <w:p>
      <w:pPr>
        <w:spacing w:after="0" w:line="200" w:lineRule="exact"/>
        <w:rPr>
          <w:sz w:val="20"/>
          <w:szCs w:val="20"/>
          <w:color w:val="auto"/>
        </w:rPr>
      </w:pPr>
    </w:p>
    <w:p>
      <w:pPr>
        <w:spacing w:after="0" w:line="304"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4"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4460" w:space="720"/>
            <w:col w:w="5059"/>
          </w:cols>
          <w:pgMar w:left="220" w:top="617" w:right="1440" w:bottom="1440" w:gutter="0" w:footer="0" w:header="0"/>
          <w:type w:val="continuous"/>
        </w:sect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 Chairman, President and Chief</w:t>
      </w:r>
    </w:p>
    <w:p>
      <w:pPr>
        <w:spacing w:after="0" w:line="9" w:lineRule="exact"/>
        <w:rPr>
          <w:sz w:val="20"/>
          <w:szCs w:val="20"/>
          <w:color w:val="auto"/>
        </w:rPr>
      </w:pPr>
    </w:p>
    <w:p>
      <w:pPr>
        <w:sectPr>
          <w:pgSz w:w="11900" w:h="16838" w:orient="portrait"/>
          <w:cols w:equalWidth="0" w:num="2">
            <w:col w:w="4280" w:space="720"/>
            <w:col w:w="523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ind w:left="1320"/>
        <w:spacing w:after="0"/>
        <w:rPr>
          <w:sz w:val="20"/>
          <w:szCs w:val="20"/>
          <w:color w:val="auto"/>
        </w:rPr>
      </w:pPr>
      <w:r>
        <w:rPr>
          <w:rFonts w:ascii="Courier New" w:cs="Courier New" w:eastAsia="Courier New" w:hAnsi="Courier New"/>
          <w:sz w:val="14"/>
          <w:szCs w:val="14"/>
          <w:color w:val="auto"/>
        </w:rPr>
        <w:t>D. Euan Baird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Executive Officer</w:t>
      </w:r>
    </w:p>
    <w:p>
      <w:pPr>
        <w:spacing w:after="0" w:line="171" w:lineRule="exact"/>
        <w:rPr>
          <w:sz w:val="20"/>
          <w:szCs w:val="20"/>
          <w:color w:val="auto"/>
        </w:rPr>
      </w:pPr>
    </w:p>
    <w:p>
      <w:pPr>
        <w:sectPr>
          <w:pgSz w:w="11900" w:h="16838" w:orient="portrait"/>
          <w:cols w:equalWidth="0" w:num="2">
            <w:col w:w="4280" w:space="720"/>
            <w:col w:w="5239"/>
          </w:cols>
          <w:pgMar w:left="220" w:top="617" w:right="1440" w:bottom="1440" w:gutter="0" w:footer="0" w:header="0"/>
          <w:type w:val="continuous"/>
        </w:sect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Victor E. Grijalva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 Vice Chairman</w:t>
      </w:r>
    </w:p>
    <w:p>
      <w:pPr>
        <w:spacing w:after="0" w:line="514" w:lineRule="exact"/>
        <w:rPr>
          <w:sz w:val="20"/>
          <w:szCs w:val="20"/>
          <w:color w:val="auto"/>
        </w:rPr>
      </w:pPr>
    </w:p>
    <w:p>
      <w:pPr>
        <w:sectPr>
          <w:pgSz w:w="11900" w:h="16838" w:orient="portrait"/>
          <w:cols w:equalWidth="0" w:num="2">
            <w:col w:w="4280" w:space="720"/>
            <w:col w:w="5239"/>
          </w:cols>
          <w:pgMar w:left="220" w:top="617" w:right="1440" w:bottom="1440" w:gutter="0" w:footer="0" w:header="0"/>
          <w:type w:val="continuous"/>
        </w:sectPr>
      </w:pPr>
    </w:p>
    <w:p>
      <w:pPr>
        <w:ind w:left="1240"/>
        <w:spacing w:after="0"/>
        <w:rPr>
          <w:sz w:val="20"/>
          <w:szCs w:val="20"/>
          <w:color w:val="auto"/>
        </w:rPr>
      </w:pPr>
      <w:r>
        <w:rPr>
          <w:rFonts w:ascii="Courier New" w:cs="Courier New" w:eastAsia="Courier New" w:hAnsi="Courier New"/>
          <w:sz w:val="14"/>
          <w:szCs w:val="14"/>
          <w:color w:val="auto"/>
        </w:rPr>
        <w:t>/s/ Jack Liu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Executive Vice President, Finance,</w:t>
      </w:r>
    </w:p>
    <w:p>
      <w:pPr>
        <w:spacing w:after="0" w:line="10" w:lineRule="exact"/>
        <w:rPr>
          <w:sz w:val="20"/>
          <w:szCs w:val="20"/>
          <w:color w:val="auto"/>
        </w:rPr>
      </w:pPr>
    </w:p>
    <w:p>
      <w:pPr>
        <w:sectPr>
          <w:pgSz w:w="11900" w:h="16838" w:orient="portrait"/>
          <w:cols w:equalWidth="0" w:num="2">
            <w:col w:w="4280" w:space="720"/>
            <w:col w:w="5239"/>
          </w:cols>
          <w:pgMar w:left="220" w:top="617"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ectPr>
          <w:pgSz w:w="11900" w:h="16838" w:orient="portrait"/>
          <w:cols w:equalWidth="0" w:num="1">
            <w:col w:w="10239"/>
          </w:cols>
          <w:pgMar w:left="220" w:top="617" w:right="1440" w:bottom="1440" w:gutter="0" w:footer="0" w:header="0"/>
          <w:type w:val="continuous"/>
        </w:sectPr>
      </w:pPr>
    </w:p>
    <w:p>
      <w:pPr>
        <w:spacing w:after="0" w:line="10" w:lineRule="exact"/>
        <w:rPr>
          <w:sz w:val="20"/>
          <w:szCs w:val="20"/>
          <w:color w:val="auto"/>
        </w:rPr>
      </w:pPr>
    </w:p>
    <w:p>
      <w:pPr>
        <w:ind w:left="1580"/>
        <w:spacing w:after="0"/>
        <w:rPr>
          <w:sz w:val="20"/>
          <w:szCs w:val="20"/>
          <w:color w:val="auto"/>
        </w:rPr>
      </w:pPr>
      <w:r>
        <w:rPr>
          <w:rFonts w:ascii="Courier New" w:cs="Courier New" w:eastAsia="Courier New" w:hAnsi="Courier New"/>
          <w:sz w:val="14"/>
          <w:szCs w:val="14"/>
          <w:color w:val="auto"/>
        </w:rPr>
        <w:t>Jack Liu</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Chief Financial Officer,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Chief Accounting Officer</w:t>
      </w:r>
    </w:p>
    <w:p>
      <w:pPr>
        <w:spacing w:after="0" w:line="166" w:lineRule="exact"/>
        <w:rPr>
          <w:sz w:val="20"/>
          <w:szCs w:val="20"/>
          <w:color w:val="auto"/>
        </w:rPr>
      </w:pPr>
    </w:p>
    <w:p>
      <w:pPr>
        <w:sectPr>
          <w:pgSz w:w="11900" w:h="16838" w:orient="portrait"/>
          <w:cols w:equalWidth="0" w:num="2">
            <w:col w:w="4280" w:space="720"/>
            <w:col w:w="5239"/>
          </w:cols>
          <w:pgMar w:left="220" w:top="617" w:right="1440" w:bottom="1440" w:gutter="0" w:footer="0" w:header="0"/>
          <w:type w:val="continuous"/>
        </w:sectPr>
      </w:pPr>
    </w:p>
    <w:p>
      <w:pPr>
        <w:ind w:left="184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ind w:left="1240"/>
        <w:spacing w:after="0"/>
        <w:rPr>
          <w:sz w:val="20"/>
          <w:szCs w:val="20"/>
          <w:color w:val="auto"/>
        </w:rPr>
      </w:pPr>
      <w:r>
        <w:rPr>
          <w:rFonts w:ascii="Courier New" w:cs="Courier New" w:eastAsia="Courier New" w:hAnsi="Courier New"/>
          <w:sz w:val="15"/>
          <w:szCs w:val="15"/>
          <w:color w:val="auto"/>
        </w:rPr>
        <w:t>Don E. Ackerman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514" w:lineRule="exact"/>
        <w:rPr>
          <w:sz w:val="20"/>
          <w:szCs w:val="20"/>
          <w:color w:val="auto"/>
        </w:rPr>
      </w:pPr>
    </w:p>
    <w:p>
      <w:pPr>
        <w:sectPr>
          <w:pgSz w:w="11900" w:h="16838" w:orient="portrait"/>
          <w:cols w:equalWidth="0" w:num="2">
            <w:col w:w="4280" w:space="720"/>
            <w:col w:w="5239"/>
          </w:cols>
          <w:pgMar w:left="220" w:top="617" w:right="1440" w:bottom="1440" w:gutter="0" w:footer="0" w:header="0"/>
          <w:type w:val="continuous"/>
        </w:sectPr>
      </w:pPr>
    </w:p>
    <w:p>
      <w:pPr>
        <w:ind w:left="1760"/>
        <w:spacing w:after="0"/>
        <w:tabs>
          <w:tab w:leader="none" w:pos="49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3" w:lineRule="exact"/>
        <w:rPr>
          <w:sz w:val="20"/>
          <w:szCs w:val="20"/>
          <w:color w:val="auto"/>
        </w:rPr>
      </w:pPr>
    </w:p>
    <w:p>
      <w:pPr>
        <w:ind w:left="180" w:hanging="170"/>
        <w:spacing w:after="0"/>
        <w:tabs>
          <w:tab w:leader="none" w:pos="18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4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John Deutch</w:t>
      </w:r>
    </w:p>
    <w:p>
      <w:pPr>
        <w:spacing w:after="0" w:line="173" w:lineRule="exact"/>
        <w:rPr>
          <w:sz w:val="20"/>
          <w:szCs w:val="20"/>
          <w:color w:val="auto"/>
        </w:rPr>
      </w:pPr>
    </w:p>
    <w:p>
      <w:pPr>
        <w:ind w:left="1760"/>
        <w:spacing w:after="0"/>
        <w:tabs>
          <w:tab w:leader="none" w:pos="49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3" w:lineRule="exact"/>
        <w:rPr>
          <w:sz w:val="20"/>
          <w:szCs w:val="20"/>
          <w:color w:val="auto"/>
        </w:rPr>
      </w:pPr>
    </w:p>
    <w:p>
      <w:pPr>
        <w:ind w:left="180" w:hanging="170"/>
        <w:spacing w:after="0"/>
        <w:tabs>
          <w:tab w:leader="none" w:pos="18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2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Denys Henderson</w:t>
      </w:r>
    </w:p>
    <w:p>
      <w:pPr>
        <w:spacing w:after="0" w:line="173" w:lineRule="exact"/>
        <w:rPr>
          <w:sz w:val="20"/>
          <w:szCs w:val="20"/>
          <w:color w:val="auto"/>
        </w:rPr>
      </w:pPr>
    </w:p>
    <w:p>
      <w:pPr>
        <w:ind w:left="1840"/>
        <w:spacing w:after="0"/>
        <w:tabs>
          <w:tab w:leader="none" w:pos="49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Director</w:t>
      </w:r>
    </w:p>
    <w:p>
      <w:pPr>
        <w:spacing w:after="0" w:line="3" w:lineRule="exact"/>
        <w:rPr>
          <w:sz w:val="20"/>
          <w:szCs w:val="20"/>
          <w:color w:val="auto"/>
        </w:rPr>
      </w:pPr>
    </w:p>
    <w:p>
      <w:pPr>
        <w:ind w:left="180" w:hanging="170"/>
        <w:spacing w:after="0"/>
        <w:tabs>
          <w:tab w:leader="none" w:pos="18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ind w:left="124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Andre Levy-Lang</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617" w:right="1440" w:bottom="1440" w:gutter="0" w:footer="0" w:header="0"/>
          <w:type w:val="continuous"/>
        </w:sectPr>
      </w:pPr>
    </w:p>
    <w:bookmarkStart w:id="62" w:name="page63"/>
    <w:bookmarkEnd w:id="62"/>
    <w:tbl>
      <w:tblPr>
        <w:tblLayout w:type="fixed"/>
        <w:tblInd w:w="0" w:type="dxa"/>
        <w:tblCellMar>
          <w:top w:w="0" w:type="dxa"/>
          <w:left w:w="0" w:type="dxa"/>
          <w:bottom w:w="0" w:type="dxa"/>
          <w:right w:w="0" w:type="dxa"/>
        </w:tblCellMar>
      </w:tblPr>
      <w:tr>
        <w:trPr>
          <w:trHeight w:val="170"/>
        </w:trPr>
        <w:tc>
          <w:tcPr>
            <w:tcW w:w="4740" w:type="dxa"/>
            <w:vAlign w:val="bottom"/>
          </w:tcPr>
          <w:p>
            <w:pPr>
              <w:ind w:left="2980"/>
              <w:spacing w:after="0"/>
              <w:rPr>
                <w:sz w:val="20"/>
                <w:szCs w:val="20"/>
                <w:color w:val="auto"/>
              </w:rPr>
            </w:pPr>
            <w:r>
              <w:rPr>
                <w:rFonts w:ascii="Courier New" w:cs="Courier New" w:eastAsia="Courier New" w:hAnsi="Courier New"/>
                <w:sz w:val="15"/>
                <w:szCs w:val="15"/>
                <w:color w:val="auto"/>
              </w:rPr>
              <w:t>SIGNATURES</w:t>
            </w:r>
          </w:p>
        </w:tc>
        <w:tc>
          <w:tcPr>
            <w:tcW w:w="4020" w:type="dxa"/>
            <w:vAlign w:val="bottom"/>
          </w:tcPr>
          <w:p>
            <w:pPr>
              <w:spacing w:after="0"/>
              <w:rPr>
                <w:sz w:val="14"/>
                <w:szCs w:val="14"/>
                <w:color w:val="auto"/>
              </w:rPr>
            </w:pPr>
          </w:p>
        </w:tc>
      </w:tr>
      <w:tr>
        <w:trPr>
          <w:trHeight w:val="673"/>
        </w:trPr>
        <w:tc>
          <w:tcPr>
            <w:tcW w:w="4740" w:type="dxa"/>
            <w:vAlign w:val="bottom"/>
          </w:tcPr>
          <w:p>
            <w:pPr>
              <w:jc w:val="center"/>
              <w:ind w:right="807"/>
              <w:spacing w:after="0"/>
              <w:rPr>
                <w:sz w:val="20"/>
                <w:szCs w:val="20"/>
                <w:color w:val="auto"/>
              </w:rPr>
            </w:pPr>
            <w:r>
              <w:rPr>
                <w:rFonts w:ascii="Courier New" w:cs="Courier New" w:eastAsia="Courier New" w:hAnsi="Courier New"/>
                <w:sz w:val="15"/>
                <w:szCs w:val="15"/>
                <w:color w:val="auto"/>
                <w:w w:val="94"/>
              </w:rPr>
              <w:t>Name</w:t>
            </w:r>
          </w:p>
        </w:tc>
        <w:tc>
          <w:tcPr>
            <w:tcW w:w="4020" w:type="dxa"/>
            <w:vAlign w:val="bottom"/>
          </w:tcPr>
          <w:p>
            <w:pPr>
              <w:ind w:left="1820"/>
              <w:spacing w:after="0"/>
              <w:rPr>
                <w:sz w:val="20"/>
                <w:szCs w:val="20"/>
                <w:color w:val="auto"/>
              </w:rPr>
            </w:pPr>
            <w:r>
              <w:rPr>
                <w:rFonts w:ascii="Courier New" w:cs="Courier New" w:eastAsia="Courier New" w:hAnsi="Courier New"/>
                <w:sz w:val="15"/>
                <w:szCs w:val="15"/>
                <w:color w:val="auto"/>
              </w:rPr>
              <w:t>Title</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020" w:type="dxa"/>
            <w:vAlign w:val="bottom"/>
          </w:tcPr>
          <w:p>
            <w:pPr>
              <w:ind w:left="6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740" w:type="dxa"/>
            <w:vAlign w:val="bottom"/>
          </w:tcPr>
          <w:p>
            <w:pPr>
              <w:jc w:val="center"/>
              <w:ind w:right="887"/>
              <w:spacing w:after="0"/>
              <w:rPr>
                <w:sz w:val="20"/>
                <w:szCs w:val="20"/>
                <w:color w:val="auto"/>
              </w:rPr>
            </w:pPr>
            <w:r>
              <w:rPr>
                <w:rFonts w:ascii="Courier New" w:cs="Courier New" w:eastAsia="Courier New" w:hAnsi="Courier New"/>
                <w:sz w:val="15"/>
                <w:szCs w:val="15"/>
                <w:color w:val="auto"/>
              </w:rPr>
              <w:t>*</w:t>
            </w:r>
          </w:p>
        </w:tc>
        <w:tc>
          <w:tcPr>
            <w:tcW w:w="4020" w:type="dxa"/>
            <w:vAlign w:val="bottom"/>
          </w:tcPr>
          <w:p>
            <w:pPr>
              <w:ind w:left="860"/>
              <w:spacing w:after="0"/>
              <w:rPr>
                <w:sz w:val="20"/>
                <w:szCs w:val="20"/>
                <w:color w:val="auto"/>
              </w:rPr>
            </w:pPr>
            <w:r>
              <w:rPr>
                <w:rFonts w:ascii="Courier New" w:cs="Courier New" w:eastAsia="Courier New" w:hAnsi="Courier New"/>
                <w:sz w:val="15"/>
                <w:szCs w:val="15"/>
                <w:color w:val="auto"/>
              </w:rPr>
              <w:t>Director</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020" w:type="dxa"/>
            <w:vAlign w:val="bottom"/>
          </w:tcPr>
          <w:p>
            <w:pPr>
              <w:spacing w:after="0"/>
              <w:rPr>
                <w:sz w:val="14"/>
                <w:szCs w:val="14"/>
                <w:color w:val="auto"/>
              </w:rPr>
            </w:pPr>
          </w:p>
        </w:tc>
      </w:tr>
      <w:tr>
        <w:trPr>
          <w:trHeight w:val="168"/>
        </w:trPr>
        <w:tc>
          <w:tcPr>
            <w:tcW w:w="4740" w:type="dxa"/>
            <w:vAlign w:val="bottom"/>
          </w:tcPr>
          <w:p>
            <w:pPr>
              <w:jc w:val="center"/>
              <w:ind w:right="887"/>
              <w:spacing w:after="0" w:line="168" w:lineRule="exact"/>
              <w:rPr>
                <w:sz w:val="20"/>
                <w:szCs w:val="20"/>
                <w:color w:val="auto"/>
              </w:rPr>
            </w:pPr>
            <w:r>
              <w:rPr>
                <w:rFonts w:ascii="Courier New" w:cs="Courier New" w:eastAsia="Courier New" w:hAnsi="Courier New"/>
                <w:sz w:val="15"/>
                <w:szCs w:val="15"/>
                <w:color w:val="auto"/>
                <w:w w:val="96"/>
              </w:rPr>
              <w:t>William T. McCormick, Jr.</w:t>
            </w:r>
          </w:p>
        </w:tc>
        <w:tc>
          <w:tcPr>
            <w:tcW w:w="4020" w:type="dxa"/>
            <w:vAlign w:val="bottom"/>
          </w:tcPr>
          <w:p>
            <w:pPr>
              <w:spacing w:after="0"/>
              <w:rPr>
                <w:sz w:val="14"/>
                <w:szCs w:val="14"/>
                <w:color w:val="auto"/>
              </w:rPr>
            </w:pPr>
          </w:p>
        </w:tc>
      </w:tr>
      <w:tr>
        <w:trPr>
          <w:trHeight w:val="336"/>
        </w:trPr>
        <w:tc>
          <w:tcPr>
            <w:tcW w:w="4740" w:type="dxa"/>
            <w:vAlign w:val="bottom"/>
          </w:tcPr>
          <w:p>
            <w:pPr>
              <w:jc w:val="center"/>
              <w:ind w:right="887"/>
              <w:spacing w:after="0"/>
              <w:rPr>
                <w:sz w:val="20"/>
                <w:szCs w:val="20"/>
                <w:color w:val="auto"/>
              </w:rPr>
            </w:pPr>
            <w:r>
              <w:rPr>
                <w:rFonts w:ascii="Courier New" w:cs="Courier New" w:eastAsia="Courier New" w:hAnsi="Courier New"/>
                <w:sz w:val="15"/>
                <w:szCs w:val="15"/>
                <w:color w:val="auto"/>
              </w:rPr>
              <w:t>*</w:t>
            </w:r>
          </w:p>
        </w:tc>
        <w:tc>
          <w:tcPr>
            <w:tcW w:w="4020" w:type="dxa"/>
            <w:vAlign w:val="bottom"/>
          </w:tcPr>
          <w:p>
            <w:pPr>
              <w:ind w:left="860"/>
              <w:spacing w:after="0"/>
              <w:rPr>
                <w:sz w:val="20"/>
                <w:szCs w:val="20"/>
                <w:color w:val="auto"/>
              </w:rPr>
            </w:pPr>
            <w:r>
              <w:rPr>
                <w:rFonts w:ascii="Courier New" w:cs="Courier New" w:eastAsia="Courier New" w:hAnsi="Courier New"/>
                <w:sz w:val="15"/>
                <w:szCs w:val="15"/>
                <w:color w:val="auto"/>
              </w:rPr>
              <w:t>Director</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020" w:type="dxa"/>
            <w:vAlign w:val="bottom"/>
          </w:tcPr>
          <w:p>
            <w:pPr>
              <w:spacing w:after="0"/>
              <w:rPr>
                <w:sz w:val="14"/>
                <w:szCs w:val="14"/>
                <w:color w:val="auto"/>
              </w:rPr>
            </w:pPr>
          </w:p>
        </w:tc>
      </w:tr>
      <w:tr>
        <w:trPr>
          <w:trHeight w:val="168"/>
        </w:trPr>
        <w:tc>
          <w:tcPr>
            <w:tcW w:w="4740" w:type="dxa"/>
            <w:vAlign w:val="bottom"/>
          </w:tcPr>
          <w:p>
            <w:pPr>
              <w:jc w:val="center"/>
              <w:ind w:right="887"/>
              <w:spacing w:after="0" w:line="168" w:lineRule="exact"/>
              <w:rPr>
                <w:sz w:val="20"/>
                <w:szCs w:val="20"/>
                <w:color w:val="auto"/>
              </w:rPr>
            </w:pPr>
            <w:r>
              <w:rPr>
                <w:rFonts w:ascii="Courier New" w:cs="Courier New" w:eastAsia="Courier New" w:hAnsi="Courier New"/>
                <w:sz w:val="15"/>
                <w:szCs w:val="15"/>
                <w:color w:val="auto"/>
                <w:w w:val="97"/>
              </w:rPr>
              <w:t>Didier Primat</w:t>
            </w:r>
          </w:p>
        </w:tc>
        <w:tc>
          <w:tcPr>
            <w:tcW w:w="4020" w:type="dxa"/>
            <w:vAlign w:val="bottom"/>
          </w:tcPr>
          <w:p>
            <w:pPr>
              <w:spacing w:after="0"/>
              <w:rPr>
                <w:sz w:val="14"/>
                <w:szCs w:val="14"/>
                <w:color w:val="auto"/>
              </w:rPr>
            </w:pPr>
          </w:p>
        </w:tc>
      </w:tr>
      <w:tr>
        <w:trPr>
          <w:trHeight w:val="336"/>
        </w:trPr>
        <w:tc>
          <w:tcPr>
            <w:tcW w:w="4740" w:type="dxa"/>
            <w:vAlign w:val="bottom"/>
          </w:tcPr>
          <w:p>
            <w:pPr>
              <w:jc w:val="center"/>
              <w:ind w:right="887"/>
              <w:spacing w:after="0"/>
              <w:rPr>
                <w:sz w:val="20"/>
                <w:szCs w:val="20"/>
                <w:color w:val="auto"/>
              </w:rPr>
            </w:pPr>
            <w:r>
              <w:rPr>
                <w:rFonts w:ascii="Courier New" w:cs="Courier New" w:eastAsia="Courier New" w:hAnsi="Courier New"/>
                <w:sz w:val="15"/>
                <w:szCs w:val="15"/>
                <w:color w:val="auto"/>
              </w:rPr>
              <w:t>*</w:t>
            </w:r>
          </w:p>
        </w:tc>
        <w:tc>
          <w:tcPr>
            <w:tcW w:w="4020" w:type="dxa"/>
            <w:vAlign w:val="bottom"/>
          </w:tcPr>
          <w:p>
            <w:pPr>
              <w:ind w:left="860"/>
              <w:spacing w:after="0"/>
              <w:rPr>
                <w:sz w:val="20"/>
                <w:szCs w:val="20"/>
                <w:color w:val="auto"/>
              </w:rPr>
            </w:pPr>
            <w:r>
              <w:rPr>
                <w:rFonts w:ascii="Courier New" w:cs="Courier New" w:eastAsia="Courier New" w:hAnsi="Courier New"/>
                <w:sz w:val="15"/>
                <w:szCs w:val="15"/>
                <w:color w:val="auto"/>
              </w:rPr>
              <w:t>Director</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020" w:type="dxa"/>
            <w:vAlign w:val="bottom"/>
          </w:tcPr>
          <w:p>
            <w:pPr>
              <w:spacing w:after="0"/>
              <w:rPr>
                <w:sz w:val="14"/>
                <w:szCs w:val="14"/>
                <w:color w:val="auto"/>
              </w:rPr>
            </w:pPr>
          </w:p>
        </w:tc>
      </w:tr>
      <w:tr>
        <w:trPr>
          <w:trHeight w:val="168"/>
        </w:trPr>
        <w:tc>
          <w:tcPr>
            <w:tcW w:w="4740" w:type="dxa"/>
            <w:vAlign w:val="bottom"/>
          </w:tcPr>
          <w:p>
            <w:pPr>
              <w:jc w:val="center"/>
              <w:ind w:right="887"/>
              <w:spacing w:after="0" w:line="168" w:lineRule="exact"/>
              <w:rPr>
                <w:sz w:val="20"/>
                <w:szCs w:val="20"/>
                <w:color w:val="auto"/>
              </w:rPr>
            </w:pPr>
            <w:r>
              <w:rPr>
                <w:rFonts w:ascii="Courier New" w:cs="Courier New" w:eastAsia="Courier New" w:hAnsi="Courier New"/>
                <w:sz w:val="15"/>
                <w:szCs w:val="15"/>
                <w:color w:val="auto"/>
                <w:w w:val="96"/>
              </w:rPr>
              <w:t>Nicolas Seydoux</w:t>
            </w:r>
          </w:p>
        </w:tc>
        <w:tc>
          <w:tcPr>
            <w:tcW w:w="4020" w:type="dxa"/>
            <w:vAlign w:val="bottom"/>
          </w:tcPr>
          <w:p>
            <w:pPr>
              <w:spacing w:after="0"/>
              <w:rPr>
                <w:sz w:val="14"/>
                <w:szCs w:val="14"/>
                <w:color w:val="auto"/>
              </w:rPr>
            </w:pPr>
          </w:p>
        </w:tc>
      </w:tr>
      <w:tr>
        <w:trPr>
          <w:trHeight w:val="336"/>
        </w:trPr>
        <w:tc>
          <w:tcPr>
            <w:tcW w:w="4740" w:type="dxa"/>
            <w:vAlign w:val="bottom"/>
          </w:tcPr>
          <w:p>
            <w:pPr>
              <w:jc w:val="center"/>
              <w:ind w:right="887"/>
              <w:spacing w:after="0"/>
              <w:rPr>
                <w:sz w:val="20"/>
                <w:szCs w:val="20"/>
                <w:color w:val="auto"/>
              </w:rPr>
            </w:pPr>
            <w:r>
              <w:rPr>
                <w:rFonts w:ascii="Courier New" w:cs="Courier New" w:eastAsia="Courier New" w:hAnsi="Courier New"/>
                <w:sz w:val="15"/>
                <w:szCs w:val="15"/>
                <w:color w:val="auto"/>
              </w:rPr>
              <w:t>*</w:t>
            </w:r>
          </w:p>
        </w:tc>
        <w:tc>
          <w:tcPr>
            <w:tcW w:w="4020" w:type="dxa"/>
            <w:vAlign w:val="bottom"/>
          </w:tcPr>
          <w:p>
            <w:pPr>
              <w:ind w:left="860"/>
              <w:spacing w:after="0"/>
              <w:rPr>
                <w:sz w:val="20"/>
                <w:szCs w:val="20"/>
                <w:color w:val="auto"/>
              </w:rPr>
            </w:pPr>
            <w:r>
              <w:rPr>
                <w:rFonts w:ascii="Courier New" w:cs="Courier New" w:eastAsia="Courier New" w:hAnsi="Courier New"/>
                <w:sz w:val="15"/>
                <w:szCs w:val="15"/>
                <w:color w:val="auto"/>
              </w:rPr>
              <w:t>Director</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020" w:type="dxa"/>
            <w:vAlign w:val="bottom"/>
          </w:tcPr>
          <w:p>
            <w:pPr>
              <w:spacing w:after="0"/>
              <w:rPr>
                <w:sz w:val="14"/>
                <w:szCs w:val="14"/>
                <w:color w:val="auto"/>
              </w:rPr>
            </w:pPr>
          </w:p>
        </w:tc>
      </w:tr>
      <w:tr>
        <w:trPr>
          <w:trHeight w:val="168"/>
        </w:trPr>
        <w:tc>
          <w:tcPr>
            <w:tcW w:w="4740" w:type="dxa"/>
            <w:vAlign w:val="bottom"/>
          </w:tcPr>
          <w:p>
            <w:pPr>
              <w:jc w:val="center"/>
              <w:ind w:right="887"/>
              <w:spacing w:after="0" w:line="168" w:lineRule="exact"/>
              <w:rPr>
                <w:sz w:val="20"/>
                <w:szCs w:val="20"/>
                <w:color w:val="auto"/>
              </w:rPr>
            </w:pPr>
            <w:r>
              <w:rPr>
                <w:rFonts w:ascii="Courier New" w:cs="Courier New" w:eastAsia="Courier New" w:hAnsi="Courier New"/>
                <w:sz w:val="15"/>
                <w:szCs w:val="15"/>
                <w:color w:val="auto"/>
                <w:w w:val="96"/>
              </w:rPr>
              <w:t>Linda G. Stuntz</w:t>
            </w:r>
          </w:p>
        </w:tc>
        <w:tc>
          <w:tcPr>
            <w:tcW w:w="4020" w:type="dxa"/>
            <w:vAlign w:val="bottom"/>
          </w:tcPr>
          <w:p>
            <w:pPr>
              <w:spacing w:after="0"/>
              <w:rPr>
                <w:sz w:val="14"/>
                <w:szCs w:val="14"/>
                <w:color w:val="auto"/>
              </w:rPr>
            </w:pPr>
          </w:p>
        </w:tc>
      </w:tr>
      <w:tr>
        <w:trPr>
          <w:trHeight w:val="336"/>
        </w:trPr>
        <w:tc>
          <w:tcPr>
            <w:tcW w:w="4740" w:type="dxa"/>
            <w:vAlign w:val="bottom"/>
          </w:tcPr>
          <w:p>
            <w:pPr>
              <w:jc w:val="center"/>
              <w:ind w:right="887"/>
              <w:spacing w:after="0"/>
              <w:rPr>
                <w:sz w:val="20"/>
                <w:szCs w:val="20"/>
                <w:color w:val="auto"/>
              </w:rPr>
            </w:pPr>
            <w:r>
              <w:rPr>
                <w:rFonts w:ascii="Courier New" w:cs="Courier New" w:eastAsia="Courier New" w:hAnsi="Courier New"/>
                <w:sz w:val="15"/>
                <w:szCs w:val="15"/>
                <w:color w:val="auto"/>
              </w:rPr>
              <w:t>*</w:t>
            </w:r>
          </w:p>
        </w:tc>
        <w:tc>
          <w:tcPr>
            <w:tcW w:w="4020" w:type="dxa"/>
            <w:vAlign w:val="bottom"/>
          </w:tcPr>
          <w:p>
            <w:pPr>
              <w:ind w:left="860"/>
              <w:spacing w:after="0"/>
              <w:rPr>
                <w:sz w:val="20"/>
                <w:szCs w:val="20"/>
                <w:color w:val="auto"/>
              </w:rPr>
            </w:pPr>
            <w:r>
              <w:rPr>
                <w:rFonts w:ascii="Courier New" w:cs="Courier New" w:eastAsia="Courier New" w:hAnsi="Courier New"/>
                <w:sz w:val="15"/>
                <w:szCs w:val="15"/>
                <w:color w:val="auto"/>
              </w:rPr>
              <w:t>Director</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020" w:type="dxa"/>
            <w:vAlign w:val="bottom"/>
          </w:tcPr>
          <w:p>
            <w:pPr>
              <w:spacing w:after="0"/>
              <w:rPr>
                <w:sz w:val="14"/>
                <w:szCs w:val="14"/>
                <w:color w:val="auto"/>
              </w:rPr>
            </w:pPr>
          </w:p>
        </w:tc>
      </w:tr>
      <w:tr>
        <w:trPr>
          <w:trHeight w:val="168"/>
        </w:trPr>
        <w:tc>
          <w:tcPr>
            <w:tcW w:w="4740" w:type="dxa"/>
            <w:vAlign w:val="bottom"/>
          </w:tcPr>
          <w:p>
            <w:pPr>
              <w:jc w:val="center"/>
              <w:ind w:right="807"/>
              <w:spacing w:after="0" w:line="168" w:lineRule="exact"/>
              <w:rPr>
                <w:sz w:val="20"/>
                <w:szCs w:val="20"/>
                <w:color w:val="auto"/>
              </w:rPr>
            </w:pPr>
            <w:r>
              <w:rPr>
                <w:rFonts w:ascii="Courier New" w:cs="Courier New" w:eastAsia="Courier New" w:hAnsi="Courier New"/>
                <w:sz w:val="15"/>
                <w:szCs w:val="15"/>
                <w:color w:val="auto"/>
                <w:w w:val="98"/>
              </w:rPr>
              <w:t>Sven Ullring</w:t>
            </w:r>
          </w:p>
        </w:tc>
        <w:tc>
          <w:tcPr>
            <w:tcW w:w="4020" w:type="dxa"/>
            <w:vAlign w:val="bottom"/>
          </w:tcPr>
          <w:p>
            <w:pPr>
              <w:spacing w:after="0"/>
              <w:rPr>
                <w:sz w:val="14"/>
                <w:szCs w:val="14"/>
                <w:color w:val="auto"/>
              </w:rPr>
            </w:pPr>
          </w:p>
        </w:tc>
      </w:tr>
      <w:tr>
        <w:trPr>
          <w:trHeight w:val="336"/>
        </w:trPr>
        <w:tc>
          <w:tcPr>
            <w:tcW w:w="4740" w:type="dxa"/>
            <w:vAlign w:val="bottom"/>
          </w:tcPr>
          <w:p>
            <w:pPr>
              <w:jc w:val="center"/>
              <w:ind w:right="887"/>
              <w:spacing w:after="0"/>
              <w:rPr>
                <w:sz w:val="20"/>
                <w:szCs w:val="20"/>
                <w:color w:val="auto"/>
              </w:rPr>
            </w:pPr>
            <w:r>
              <w:rPr>
                <w:rFonts w:ascii="Courier New" w:cs="Courier New" w:eastAsia="Courier New" w:hAnsi="Courier New"/>
                <w:sz w:val="15"/>
                <w:szCs w:val="15"/>
                <w:color w:val="auto"/>
              </w:rPr>
              <w:t>*</w:t>
            </w:r>
          </w:p>
        </w:tc>
        <w:tc>
          <w:tcPr>
            <w:tcW w:w="4020" w:type="dxa"/>
            <w:vAlign w:val="bottom"/>
          </w:tcPr>
          <w:p>
            <w:pPr>
              <w:ind w:left="860"/>
              <w:spacing w:after="0"/>
              <w:rPr>
                <w:sz w:val="20"/>
                <w:szCs w:val="20"/>
                <w:color w:val="auto"/>
              </w:rPr>
            </w:pPr>
            <w:r>
              <w:rPr>
                <w:rFonts w:ascii="Courier New" w:cs="Courier New" w:eastAsia="Courier New" w:hAnsi="Courier New"/>
                <w:sz w:val="15"/>
                <w:szCs w:val="15"/>
                <w:color w:val="auto"/>
              </w:rPr>
              <w:t>Director</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020" w:type="dxa"/>
            <w:vAlign w:val="bottom"/>
          </w:tcPr>
          <w:p>
            <w:pPr>
              <w:spacing w:after="0"/>
              <w:rPr>
                <w:sz w:val="14"/>
                <w:szCs w:val="14"/>
                <w:color w:val="auto"/>
              </w:rPr>
            </w:pPr>
          </w:p>
        </w:tc>
      </w:tr>
      <w:tr>
        <w:trPr>
          <w:trHeight w:val="168"/>
        </w:trPr>
        <w:tc>
          <w:tcPr>
            <w:tcW w:w="4740" w:type="dxa"/>
            <w:vAlign w:val="bottom"/>
          </w:tcPr>
          <w:p>
            <w:pPr>
              <w:jc w:val="center"/>
              <w:ind w:right="807"/>
              <w:spacing w:after="0" w:line="168" w:lineRule="exact"/>
              <w:rPr>
                <w:sz w:val="20"/>
                <w:szCs w:val="20"/>
                <w:color w:val="auto"/>
              </w:rPr>
            </w:pPr>
            <w:r>
              <w:rPr>
                <w:rFonts w:ascii="Courier New" w:cs="Courier New" w:eastAsia="Courier New" w:hAnsi="Courier New"/>
                <w:sz w:val="15"/>
                <w:szCs w:val="15"/>
                <w:color w:val="auto"/>
                <w:w w:val="97"/>
              </w:rPr>
              <w:t>Yoshihiko Wakumoto</w:t>
            </w:r>
          </w:p>
        </w:tc>
        <w:tc>
          <w:tcPr>
            <w:tcW w:w="4020" w:type="dxa"/>
            <w:vAlign w:val="bottom"/>
          </w:tcPr>
          <w:p>
            <w:pPr>
              <w:spacing w:after="0"/>
              <w:rPr>
                <w:sz w:val="14"/>
                <w:szCs w:val="14"/>
                <w:color w:val="auto"/>
              </w:rPr>
            </w:pPr>
          </w:p>
        </w:tc>
      </w:tr>
      <w:tr>
        <w:trPr>
          <w:trHeight w:val="336"/>
        </w:trPr>
        <w:tc>
          <w:tcPr>
            <w:tcW w:w="4740" w:type="dxa"/>
            <w:vAlign w:val="bottom"/>
          </w:tcPr>
          <w:p>
            <w:pPr>
              <w:jc w:val="center"/>
              <w:ind w:right="887"/>
              <w:spacing w:after="0"/>
              <w:rPr>
                <w:sz w:val="20"/>
                <w:szCs w:val="20"/>
                <w:color w:val="auto"/>
              </w:rPr>
            </w:pPr>
            <w:r>
              <w:rPr>
                <w:rFonts w:ascii="Courier New" w:cs="Courier New" w:eastAsia="Courier New" w:hAnsi="Courier New"/>
                <w:sz w:val="15"/>
                <w:szCs w:val="15"/>
                <w:color w:val="auto"/>
                <w:w w:val="96"/>
              </w:rPr>
              <w:t>/s/James L. Gunderson</w:t>
            </w:r>
          </w:p>
        </w:tc>
        <w:tc>
          <w:tcPr>
            <w:tcW w:w="4020" w:type="dxa"/>
            <w:vAlign w:val="bottom"/>
          </w:tcPr>
          <w:p>
            <w:pPr>
              <w:ind w:left="860"/>
              <w:spacing w:after="0"/>
              <w:rPr>
                <w:sz w:val="20"/>
                <w:szCs w:val="20"/>
                <w:color w:val="auto"/>
              </w:rPr>
            </w:pPr>
            <w:r>
              <w:rPr>
                <w:rFonts w:ascii="Courier New" w:cs="Courier New" w:eastAsia="Courier New" w:hAnsi="Courier New"/>
                <w:sz w:val="15"/>
                <w:szCs w:val="15"/>
                <w:color w:val="auto"/>
              </w:rPr>
              <w:t>March 8, 2001</w:t>
            </w: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4020" w:type="dxa"/>
            <w:vAlign w:val="bottom"/>
          </w:tcPr>
          <w:p>
            <w:pPr>
              <w:spacing w:after="0"/>
              <w:rPr>
                <w:sz w:val="14"/>
                <w:szCs w:val="14"/>
                <w:color w:val="auto"/>
              </w:rPr>
            </w:pPr>
          </w:p>
        </w:tc>
      </w:tr>
      <w:tr>
        <w:trPr>
          <w:trHeight w:val="168"/>
        </w:trPr>
        <w:tc>
          <w:tcPr>
            <w:tcW w:w="4740" w:type="dxa"/>
            <w:vAlign w:val="bottom"/>
          </w:tcPr>
          <w:p>
            <w:pPr>
              <w:spacing w:after="0" w:line="168" w:lineRule="exact"/>
              <w:rPr>
                <w:sz w:val="20"/>
                <w:szCs w:val="20"/>
                <w:color w:val="auto"/>
              </w:rPr>
            </w:pPr>
            <w:r>
              <w:rPr>
                <w:rFonts w:ascii="Courier New" w:cs="Courier New" w:eastAsia="Courier New" w:hAnsi="Courier New"/>
                <w:sz w:val="15"/>
                <w:szCs w:val="15"/>
                <w:color w:val="auto"/>
              </w:rPr>
              <w:t>*By James L. Gunderson   Attorney-in-Fact</w:t>
            </w:r>
          </w:p>
        </w:tc>
        <w:tc>
          <w:tcPr>
            <w:tcW w:w="4020" w:type="dxa"/>
            <w:vAlign w:val="bottom"/>
          </w:tcPr>
          <w:p>
            <w:pPr>
              <w:spacing w:after="0"/>
              <w:rPr>
                <w:sz w:val="14"/>
                <w:szCs w:val="14"/>
                <w:color w:val="auto"/>
              </w:rPr>
            </w:pPr>
          </w:p>
        </w:tc>
      </w:tr>
      <w:tr>
        <w:trPr>
          <w:trHeight w:val="505"/>
        </w:trPr>
        <w:tc>
          <w:tcPr>
            <w:tcW w:w="4740" w:type="dxa"/>
            <w:vAlign w:val="bottom"/>
          </w:tcPr>
          <w:p>
            <w:pPr>
              <w:ind w:left="3420"/>
              <w:spacing w:after="0"/>
              <w:rPr>
                <w:sz w:val="20"/>
                <w:szCs w:val="20"/>
                <w:color w:val="auto"/>
              </w:rPr>
            </w:pPr>
            <w:r>
              <w:rPr>
                <w:rFonts w:ascii="Courier New" w:cs="Courier New" w:eastAsia="Courier New" w:hAnsi="Courier New"/>
                <w:sz w:val="15"/>
                <w:szCs w:val="15"/>
                <w:color w:val="auto"/>
              </w:rPr>
              <w:t>61</w:t>
            </w:r>
          </w:p>
        </w:tc>
        <w:tc>
          <w:tcPr>
            <w:tcW w:w="402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340" w:type="dxa"/>
            <w:vAlign w:val="bottom"/>
          </w:tcPr>
          <w:p>
            <w:pPr>
              <w:ind w:left="2800"/>
              <w:spacing w:after="0"/>
              <w:rPr>
                <w:sz w:val="20"/>
                <w:szCs w:val="20"/>
                <w:color w:val="auto"/>
              </w:rPr>
            </w:pPr>
            <w:r>
              <w:rPr>
                <w:rFonts w:ascii="Courier New" w:cs="Courier New" w:eastAsia="Courier New" w:hAnsi="Courier New"/>
                <w:sz w:val="15"/>
                <w:szCs w:val="15"/>
                <w:color w:val="auto"/>
              </w:rPr>
              <w:t>INDEX TO EXHIBITS</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673"/>
        </w:trPr>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Exhibit</w:t>
            </w:r>
          </w:p>
        </w:tc>
        <w:tc>
          <w:tcPr>
            <w:tcW w:w="780" w:type="dxa"/>
            <w:vAlign w:val="bottom"/>
          </w:tcPr>
          <w:p>
            <w:pPr>
              <w:ind w:left="440"/>
              <w:spacing w:after="0"/>
              <w:rPr>
                <w:sz w:val="20"/>
                <w:szCs w:val="20"/>
                <w:color w:val="auto"/>
              </w:rPr>
            </w:pPr>
            <w:r>
              <w:rPr>
                <w:rFonts w:ascii="Courier New" w:cs="Courier New" w:eastAsia="Courier New" w:hAnsi="Courier New"/>
                <w:sz w:val="15"/>
                <w:szCs w:val="15"/>
                <w:color w:val="auto"/>
                <w:w w:val="88"/>
              </w:rPr>
              <w:t>Page</w:t>
            </w:r>
          </w:p>
        </w:tc>
      </w:tr>
      <w:tr>
        <w:trPr>
          <w:trHeight w:val="336"/>
        </w:trPr>
        <w:tc>
          <w:tcPr>
            <w:tcW w:w="7920" w:type="dxa"/>
            <w:vAlign w:val="bottom"/>
            <w:gridSpan w:val="3"/>
          </w:tcPr>
          <w:p>
            <w:pPr>
              <w:spacing w:after="0"/>
              <w:rPr>
                <w:sz w:val="20"/>
                <w:szCs w:val="20"/>
                <w:color w:val="auto"/>
              </w:rPr>
            </w:pPr>
            <w:r>
              <w:rPr>
                <w:rFonts w:ascii="Courier New" w:cs="Courier New" w:eastAsia="Courier New" w:hAnsi="Courier New"/>
                <w:sz w:val="15"/>
                <w:szCs w:val="15"/>
                <w:color w:val="auto"/>
              </w:rPr>
              <w:t>Deed of Incorporation as last amended on April 28, 1997 incorporated by reference to</w:t>
            </w:r>
          </w:p>
        </w:tc>
        <w:tc>
          <w:tcPr>
            <w:tcW w:w="13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88"/>
              </w:rPr>
              <w:t>3</w:t>
            </w:r>
          </w:p>
        </w:tc>
        <w:tc>
          <w:tcPr>
            <w:tcW w:w="78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r>
      <w:tr>
        <w:trPr>
          <w:trHeight w:val="168"/>
        </w:trPr>
        <w:tc>
          <w:tcPr>
            <w:tcW w:w="7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Form 10-Q for the period ended March 31, 1997</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7920" w:type="dxa"/>
            <w:vAlign w:val="bottom"/>
            <w:gridSpan w:val="3"/>
          </w:tcPr>
          <w:p>
            <w:pPr>
              <w:spacing w:after="0"/>
              <w:rPr>
                <w:sz w:val="20"/>
                <w:szCs w:val="20"/>
                <w:color w:val="auto"/>
              </w:rPr>
            </w:pPr>
            <w:r>
              <w:rPr>
                <w:rFonts w:ascii="Courier New" w:cs="Courier New" w:eastAsia="Courier New" w:hAnsi="Courier New"/>
                <w:sz w:val="15"/>
                <w:szCs w:val="15"/>
                <w:color w:val="auto"/>
              </w:rPr>
              <w:t>By-Laws as last amended on October 20, 1993, incorporated by reference to Exhibit 3 to</w:t>
            </w:r>
          </w:p>
        </w:tc>
        <w:tc>
          <w:tcPr>
            <w:tcW w:w="13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88"/>
              </w:rPr>
              <w:t>3</w:t>
            </w:r>
          </w:p>
        </w:tc>
        <w:tc>
          <w:tcPr>
            <w:tcW w:w="78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r>
      <w:tr>
        <w:trPr>
          <w:trHeight w:val="168"/>
        </w:trPr>
        <w:tc>
          <w:tcPr>
            <w:tcW w:w="1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Form 10-K for 1993</w:t>
            </w:r>
          </w:p>
        </w:tc>
        <w:tc>
          <w:tcPr>
            <w:tcW w:w="6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1994</w:t>
            </w:r>
          </w:p>
        </w:tc>
        <w:tc>
          <w:tcPr>
            <w:tcW w:w="6340" w:type="dxa"/>
            <w:vAlign w:val="bottom"/>
          </w:tcPr>
          <w:p>
            <w:pPr>
              <w:spacing w:after="0"/>
              <w:rPr>
                <w:sz w:val="20"/>
                <w:szCs w:val="20"/>
                <w:color w:val="auto"/>
              </w:rPr>
            </w:pPr>
            <w:r>
              <w:rPr>
                <w:rFonts w:ascii="Courier New" w:cs="Courier New" w:eastAsia="Courier New" w:hAnsi="Courier New"/>
                <w:sz w:val="15"/>
                <w:szCs w:val="15"/>
                <w:color w:val="auto"/>
              </w:rPr>
              <w:t>Stock Option Plan, as amended on January 5, 1995, incorporated by</w:t>
            </w:r>
          </w:p>
        </w:tc>
        <w:tc>
          <w:tcPr>
            <w:tcW w:w="13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10(a)</w:t>
            </w:r>
          </w:p>
        </w:tc>
        <w:tc>
          <w:tcPr>
            <w:tcW w:w="78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reference to</w:t>
            </w:r>
          </w:p>
        </w:tc>
        <w:tc>
          <w:tcPr>
            <w:tcW w:w="68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Exhibit 10(a) to Form 10-K for year 1998.</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1994</w:t>
            </w:r>
          </w:p>
        </w:tc>
        <w:tc>
          <w:tcPr>
            <w:tcW w:w="6340" w:type="dxa"/>
            <w:vAlign w:val="bottom"/>
          </w:tcPr>
          <w:p>
            <w:pPr>
              <w:spacing w:after="0"/>
              <w:rPr>
                <w:sz w:val="20"/>
                <w:szCs w:val="20"/>
                <w:color w:val="auto"/>
              </w:rPr>
            </w:pPr>
            <w:r>
              <w:rPr>
                <w:rFonts w:ascii="Courier New" w:cs="Courier New" w:eastAsia="Courier New" w:hAnsi="Courier New"/>
                <w:sz w:val="15"/>
                <w:szCs w:val="15"/>
                <w:color w:val="auto"/>
              </w:rPr>
              <w:t>Stock Option Plan - Second Amendment, incoporated by reference</w:t>
            </w:r>
          </w:p>
        </w:tc>
        <w:tc>
          <w:tcPr>
            <w:tcW w:w="13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10(b)</w:t>
            </w:r>
          </w:p>
        </w:tc>
        <w:tc>
          <w:tcPr>
            <w:tcW w:w="78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r>
      <w:tr>
        <w:trPr>
          <w:trHeight w:val="168"/>
        </w:trPr>
        <w:tc>
          <w:tcPr>
            <w:tcW w:w="7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to Exhibit 10(b) to Form 10-K for year 1999.</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1994</w:t>
            </w:r>
          </w:p>
        </w:tc>
        <w:tc>
          <w:tcPr>
            <w:tcW w:w="6340" w:type="dxa"/>
            <w:vAlign w:val="bottom"/>
          </w:tcPr>
          <w:p>
            <w:pPr>
              <w:spacing w:after="0"/>
              <w:rPr>
                <w:sz w:val="20"/>
                <w:szCs w:val="20"/>
                <w:color w:val="auto"/>
              </w:rPr>
            </w:pPr>
            <w:r>
              <w:rPr>
                <w:rFonts w:ascii="Courier New" w:cs="Courier New" w:eastAsia="Courier New" w:hAnsi="Courier New"/>
                <w:sz w:val="15"/>
                <w:szCs w:val="15"/>
                <w:color w:val="auto"/>
              </w:rPr>
              <w:t>Stock Option Plan - Third Amendment, incoporated by reference</w:t>
            </w:r>
          </w:p>
        </w:tc>
        <w:tc>
          <w:tcPr>
            <w:tcW w:w="13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10(c)</w:t>
            </w:r>
          </w:p>
        </w:tc>
        <w:tc>
          <w:tcPr>
            <w:tcW w:w="78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r>
      <w:tr>
        <w:trPr>
          <w:trHeight w:val="168"/>
        </w:trPr>
        <w:tc>
          <w:tcPr>
            <w:tcW w:w="7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to Exhibit 10(c) to Form 10-K for year 1999.</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6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Limited Supplementary Benefit Plan, as amended, on January 1, 1995,</w:t>
            </w:r>
          </w:p>
        </w:tc>
        <w:tc>
          <w:tcPr>
            <w:tcW w:w="13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10(d)</w:t>
            </w:r>
          </w:p>
        </w:tc>
        <w:tc>
          <w:tcPr>
            <w:tcW w:w="78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incorporated</w:t>
            </w:r>
          </w:p>
        </w:tc>
        <w:tc>
          <w:tcPr>
            <w:tcW w:w="68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by reference to Exhibit 10(b) to Form 10K for 1996</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1989</w:t>
            </w:r>
          </w:p>
        </w:tc>
        <w:tc>
          <w:tcPr>
            <w:tcW w:w="6340" w:type="dxa"/>
            <w:vAlign w:val="bottom"/>
          </w:tcPr>
          <w:p>
            <w:pPr>
              <w:spacing w:after="0"/>
              <w:rPr>
                <w:sz w:val="20"/>
                <w:szCs w:val="20"/>
                <w:color w:val="auto"/>
              </w:rPr>
            </w:pPr>
            <w:r>
              <w:rPr>
                <w:rFonts w:ascii="Courier New" w:cs="Courier New" w:eastAsia="Courier New" w:hAnsi="Courier New"/>
                <w:sz w:val="15"/>
                <w:szCs w:val="15"/>
                <w:color w:val="auto"/>
              </w:rPr>
              <w:t>Stock Incentive Plan, as amended, incorporated by reference to</w:t>
            </w:r>
          </w:p>
        </w:tc>
        <w:tc>
          <w:tcPr>
            <w:tcW w:w="13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10(e)</w:t>
            </w:r>
          </w:p>
        </w:tc>
        <w:tc>
          <w:tcPr>
            <w:tcW w:w="78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r>
      <w:tr>
        <w:trPr>
          <w:trHeight w:val="168"/>
        </w:trPr>
        <w:tc>
          <w:tcPr>
            <w:tcW w:w="7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Exhibit 10(c) to Form 10-K for year 1999.</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1989</w:t>
            </w:r>
          </w:p>
        </w:tc>
        <w:tc>
          <w:tcPr>
            <w:tcW w:w="6340" w:type="dxa"/>
            <w:vAlign w:val="bottom"/>
          </w:tcPr>
          <w:p>
            <w:pPr>
              <w:spacing w:after="0"/>
              <w:rPr>
                <w:sz w:val="20"/>
                <w:szCs w:val="20"/>
                <w:color w:val="auto"/>
              </w:rPr>
            </w:pPr>
            <w:r>
              <w:rPr>
                <w:rFonts w:ascii="Courier New" w:cs="Courier New" w:eastAsia="Courier New" w:hAnsi="Courier New"/>
                <w:sz w:val="15"/>
                <w:szCs w:val="15"/>
                <w:color w:val="auto"/>
              </w:rPr>
              <w:t>Stock Incentive Plan - Third Amendment, incorporated by reference to</w:t>
            </w:r>
          </w:p>
        </w:tc>
        <w:tc>
          <w:tcPr>
            <w:tcW w:w="13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10(f)</w:t>
            </w:r>
          </w:p>
        </w:tc>
        <w:tc>
          <w:tcPr>
            <w:tcW w:w="78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r>
      <w:tr>
        <w:trPr>
          <w:trHeight w:val="168"/>
        </w:trPr>
        <w:tc>
          <w:tcPr>
            <w:tcW w:w="7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Exhibit 10(d) to Form 10-K for year 1995</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682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Restoration Savings Plan, incorporated by reference to Exhibit 10(f) to</w:t>
            </w:r>
          </w:p>
        </w:tc>
        <w:tc>
          <w:tcPr>
            <w:tcW w:w="13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10(g)</w:t>
            </w:r>
          </w:p>
        </w:tc>
        <w:tc>
          <w:tcPr>
            <w:tcW w:w="78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r>
      <w:tr>
        <w:trPr>
          <w:trHeight w:val="168"/>
        </w:trPr>
        <w:tc>
          <w:tcPr>
            <w:tcW w:w="7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Form 10-K for year 1995</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6340" w:type="dxa"/>
            <w:vAlign w:val="bottom"/>
          </w:tcPr>
          <w:p>
            <w:pPr>
              <w:spacing w:after="0"/>
              <w:rPr>
                <w:sz w:val="20"/>
                <w:szCs w:val="20"/>
                <w:color w:val="auto"/>
              </w:rPr>
            </w:pPr>
            <w:r>
              <w:rPr>
                <w:rFonts w:ascii="Courier New" w:cs="Courier New" w:eastAsia="Courier New" w:hAnsi="Courier New"/>
                <w:sz w:val="15"/>
                <w:szCs w:val="15"/>
                <w:color w:val="auto"/>
              </w:rPr>
              <w:t>Stock Option Plan, incorporated by reference to Exhibit 10(g) to Form</w:t>
            </w:r>
          </w:p>
        </w:tc>
        <w:tc>
          <w:tcPr>
            <w:tcW w:w="13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10(h)</w:t>
            </w:r>
          </w:p>
        </w:tc>
        <w:tc>
          <w:tcPr>
            <w:tcW w:w="78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r>
      <w:tr>
        <w:trPr>
          <w:trHeight w:val="168"/>
        </w:trPr>
        <w:tc>
          <w:tcPr>
            <w:tcW w:w="15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6"/>
              </w:rPr>
              <w:t>10-K for year 1997</w:t>
            </w:r>
          </w:p>
        </w:tc>
        <w:tc>
          <w:tcPr>
            <w:tcW w:w="63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Schlumberger</w:t>
            </w:r>
          </w:p>
        </w:tc>
        <w:tc>
          <w:tcPr>
            <w:tcW w:w="480" w:type="dxa"/>
            <w:vAlign w:val="bottom"/>
          </w:tcPr>
          <w:p>
            <w:pPr>
              <w:ind w:left="40"/>
              <w:spacing w:after="0"/>
              <w:rPr>
                <w:sz w:val="20"/>
                <w:szCs w:val="20"/>
                <w:color w:val="auto"/>
              </w:rPr>
            </w:pPr>
            <w:r>
              <w:rPr>
                <w:rFonts w:ascii="Courier New" w:cs="Courier New" w:eastAsia="Courier New" w:hAnsi="Courier New"/>
                <w:sz w:val="15"/>
                <w:szCs w:val="15"/>
                <w:color w:val="auto"/>
              </w:rPr>
              <w:t>1998</w:t>
            </w:r>
          </w:p>
        </w:tc>
        <w:tc>
          <w:tcPr>
            <w:tcW w:w="6340" w:type="dxa"/>
            <w:vAlign w:val="bottom"/>
          </w:tcPr>
          <w:p>
            <w:pPr>
              <w:spacing w:after="0"/>
              <w:rPr>
                <w:sz w:val="20"/>
                <w:szCs w:val="20"/>
                <w:color w:val="auto"/>
              </w:rPr>
            </w:pPr>
            <w:r>
              <w:rPr>
                <w:rFonts w:ascii="Courier New" w:cs="Courier New" w:eastAsia="Courier New" w:hAnsi="Courier New"/>
                <w:sz w:val="15"/>
                <w:szCs w:val="15"/>
                <w:color w:val="auto"/>
              </w:rPr>
              <w:t>Stock Option Plan - First Amendment , incorporated by reference to</w:t>
            </w:r>
          </w:p>
        </w:tc>
        <w:tc>
          <w:tcPr>
            <w:tcW w:w="13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10(i)</w:t>
            </w:r>
          </w:p>
        </w:tc>
        <w:tc>
          <w:tcPr>
            <w:tcW w:w="78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reference to</w:t>
            </w:r>
          </w:p>
        </w:tc>
        <w:tc>
          <w:tcPr>
            <w:tcW w:w="68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Exhibit 10(i) to Form 10-K for year 1999.</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7920" w:type="dxa"/>
            <w:vAlign w:val="bottom"/>
            <w:gridSpan w:val="3"/>
          </w:tcPr>
          <w:p>
            <w:pPr>
              <w:spacing w:after="0"/>
              <w:rPr>
                <w:sz w:val="20"/>
                <w:szCs w:val="20"/>
                <w:color w:val="auto"/>
              </w:rPr>
            </w:pPr>
            <w:r>
              <w:rPr>
                <w:rFonts w:ascii="Courier New" w:cs="Courier New" w:eastAsia="Courier New" w:hAnsi="Courier New"/>
                <w:sz w:val="15"/>
                <w:szCs w:val="15"/>
                <w:color w:val="auto"/>
              </w:rPr>
              <w:t>1997 Long-Term Incentive Plan of Camco International Inc.;</w:t>
            </w:r>
          </w:p>
        </w:tc>
        <w:tc>
          <w:tcPr>
            <w:tcW w:w="1360" w:type="dxa"/>
            <w:vAlign w:val="bottom"/>
          </w:tcPr>
          <w:p>
            <w:pPr>
              <w:jc w:val="center"/>
              <w:ind w:right="47"/>
              <w:spacing w:after="0"/>
              <w:rPr>
                <w:sz w:val="20"/>
                <w:szCs w:val="20"/>
                <w:color w:val="auto"/>
              </w:rPr>
            </w:pPr>
            <w:r>
              <w:rPr>
                <w:rFonts w:ascii="Courier New" w:cs="Courier New" w:eastAsia="Courier New" w:hAnsi="Courier New"/>
                <w:sz w:val="15"/>
                <w:szCs w:val="15"/>
                <w:color w:val="auto"/>
                <w:w w:val="97"/>
              </w:rPr>
              <w:t>10(j)</w:t>
            </w:r>
          </w:p>
        </w:tc>
        <w:tc>
          <w:tcPr>
            <w:tcW w:w="78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r>
      <w:tr>
        <w:trPr>
          <w:trHeight w:val="168"/>
        </w:trPr>
        <w:tc>
          <w:tcPr>
            <w:tcW w:w="7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Long-Term Incentive Plan of Camco International Inc.;</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Production Operators Corp. 1992 Long-Term Incentive Plan;</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Camco 1996 Savings Related Share Option Scheme;</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Camco International Inc. Amended and Restated Stock Option Plan for Nonemployee</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79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Directors; incorporated by reference to Exhibit 10 to Form S-8 of August 31, 1998</w:t>
            </w:r>
          </w:p>
        </w:tc>
        <w:tc>
          <w:tcPr>
            <w:tcW w:w="13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Subsidiaries</w:t>
            </w:r>
          </w:p>
        </w:tc>
        <w:tc>
          <w:tcPr>
            <w:tcW w:w="4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13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21</w:t>
            </w:r>
          </w:p>
        </w:tc>
        <w:tc>
          <w:tcPr>
            <w:tcW w:w="780" w:type="dxa"/>
            <w:vAlign w:val="bottom"/>
          </w:tcPr>
          <w:p>
            <w:pPr>
              <w:ind w:left="520"/>
              <w:spacing w:after="0"/>
              <w:rPr>
                <w:sz w:val="20"/>
                <w:szCs w:val="20"/>
                <w:color w:val="auto"/>
              </w:rPr>
            </w:pPr>
            <w:r>
              <w:rPr>
                <w:rFonts w:ascii="Courier New" w:cs="Courier New" w:eastAsia="Courier New" w:hAnsi="Courier New"/>
                <w:sz w:val="15"/>
                <w:szCs w:val="15"/>
                <w:color w:val="auto"/>
              </w:rPr>
              <w:t>64</w:t>
            </w:r>
          </w:p>
        </w:tc>
      </w:tr>
      <w:tr>
        <w:trPr>
          <w:trHeight w:val="505"/>
        </w:trPr>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340" w:type="dxa"/>
            <w:vAlign w:val="bottom"/>
          </w:tcPr>
          <w:p>
            <w:pPr>
              <w:ind w:left="1760"/>
              <w:spacing w:after="0"/>
              <w:rPr>
                <w:sz w:val="20"/>
                <w:szCs w:val="20"/>
                <w:color w:val="auto"/>
              </w:rPr>
            </w:pPr>
            <w:r>
              <w:rPr>
                <w:rFonts w:ascii="Courier New" w:cs="Courier New" w:eastAsia="Courier New" w:hAnsi="Courier New"/>
                <w:sz w:val="15"/>
                <w:szCs w:val="15"/>
                <w:color w:val="auto"/>
              </w:rPr>
              <w:t>62</w:t>
            </w:r>
          </w:p>
        </w:tc>
        <w:tc>
          <w:tcPr>
            <w:tcW w:w="13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617" w:right="1440"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520" w:type="dxa"/>
            <w:vAlign w:val="bottom"/>
          </w:tcPr>
          <w:p>
            <w:pPr>
              <w:ind w:left="2720"/>
              <w:spacing w:after="0"/>
              <w:rPr>
                <w:sz w:val="20"/>
                <w:szCs w:val="20"/>
                <w:color w:val="auto"/>
              </w:rPr>
            </w:pPr>
            <w:r>
              <w:rPr>
                <w:rFonts w:ascii="Courier New" w:cs="Courier New" w:eastAsia="Courier New" w:hAnsi="Courier New"/>
                <w:sz w:val="15"/>
                <w:szCs w:val="15"/>
                <w:color w:val="auto"/>
              </w:rPr>
              <w:t>INDEX TO EXHIBITS</w:t>
            </w:r>
          </w:p>
        </w:tc>
        <w:tc>
          <w:tcPr>
            <w:tcW w:w="27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841"/>
        </w:trPr>
        <w:tc>
          <w:tcPr>
            <w:tcW w:w="45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2060" w:type="dxa"/>
            <w:vAlign w:val="bottom"/>
          </w:tcPr>
          <w:p>
            <w:pPr>
              <w:ind w:left="1020"/>
              <w:spacing w:after="0"/>
              <w:rPr>
                <w:sz w:val="20"/>
                <w:szCs w:val="20"/>
                <w:color w:val="auto"/>
              </w:rPr>
            </w:pPr>
            <w:r>
              <w:rPr>
                <w:rFonts w:ascii="Courier New" w:cs="Courier New" w:eastAsia="Courier New" w:hAnsi="Courier New"/>
                <w:sz w:val="15"/>
                <w:szCs w:val="15"/>
                <w:color w:val="auto"/>
              </w:rPr>
              <w:t>Exhibit</w:t>
            </w:r>
          </w:p>
        </w:tc>
        <w:tc>
          <w:tcPr>
            <w:tcW w:w="7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4"/>
              </w:rPr>
              <w:t>Page</w:t>
            </w:r>
          </w:p>
        </w:tc>
        <w:tc>
          <w:tcPr>
            <w:tcW w:w="360" w:type="dxa"/>
            <w:vAlign w:val="bottom"/>
          </w:tcPr>
          <w:p>
            <w:pPr>
              <w:spacing w:after="0"/>
              <w:rPr>
                <w:sz w:val="24"/>
                <w:szCs w:val="24"/>
                <w:color w:val="auto"/>
              </w:rPr>
            </w:pP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Consent of Independent Accountants</w:t>
            </w:r>
          </w:p>
        </w:tc>
        <w:tc>
          <w:tcPr>
            <w:tcW w:w="2700" w:type="dxa"/>
            <w:vAlign w:val="bottom"/>
          </w:tcPr>
          <w:p>
            <w:pPr>
              <w:spacing w:after="0"/>
              <w:rPr>
                <w:sz w:val="24"/>
                <w:szCs w:val="24"/>
                <w:color w:val="auto"/>
              </w:rPr>
            </w:pPr>
          </w:p>
        </w:tc>
        <w:tc>
          <w:tcPr>
            <w:tcW w:w="2060" w:type="dxa"/>
            <w:vAlign w:val="bottom"/>
          </w:tcPr>
          <w:p>
            <w:pPr>
              <w:ind w:left="1100"/>
              <w:spacing w:after="0"/>
              <w:rPr>
                <w:sz w:val="20"/>
                <w:szCs w:val="20"/>
                <w:color w:val="auto"/>
              </w:rPr>
            </w:pPr>
            <w:r>
              <w:rPr>
                <w:rFonts w:ascii="Courier New" w:cs="Courier New" w:eastAsia="Courier New" w:hAnsi="Courier New"/>
                <w:sz w:val="15"/>
                <w:szCs w:val="15"/>
                <w:color w:val="auto"/>
              </w:rPr>
              <w:t>23</w:t>
            </w:r>
          </w:p>
        </w:tc>
        <w:tc>
          <w:tcPr>
            <w:tcW w:w="7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9"/>
              </w:rPr>
              <w:t>65</w:t>
            </w:r>
          </w:p>
        </w:tc>
        <w:tc>
          <w:tcPr>
            <w:tcW w:w="360" w:type="dxa"/>
            <w:vAlign w:val="bottom"/>
          </w:tcPr>
          <w:p>
            <w:pPr>
              <w:spacing w:after="0"/>
              <w:rPr>
                <w:sz w:val="24"/>
                <w:szCs w:val="24"/>
                <w:color w:val="auto"/>
              </w:rPr>
            </w:pP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Powers of Attorney</w:t>
            </w:r>
          </w:p>
        </w:tc>
        <w:tc>
          <w:tcPr>
            <w:tcW w:w="2700" w:type="dxa"/>
            <w:vAlign w:val="bottom"/>
          </w:tcPr>
          <w:p>
            <w:pPr>
              <w:ind w:left="300"/>
              <w:spacing w:after="0"/>
              <w:rPr>
                <w:sz w:val="20"/>
                <w:szCs w:val="20"/>
                <w:color w:val="auto"/>
              </w:rPr>
            </w:pPr>
            <w:r>
              <w:rPr>
                <w:rFonts w:ascii="Courier New" w:cs="Courier New" w:eastAsia="Courier New" w:hAnsi="Courier New"/>
                <w:sz w:val="15"/>
                <w:szCs w:val="15"/>
                <w:color w:val="auto"/>
              </w:rPr>
              <w:t>dated:</w:t>
            </w:r>
          </w:p>
        </w:tc>
        <w:tc>
          <w:tcPr>
            <w:tcW w:w="2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168"/>
        </w:trPr>
        <w:tc>
          <w:tcPr>
            <w:tcW w:w="45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Don E. Ackerman</w:t>
            </w:r>
          </w:p>
        </w:tc>
        <w:tc>
          <w:tcPr>
            <w:tcW w:w="2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January 12, 2001</w:t>
            </w:r>
          </w:p>
        </w:tc>
        <w:tc>
          <w:tcPr>
            <w:tcW w:w="206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24(a)</w:t>
            </w:r>
          </w:p>
        </w:tc>
        <w:tc>
          <w:tcPr>
            <w:tcW w:w="78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9"/>
              </w:rPr>
              <w:t>66</w:t>
            </w:r>
          </w:p>
        </w:tc>
        <w:tc>
          <w:tcPr>
            <w:tcW w:w="360" w:type="dxa"/>
            <w:vAlign w:val="bottom"/>
          </w:tcPr>
          <w:p>
            <w:pPr>
              <w:spacing w:after="0"/>
              <w:rPr>
                <w:sz w:val="14"/>
                <w:szCs w:val="14"/>
                <w:color w:val="auto"/>
              </w:rPr>
            </w:pPr>
          </w:p>
        </w:tc>
      </w:tr>
      <w:tr>
        <w:trPr>
          <w:trHeight w:val="168"/>
        </w:trPr>
        <w:tc>
          <w:tcPr>
            <w:tcW w:w="45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 Euan Baird</w:t>
            </w:r>
          </w:p>
        </w:tc>
        <w:tc>
          <w:tcPr>
            <w:tcW w:w="2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January 12, 2001</w:t>
            </w:r>
          </w:p>
        </w:tc>
        <w:tc>
          <w:tcPr>
            <w:tcW w:w="206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24(b)</w:t>
            </w:r>
          </w:p>
        </w:tc>
        <w:tc>
          <w:tcPr>
            <w:tcW w:w="78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9"/>
              </w:rPr>
              <w:t>67</w:t>
            </w:r>
          </w:p>
        </w:tc>
        <w:tc>
          <w:tcPr>
            <w:tcW w:w="360" w:type="dxa"/>
            <w:vAlign w:val="bottom"/>
          </w:tcPr>
          <w:p>
            <w:pPr>
              <w:spacing w:after="0"/>
              <w:rPr>
                <w:sz w:val="14"/>
                <w:szCs w:val="14"/>
                <w:color w:val="auto"/>
              </w:rPr>
            </w:pPr>
          </w:p>
        </w:tc>
      </w:tr>
      <w:tr>
        <w:trPr>
          <w:trHeight w:val="168"/>
        </w:trPr>
        <w:tc>
          <w:tcPr>
            <w:tcW w:w="45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John Deutch</w:t>
            </w:r>
          </w:p>
        </w:tc>
        <w:tc>
          <w:tcPr>
            <w:tcW w:w="2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January 12, 2001</w:t>
            </w:r>
          </w:p>
        </w:tc>
        <w:tc>
          <w:tcPr>
            <w:tcW w:w="206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24(c)</w:t>
            </w:r>
          </w:p>
        </w:tc>
        <w:tc>
          <w:tcPr>
            <w:tcW w:w="78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9"/>
              </w:rPr>
              <w:t>68</w:t>
            </w:r>
          </w:p>
        </w:tc>
        <w:tc>
          <w:tcPr>
            <w:tcW w:w="360" w:type="dxa"/>
            <w:vAlign w:val="bottom"/>
          </w:tcPr>
          <w:p>
            <w:pPr>
              <w:spacing w:after="0"/>
              <w:rPr>
                <w:sz w:val="14"/>
                <w:szCs w:val="14"/>
                <w:color w:val="auto"/>
              </w:rPr>
            </w:pPr>
          </w:p>
        </w:tc>
      </w:tr>
      <w:tr>
        <w:trPr>
          <w:trHeight w:val="168"/>
        </w:trPr>
        <w:tc>
          <w:tcPr>
            <w:tcW w:w="45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Victor E Grijalva</w:t>
            </w:r>
          </w:p>
        </w:tc>
        <w:tc>
          <w:tcPr>
            <w:tcW w:w="2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January 12, 2001</w:t>
            </w:r>
          </w:p>
        </w:tc>
        <w:tc>
          <w:tcPr>
            <w:tcW w:w="206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24(d)</w:t>
            </w:r>
          </w:p>
        </w:tc>
        <w:tc>
          <w:tcPr>
            <w:tcW w:w="78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9"/>
              </w:rPr>
              <w:t>69</w:t>
            </w:r>
          </w:p>
        </w:tc>
        <w:tc>
          <w:tcPr>
            <w:tcW w:w="360" w:type="dxa"/>
            <w:vAlign w:val="bottom"/>
          </w:tcPr>
          <w:p>
            <w:pPr>
              <w:spacing w:after="0"/>
              <w:rPr>
                <w:sz w:val="14"/>
                <w:szCs w:val="14"/>
                <w:color w:val="auto"/>
              </w:rPr>
            </w:pPr>
          </w:p>
        </w:tc>
      </w:tr>
      <w:tr>
        <w:trPr>
          <w:trHeight w:val="168"/>
        </w:trPr>
        <w:tc>
          <w:tcPr>
            <w:tcW w:w="45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Denys Henderson</w:t>
            </w:r>
          </w:p>
        </w:tc>
        <w:tc>
          <w:tcPr>
            <w:tcW w:w="2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January 16, 2001</w:t>
            </w:r>
          </w:p>
        </w:tc>
        <w:tc>
          <w:tcPr>
            <w:tcW w:w="206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24(e)</w:t>
            </w:r>
          </w:p>
        </w:tc>
        <w:tc>
          <w:tcPr>
            <w:tcW w:w="78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9"/>
              </w:rPr>
              <w:t>70</w:t>
            </w:r>
          </w:p>
        </w:tc>
        <w:tc>
          <w:tcPr>
            <w:tcW w:w="360" w:type="dxa"/>
            <w:vAlign w:val="bottom"/>
          </w:tcPr>
          <w:p>
            <w:pPr>
              <w:spacing w:after="0"/>
              <w:rPr>
                <w:sz w:val="14"/>
                <w:szCs w:val="14"/>
                <w:color w:val="auto"/>
              </w:rPr>
            </w:pPr>
          </w:p>
        </w:tc>
      </w:tr>
      <w:tr>
        <w:trPr>
          <w:trHeight w:val="168"/>
        </w:trPr>
        <w:tc>
          <w:tcPr>
            <w:tcW w:w="45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Andre Levy-Lang</w:t>
            </w:r>
          </w:p>
        </w:tc>
        <w:tc>
          <w:tcPr>
            <w:tcW w:w="2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January 15, 2001</w:t>
            </w:r>
          </w:p>
        </w:tc>
        <w:tc>
          <w:tcPr>
            <w:tcW w:w="206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24(f)</w:t>
            </w:r>
          </w:p>
        </w:tc>
        <w:tc>
          <w:tcPr>
            <w:tcW w:w="78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9"/>
              </w:rPr>
              <w:t>71</w:t>
            </w:r>
          </w:p>
        </w:tc>
        <w:tc>
          <w:tcPr>
            <w:tcW w:w="360" w:type="dxa"/>
            <w:vAlign w:val="bottom"/>
          </w:tcPr>
          <w:p>
            <w:pPr>
              <w:spacing w:after="0"/>
              <w:rPr>
                <w:sz w:val="14"/>
                <w:szCs w:val="14"/>
                <w:color w:val="auto"/>
              </w:rPr>
            </w:pPr>
          </w:p>
        </w:tc>
      </w:tr>
      <w:tr>
        <w:trPr>
          <w:trHeight w:val="168"/>
        </w:trPr>
        <w:tc>
          <w:tcPr>
            <w:tcW w:w="45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William T. McCormick, Jr.</w:t>
            </w:r>
          </w:p>
        </w:tc>
        <w:tc>
          <w:tcPr>
            <w:tcW w:w="2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January 12, 2001</w:t>
            </w:r>
          </w:p>
        </w:tc>
        <w:tc>
          <w:tcPr>
            <w:tcW w:w="206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24(g)</w:t>
            </w:r>
          </w:p>
        </w:tc>
        <w:tc>
          <w:tcPr>
            <w:tcW w:w="78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9"/>
              </w:rPr>
              <w:t>72</w:t>
            </w:r>
          </w:p>
        </w:tc>
        <w:tc>
          <w:tcPr>
            <w:tcW w:w="360" w:type="dxa"/>
            <w:vAlign w:val="bottom"/>
          </w:tcPr>
          <w:p>
            <w:pPr>
              <w:spacing w:after="0"/>
              <w:rPr>
                <w:sz w:val="14"/>
                <w:szCs w:val="14"/>
                <w:color w:val="auto"/>
              </w:rPr>
            </w:pPr>
          </w:p>
        </w:tc>
      </w:tr>
      <w:tr>
        <w:trPr>
          <w:trHeight w:val="168"/>
        </w:trPr>
        <w:tc>
          <w:tcPr>
            <w:tcW w:w="45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Didier Primat</w:t>
            </w:r>
          </w:p>
        </w:tc>
        <w:tc>
          <w:tcPr>
            <w:tcW w:w="2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January 12, 2001</w:t>
            </w:r>
          </w:p>
        </w:tc>
        <w:tc>
          <w:tcPr>
            <w:tcW w:w="206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24(h)</w:t>
            </w:r>
          </w:p>
        </w:tc>
        <w:tc>
          <w:tcPr>
            <w:tcW w:w="78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9"/>
              </w:rPr>
              <w:t>73</w:t>
            </w:r>
          </w:p>
        </w:tc>
        <w:tc>
          <w:tcPr>
            <w:tcW w:w="360" w:type="dxa"/>
            <w:vAlign w:val="bottom"/>
          </w:tcPr>
          <w:p>
            <w:pPr>
              <w:spacing w:after="0"/>
              <w:rPr>
                <w:sz w:val="14"/>
                <w:szCs w:val="14"/>
                <w:color w:val="auto"/>
              </w:rPr>
            </w:pPr>
          </w:p>
        </w:tc>
      </w:tr>
      <w:tr>
        <w:trPr>
          <w:trHeight w:val="168"/>
        </w:trPr>
        <w:tc>
          <w:tcPr>
            <w:tcW w:w="45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Nicolas Seydoux</w:t>
            </w:r>
          </w:p>
        </w:tc>
        <w:tc>
          <w:tcPr>
            <w:tcW w:w="2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January 12, 2001</w:t>
            </w:r>
          </w:p>
        </w:tc>
        <w:tc>
          <w:tcPr>
            <w:tcW w:w="206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24(i)</w:t>
            </w:r>
          </w:p>
        </w:tc>
        <w:tc>
          <w:tcPr>
            <w:tcW w:w="78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9"/>
              </w:rPr>
              <w:t>74</w:t>
            </w:r>
          </w:p>
        </w:tc>
        <w:tc>
          <w:tcPr>
            <w:tcW w:w="360" w:type="dxa"/>
            <w:vAlign w:val="bottom"/>
          </w:tcPr>
          <w:p>
            <w:pPr>
              <w:spacing w:after="0"/>
              <w:rPr>
                <w:sz w:val="14"/>
                <w:szCs w:val="14"/>
                <w:color w:val="auto"/>
              </w:rPr>
            </w:pPr>
          </w:p>
        </w:tc>
      </w:tr>
      <w:tr>
        <w:trPr>
          <w:trHeight w:val="168"/>
        </w:trPr>
        <w:tc>
          <w:tcPr>
            <w:tcW w:w="45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Linda G. Stuntz</w:t>
            </w:r>
          </w:p>
        </w:tc>
        <w:tc>
          <w:tcPr>
            <w:tcW w:w="2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January 12, 2001</w:t>
            </w:r>
          </w:p>
        </w:tc>
        <w:tc>
          <w:tcPr>
            <w:tcW w:w="206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24(j)</w:t>
            </w:r>
          </w:p>
        </w:tc>
        <w:tc>
          <w:tcPr>
            <w:tcW w:w="78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9"/>
              </w:rPr>
              <w:t>75</w:t>
            </w:r>
          </w:p>
        </w:tc>
        <w:tc>
          <w:tcPr>
            <w:tcW w:w="360" w:type="dxa"/>
            <w:vAlign w:val="bottom"/>
          </w:tcPr>
          <w:p>
            <w:pPr>
              <w:spacing w:after="0"/>
              <w:rPr>
                <w:sz w:val="14"/>
                <w:szCs w:val="14"/>
                <w:color w:val="auto"/>
              </w:rPr>
            </w:pPr>
          </w:p>
        </w:tc>
      </w:tr>
      <w:tr>
        <w:trPr>
          <w:trHeight w:val="168"/>
        </w:trPr>
        <w:tc>
          <w:tcPr>
            <w:tcW w:w="45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Sven Ullring</w:t>
            </w:r>
          </w:p>
        </w:tc>
        <w:tc>
          <w:tcPr>
            <w:tcW w:w="2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January 15, 2001</w:t>
            </w:r>
          </w:p>
        </w:tc>
        <w:tc>
          <w:tcPr>
            <w:tcW w:w="206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24(k)</w:t>
            </w:r>
          </w:p>
        </w:tc>
        <w:tc>
          <w:tcPr>
            <w:tcW w:w="78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9"/>
              </w:rPr>
              <w:t>76</w:t>
            </w:r>
          </w:p>
        </w:tc>
        <w:tc>
          <w:tcPr>
            <w:tcW w:w="360" w:type="dxa"/>
            <w:vAlign w:val="bottom"/>
          </w:tcPr>
          <w:p>
            <w:pPr>
              <w:spacing w:after="0"/>
              <w:rPr>
                <w:sz w:val="14"/>
                <w:szCs w:val="14"/>
                <w:color w:val="auto"/>
              </w:rPr>
            </w:pPr>
          </w:p>
        </w:tc>
      </w:tr>
      <w:tr>
        <w:trPr>
          <w:trHeight w:val="168"/>
        </w:trPr>
        <w:tc>
          <w:tcPr>
            <w:tcW w:w="45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Yoshihiko Wakumoto</w:t>
            </w:r>
          </w:p>
        </w:tc>
        <w:tc>
          <w:tcPr>
            <w:tcW w:w="27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January 16, 2001</w:t>
            </w:r>
          </w:p>
        </w:tc>
        <w:tc>
          <w:tcPr>
            <w:tcW w:w="206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24(l)</w:t>
            </w:r>
          </w:p>
        </w:tc>
        <w:tc>
          <w:tcPr>
            <w:tcW w:w="780" w:type="dxa"/>
            <w:vAlign w:val="bottom"/>
          </w:tcPr>
          <w:p>
            <w:pPr>
              <w:jc w:val="center"/>
              <w:ind w:left="367"/>
              <w:spacing w:after="0" w:line="168" w:lineRule="exact"/>
              <w:rPr>
                <w:sz w:val="20"/>
                <w:szCs w:val="20"/>
                <w:color w:val="auto"/>
              </w:rPr>
            </w:pPr>
            <w:r>
              <w:rPr>
                <w:rFonts w:ascii="Courier New" w:cs="Courier New" w:eastAsia="Courier New" w:hAnsi="Courier New"/>
                <w:sz w:val="15"/>
                <w:szCs w:val="15"/>
                <w:color w:val="auto"/>
                <w:w w:val="99"/>
              </w:rPr>
              <w:t>77</w:t>
            </w:r>
          </w:p>
        </w:tc>
        <w:tc>
          <w:tcPr>
            <w:tcW w:w="360" w:type="dxa"/>
            <w:vAlign w:val="bottom"/>
          </w:tcPr>
          <w:p>
            <w:pPr>
              <w:spacing w:after="0"/>
              <w:rPr>
                <w:sz w:val="14"/>
                <w:szCs w:val="14"/>
                <w:color w:val="auto"/>
              </w:rPr>
            </w:pP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Financial Data Schedule</w:t>
            </w:r>
          </w:p>
        </w:tc>
        <w:tc>
          <w:tcPr>
            <w:tcW w:w="2700" w:type="dxa"/>
            <w:vAlign w:val="bottom"/>
          </w:tcPr>
          <w:p>
            <w:pPr>
              <w:spacing w:after="0"/>
              <w:rPr>
                <w:sz w:val="24"/>
                <w:szCs w:val="24"/>
                <w:color w:val="auto"/>
              </w:rPr>
            </w:pPr>
          </w:p>
        </w:tc>
        <w:tc>
          <w:tcPr>
            <w:tcW w:w="2060" w:type="dxa"/>
            <w:vAlign w:val="bottom"/>
          </w:tcPr>
          <w:p>
            <w:pPr>
              <w:ind w:left="1100"/>
              <w:spacing w:after="0"/>
              <w:rPr>
                <w:sz w:val="20"/>
                <w:szCs w:val="20"/>
                <w:color w:val="auto"/>
              </w:rPr>
            </w:pPr>
            <w:r>
              <w:rPr>
                <w:rFonts w:ascii="Courier New" w:cs="Courier New" w:eastAsia="Courier New" w:hAnsi="Courier New"/>
                <w:sz w:val="15"/>
                <w:szCs w:val="15"/>
                <w:color w:val="auto"/>
              </w:rPr>
              <w:t>27</w:t>
            </w:r>
          </w:p>
        </w:tc>
        <w:tc>
          <w:tcPr>
            <w:tcW w:w="7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9"/>
              </w:rPr>
              <w:t>78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w w:val="94"/>
              </w:rPr>
              <w:t>&amp; 79</w:t>
            </w:r>
          </w:p>
        </w:tc>
      </w:tr>
      <w:tr>
        <w:trPr>
          <w:trHeight w:val="336"/>
        </w:trPr>
        <w:tc>
          <w:tcPr>
            <w:tcW w:w="4520" w:type="dxa"/>
            <w:vAlign w:val="bottom"/>
          </w:tcPr>
          <w:p>
            <w:pPr>
              <w:spacing w:after="0"/>
              <w:rPr>
                <w:sz w:val="20"/>
                <w:szCs w:val="20"/>
                <w:color w:val="auto"/>
              </w:rPr>
            </w:pPr>
            <w:r>
              <w:rPr>
                <w:rFonts w:ascii="Courier New" w:cs="Courier New" w:eastAsia="Courier New" w:hAnsi="Courier New"/>
                <w:sz w:val="15"/>
                <w:szCs w:val="15"/>
                <w:color w:val="auto"/>
              </w:rPr>
              <w:t>Additional Exhibits:</w:t>
            </w:r>
          </w:p>
        </w:tc>
        <w:tc>
          <w:tcPr>
            <w:tcW w:w="2700" w:type="dxa"/>
            <w:vAlign w:val="bottom"/>
          </w:tcPr>
          <w:p>
            <w:pPr>
              <w:spacing w:after="0"/>
              <w:rPr>
                <w:sz w:val="24"/>
                <w:szCs w:val="24"/>
                <w:color w:val="auto"/>
              </w:rPr>
            </w:pPr>
          </w:p>
        </w:tc>
        <w:tc>
          <w:tcPr>
            <w:tcW w:w="2060" w:type="dxa"/>
            <w:vAlign w:val="bottom"/>
          </w:tcPr>
          <w:p>
            <w:pPr>
              <w:ind w:left="1100"/>
              <w:spacing w:after="0"/>
              <w:rPr>
                <w:sz w:val="20"/>
                <w:szCs w:val="20"/>
                <w:color w:val="auto"/>
              </w:rPr>
            </w:pPr>
            <w:r>
              <w:rPr>
                <w:rFonts w:ascii="Courier New" w:cs="Courier New" w:eastAsia="Courier New" w:hAnsi="Courier New"/>
                <w:sz w:val="15"/>
                <w:szCs w:val="15"/>
                <w:color w:val="auto"/>
              </w:rPr>
              <w:t>99</w:t>
            </w:r>
          </w:p>
        </w:tc>
        <w:tc>
          <w:tcPr>
            <w:tcW w:w="780" w:type="dxa"/>
            <w:vAlign w:val="bottom"/>
          </w:tcPr>
          <w:p>
            <w:pPr>
              <w:jc w:val="center"/>
              <w:ind w:left="367"/>
              <w:spacing w:after="0"/>
              <w:rPr>
                <w:sz w:val="20"/>
                <w:szCs w:val="20"/>
                <w:color w:val="auto"/>
              </w:rPr>
            </w:pPr>
            <w:r>
              <w:rPr>
                <w:rFonts w:ascii="Courier New" w:cs="Courier New" w:eastAsia="Courier New" w:hAnsi="Courier New"/>
                <w:sz w:val="15"/>
                <w:szCs w:val="15"/>
                <w:color w:val="auto"/>
                <w:w w:val="99"/>
              </w:rPr>
              <w:t>80</w:t>
            </w:r>
          </w:p>
        </w:tc>
        <w:tc>
          <w:tcPr>
            <w:tcW w:w="360" w:type="dxa"/>
            <w:vAlign w:val="bottom"/>
          </w:tcPr>
          <w:p>
            <w:pPr>
              <w:spacing w:after="0"/>
              <w:rPr>
                <w:sz w:val="24"/>
                <w:szCs w:val="24"/>
                <w:color w:val="auto"/>
              </w:rPr>
            </w:pPr>
          </w:p>
        </w:tc>
      </w:tr>
      <w:tr>
        <w:trPr>
          <w:trHeight w:val="168"/>
        </w:trPr>
        <w:tc>
          <w:tcPr>
            <w:tcW w:w="452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Form S-8 Undertakings</w:t>
            </w:r>
          </w:p>
        </w:tc>
        <w:tc>
          <w:tcPr>
            <w:tcW w:w="270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505"/>
        </w:trPr>
        <w:tc>
          <w:tcPr>
            <w:tcW w:w="4520" w:type="dxa"/>
            <w:vAlign w:val="bottom"/>
          </w:tcPr>
          <w:p>
            <w:pPr>
              <w:ind w:left="3340"/>
              <w:spacing w:after="0"/>
              <w:rPr>
                <w:sz w:val="20"/>
                <w:szCs w:val="20"/>
                <w:color w:val="auto"/>
              </w:rPr>
            </w:pPr>
            <w:r>
              <w:rPr>
                <w:rFonts w:ascii="Courier New" w:cs="Courier New" w:eastAsia="Courier New" w:hAnsi="Courier New"/>
                <w:sz w:val="15"/>
                <w:szCs w:val="15"/>
                <w:color w:val="auto"/>
              </w:rPr>
              <w:t>63</w:t>
            </w:r>
          </w:p>
        </w:tc>
        <w:tc>
          <w:tcPr>
            <w:tcW w:w="27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r>
    </w:tbl>
    <w:p>
      <w:pPr>
        <w:sectPr>
          <w:pgSz w:w="11900" w:h="16838" w:orient="portrait"/>
          <w:cols w:equalWidth="0" w:num="1">
            <w:col w:w="10420"/>
          </w:cols>
          <w:pgMar w:left="220" w:top="617" w:right="1259" w:bottom="1440" w:gutter="0" w:footer="0" w:header="0"/>
        </w:sectPr>
      </w:pPr>
    </w:p>
    <w:bookmarkStart w:id="65" w:name="page66"/>
    <w:bookmarkEnd w:id="65"/>
    <w:p>
      <w:pPr>
        <w:ind w:left="6220"/>
        <w:spacing w:after="0"/>
        <w:rPr>
          <w:sz w:val="20"/>
          <w:szCs w:val="20"/>
          <w:color w:val="auto"/>
        </w:rPr>
      </w:pPr>
      <w:r>
        <w:rPr>
          <w:rFonts w:ascii="Courier New" w:cs="Courier New" w:eastAsia="Courier New" w:hAnsi="Courier New"/>
          <w:sz w:val="15"/>
          <w:szCs w:val="15"/>
          <w:color w:val="auto"/>
        </w:rPr>
        <w:t>10-K 2000</w:t>
      </w:r>
    </w:p>
    <w:p>
      <w:pPr>
        <w:ind w:left="6220"/>
        <w:spacing w:after="0" w:line="237" w:lineRule="auto"/>
        <w:rPr>
          <w:sz w:val="20"/>
          <w:szCs w:val="20"/>
          <w:color w:val="auto"/>
        </w:rPr>
      </w:pPr>
      <w:r>
        <w:rPr>
          <w:rFonts w:ascii="Courier New" w:cs="Courier New" w:eastAsia="Courier New" w:hAnsi="Courier New"/>
          <w:sz w:val="15"/>
          <w:szCs w:val="15"/>
          <w:color w:val="auto"/>
        </w:rPr>
        <w:t>---------</w:t>
      </w:r>
    </w:p>
    <w:p>
      <w:pPr>
        <w:jc w:val="right"/>
        <w:ind w:right="4120"/>
        <w:spacing w:after="0" w:line="238" w:lineRule="auto"/>
        <w:rPr>
          <w:sz w:val="20"/>
          <w:szCs w:val="20"/>
          <w:color w:val="auto"/>
        </w:rPr>
      </w:pPr>
      <w:r>
        <w:rPr>
          <w:rFonts w:ascii="Courier New" w:cs="Courier New" w:eastAsia="Courier New" w:hAnsi="Courier New"/>
          <w:sz w:val="15"/>
          <w:szCs w:val="15"/>
          <w:color w:val="auto"/>
        </w:rPr>
        <w:t>Exhibit 21</w:t>
      </w:r>
    </w:p>
    <w:p>
      <w:pPr>
        <w:ind w:left="61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Significant Subsidiaries</w:t>
      </w:r>
    </w:p>
    <w:p>
      <w:pPr>
        <w:spacing w:after="0" w:line="173" w:lineRule="exact"/>
        <w:rPr>
          <w:sz w:val="20"/>
          <w:szCs w:val="20"/>
          <w:color w:val="auto"/>
        </w:rPr>
      </w:pPr>
    </w:p>
    <w:p>
      <w:pPr>
        <w:ind w:right="4200"/>
        <w:spacing w:after="0" w:line="236" w:lineRule="auto"/>
        <w:rPr>
          <w:sz w:val="20"/>
          <w:szCs w:val="20"/>
          <w:color w:val="auto"/>
        </w:rPr>
      </w:pPr>
      <w:r>
        <w:rPr>
          <w:rFonts w:ascii="Courier New" w:cs="Courier New" w:eastAsia="Courier New" w:hAnsi="Courier New"/>
          <w:sz w:val="15"/>
          <w:szCs w:val="15"/>
          <w:color w:val="auto"/>
        </w:rPr>
        <w:t>Listed below are the significant first tier subsidiaries of the Registrant, along with the total number of active subsidiaries directly or indirectly owned by each as of February 12, 2001. Certain second, third and fourth tier subsidiaries, though included in the numbers, are also shown by name. Ownership is 100% unless otherwise indicated. The business activities of the subsidiaries have been keyed as follows: (a) Oilfield Services, (b) Resource Management Services, (c) Test &amp; Transactions (d) Other.</w:t>
      </w:r>
    </w:p>
    <w:p>
      <w:pPr>
        <w:spacing w:after="0" w:line="200" w:lineRule="exact"/>
        <w:rPr>
          <w:sz w:val="20"/>
          <w:szCs w:val="20"/>
          <w:color w:val="auto"/>
        </w:rPr>
      </w:pP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000" w:type="dxa"/>
            <w:vAlign w:val="bottom"/>
          </w:tcPr>
          <w:p>
            <w:pPr>
              <w:jc w:val="right"/>
              <w:ind w:right="587"/>
              <w:spacing w:after="0"/>
              <w:rPr>
                <w:sz w:val="20"/>
                <w:szCs w:val="20"/>
                <w:color w:val="auto"/>
              </w:rPr>
            </w:pPr>
            <w:r>
              <w:rPr>
                <w:rFonts w:ascii="Courier New" w:cs="Courier New" w:eastAsia="Courier New" w:hAnsi="Courier New"/>
                <w:sz w:val="15"/>
                <w:szCs w:val="15"/>
                <w:color w:val="auto"/>
              </w:rPr>
              <w:t>U.S.</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Non-U.S.</w:t>
            </w:r>
          </w:p>
        </w:tc>
      </w:tr>
      <w:tr>
        <w:trPr>
          <w:trHeight w:val="168"/>
        </w:trPr>
        <w:tc>
          <w:tcPr>
            <w:tcW w:w="36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8020" w:type="dxa"/>
            <w:vAlign w:val="bottom"/>
            <w:gridSpan w:val="2"/>
          </w:tcPr>
          <w:p>
            <w:pPr>
              <w:spacing w:after="0"/>
              <w:rPr>
                <w:sz w:val="20"/>
                <w:szCs w:val="20"/>
                <w:color w:val="auto"/>
              </w:rPr>
            </w:pPr>
            <w:r>
              <w:rPr>
                <w:rFonts w:ascii="Courier New" w:cs="Courier New" w:eastAsia="Courier New" w:hAnsi="Courier New"/>
                <w:sz w:val="15"/>
                <w:szCs w:val="15"/>
                <w:color w:val="auto"/>
              </w:rPr>
              <w:t>Schlumberger B.V., Netherlands (d)</w:t>
            </w:r>
          </w:p>
        </w:tc>
        <w:tc>
          <w:tcPr>
            <w:tcW w:w="20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27(a)/1/</w:t>
            </w:r>
          </w:p>
        </w:tc>
      </w:tr>
      <w:tr>
        <w:trPr>
          <w:trHeight w:val="168"/>
        </w:trPr>
        <w:tc>
          <w:tcPr>
            <w:tcW w:w="36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42(b)/2/</w:t>
            </w:r>
          </w:p>
        </w:tc>
      </w:tr>
      <w:tr>
        <w:trPr>
          <w:trHeight w:val="168"/>
        </w:trPr>
        <w:tc>
          <w:tcPr>
            <w:tcW w:w="36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14(c)</w:t>
            </w:r>
          </w:p>
        </w:tc>
      </w:tr>
      <w:tr>
        <w:trPr>
          <w:trHeight w:val="168"/>
        </w:trPr>
        <w:tc>
          <w:tcPr>
            <w:tcW w:w="36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1(d)</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16(d)/3/</w:t>
            </w:r>
          </w:p>
        </w:tc>
      </w:tr>
      <w:tr>
        <w:trPr>
          <w:trHeight w:val="336"/>
        </w:trPr>
        <w:tc>
          <w:tcPr>
            <w:tcW w:w="360" w:type="dxa"/>
            <w:vAlign w:val="bottom"/>
          </w:tcPr>
          <w:p>
            <w:pPr>
              <w:spacing w:after="0"/>
              <w:rPr>
                <w:sz w:val="24"/>
                <w:szCs w:val="24"/>
                <w:color w:val="auto"/>
              </w:rPr>
            </w:pPr>
          </w:p>
        </w:tc>
        <w:tc>
          <w:tcPr>
            <w:tcW w:w="7660" w:type="dxa"/>
            <w:vAlign w:val="bottom"/>
          </w:tcPr>
          <w:p>
            <w:pPr>
              <w:ind w:left="440"/>
              <w:spacing w:after="0"/>
              <w:rPr>
                <w:sz w:val="20"/>
                <w:szCs w:val="20"/>
                <w:color w:val="auto"/>
              </w:rPr>
            </w:pPr>
            <w:r>
              <w:rPr>
                <w:rFonts w:ascii="Courier New" w:cs="Courier New" w:eastAsia="Courier New" w:hAnsi="Courier New"/>
                <w:sz w:val="15"/>
                <w:szCs w:val="15"/>
                <w:color w:val="auto"/>
              </w:rPr>
              <w:t>Schlumberger Canada Limited, Ontario (d)</w:t>
            </w:r>
          </w:p>
        </w:tc>
        <w:tc>
          <w:tcPr>
            <w:tcW w:w="20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Schlumberger GmbH, Germany  (d)</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Schlumberger Zaehler &amp; Systemtechnik GmbH, Germany (b)</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Schlumberger Industries, France (b)</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Omnes B.V., Netherlands (c)</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Services Petroliers Schlumberger, France (a)</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*Western Geco B.V., Netherlands (a)</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Geco A.S., Norway (a)</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6"/>
        </w:trPr>
        <w:tc>
          <w:tcPr>
            <w:tcW w:w="8020" w:type="dxa"/>
            <w:vAlign w:val="bottom"/>
            <w:gridSpan w:val="2"/>
          </w:tcPr>
          <w:p>
            <w:pPr>
              <w:spacing w:after="0"/>
              <w:rPr>
                <w:sz w:val="20"/>
                <w:szCs w:val="20"/>
                <w:color w:val="auto"/>
              </w:rPr>
            </w:pPr>
            <w:r>
              <w:rPr>
                <w:rFonts w:ascii="Courier New" w:cs="Courier New" w:eastAsia="Courier New" w:hAnsi="Courier New"/>
                <w:sz w:val="15"/>
                <w:szCs w:val="15"/>
                <w:color w:val="auto"/>
              </w:rPr>
              <w:t>Schlumberger Offshore Services N.V. (Limited), Netherlands Antilles (a)</w:t>
            </w:r>
          </w:p>
        </w:tc>
        <w:tc>
          <w:tcPr>
            <w:tcW w:w="2000" w:type="dxa"/>
            <w:vAlign w:val="bottom"/>
          </w:tcPr>
          <w:p>
            <w:pPr>
              <w:spacing w:after="0"/>
              <w:rPr>
                <w:sz w:val="24"/>
                <w:szCs w:val="2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12(a)</w:t>
            </w:r>
          </w:p>
        </w:tc>
      </w:tr>
      <w:tr>
        <w:trPr>
          <w:trHeight w:val="168"/>
        </w:trPr>
        <w:tc>
          <w:tcPr>
            <w:tcW w:w="360" w:type="dxa"/>
            <w:vAlign w:val="bottom"/>
          </w:tcPr>
          <w:p>
            <w:pPr>
              <w:spacing w:after="0"/>
              <w:rPr>
                <w:sz w:val="14"/>
                <w:szCs w:val="14"/>
                <w:color w:val="auto"/>
              </w:rPr>
            </w:pPr>
          </w:p>
        </w:tc>
        <w:tc>
          <w:tcPr>
            <w:tcW w:w="7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Schlumberger Antilles N.V., Netherlands Antilles (a)</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6"/>
        </w:trPr>
        <w:tc>
          <w:tcPr>
            <w:tcW w:w="8020" w:type="dxa"/>
            <w:vAlign w:val="bottom"/>
            <w:gridSpan w:val="2"/>
          </w:tcPr>
          <w:p>
            <w:pPr>
              <w:spacing w:after="0"/>
              <w:rPr>
                <w:sz w:val="20"/>
                <w:szCs w:val="20"/>
                <w:color w:val="auto"/>
              </w:rPr>
            </w:pPr>
            <w:r>
              <w:rPr>
                <w:rFonts w:ascii="Courier New" w:cs="Courier New" w:eastAsia="Courier New" w:hAnsi="Courier New"/>
                <w:sz w:val="15"/>
                <w:szCs w:val="15"/>
                <w:color w:val="auto"/>
              </w:rPr>
              <w:t>Schlumberger Overseas, S.A., Panama (a)</w:t>
            </w:r>
          </w:p>
        </w:tc>
        <w:tc>
          <w:tcPr>
            <w:tcW w:w="2000" w:type="dxa"/>
            <w:vAlign w:val="bottom"/>
          </w:tcPr>
          <w:p>
            <w:pPr>
              <w:spacing w:after="0"/>
              <w:rPr>
                <w:sz w:val="24"/>
                <w:szCs w:val="24"/>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161(a)/4/</w:t>
            </w:r>
          </w:p>
        </w:tc>
      </w:tr>
      <w:tr>
        <w:trPr>
          <w:trHeight w:val="168"/>
        </w:trPr>
        <w:tc>
          <w:tcPr>
            <w:tcW w:w="36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12(b)/5/</w:t>
            </w:r>
          </w:p>
        </w:tc>
      </w:tr>
      <w:tr>
        <w:trPr>
          <w:trHeight w:val="168"/>
        </w:trPr>
        <w:tc>
          <w:tcPr>
            <w:tcW w:w="36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0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1(c)</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24(c)/6/</w:t>
            </w:r>
          </w:p>
        </w:tc>
      </w:tr>
      <w:tr>
        <w:trPr>
          <w:trHeight w:val="168"/>
        </w:trPr>
        <w:tc>
          <w:tcPr>
            <w:tcW w:w="36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26(d)/3/</w:t>
            </w:r>
          </w:p>
        </w:tc>
      </w:tr>
      <w:tr>
        <w:trPr>
          <w:trHeight w:val="168"/>
        </w:trPr>
        <w:tc>
          <w:tcPr>
            <w:tcW w:w="360" w:type="dxa"/>
            <w:vAlign w:val="bottom"/>
          </w:tcPr>
          <w:p>
            <w:pPr>
              <w:spacing w:after="0"/>
              <w:rPr>
                <w:sz w:val="14"/>
                <w:szCs w:val="14"/>
                <w:color w:val="auto"/>
              </w:rPr>
            </w:pPr>
          </w:p>
        </w:tc>
        <w:tc>
          <w:tcPr>
            <w:tcW w:w="7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MC&amp;C Holdings Limited, BVI (c)</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Schlumberger Plc, UK (d)</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2020"/>
              <w:spacing w:after="0" w:line="168" w:lineRule="exact"/>
              <w:rPr>
                <w:sz w:val="20"/>
                <w:szCs w:val="20"/>
                <w:color w:val="auto"/>
              </w:rPr>
            </w:pPr>
            <w:r>
              <w:rPr>
                <w:rFonts w:ascii="Courier New" w:cs="Courier New" w:eastAsia="Courier New" w:hAnsi="Courier New"/>
                <w:sz w:val="15"/>
                <w:szCs w:val="15"/>
                <w:color w:val="auto"/>
              </w:rPr>
              <w:t>*WesternGeco Limited, UK (a)</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Schlumberger Oilfield Holdings Limited, BVI (a)</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Anadrill Holdings Limited, BVI (a)</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Dowell Schlumberger Corporation, BVI (a)</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Schlumberger Holdings Limited, BVI (a)</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2020"/>
              <w:spacing w:after="0" w:line="168" w:lineRule="exact"/>
              <w:rPr>
                <w:sz w:val="20"/>
                <w:szCs w:val="20"/>
                <w:color w:val="auto"/>
              </w:rPr>
            </w:pPr>
            <w:r>
              <w:rPr>
                <w:rFonts w:ascii="Courier New" w:cs="Courier New" w:eastAsia="Courier New" w:hAnsi="Courier New"/>
                <w:sz w:val="15"/>
                <w:szCs w:val="15"/>
                <w:color w:val="auto"/>
              </w:rPr>
              <w:t>Schlumberger Surenco, S.A., Panama (a)</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1220"/>
              <w:spacing w:after="0" w:line="168" w:lineRule="exact"/>
              <w:rPr>
                <w:sz w:val="20"/>
                <w:szCs w:val="20"/>
                <w:color w:val="auto"/>
              </w:rPr>
            </w:pPr>
            <w:r>
              <w:rPr>
                <w:rFonts w:ascii="Courier New" w:cs="Courier New" w:eastAsia="Courier New" w:hAnsi="Courier New"/>
                <w:sz w:val="15"/>
                <w:szCs w:val="15"/>
                <w:color w:val="auto"/>
              </w:rPr>
              <w:t>*Schlumberger Seismic Holdings Limited, BVI (a)</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336"/>
        </w:trPr>
        <w:tc>
          <w:tcPr>
            <w:tcW w:w="8020" w:type="dxa"/>
            <w:vAlign w:val="bottom"/>
            <w:gridSpan w:val="2"/>
          </w:tcPr>
          <w:p>
            <w:pPr>
              <w:spacing w:after="0"/>
              <w:rPr>
                <w:sz w:val="20"/>
                <w:szCs w:val="20"/>
                <w:color w:val="auto"/>
              </w:rPr>
            </w:pPr>
            <w:r>
              <w:rPr>
                <w:rFonts w:ascii="Courier New" w:cs="Courier New" w:eastAsia="Courier New" w:hAnsi="Courier New"/>
                <w:sz w:val="15"/>
                <w:szCs w:val="15"/>
                <w:color w:val="auto"/>
              </w:rPr>
              <w:t>Schlumberger Technology Corporation, Texas (a)</w:t>
            </w:r>
          </w:p>
        </w:tc>
        <w:tc>
          <w:tcPr>
            <w:tcW w:w="2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12(a)/7/</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21(a)/8/</w:t>
            </w:r>
          </w:p>
        </w:tc>
      </w:tr>
      <w:tr>
        <w:trPr>
          <w:trHeight w:val="168"/>
        </w:trPr>
        <w:tc>
          <w:tcPr>
            <w:tcW w:w="36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5(b)/3/</w:t>
            </w: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8(c)</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1(c)</w:t>
            </w:r>
          </w:p>
        </w:tc>
      </w:tr>
      <w:tr>
        <w:trPr>
          <w:trHeight w:val="168"/>
        </w:trPr>
        <w:tc>
          <w:tcPr>
            <w:tcW w:w="360" w:type="dxa"/>
            <w:vAlign w:val="bottom"/>
          </w:tcPr>
          <w:p>
            <w:pPr>
              <w:spacing w:after="0"/>
              <w:rPr>
                <w:sz w:val="14"/>
                <w:szCs w:val="14"/>
                <w:color w:val="auto"/>
              </w:rPr>
            </w:pPr>
          </w:p>
        </w:tc>
        <w:tc>
          <w:tcPr>
            <w:tcW w:w="7660" w:type="dxa"/>
            <w:vAlign w:val="bottom"/>
          </w:tcPr>
          <w:p>
            <w:pPr>
              <w:spacing w:after="0"/>
              <w:rPr>
                <w:sz w:val="14"/>
                <w:szCs w:val="14"/>
                <w:color w:val="auto"/>
              </w:rPr>
            </w:pPr>
          </w:p>
        </w:tc>
        <w:tc>
          <w:tcPr>
            <w:tcW w:w="2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5(d)/3/</w:t>
            </w: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Camco International, Inc., Delaware (a)</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Schlumberger Omnes, Inc., (Delaware) (c)</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Schlumberger Resource Management Services, Inc., Delaware (b)</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Schlumberger Technologies, Inc., Delaware (c)</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*WesternGeco L.L.C., Delaware (a)</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505"/>
        </w:trPr>
        <w:tc>
          <w:tcPr>
            <w:tcW w:w="8020" w:type="dxa"/>
            <w:vAlign w:val="bottom"/>
            <w:gridSpan w:val="2"/>
          </w:tcPr>
          <w:p>
            <w:pPr>
              <w:spacing w:after="0"/>
              <w:rPr>
                <w:sz w:val="20"/>
                <w:szCs w:val="20"/>
                <w:color w:val="auto"/>
              </w:rPr>
            </w:pPr>
            <w:r>
              <w:rPr>
                <w:rFonts w:ascii="Courier New" w:cs="Courier New" w:eastAsia="Courier New" w:hAnsi="Courier New"/>
                <w:sz w:val="15"/>
                <w:szCs w:val="15"/>
                <w:color w:val="auto"/>
              </w:rPr>
              <w:t>___________________________________</w:t>
            </w:r>
          </w:p>
        </w:tc>
        <w:tc>
          <w:tcPr>
            <w:tcW w:w="200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*70%  owned by Registrant</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/1/</w:t>
            </w:r>
          </w:p>
        </w:tc>
        <w:tc>
          <w:tcPr>
            <w:tcW w:w="7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Includes four majority-owned subsidiaries, one of which is named, and three</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50%-owned subsidiaries, which are not named.</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/2/</w:t>
            </w:r>
          </w:p>
        </w:tc>
        <w:tc>
          <w:tcPr>
            <w:tcW w:w="7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Includes seven majority-owned subsidiaries and one 50%-owned subsidiary,</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which are not named.</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/3/</w:t>
            </w:r>
          </w:p>
        </w:tc>
        <w:tc>
          <w:tcPr>
            <w:tcW w:w="7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Includes one majority-owned subsidiary, which is not named.</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/4/</w:t>
            </w:r>
          </w:p>
        </w:tc>
        <w:tc>
          <w:tcPr>
            <w:tcW w:w="7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Includes fourteen majority-owned subsidiaries, two of which are named, and</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rPr>
                <w:sz w:val="14"/>
                <w:szCs w:val="14"/>
                <w:color w:val="auto"/>
              </w:rPr>
            </w:pPr>
          </w:p>
        </w:tc>
        <w:tc>
          <w:tcPr>
            <w:tcW w:w="7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two 50%-owned subsidiaries, which are not named.</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/5/</w:t>
            </w:r>
          </w:p>
        </w:tc>
        <w:tc>
          <w:tcPr>
            <w:tcW w:w="7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Includes four majority-owned subsidiaries, which are not named.</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/6/</w:t>
            </w:r>
          </w:p>
        </w:tc>
        <w:tc>
          <w:tcPr>
            <w:tcW w:w="7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Includes three majority-owned subsidiaries, which are not named.</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/7/</w:t>
            </w:r>
          </w:p>
        </w:tc>
        <w:tc>
          <w:tcPr>
            <w:tcW w:w="7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Includes one majority-owned subsidiary, which is named.</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rPr>
              <w:t>/8/</w:t>
            </w:r>
          </w:p>
        </w:tc>
        <w:tc>
          <w:tcPr>
            <w:tcW w:w="7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Includes two majority-owned subsidiaries, which are not named.</w:t>
            </w:r>
          </w:p>
        </w:tc>
        <w:tc>
          <w:tcPr>
            <w:tcW w:w="200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505"/>
        </w:trPr>
        <w:tc>
          <w:tcPr>
            <w:tcW w:w="360" w:type="dxa"/>
            <w:vAlign w:val="bottom"/>
          </w:tcPr>
          <w:p>
            <w:pPr>
              <w:spacing w:after="0"/>
              <w:rPr>
                <w:sz w:val="24"/>
                <w:szCs w:val="24"/>
                <w:color w:val="auto"/>
              </w:rPr>
            </w:pPr>
          </w:p>
        </w:tc>
        <w:tc>
          <w:tcPr>
            <w:tcW w:w="7660" w:type="dxa"/>
            <w:vAlign w:val="bottom"/>
          </w:tcPr>
          <w:p>
            <w:pPr>
              <w:ind w:left="2980"/>
              <w:spacing w:after="0"/>
              <w:rPr>
                <w:sz w:val="20"/>
                <w:szCs w:val="20"/>
                <w:color w:val="auto"/>
              </w:rPr>
            </w:pPr>
            <w:r>
              <w:rPr>
                <w:rFonts w:ascii="Courier New" w:cs="Courier New" w:eastAsia="Courier New" w:hAnsi="Courier New"/>
                <w:sz w:val="15"/>
                <w:szCs w:val="15"/>
                <w:color w:val="auto"/>
              </w:rPr>
              <w:t>64</w:t>
            </w:r>
          </w:p>
        </w:tc>
        <w:tc>
          <w:tcPr>
            <w:tcW w:w="2000" w:type="dxa"/>
            <w:vAlign w:val="bottom"/>
          </w:tcPr>
          <w:p>
            <w:pPr>
              <w:spacing w:after="0"/>
              <w:rPr>
                <w:sz w:val="24"/>
                <w:szCs w:val="24"/>
                <w:color w:val="auto"/>
              </w:rPr>
            </w:pPr>
          </w:p>
        </w:tc>
        <w:tc>
          <w:tcPr>
            <w:tcW w:w="1100" w:type="dxa"/>
            <w:vAlign w:val="bottom"/>
          </w:tcPr>
          <w:p>
            <w:pPr>
              <w:spacing w:after="0"/>
              <w:rPr>
                <w:sz w:val="24"/>
                <w:szCs w:val="24"/>
                <w:color w:val="auto"/>
              </w:rPr>
            </w:pPr>
          </w:p>
        </w:tc>
      </w:tr>
    </w:tbl>
    <w:p>
      <w:pPr>
        <w:sectPr>
          <w:pgSz w:w="11900" w:h="16838" w:orient="portrait"/>
          <w:cols w:equalWidth="0" w:num="1">
            <w:col w:w="11120"/>
          </w:cols>
          <w:pgMar w:left="220" w:top="471" w:right="559" w:bottom="1440" w:gutter="0" w:footer="0" w:header="0"/>
        </w:sectPr>
      </w:pPr>
    </w:p>
    <w:bookmarkStart w:id="66" w:name="page67"/>
    <w:bookmarkEnd w:id="66"/>
    <w:p>
      <w:pPr>
        <w:ind w:left="6220"/>
        <w:spacing w:after="0"/>
        <w:rPr>
          <w:sz w:val="20"/>
          <w:szCs w:val="20"/>
          <w:color w:val="auto"/>
        </w:rPr>
      </w:pPr>
      <w:r>
        <w:rPr>
          <w:rFonts w:ascii="Courier New" w:cs="Courier New" w:eastAsia="Courier New" w:hAnsi="Courier New"/>
          <w:sz w:val="15"/>
          <w:szCs w:val="15"/>
          <w:color w:val="auto"/>
        </w:rPr>
        <w:t>10-K 2000</w:t>
      </w:r>
    </w:p>
    <w:p>
      <w:pPr>
        <w:ind w:left="6140"/>
        <w:spacing w:after="0" w:line="237" w:lineRule="auto"/>
        <w:rPr>
          <w:sz w:val="20"/>
          <w:szCs w:val="20"/>
          <w:color w:val="auto"/>
        </w:rPr>
      </w:pPr>
      <w:r>
        <w:rPr>
          <w:rFonts w:ascii="Courier New" w:cs="Courier New" w:eastAsia="Courier New" w:hAnsi="Courier New"/>
          <w:sz w:val="15"/>
          <w:szCs w:val="15"/>
          <w:color w:val="auto"/>
        </w:rPr>
        <w:t>Exhibit 23</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200" w:lineRule="exact"/>
        <w:rPr>
          <w:sz w:val="20"/>
          <w:szCs w:val="20"/>
          <w:color w:val="auto"/>
        </w:rPr>
      </w:pPr>
    </w:p>
    <w:p>
      <w:pPr>
        <w:spacing w:after="0" w:line="309"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We hereby consent to the incorporation by reference in the Registration Statement on Form S-8 (Nos. 33-35606; 33-47592; 33-86424; 33-40227; 333-62545; 333-81713; 333-81717; 333-36366; 333-33364) of Schlumberger Limited of our report dated January 24, 2001, except as to "Subsequent Event-Business Acquisition" Note which is as of February 16, 2001, relating to the financial statements which appear in this Form 10-K.</w:t>
      </w:r>
    </w:p>
    <w:p>
      <w:pPr>
        <w:spacing w:after="0" w:line="200" w:lineRule="exact"/>
        <w:rPr>
          <w:sz w:val="20"/>
          <w:szCs w:val="20"/>
          <w:color w:val="auto"/>
        </w:rPr>
      </w:pPr>
    </w:p>
    <w:p>
      <w:pPr>
        <w:spacing w:after="0" w:line="305" w:lineRule="exact"/>
        <w:rPr>
          <w:sz w:val="20"/>
          <w:szCs w:val="20"/>
          <w:color w:val="auto"/>
        </w:rPr>
      </w:pPr>
    </w:p>
    <w:p>
      <w:pPr>
        <w:ind w:left="880"/>
        <w:spacing w:after="0"/>
        <w:rPr>
          <w:sz w:val="20"/>
          <w:szCs w:val="20"/>
          <w:color w:val="auto"/>
        </w:rPr>
      </w:pPr>
      <w:r>
        <w:rPr>
          <w:rFonts w:ascii="Courier New" w:cs="Courier New" w:eastAsia="Courier New" w:hAnsi="Courier New"/>
          <w:sz w:val="15"/>
          <w:szCs w:val="15"/>
          <w:color w:val="auto"/>
        </w:rPr>
        <w: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PricewaterhouseCoopers LLP</w:t>
      </w:r>
    </w:p>
    <w:p>
      <w:pPr>
        <w:spacing w:after="0" w:line="237" w:lineRule="auto"/>
        <w:rPr>
          <w:sz w:val="20"/>
          <w:szCs w:val="20"/>
          <w:color w:val="auto"/>
        </w:rPr>
      </w:pPr>
      <w:r>
        <w:rPr>
          <w:rFonts w:ascii="Courier New" w:cs="Courier New" w:eastAsia="Courier New" w:hAnsi="Courier New"/>
          <w:sz w:val="15"/>
          <w:szCs w:val="15"/>
          <w:color w:val="auto"/>
        </w:rPr>
        <w:t>New York, New York</w:t>
      </w:r>
    </w:p>
    <w:p>
      <w:pPr>
        <w:spacing w:after="0" w:line="238" w:lineRule="auto"/>
        <w:rPr>
          <w:sz w:val="20"/>
          <w:szCs w:val="20"/>
          <w:color w:val="auto"/>
        </w:rPr>
      </w:pPr>
      <w:r>
        <w:rPr>
          <w:rFonts w:ascii="Courier New" w:cs="Courier New" w:eastAsia="Courier New" w:hAnsi="Courier New"/>
          <w:sz w:val="15"/>
          <w:szCs w:val="15"/>
          <w:color w:val="auto"/>
        </w:rPr>
        <w:t>March 8, 2001</w:t>
      </w:r>
    </w:p>
    <w:p>
      <w:pPr>
        <w:spacing w:after="0" w:line="200" w:lineRule="exact"/>
        <w:rPr>
          <w:sz w:val="20"/>
          <w:szCs w:val="20"/>
          <w:color w:val="auto"/>
        </w:rPr>
      </w:pPr>
    </w:p>
    <w:p>
      <w:pPr>
        <w:spacing w:after="0" w:line="309" w:lineRule="exact"/>
        <w:rPr>
          <w:sz w:val="20"/>
          <w:szCs w:val="20"/>
          <w:color w:val="auto"/>
        </w:rPr>
      </w:pPr>
    </w:p>
    <w:p>
      <w:pPr>
        <w:ind w:left="180" w:hanging="170"/>
        <w:spacing w:after="0"/>
        <w:tabs>
          <w:tab w:leader="none" w:pos="180" w:val="left"/>
        </w:tabs>
        <w:numPr>
          <w:ilvl w:val="0"/>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1" w:lineRule="exact"/>
        <w:rPr>
          <w:rFonts w:ascii="Courier New" w:cs="Courier New" w:eastAsia="Courier New" w:hAnsi="Courier New"/>
          <w:sz w:val="14"/>
          <w:szCs w:val="14"/>
          <w:color w:val="auto"/>
        </w:rPr>
      </w:pPr>
    </w:p>
    <w:p>
      <w:pPr>
        <w:ind w:left="3340"/>
        <w:spacing w:after="0"/>
        <w:rPr>
          <w:rFonts w:ascii="Courier New" w:cs="Courier New" w:eastAsia="Courier New" w:hAnsi="Courier New"/>
          <w:sz w:val="14"/>
          <w:szCs w:val="14"/>
          <w:color w:val="auto"/>
        </w:rPr>
      </w:pPr>
      <w:r>
        <w:rPr>
          <w:rFonts w:ascii="Courier New" w:cs="Courier New" w:eastAsia="Courier New" w:hAnsi="Courier New"/>
          <w:sz w:val="15"/>
          <w:szCs w:val="15"/>
          <w:color w:val="auto"/>
        </w:rPr>
        <w:t>65</w:t>
      </w:r>
    </w:p>
    <w:p>
      <w:pPr>
        <w:sectPr>
          <w:pgSz w:w="11900" w:h="16838" w:orient="portrait"/>
          <w:cols w:equalWidth="0" w:num="1">
            <w:col w:w="10239"/>
          </w:cols>
          <w:pgMar w:left="220" w:top="471" w:right="1440" w:bottom="1440" w:gutter="0" w:footer="0" w:header="0"/>
        </w:sectPr>
      </w:pPr>
    </w:p>
    <w:bookmarkStart w:id="67" w:name="page68"/>
    <w:bookmarkEnd w:id="67"/>
    <w:p>
      <w:pPr>
        <w:ind w:left="6220"/>
        <w:spacing w:after="0"/>
        <w:rPr>
          <w:sz w:val="20"/>
          <w:szCs w:val="20"/>
          <w:color w:val="auto"/>
        </w:rPr>
      </w:pPr>
      <w:r>
        <w:rPr>
          <w:rFonts w:ascii="Courier New" w:cs="Courier New" w:eastAsia="Courier New" w:hAnsi="Courier New"/>
          <w:sz w:val="14"/>
          <w:szCs w:val="14"/>
          <w:color w:val="auto"/>
        </w:rPr>
        <w:t>10-K 2000</w:t>
      </w:r>
    </w:p>
    <w:p>
      <w:pPr>
        <w:spacing w:after="0" w:line="10"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Exhibit 24(a)</w:t>
      </w:r>
    </w:p>
    <w:p>
      <w:pPr>
        <w:spacing w:after="0" w:line="17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239" w:firstLine="875"/>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2000,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39"/>
          </w:cols>
          <w:pgMar w:left="220" w:top="478" w:right="1440" w:bottom="1440" w:gutter="0" w:footer="0" w:header="0"/>
        </w:sectPr>
      </w:pP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ind w:left="6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Don E. Ackerman</w:t>
      </w:r>
    </w:p>
    <w:p>
      <w:pPr>
        <w:ind w:left="62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T. McCormick, Jr.</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420" w:space="440"/>
            <w:col w:w="6379"/>
          </w:cols>
          <w:pgMar w:left="220" w:top="478"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 Euan Baird</w:t>
      </w:r>
    </w:p>
    <w:p>
      <w:pPr>
        <w:ind w:left="620"/>
        <w:spacing w:after="0" w:line="237" w:lineRule="auto"/>
        <w:rPr>
          <w:sz w:val="20"/>
          <w:szCs w:val="20"/>
          <w:color w:val="auto"/>
        </w:rPr>
      </w:pPr>
      <w:r>
        <w:rPr>
          <w:rFonts w:ascii="Courier New" w:cs="Courier New" w:eastAsia="Courier New" w:hAnsi="Courier New"/>
          <w:sz w:val="15"/>
          <w:szCs w:val="15"/>
          <w:color w:val="auto"/>
        </w:rPr>
        <w:t>Director</w:t>
      </w:r>
    </w:p>
    <w:p>
      <w:pPr>
        <w:ind w:left="620"/>
        <w:spacing w:after="0" w:line="238" w:lineRule="auto"/>
        <w:rPr>
          <w:sz w:val="20"/>
          <w:szCs w:val="20"/>
          <w:color w:val="auto"/>
        </w:rPr>
      </w:pPr>
      <w:r>
        <w:rPr>
          <w:rFonts w:ascii="Courier New" w:cs="Courier New" w:eastAsia="Courier New" w:hAnsi="Courier New"/>
          <w:sz w:val="15"/>
          <w:szCs w:val="15"/>
          <w:color w:val="auto"/>
        </w:rPr>
        <w:t>Chairman, President</w:t>
      </w:r>
    </w:p>
    <w:p>
      <w:pPr>
        <w:ind w:left="620"/>
        <w:spacing w:after="0" w:line="237" w:lineRule="auto"/>
        <w:rPr>
          <w:sz w:val="20"/>
          <w:szCs w:val="20"/>
          <w:color w:val="auto"/>
        </w:rPr>
      </w:pPr>
      <w:r>
        <w:rPr>
          <w:rFonts w:ascii="Courier New" w:cs="Courier New" w:eastAsia="Courier New" w:hAnsi="Courier New"/>
          <w:sz w:val="15"/>
          <w:szCs w:val="15"/>
          <w:color w:val="auto"/>
        </w:rPr>
        <w:t>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509" w:lineRule="exact"/>
        <w:rPr>
          <w:sz w:val="20"/>
          <w:szCs w:val="20"/>
          <w:color w:val="auto"/>
        </w:rPr>
      </w:pPr>
    </w:p>
    <w:p>
      <w:pPr>
        <w:sectPr>
          <w:pgSz w:w="11900" w:h="16838" w:orient="portrait"/>
          <w:cols w:equalWidth="0" w:num="2">
            <w:col w:w="3420" w:space="440"/>
            <w:col w:w="6379"/>
          </w:cols>
          <w:pgMar w:left="220" w:top="478"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John Deutch</w:t>
      </w:r>
    </w:p>
    <w:p>
      <w:pPr>
        <w:ind w:left="62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420" w:space="440"/>
            <w:col w:w="6379"/>
          </w:cols>
          <w:pgMar w:left="220" w:top="478"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Victor E. Grijalva</w:t>
      </w:r>
    </w:p>
    <w:p>
      <w:pPr>
        <w:ind w:left="620"/>
        <w:spacing w:after="0" w:line="237" w:lineRule="auto"/>
        <w:rPr>
          <w:sz w:val="20"/>
          <w:szCs w:val="20"/>
          <w:color w:val="auto"/>
        </w:rPr>
      </w:pPr>
      <w:r>
        <w:rPr>
          <w:rFonts w:ascii="Courier New" w:cs="Courier New" w:eastAsia="Courier New" w:hAnsi="Courier New"/>
          <w:sz w:val="15"/>
          <w:szCs w:val="15"/>
          <w:color w:val="auto"/>
        </w:rPr>
        <w:t>Director</w:t>
      </w:r>
    </w:p>
    <w:p>
      <w:pPr>
        <w:ind w:left="620"/>
        <w:spacing w:after="0" w:line="238" w:lineRule="auto"/>
        <w:rPr>
          <w:sz w:val="20"/>
          <w:szCs w:val="20"/>
          <w:color w:val="auto"/>
        </w:rPr>
      </w:pPr>
      <w:r>
        <w:rPr>
          <w:rFonts w:ascii="Courier New" w:cs="Courier New" w:eastAsia="Courier New" w:hAnsi="Courier New"/>
          <w:sz w:val="15"/>
          <w:szCs w:val="15"/>
          <w:color w:val="auto"/>
        </w:rPr>
        <w:t>Vice Chairman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341" w:lineRule="exact"/>
        <w:rPr>
          <w:sz w:val="20"/>
          <w:szCs w:val="20"/>
          <w:color w:val="auto"/>
        </w:rPr>
      </w:pPr>
    </w:p>
    <w:p>
      <w:pPr>
        <w:sectPr>
          <w:pgSz w:w="11900" w:h="16838" w:orient="portrait"/>
          <w:cols w:equalWidth="0" w:num="2">
            <w:col w:w="3420" w:space="440"/>
            <w:col w:w="6379"/>
          </w:cols>
          <w:pgMar w:left="220" w:top="478"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Denys Henderson</w:t>
      </w:r>
    </w:p>
    <w:p>
      <w:pPr>
        <w:ind w:left="62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420" w:space="440"/>
            <w:col w:w="6379"/>
          </w:cols>
          <w:pgMar w:left="220" w:top="478"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Andre Levy-Lang</w:t>
      </w:r>
    </w:p>
    <w:p>
      <w:pPr>
        <w:ind w:left="62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Yoshihiko Wakumoto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420" w:space="440"/>
            <w:col w:w="6379"/>
          </w:cols>
          <w:pgMar w:left="220" w:top="478" w:right="1440" w:bottom="1440" w:gutter="0" w:footer="0" w:header="0"/>
          <w:type w:val="continuous"/>
        </w:sectPr>
      </w:pPr>
    </w:p>
    <w:p>
      <w:pPr>
        <w:ind w:left="620"/>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ind w:left="100"/>
        <w:spacing w:after="0"/>
        <w:rPr>
          <w:sz w:val="20"/>
          <w:szCs w:val="20"/>
          <w:color w:val="auto"/>
        </w:rPr>
      </w:pPr>
      <w:r>
        <w:rPr>
          <w:rFonts w:ascii="Courier New" w:cs="Courier New" w:eastAsia="Courier New" w:hAnsi="Courier New"/>
          <w:sz w:val="14"/>
          <w:szCs w:val="14"/>
          <w:color w:val="auto"/>
        </w:rPr>
        <w:t>January 12, 2001</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1060" w:space="80"/>
            <w:col w:w="9099"/>
          </w:cols>
          <w:pgMar w:left="220" w:top="478"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2"/>
          <w:szCs w:val="12"/>
          <w:color w:val="auto"/>
        </w:rPr>
        <w:t>66</w:t>
      </w:r>
    </w:p>
    <w:p>
      <w:pPr>
        <w:sectPr>
          <w:pgSz w:w="11900" w:h="16838" w:orient="portrait"/>
          <w:cols w:equalWidth="0" w:num="1">
            <w:col w:w="10239"/>
          </w:cols>
          <w:pgMar w:left="220" w:top="478" w:right="1440" w:bottom="1440" w:gutter="0" w:footer="0" w:header="0"/>
          <w:type w:val="continuous"/>
        </w:sectPr>
      </w:pPr>
    </w:p>
    <w:bookmarkStart w:id="68" w:name="page69"/>
    <w:bookmarkEnd w:id="68"/>
    <w:p>
      <w:pPr>
        <w:ind w:left="6220"/>
        <w:spacing w:after="0"/>
        <w:rPr>
          <w:sz w:val="20"/>
          <w:szCs w:val="20"/>
          <w:color w:val="auto"/>
        </w:rPr>
      </w:pPr>
      <w:r>
        <w:rPr>
          <w:rFonts w:ascii="Courier New" w:cs="Courier New" w:eastAsia="Courier New" w:hAnsi="Courier New"/>
          <w:sz w:val="14"/>
          <w:szCs w:val="14"/>
          <w:color w:val="auto"/>
        </w:rPr>
        <w:t>10-K 2000</w:t>
      </w:r>
    </w:p>
    <w:p>
      <w:pPr>
        <w:spacing w:after="0" w:line="10"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Exhibit 24(b)</w:t>
      </w:r>
    </w:p>
    <w:p>
      <w:pPr>
        <w:spacing w:after="0" w:line="171"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Power of Attorney</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Each of the undersigned, in the capacity or capacities set forth below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his or her signature as a member of the Board of Directors and/or an officer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Schlumberger Limited ("the Corporation"), a Netherlands Antilles corporation,</w:t>
      </w:r>
    </w:p>
    <w:p>
      <w:pPr>
        <w:spacing w:after="0" w:line="237" w:lineRule="auto"/>
        <w:rPr>
          <w:sz w:val="20"/>
          <w:szCs w:val="20"/>
          <w:color w:val="auto"/>
        </w:rPr>
      </w:pPr>
      <w:r>
        <w:rPr>
          <w:rFonts w:ascii="Courier New" w:cs="Courier New" w:eastAsia="Courier New" w:hAnsi="Courier New"/>
          <w:sz w:val="15"/>
          <w:szCs w:val="15"/>
          <w:color w:val="auto"/>
        </w:rPr>
        <w:t>hereby appoints James L. Gunderson, Jack Liu and Ellen S. Summer, and each of</w:t>
      </w:r>
    </w:p>
    <w:p>
      <w:pPr>
        <w:spacing w:after="0" w:line="238" w:lineRule="auto"/>
        <w:rPr>
          <w:sz w:val="20"/>
          <w:szCs w:val="20"/>
          <w:color w:val="auto"/>
        </w:rPr>
      </w:pPr>
      <w:r>
        <w:rPr>
          <w:rFonts w:ascii="Courier New" w:cs="Courier New" w:eastAsia="Courier New" w:hAnsi="Courier New"/>
          <w:sz w:val="15"/>
          <w:szCs w:val="15"/>
          <w:color w:val="auto"/>
        </w:rPr>
        <w:t>them, the attorney or attorneys of the undersigned, with full power of</w:t>
      </w:r>
    </w:p>
    <w:p>
      <w:pPr>
        <w:spacing w:after="0" w:line="237" w:lineRule="auto"/>
        <w:rPr>
          <w:sz w:val="20"/>
          <w:szCs w:val="20"/>
          <w:color w:val="auto"/>
        </w:rPr>
      </w:pPr>
      <w:r>
        <w:rPr>
          <w:rFonts w:ascii="Courier New" w:cs="Courier New" w:eastAsia="Courier New" w:hAnsi="Courier New"/>
          <w:sz w:val="15"/>
          <w:szCs w:val="15"/>
          <w:color w:val="auto"/>
        </w:rPr>
        <w:t>substitution and revocation, for and in the name, place and stead of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undersigned to execute and file with the Securities and Exchange Commission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10-K Annual Report under the Securities Exchange Act of 1934 for the year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ending 2000, and any amendment or amendments to any such Form 10-K Annual</w:t>
      </w:r>
    </w:p>
    <w:p>
      <w:pPr>
        <w:spacing w:after="0" w:line="237" w:lineRule="auto"/>
        <w:rPr>
          <w:sz w:val="20"/>
          <w:szCs w:val="20"/>
          <w:color w:val="auto"/>
        </w:rPr>
      </w:pPr>
      <w:r>
        <w:rPr>
          <w:rFonts w:ascii="Courier New" w:cs="Courier New" w:eastAsia="Courier New" w:hAnsi="Courier New"/>
          <w:sz w:val="15"/>
          <w:szCs w:val="15"/>
          <w:color w:val="auto"/>
        </w:rPr>
        <w:t>Report, and any agreements, consents or waivers relative thereto, and to take</w:t>
      </w:r>
    </w:p>
    <w:p>
      <w:pPr>
        <w:spacing w:after="0" w:line="238" w:lineRule="auto"/>
        <w:rPr>
          <w:sz w:val="20"/>
          <w:szCs w:val="20"/>
          <w:color w:val="auto"/>
        </w:rPr>
      </w:pPr>
      <w:r>
        <w:rPr>
          <w:rFonts w:ascii="Courier New" w:cs="Courier New" w:eastAsia="Courier New" w:hAnsi="Courier New"/>
          <w:sz w:val="15"/>
          <w:szCs w:val="15"/>
          <w:color w:val="auto"/>
        </w:rPr>
        <w:t>any and all such other action for and in the name and place and stead of the</w:t>
      </w:r>
    </w:p>
    <w:p>
      <w:pPr>
        <w:spacing w:after="0" w:line="237" w:lineRule="auto"/>
        <w:rPr>
          <w:sz w:val="20"/>
          <w:szCs w:val="20"/>
          <w:color w:val="auto"/>
        </w:rPr>
      </w:pPr>
      <w:r>
        <w:rPr>
          <w:rFonts w:ascii="Courier New" w:cs="Courier New" w:eastAsia="Courier New" w:hAnsi="Courier New"/>
          <w:sz w:val="15"/>
          <w:szCs w:val="15"/>
          <w:color w:val="auto"/>
        </w:rPr>
        <w:t>undersigned as may be necessary or desirable in connection with any such Form</w:t>
      </w:r>
    </w:p>
    <w:p>
      <w:pPr>
        <w:spacing w:after="0" w:line="238" w:lineRule="auto"/>
        <w:rPr>
          <w:sz w:val="20"/>
          <w:szCs w:val="20"/>
          <w:color w:val="auto"/>
        </w:rPr>
      </w:pPr>
      <w:r>
        <w:rPr>
          <w:rFonts w:ascii="Courier New" w:cs="Courier New" w:eastAsia="Courier New" w:hAnsi="Courier New"/>
          <w:sz w:val="15"/>
          <w:szCs w:val="15"/>
          <w:color w:val="auto"/>
        </w:rPr>
        <w:t>10-K Annual Report.</w:t>
      </w:r>
    </w:p>
    <w:p>
      <w:pPr>
        <w:sectPr>
          <w:pgSz w:w="11900" w:h="16838" w:orient="portrait"/>
          <w:cols w:equalWidth="0" w:num="1">
            <w:col w:w="10239"/>
          </w:cols>
          <w:pgMar w:left="220" w:top="478" w:right="1440" w:bottom="1440" w:gutter="0" w:footer="0" w:header="0"/>
        </w:sectPr>
      </w:pPr>
    </w:p>
    <w:p>
      <w:pPr>
        <w:spacing w:after="0" w:line="34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 Don E. Ackerman Director</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T. McCormick, Jr.</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67" w:lineRule="exact"/>
        <w:rPr>
          <w:sz w:val="20"/>
          <w:szCs w:val="20"/>
          <w:color w:val="auto"/>
        </w:rPr>
      </w:pPr>
    </w:p>
    <w:p>
      <w:pPr>
        <w:sectPr>
          <w:pgSz w:w="11900" w:h="16838" w:orient="portrait"/>
          <w:cols w:equalWidth="0" w:num="2">
            <w:col w:w="3080" w:space="700"/>
            <w:col w:w="6459"/>
          </w:cols>
          <w:pgMar w:left="220" w:top="478" w:right="1440" w:bottom="1440" w:gutter="0" w:footer="0" w:header="0"/>
          <w:type w:val="continuous"/>
        </w:sectPr>
      </w:pPr>
    </w:p>
    <w:p>
      <w:pPr>
        <w:ind w:left="1500"/>
        <w:spacing w:after="0"/>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 Euan Baird</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ind w:left="440"/>
        <w:spacing w:after="0" w:line="238" w:lineRule="auto"/>
        <w:rPr>
          <w:sz w:val="20"/>
          <w:szCs w:val="20"/>
          <w:color w:val="auto"/>
        </w:rPr>
      </w:pPr>
      <w:r>
        <w:rPr>
          <w:rFonts w:ascii="Courier New" w:cs="Courier New" w:eastAsia="Courier New" w:hAnsi="Courier New"/>
          <w:sz w:val="15"/>
          <w:szCs w:val="15"/>
          <w:color w:val="auto"/>
        </w:rPr>
        <w:t>Chairman, President</w:t>
      </w:r>
    </w:p>
    <w:p>
      <w:pPr>
        <w:ind w:left="440"/>
        <w:spacing w:after="0" w:line="237" w:lineRule="auto"/>
        <w:rPr>
          <w:sz w:val="20"/>
          <w:szCs w:val="20"/>
          <w:color w:val="auto"/>
        </w:rPr>
      </w:pPr>
      <w:r>
        <w:rPr>
          <w:rFonts w:ascii="Courier New" w:cs="Courier New" w:eastAsia="Courier New" w:hAnsi="Courier New"/>
          <w:sz w:val="15"/>
          <w:szCs w:val="15"/>
          <w:color w:val="auto"/>
        </w:rPr>
        <w:t>and Chief Executive Officer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509" w:lineRule="exact"/>
        <w:rPr>
          <w:sz w:val="20"/>
          <w:szCs w:val="20"/>
          <w:color w:val="auto"/>
        </w:rPr>
      </w:pPr>
    </w:p>
    <w:p>
      <w:pPr>
        <w:sectPr>
          <w:pgSz w:w="11900" w:h="16838" w:orient="portrait"/>
          <w:cols w:equalWidth="0" w:num="2">
            <w:col w:w="3080" w:space="700"/>
            <w:col w:w="645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John Deutch</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080" w:space="700"/>
            <w:col w:w="645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Victor E. Grijalva</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ind w:left="440"/>
        <w:spacing w:after="0" w:line="238" w:lineRule="auto"/>
        <w:rPr>
          <w:sz w:val="20"/>
          <w:szCs w:val="20"/>
          <w:color w:val="auto"/>
        </w:rPr>
      </w:pPr>
      <w:r>
        <w:rPr>
          <w:rFonts w:ascii="Courier New" w:cs="Courier New" w:eastAsia="Courier New" w:hAnsi="Courier New"/>
          <w:sz w:val="15"/>
          <w:szCs w:val="15"/>
          <w:color w:val="auto"/>
        </w:rPr>
        <w:t>Vice Chairman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341" w:lineRule="exact"/>
        <w:rPr>
          <w:sz w:val="20"/>
          <w:szCs w:val="20"/>
          <w:color w:val="auto"/>
        </w:rPr>
      </w:pPr>
    </w:p>
    <w:p>
      <w:pPr>
        <w:sectPr>
          <w:pgSz w:w="11900" w:h="16838" w:orient="portrait"/>
          <w:cols w:equalWidth="0" w:num="2">
            <w:col w:w="3080" w:space="700"/>
            <w:col w:w="645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 Denys Henderson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080" w:space="700"/>
            <w:col w:w="645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5"/>
          <w:szCs w:val="15"/>
          <w:color w:val="auto"/>
        </w:rPr>
        <w:t>------------------------------ Andre Levy-Lang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Yoshihiko Wakumoto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67" w:lineRule="exact"/>
        <w:rPr>
          <w:sz w:val="20"/>
          <w:szCs w:val="20"/>
          <w:color w:val="auto"/>
        </w:rPr>
      </w:pPr>
    </w:p>
    <w:p>
      <w:pPr>
        <w:sectPr>
          <w:pgSz w:w="11900" w:h="16838" w:orient="portrait"/>
          <w:cols w:equalWidth="0" w:num="2">
            <w:col w:w="3080" w:space="700"/>
            <w:col w:w="6459"/>
          </w:cols>
          <w:pgMar w:left="220" w:top="478"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jc w:val="center"/>
        <w:ind w:right="7699"/>
        <w:spacing w:after="0"/>
        <w:rPr>
          <w:sz w:val="20"/>
          <w:szCs w:val="20"/>
          <w:color w:val="auto"/>
        </w:rPr>
      </w:pPr>
      <w:r>
        <w:rPr>
          <w:rFonts w:ascii="Courier New" w:cs="Courier New" w:eastAsia="Courier New" w:hAnsi="Courier New"/>
          <w:sz w:val="15"/>
          <w:szCs w:val="15"/>
          <w:color w:val="auto"/>
        </w:rPr>
        <w:t>January 12, 2001</w:t>
      </w:r>
    </w:p>
    <w:p>
      <w:pPr>
        <w:spacing w:after="0" w:line="5"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440" w:space="0"/>
            <w:col w:w="9799"/>
          </w:cols>
          <w:pgMar w:left="220" w:top="478"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2"/>
          <w:szCs w:val="12"/>
          <w:color w:val="auto"/>
        </w:rPr>
        <w:t>67</w:t>
      </w:r>
    </w:p>
    <w:p>
      <w:pPr>
        <w:sectPr>
          <w:pgSz w:w="11900" w:h="16838" w:orient="portrait"/>
          <w:cols w:equalWidth="0" w:num="1">
            <w:col w:w="10239"/>
          </w:cols>
          <w:pgMar w:left="220" w:top="478" w:right="1440" w:bottom="1440" w:gutter="0" w:footer="0" w:header="0"/>
          <w:type w:val="continuous"/>
        </w:sectPr>
      </w:pPr>
    </w:p>
    <w:bookmarkStart w:id="69" w:name="page70"/>
    <w:bookmarkEnd w:id="69"/>
    <w:p>
      <w:pPr>
        <w:ind w:left="6220"/>
        <w:spacing w:after="0"/>
        <w:rPr>
          <w:sz w:val="20"/>
          <w:szCs w:val="20"/>
          <w:color w:val="auto"/>
        </w:rPr>
      </w:pPr>
      <w:r>
        <w:rPr>
          <w:rFonts w:ascii="Courier New" w:cs="Courier New" w:eastAsia="Courier New" w:hAnsi="Courier New"/>
          <w:sz w:val="14"/>
          <w:szCs w:val="14"/>
          <w:color w:val="auto"/>
        </w:rPr>
        <w:t>10-K 2000</w:t>
      </w:r>
    </w:p>
    <w:p>
      <w:pPr>
        <w:spacing w:after="0" w:line="10"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Exhibit 24(c)</w:t>
      </w:r>
    </w:p>
    <w:p>
      <w:pPr>
        <w:spacing w:after="0" w:line="17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2000,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39"/>
          </w:cols>
          <w:pgMar w:left="220" w:top="478" w:right="1440" w:bottom="1440" w:gutter="0" w:footer="0" w:header="0"/>
        </w:sectPr>
      </w:pP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Don E. Ackerman</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T. McCormick, Jr.</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 Euan Baird</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ind w:left="440"/>
        <w:spacing w:after="0" w:line="238" w:lineRule="auto"/>
        <w:rPr>
          <w:sz w:val="20"/>
          <w:szCs w:val="20"/>
          <w:color w:val="auto"/>
        </w:rPr>
      </w:pPr>
      <w:r>
        <w:rPr>
          <w:rFonts w:ascii="Courier New" w:cs="Courier New" w:eastAsia="Courier New" w:hAnsi="Courier New"/>
          <w:sz w:val="15"/>
          <w:szCs w:val="15"/>
          <w:color w:val="auto"/>
        </w:rPr>
        <w:t>Chairman, President</w:t>
      </w:r>
    </w:p>
    <w:p>
      <w:pPr>
        <w:ind w:left="440"/>
        <w:spacing w:after="0" w:line="237" w:lineRule="auto"/>
        <w:rPr>
          <w:sz w:val="20"/>
          <w:szCs w:val="20"/>
          <w:color w:val="auto"/>
        </w:rPr>
      </w:pPr>
      <w:r>
        <w:rPr>
          <w:rFonts w:ascii="Courier New" w:cs="Courier New" w:eastAsia="Courier New" w:hAnsi="Courier New"/>
          <w:sz w:val="15"/>
          <w:szCs w:val="15"/>
          <w:color w:val="auto"/>
        </w:rPr>
        <w:t>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503"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1400"/>
        <w:spacing w:after="0"/>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John Deutch</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Victor E. Grijalva</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ind w:left="440"/>
        <w:spacing w:after="0" w:line="238" w:lineRule="auto"/>
        <w:rPr>
          <w:sz w:val="20"/>
          <w:szCs w:val="20"/>
          <w:color w:val="auto"/>
        </w:rPr>
      </w:pPr>
      <w:r>
        <w:rPr>
          <w:rFonts w:ascii="Courier New" w:cs="Courier New" w:eastAsia="Courier New" w:hAnsi="Courier New"/>
          <w:sz w:val="15"/>
          <w:szCs w:val="15"/>
          <w:color w:val="auto"/>
        </w:rPr>
        <w:t>Vice Chairman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341"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Denys Henderson</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Andre Levy-Lang</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Yoshihiko Wakumoto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67"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5"/>
          <w:szCs w:val="15"/>
          <w:color w:val="auto"/>
        </w:rPr>
        <w:t>January 12,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440" w:space="0"/>
            <w:col w:w="9799"/>
          </w:cols>
          <w:pgMar w:left="220" w:top="478"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2"/>
          <w:szCs w:val="12"/>
          <w:color w:val="auto"/>
        </w:rPr>
        <w:t>68</w:t>
      </w:r>
    </w:p>
    <w:p>
      <w:pPr>
        <w:sectPr>
          <w:pgSz w:w="11900" w:h="16838" w:orient="portrait"/>
          <w:cols w:equalWidth="0" w:num="1">
            <w:col w:w="10239"/>
          </w:cols>
          <w:pgMar w:left="220" w:top="478" w:right="1440" w:bottom="1440" w:gutter="0" w:footer="0" w:header="0"/>
          <w:type w:val="continuous"/>
        </w:sectPr>
      </w:pPr>
    </w:p>
    <w:bookmarkStart w:id="70" w:name="page71"/>
    <w:bookmarkEnd w:id="70"/>
    <w:p>
      <w:pPr>
        <w:ind w:left="6220"/>
        <w:spacing w:after="0"/>
        <w:rPr>
          <w:sz w:val="20"/>
          <w:szCs w:val="20"/>
          <w:color w:val="auto"/>
        </w:rPr>
      </w:pPr>
      <w:r>
        <w:rPr>
          <w:rFonts w:ascii="Courier New" w:cs="Courier New" w:eastAsia="Courier New" w:hAnsi="Courier New"/>
          <w:sz w:val="14"/>
          <w:szCs w:val="14"/>
          <w:color w:val="auto"/>
        </w:rPr>
        <w:t>10-K 2000</w:t>
      </w:r>
    </w:p>
    <w:p>
      <w:pPr>
        <w:spacing w:after="0" w:line="10"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Exhibit 24(d)</w:t>
      </w:r>
    </w:p>
    <w:p>
      <w:pPr>
        <w:spacing w:after="0" w:line="171"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2000,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39"/>
          </w:cols>
          <w:pgMar w:left="220" w:top="478" w:right="1440" w:bottom="1440" w:gutter="0" w:footer="0" w:header="0"/>
        </w:sectPr>
      </w:pP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Don E. Ackerman</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T. McCormick, Jr.</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 Euan Baird</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ind w:left="440"/>
        <w:spacing w:after="0" w:line="238" w:lineRule="auto"/>
        <w:rPr>
          <w:sz w:val="20"/>
          <w:szCs w:val="20"/>
          <w:color w:val="auto"/>
        </w:rPr>
      </w:pPr>
      <w:r>
        <w:rPr>
          <w:rFonts w:ascii="Courier New" w:cs="Courier New" w:eastAsia="Courier New" w:hAnsi="Courier New"/>
          <w:sz w:val="15"/>
          <w:szCs w:val="15"/>
          <w:color w:val="auto"/>
        </w:rPr>
        <w:t>Chairman, President</w:t>
      </w:r>
    </w:p>
    <w:p>
      <w:pPr>
        <w:ind w:left="440"/>
        <w:spacing w:after="0" w:line="237" w:lineRule="auto"/>
        <w:rPr>
          <w:sz w:val="20"/>
          <w:szCs w:val="20"/>
          <w:color w:val="auto"/>
        </w:rPr>
      </w:pPr>
      <w:r>
        <w:rPr>
          <w:rFonts w:ascii="Courier New" w:cs="Courier New" w:eastAsia="Courier New" w:hAnsi="Courier New"/>
          <w:sz w:val="15"/>
          <w:szCs w:val="15"/>
          <w:color w:val="auto"/>
        </w:rPr>
        <w:t>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509"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John Deutch</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67"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1500"/>
        <w:spacing w:after="0"/>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Victor E. Grijalva</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ind w:left="440"/>
        <w:spacing w:after="0" w:line="238" w:lineRule="auto"/>
        <w:rPr>
          <w:sz w:val="20"/>
          <w:szCs w:val="20"/>
          <w:color w:val="auto"/>
        </w:rPr>
      </w:pPr>
      <w:r>
        <w:rPr>
          <w:rFonts w:ascii="Courier New" w:cs="Courier New" w:eastAsia="Courier New" w:hAnsi="Courier New"/>
          <w:sz w:val="15"/>
          <w:szCs w:val="15"/>
          <w:color w:val="auto"/>
        </w:rPr>
        <w:t>Vice Chairman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341"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Denys Henderson</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Andre Levy-Lang</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Yoshihiko Wakumoto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67"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5"/>
          <w:szCs w:val="15"/>
          <w:color w:val="auto"/>
        </w:rPr>
        <w:t>January 12,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440" w:space="0"/>
            <w:col w:w="9799"/>
          </w:cols>
          <w:pgMar w:left="220" w:top="478"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2"/>
          <w:szCs w:val="12"/>
          <w:color w:val="auto"/>
        </w:rPr>
        <w:t>69</w:t>
      </w:r>
    </w:p>
    <w:p>
      <w:pPr>
        <w:sectPr>
          <w:pgSz w:w="11900" w:h="16838" w:orient="portrait"/>
          <w:cols w:equalWidth="0" w:num="1">
            <w:col w:w="10239"/>
          </w:cols>
          <w:pgMar w:left="220" w:top="478" w:right="1440" w:bottom="1440" w:gutter="0" w:footer="0" w:header="0"/>
          <w:type w:val="continuous"/>
        </w:sectPr>
      </w:pPr>
    </w:p>
    <w:bookmarkStart w:id="71" w:name="page72"/>
    <w:bookmarkEnd w:id="71"/>
    <w:p>
      <w:pPr>
        <w:ind w:left="6220"/>
        <w:spacing w:after="0"/>
        <w:rPr>
          <w:sz w:val="20"/>
          <w:szCs w:val="20"/>
          <w:color w:val="auto"/>
        </w:rPr>
      </w:pPr>
      <w:r>
        <w:rPr>
          <w:rFonts w:ascii="Courier New" w:cs="Courier New" w:eastAsia="Courier New" w:hAnsi="Courier New"/>
          <w:sz w:val="14"/>
          <w:szCs w:val="14"/>
          <w:color w:val="auto"/>
        </w:rPr>
        <w:t>10-K 2000</w:t>
      </w:r>
    </w:p>
    <w:p>
      <w:pPr>
        <w:spacing w:after="0" w:line="10"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Exhibit 24(e)</w:t>
      </w:r>
    </w:p>
    <w:p>
      <w:pPr>
        <w:spacing w:after="0" w:line="17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2000,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39"/>
          </w:cols>
          <w:pgMar w:left="220" w:top="478" w:right="1440" w:bottom="1440" w:gutter="0" w:footer="0" w:header="0"/>
        </w:sectPr>
      </w:pP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Don E. Ackerman</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T. McCormick, Jr.</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 Euan Baird</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ind w:left="440"/>
        <w:spacing w:after="0" w:line="238" w:lineRule="auto"/>
        <w:rPr>
          <w:sz w:val="20"/>
          <w:szCs w:val="20"/>
          <w:color w:val="auto"/>
        </w:rPr>
      </w:pPr>
      <w:r>
        <w:rPr>
          <w:rFonts w:ascii="Courier New" w:cs="Courier New" w:eastAsia="Courier New" w:hAnsi="Courier New"/>
          <w:sz w:val="15"/>
          <w:szCs w:val="15"/>
          <w:color w:val="auto"/>
        </w:rPr>
        <w:t>Chairman, President</w:t>
      </w:r>
    </w:p>
    <w:p>
      <w:pPr>
        <w:ind w:left="440"/>
        <w:spacing w:after="0" w:line="237" w:lineRule="auto"/>
        <w:rPr>
          <w:sz w:val="20"/>
          <w:szCs w:val="20"/>
          <w:color w:val="auto"/>
        </w:rPr>
      </w:pPr>
      <w:r>
        <w:rPr>
          <w:rFonts w:ascii="Courier New" w:cs="Courier New" w:eastAsia="Courier New" w:hAnsi="Courier New"/>
          <w:sz w:val="15"/>
          <w:szCs w:val="15"/>
          <w:color w:val="auto"/>
        </w:rPr>
        <w:t>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509"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John Deutch</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Victor E. Grijalva</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ind w:left="440"/>
        <w:spacing w:after="0" w:line="238" w:lineRule="auto"/>
        <w:rPr>
          <w:sz w:val="20"/>
          <w:szCs w:val="20"/>
          <w:color w:val="auto"/>
        </w:rPr>
      </w:pPr>
      <w:r>
        <w:rPr>
          <w:rFonts w:ascii="Courier New" w:cs="Courier New" w:eastAsia="Courier New" w:hAnsi="Courier New"/>
          <w:sz w:val="15"/>
          <w:szCs w:val="15"/>
          <w:color w:val="auto"/>
        </w:rPr>
        <w:t>Vice Chairman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335"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1400"/>
        <w:spacing w:after="0"/>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Denys Henderson</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Andre Levy-Lang</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Yoshihiko Wakumoto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67"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jc w:val="center"/>
        <w:ind w:right="7699"/>
        <w:spacing w:after="0"/>
        <w:rPr>
          <w:sz w:val="20"/>
          <w:szCs w:val="20"/>
          <w:color w:val="auto"/>
        </w:rPr>
      </w:pPr>
      <w:r>
        <w:rPr>
          <w:rFonts w:ascii="Courier New" w:cs="Courier New" w:eastAsia="Courier New" w:hAnsi="Courier New"/>
          <w:sz w:val="15"/>
          <w:szCs w:val="15"/>
          <w:color w:val="auto"/>
        </w:rPr>
        <w:t>January 16, 2001</w:t>
      </w:r>
    </w:p>
    <w:p>
      <w:pPr>
        <w:spacing w:after="0" w:line="5" w:lineRule="exact"/>
        <w:rPr>
          <w:sz w:val="20"/>
          <w:szCs w:val="20"/>
          <w:color w:val="auto"/>
        </w:rPr>
      </w:pPr>
    </w:p>
    <w:p>
      <w:pPr>
        <w:jc w:val="center"/>
        <w:ind w:right="7699"/>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440" w:space="0"/>
            <w:col w:w="9799"/>
          </w:cols>
          <w:pgMar w:left="220" w:top="478"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2"/>
          <w:szCs w:val="12"/>
          <w:color w:val="auto"/>
        </w:rPr>
        <w:t>70</w:t>
      </w:r>
    </w:p>
    <w:p>
      <w:pPr>
        <w:sectPr>
          <w:pgSz w:w="11900" w:h="16838" w:orient="portrait"/>
          <w:cols w:equalWidth="0" w:num="1">
            <w:col w:w="10239"/>
          </w:cols>
          <w:pgMar w:left="220" w:top="478" w:right="1440" w:bottom="1440" w:gutter="0" w:footer="0" w:header="0"/>
          <w:type w:val="continuous"/>
        </w:sectPr>
      </w:pPr>
    </w:p>
    <w:bookmarkStart w:id="72" w:name="page73"/>
    <w:bookmarkEnd w:id="72"/>
    <w:p>
      <w:pPr>
        <w:ind w:left="6220"/>
        <w:spacing w:after="0"/>
        <w:rPr>
          <w:sz w:val="20"/>
          <w:szCs w:val="20"/>
          <w:color w:val="auto"/>
        </w:rPr>
      </w:pPr>
      <w:r>
        <w:rPr>
          <w:rFonts w:ascii="Courier New" w:cs="Courier New" w:eastAsia="Courier New" w:hAnsi="Courier New"/>
          <w:sz w:val="14"/>
          <w:szCs w:val="14"/>
          <w:color w:val="auto"/>
        </w:rPr>
        <w:t>10-K 2000</w:t>
      </w:r>
    </w:p>
    <w:p>
      <w:pPr>
        <w:spacing w:after="0" w:line="10" w:lineRule="exact"/>
        <w:rPr>
          <w:sz w:val="20"/>
          <w:szCs w:val="20"/>
          <w:color w:val="auto"/>
        </w:rPr>
      </w:pPr>
    </w:p>
    <w:p>
      <w:pPr>
        <w:ind w:left="5860"/>
        <w:spacing w:after="0"/>
        <w:rPr>
          <w:sz w:val="20"/>
          <w:szCs w:val="20"/>
          <w:color w:val="auto"/>
        </w:rPr>
      </w:pPr>
      <w:r>
        <w:rPr>
          <w:rFonts w:ascii="Courier New" w:cs="Courier New" w:eastAsia="Courier New" w:hAnsi="Courier New"/>
          <w:sz w:val="14"/>
          <w:szCs w:val="14"/>
          <w:color w:val="auto"/>
        </w:rPr>
        <w:t>Exhibit 24(f)</w:t>
      </w:r>
    </w:p>
    <w:p>
      <w:pPr>
        <w:spacing w:after="0" w:line="17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2000,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39"/>
          </w:cols>
          <w:pgMar w:left="220" w:top="478" w:right="1440" w:bottom="1440" w:gutter="0" w:footer="0" w:header="0"/>
        </w:sectPr>
      </w:pPr>
    </w:p>
    <w:p>
      <w:pPr>
        <w:spacing w:after="0" w:line="342"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Don E. Ackerman</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32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T. McCormick, Jr.</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 Euan Baird</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ind w:left="440"/>
        <w:spacing w:after="0" w:line="238" w:lineRule="auto"/>
        <w:rPr>
          <w:sz w:val="20"/>
          <w:szCs w:val="20"/>
          <w:color w:val="auto"/>
        </w:rPr>
      </w:pPr>
      <w:r>
        <w:rPr>
          <w:rFonts w:ascii="Courier New" w:cs="Courier New" w:eastAsia="Courier New" w:hAnsi="Courier New"/>
          <w:sz w:val="15"/>
          <w:szCs w:val="15"/>
          <w:color w:val="auto"/>
        </w:rPr>
        <w:t>Chairman, President</w:t>
      </w:r>
    </w:p>
    <w:p>
      <w:pPr>
        <w:ind w:left="440"/>
        <w:spacing w:after="0" w:line="237" w:lineRule="auto"/>
        <w:rPr>
          <w:sz w:val="20"/>
          <w:szCs w:val="20"/>
          <w:color w:val="auto"/>
        </w:rPr>
      </w:pPr>
      <w:r>
        <w:rPr>
          <w:rFonts w:ascii="Courier New" w:cs="Courier New" w:eastAsia="Courier New" w:hAnsi="Courier New"/>
          <w:sz w:val="15"/>
          <w:szCs w:val="15"/>
          <w:color w:val="auto"/>
        </w:rPr>
        <w:t>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509"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John Deutch</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Victor E. Grijalva</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ind w:left="440"/>
        <w:spacing w:after="0" w:line="238" w:lineRule="auto"/>
        <w:rPr>
          <w:sz w:val="20"/>
          <w:szCs w:val="20"/>
          <w:color w:val="auto"/>
        </w:rPr>
      </w:pPr>
      <w:r>
        <w:rPr>
          <w:rFonts w:ascii="Courier New" w:cs="Courier New" w:eastAsia="Courier New" w:hAnsi="Courier New"/>
          <w:sz w:val="15"/>
          <w:szCs w:val="15"/>
          <w:color w:val="auto"/>
        </w:rPr>
        <w:t>Vice Chairman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341"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Denys Henderson</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67"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ind w:left="1500"/>
        <w:spacing w:after="0"/>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Andre Levy-Lang</w:t>
      </w:r>
    </w:p>
    <w:p>
      <w:pPr>
        <w:ind w:left="4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Yoshihiko Wakumoto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67" w:lineRule="exact"/>
        <w:rPr>
          <w:sz w:val="20"/>
          <w:szCs w:val="20"/>
          <w:color w:val="auto"/>
        </w:rPr>
      </w:pPr>
    </w:p>
    <w:p>
      <w:pPr>
        <w:sectPr>
          <w:pgSz w:w="11900" w:h="16838" w:orient="portrait"/>
          <w:cols w:equalWidth="0" w:num="2">
            <w:col w:w="3220" w:space="720"/>
            <w:col w:w="6299"/>
          </w:cols>
          <w:pgMar w:left="220" w:top="478" w:right="1440" w:bottom="1440" w:gutter="0" w:footer="0" w:header="0"/>
          <w:type w:val="continuous"/>
        </w:sectPr>
      </w:pP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Date:</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5"/>
          <w:szCs w:val="15"/>
          <w:color w:val="auto"/>
        </w:rPr>
        <w:t>January 15, 2001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440" w:space="0"/>
            <w:col w:w="9799"/>
          </w:cols>
          <w:pgMar w:left="220" w:top="478"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2"/>
          <w:szCs w:val="12"/>
          <w:color w:val="auto"/>
        </w:rPr>
        <w:t>71</w:t>
      </w:r>
    </w:p>
    <w:p>
      <w:pPr>
        <w:sectPr>
          <w:pgSz w:w="11900" w:h="16838" w:orient="portrait"/>
          <w:cols w:equalWidth="0" w:num="1">
            <w:col w:w="10239"/>
          </w:cols>
          <w:pgMar w:left="220" w:top="478" w:right="1440" w:bottom="1440" w:gutter="0" w:footer="0" w:header="0"/>
          <w:type w:val="continuous"/>
        </w:sectPr>
      </w:pPr>
    </w:p>
    <w:bookmarkStart w:id="73" w:name="page74"/>
    <w:bookmarkEnd w:id="73"/>
    <w:p>
      <w:pPr>
        <w:jc w:val="right"/>
        <w:ind w:right="3340"/>
        <w:spacing w:after="0"/>
        <w:rPr>
          <w:sz w:val="20"/>
          <w:szCs w:val="20"/>
          <w:color w:val="auto"/>
        </w:rPr>
      </w:pPr>
      <w:r>
        <w:rPr>
          <w:rFonts w:ascii="Courier New" w:cs="Courier New" w:eastAsia="Courier New" w:hAnsi="Courier New"/>
          <w:sz w:val="15"/>
          <w:szCs w:val="15"/>
          <w:color w:val="auto"/>
        </w:rPr>
        <w:t>10-K 2000</w:t>
      </w:r>
    </w:p>
    <w:p>
      <w:pPr>
        <w:jc w:val="right"/>
        <w:ind w:right="3340"/>
        <w:spacing w:after="0" w:line="237" w:lineRule="auto"/>
        <w:rPr>
          <w:sz w:val="20"/>
          <w:szCs w:val="20"/>
          <w:color w:val="auto"/>
        </w:rPr>
      </w:pPr>
      <w:r>
        <w:rPr>
          <w:rFonts w:ascii="Courier New" w:cs="Courier New" w:eastAsia="Courier New" w:hAnsi="Courier New"/>
          <w:sz w:val="15"/>
          <w:szCs w:val="15"/>
          <w:color w:val="auto"/>
        </w:rPr>
        <w:t>Exhibit 24(g)</w:t>
      </w:r>
    </w:p>
    <w:p>
      <w:pPr>
        <w:ind w:left="2720"/>
        <w:spacing w:after="0" w:line="238" w:lineRule="auto"/>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420" w:firstLine="78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2000,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6360" w:type="dxa"/>
            <w:vAlign w:val="bottom"/>
          </w:tcPr>
          <w:p>
            <w:pPr>
              <w:ind w:left="3200"/>
              <w:spacing w:after="0"/>
              <w:rPr>
                <w:sz w:val="20"/>
                <w:szCs w:val="20"/>
                <w:color w:val="auto"/>
              </w:rPr>
            </w:pPr>
            <w:r>
              <w:rPr>
                <w:rFonts w:ascii="Courier New" w:cs="Courier New" w:eastAsia="Courier New" w:hAnsi="Courier New"/>
                <w:sz w:val="15"/>
                <w:szCs w:val="15"/>
                <w:color w:val="auto"/>
              </w:rPr>
              <w:t>/s/</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8"/>
              </w:rPr>
              <w:t>- ------------------------------------------------------</w:t>
            </w:r>
          </w:p>
        </w:tc>
        <w:tc>
          <w:tcPr>
            <w:tcW w:w="6360" w:type="dxa"/>
            <w:vAlign w:val="bottom"/>
          </w:tcPr>
          <w:p>
            <w:pPr>
              <w:ind w:left="18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Don E. Ackerman</w:t>
            </w: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William T. McCormick, Jr.</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180" w:type="dxa"/>
            <w:vAlign w:val="bottom"/>
          </w:tcPr>
          <w:p>
            <w:pPr>
              <w:spacing w:after="0"/>
              <w:rPr>
                <w:sz w:val="14"/>
                <w:szCs w:val="14"/>
                <w:color w:val="auto"/>
              </w:rPr>
            </w:pP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33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w w:val="78"/>
              </w:rPr>
              <w:t>- ------------------------------------------------------</w:t>
            </w:r>
          </w:p>
        </w:tc>
        <w:tc>
          <w:tcPr>
            <w:tcW w:w="6360" w:type="dxa"/>
            <w:vAlign w:val="bottom"/>
          </w:tcPr>
          <w:p>
            <w:pPr>
              <w:ind w:left="180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 Euan Baird</w:t>
            </w: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Didier Primat</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180" w:type="dxa"/>
            <w:vAlign w:val="bottom"/>
          </w:tcPr>
          <w:p>
            <w:pPr>
              <w:spacing w:after="0"/>
              <w:rPr>
                <w:sz w:val="14"/>
                <w:szCs w:val="14"/>
                <w:color w:val="auto"/>
              </w:rPr>
            </w:pP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Chairman, President</w:t>
            </w:r>
          </w:p>
        </w:tc>
        <w:tc>
          <w:tcPr>
            <w:tcW w:w="6360" w:type="dxa"/>
            <w:vAlign w:val="bottom"/>
          </w:tcPr>
          <w:p>
            <w:pPr>
              <w:spacing w:after="0"/>
              <w:rPr>
                <w:sz w:val="14"/>
                <w:szCs w:val="14"/>
                <w:color w:val="auto"/>
              </w:rPr>
            </w:pP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 Chief Executive Officer</w:t>
            </w:r>
          </w:p>
        </w:tc>
        <w:tc>
          <w:tcPr>
            <w:tcW w:w="6360" w:type="dxa"/>
            <w:vAlign w:val="bottom"/>
          </w:tcPr>
          <w:p>
            <w:pPr>
              <w:spacing w:after="0"/>
              <w:rPr>
                <w:sz w:val="14"/>
                <w:szCs w:val="14"/>
                <w:color w:val="auto"/>
              </w:rPr>
            </w:pPr>
          </w:p>
        </w:tc>
      </w:tr>
      <w:tr>
        <w:trPr>
          <w:trHeight w:val="33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w w:val="78"/>
              </w:rPr>
              <w:t>- ------------------------------------------------------</w:t>
            </w:r>
          </w:p>
        </w:tc>
        <w:tc>
          <w:tcPr>
            <w:tcW w:w="6360" w:type="dxa"/>
            <w:vAlign w:val="bottom"/>
          </w:tcPr>
          <w:p>
            <w:pPr>
              <w:ind w:left="180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John Deutch</w:t>
            </w: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Nicolas Seydoux</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180" w:type="dxa"/>
            <w:vAlign w:val="bottom"/>
          </w:tcPr>
          <w:p>
            <w:pPr>
              <w:spacing w:after="0"/>
              <w:rPr>
                <w:sz w:val="14"/>
                <w:szCs w:val="14"/>
                <w:color w:val="auto"/>
              </w:rPr>
            </w:pP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33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w w:val="78"/>
              </w:rPr>
              <w:t>- ------------------------------------------------------</w:t>
            </w:r>
          </w:p>
        </w:tc>
        <w:tc>
          <w:tcPr>
            <w:tcW w:w="6360" w:type="dxa"/>
            <w:vAlign w:val="bottom"/>
          </w:tcPr>
          <w:p>
            <w:pPr>
              <w:ind w:left="180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Victor E. Grijalva</w:t>
            </w: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Linda G. Stuntz</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180" w:type="dxa"/>
            <w:vAlign w:val="bottom"/>
          </w:tcPr>
          <w:p>
            <w:pPr>
              <w:spacing w:after="0"/>
              <w:rPr>
                <w:sz w:val="14"/>
                <w:szCs w:val="14"/>
                <w:color w:val="auto"/>
              </w:rPr>
            </w:pP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Vice Chairman</w:t>
            </w:r>
          </w:p>
        </w:tc>
        <w:tc>
          <w:tcPr>
            <w:tcW w:w="6360" w:type="dxa"/>
            <w:vAlign w:val="bottom"/>
          </w:tcPr>
          <w:p>
            <w:pPr>
              <w:spacing w:after="0"/>
              <w:rPr>
                <w:sz w:val="14"/>
                <w:szCs w:val="14"/>
                <w:color w:val="auto"/>
              </w:rPr>
            </w:pPr>
          </w:p>
        </w:tc>
      </w:tr>
      <w:tr>
        <w:trPr>
          <w:trHeight w:val="33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w w:val="78"/>
              </w:rPr>
              <w:t>- ------------------------------------------------------</w:t>
            </w:r>
          </w:p>
        </w:tc>
        <w:tc>
          <w:tcPr>
            <w:tcW w:w="6360" w:type="dxa"/>
            <w:vAlign w:val="bottom"/>
          </w:tcPr>
          <w:p>
            <w:pPr>
              <w:ind w:left="180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Denys Henderson</w:t>
            </w: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Sven Ullring</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180" w:type="dxa"/>
            <w:vAlign w:val="bottom"/>
          </w:tcPr>
          <w:p>
            <w:pPr>
              <w:spacing w:after="0"/>
              <w:rPr>
                <w:sz w:val="14"/>
                <w:szCs w:val="14"/>
                <w:color w:val="auto"/>
              </w:rPr>
            </w:pP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33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w w:val="78"/>
              </w:rPr>
              <w:t>- ------------------------------------------------------</w:t>
            </w:r>
          </w:p>
        </w:tc>
        <w:tc>
          <w:tcPr>
            <w:tcW w:w="6360" w:type="dxa"/>
            <w:vAlign w:val="bottom"/>
          </w:tcPr>
          <w:p>
            <w:pPr>
              <w:ind w:left="180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Andre Levy-Lang</w:t>
            </w: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Yoshihiko Wakumoto</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180" w:type="dxa"/>
            <w:vAlign w:val="bottom"/>
          </w:tcPr>
          <w:p>
            <w:pPr>
              <w:spacing w:after="0"/>
              <w:rPr>
                <w:sz w:val="14"/>
                <w:szCs w:val="14"/>
                <w:color w:val="auto"/>
              </w:rPr>
            </w:pP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3180" w:type="dxa"/>
            <w:vAlign w:val="bottom"/>
          </w:tcPr>
          <w:p>
            <w:pPr>
              <w:spacing w:after="0"/>
              <w:rPr>
                <w:sz w:val="20"/>
                <w:szCs w:val="20"/>
                <w:color w:val="auto"/>
              </w:rPr>
            </w:pPr>
            <w:r>
              <w:rPr>
                <w:rFonts w:ascii="Courier New" w:cs="Courier New" w:eastAsia="Courier New" w:hAnsi="Courier New"/>
                <w:sz w:val="15"/>
                <w:szCs w:val="15"/>
                <w:color w:val="auto"/>
              </w:rPr>
              <w:t>January 12, 2001</w:t>
            </w:r>
          </w:p>
        </w:tc>
        <w:tc>
          <w:tcPr>
            <w:tcW w:w="6360" w:type="dxa"/>
            <w:vAlign w:val="bottom"/>
          </w:tcPr>
          <w:p>
            <w:pPr>
              <w:spacing w:after="0"/>
              <w:rPr>
                <w:sz w:val="24"/>
                <w:szCs w:val="24"/>
                <w:color w:val="auto"/>
              </w:rPr>
            </w:pPr>
          </w:p>
        </w:tc>
      </w:tr>
    </w:tbl>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72</w:t>
      </w:r>
    </w:p>
    <w:p>
      <w:pPr>
        <w:sectPr>
          <w:pgSz w:w="11900" w:h="16838" w:orient="portrait"/>
          <w:cols w:equalWidth="0" w:num="1">
            <w:col w:w="10340"/>
          </w:cols>
          <w:pgMar w:left="220" w:top="471" w:right="1339" w:bottom="1440" w:gutter="0" w:footer="0" w:header="0"/>
        </w:sectPr>
      </w:pPr>
    </w:p>
    <w:bookmarkStart w:id="74" w:name="page75"/>
    <w:bookmarkEnd w:id="74"/>
    <w:p>
      <w:pPr>
        <w:jc w:val="right"/>
        <w:ind w:right="3340"/>
        <w:spacing w:after="0"/>
        <w:rPr>
          <w:sz w:val="20"/>
          <w:szCs w:val="20"/>
          <w:color w:val="auto"/>
        </w:rPr>
      </w:pPr>
      <w:r>
        <w:rPr>
          <w:rFonts w:ascii="Courier New" w:cs="Courier New" w:eastAsia="Courier New" w:hAnsi="Courier New"/>
          <w:sz w:val="15"/>
          <w:szCs w:val="15"/>
          <w:color w:val="auto"/>
        </w:rPr>
        <w:t>10-K 2000</w:t>
      </w:r>
    </w:p>
    <w:p>
      <w:pPr>
        <w:jc w:val="right"/>
        <w:ind w:right="3340"/>
        <w:spacing w:after="0" w:line="237" w:lineRule="auto"/>
        <w:rPr>
          <w:sz w:val="20"/>
          <w:szCs w:val="20"/>
          <w:color w:val="auto"/>
        </w:rPr>
      </w:pPr>
      <w:r>
        <w:rPr>
          <w:rFonts w:ascii="Courier New" w:cs="Courier New" w:eastAsia="Courier New" w:hAnsi="Courier New"/>
          <w:sz w:val="15"/>
          <w:szCs w:val="15"/>
          <w:color w:val="auto"/>
        </w:rPr>
        <w:t>Exhibit 24(h)</w:t>
      </w:r>
    </w:p>
    <w:p>
      <w:pPr>
        <w:ind w:left="2720"/>
        <w:spacing w:after="0" w:line="238" w:lineRule="auto"/>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420" w:firstLine="78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2000,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w w:val="78"/>
              </w:rPr>
              <w:t>- ------------------------------------------------------</w:t>
            </w:r>
          </w:p>
        </w:tc>
        <w:tc>
          <w:tcPr>
            <w:tcW w:w="6360" w:type="dxa"/>
            <w:vAlign w:val="bottom"/>
          </w:tcPr>
          <w:p>
            <w:pPr>
              <w:ind w:left="180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Don E. Ackerman</w:t>
            </w: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William T. McCormick, Jr.</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180" w:type="dxa"/>
            <w:vAlign w:val="bottom"/>
          </w:tcPr>
          <w:p>
            <w:pPr>
              <w:spacing w:after="0"/>
              <w:rPr>
                <w:sz w:val="14"/>
                <w:szCs w:val="14"/>
                <w:color w:val="auto"/>
              </w:rPr>
            </w:pP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8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6360" w:type="dxa"/>
            <w:vAlign w:val="bottom"/>
          </w:tcPr>
          <w:p>
            <w:pPr>
              <w:ind w:left="3200"/>
              <w:spacing w:after="0" w:line="168" w:lineRule="exact"/>
              <w:rPr>
                <w:sz w:val="20"/>
                <w:szCs w:val="20"/>
                <w:color w:val="auto"/>
              </w:rPr>
            </w:pPr>
            <w:r>
              <w:rPr>
                <w:rFonts w:ascii="Courier New" w:cs="Courier New" w:eastAsia="Courier New" w:hAnsi="Courier New"/>
                <w:sz w:val="15"/>
                <w:szCs w:val="15"/>
                <w:color w:val="auto"/>
              </w:rPr>
              <w:t>/s/</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8"/>
              </w:rPr>
              <w:t>- ------------------------------------------------------</w:t>
            </w:r>
          </w:p>
        </w:tc>
        <w:tc>
          <w:tcPr>
            <w:tcW w:w="6360" w:type="dxa"/>
            <w:vAlign w:val="bottom"/>
          </w:tcPr>
          <w:p>
            <w:pPr>
              <w:ind w:left="18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 Euan Baird</w:t>
            </w: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Didier Primat</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180" w:type="dxa"/>
            <w:vAlign w:val="bottom"/>
          </w:tcPr>
          <w:p>
            <w:pPr>
              <w:spacing w:after="0"/>
              <w:rPr>
                <w:sz w:val="14"/>
                <w:szCs w:val="14"/>
                <w:color w:val="auto"/>
              </w:rPr>
            </w:pP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Chairman, President</w:t>
            </w:r>
          </w:p>
        </w:tc>
        <w:tc>
          <w:tcPr>
            <w:tcW w:w="6360" w:type="dxa"/>
            <w:vAlign w:val="bottom"/>
          </w:tcPr>
          <w:p>
            <w:pPr>
              <w:spacing w:after="0"/>
              <w:rPr>
                <w:sz w:val="14"/>
                <w:szCs w:val="14"/>
                <w:color w:val="auto"/>
              </w:rPr>
            </w:pP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 Chief Executive Officer</w:t>
            </w:r>
          </w:p>
        </w:tc>
        <w:tc>
          <w:tcPr>
            <w:tcW w:w="6360" w:type="dxa"/>
            <w:vAlign w:val="bottom"/>
          </w:tcPr>
          <w:p>
            <w:pPr>
              <w:spacing w:after="0"/>
              <w:rPr>
                <w:sz w:val="14"/>
                <w:szCs w:val="14"/>
                <w:color w:val="auto"/>
              </w:rPr>
            </w:pPr>
          </w:p>
        </w:tc>
      </w:tr>
      <w:tr>
        <w:trPr>
          <w:trHeight w:val="33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w w:val="78"/>
              </w:rPr>
              <w:t>- ------------------------------------------------------</w:t>
            </w:r>
          </w:p>
        </w:tc>
        <w:tc>
          <w:tcPr>
            <w:tcW w:w="6360" w:type="dxa"/>
            <w:vAlign w:val="bottom"/>
          </w:tcPr>
          <w:p>
            <w:pPr>
              <w:ind w:left="180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John Deutch</w:t>
            </w: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Nicolas Seydoux</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180" w:type="dxa"/>
            <w:vAlign w:val="bottom"/>
          </w:tcPr>
          <w:p>
            <w:pPr>
              <w:spacing w:after="0"/>
              <w:rPr>
                <w:sz w:val="14"/>
                <w:szCs w:val="14"/>
                <w:color w:val="auto"/>
              </w:rPr>
            </w:pP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33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w w:val="78"/>
              </w:rPr>
              <w:t>- ------------------------------------------------------</w:t>
            </w:r>
          </w:p>
        </w:tc>
        <w:tc>
          <w:tcPr>
            <w:tcW w:w="6360" w:type="dxa"/>
            <w:vAlign w:val="bottom"/>
          </w:tcPr>
          <w:p>
            <w:pPr>
              <w:ind w:left="180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Victor E. Grijalva</w:t>
            </w: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Linda G. Stuntz</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180" w:type="dxa"/>
            <w:vAlign w:val="bottom"/>
          </w:tcPr>
          <w:p>
            <w:pPr>
              <w:spacing w:after="0"/>
              <w:rPr>
                <w:sz w:val="14"/>
                <w:szCs w:val="14"/>
                <w:color w:val="auto"/>
              </w:rPr>
            </w:pP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Vice Chairman</w:t>
            </w:r>
          </w:p>
        </w:tc>
        <w:tc>
          <w:tcPr>
            <w:tcW w:w="6360" w:type="dxa"/>
            <w:vAlign w:val="bottom"/>
          </w:tcPr>
          <w:p>
            <w:pPr>
              <w:spacing w:after="0"/>
              <w:rPr>
                <w:sz w:val="14"/>
                <w:szCs w:val="14"/>
                <w:color w:val="auto"/>
              </w:rPr>
            </w:pPr>
          </w:p>
        </w:tc>
      </w:tr>
      <w:tr>
        <w:trPr>
          <w:trHeight w:val="33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w w:val="78"/>
              </w:rPr>
              <w:t>- ------------------------------------------------------</w:t>
            </w:r>
          </w:p>
        </w:tc>
        <w:tc>
          <w:tcPr>
            <w:tcW w:w="6360" w:type="dxa"/>
            <w:vAlign w:val="bottom"/>
          </w:tcPr>
          <w:p>
            <w:pPr>
              <w:ind w:left="180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Denys Henderson</w:t>
            </w: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Sven Ullring</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180" w:type="dxa"/>
            <w:vAlign w:val="bottom"/>
          </w:tcPr>
          <w:p>
            <w:pPr>
              <w:spacing w:after="0"/>
              <w:rPr>
                <w:sz w:val="14"/>
                <w:szCs w:val="14"/>
                <w:color w:val="auto"/>
              </w:rPr>
            </w:pP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33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w w:val="78"/>
              </w:rPr>
              <w:t>- ------------------------------------------------------</w:t>
            </w:r>
          </w:p>
        </w:tc>
        <w:tc>
          <w:tcPr>
            <w:tcW w:w="6360" w:type="dxa"/>
            <w:vAlign w:val="bottom"/>
          </w:tcPr>
          <w:p>
            <w:pPr>
              <w:ind w:left="180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Andre Levy-Lang</w:t>
            </w: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Yoshihiko Wakumoto</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180" w:type="dxa"/>
            <w:vAlign w:val="bottom"/>
          </w:tcPr>
          <w:p>
            <w:pPr>
              <w:spacing w:after="0"/>
              <w:rPr>
                <w:sz w:val="14"/>
                <w:szCs w:val="14"/>
                <w:color w:val="auto"/>
              </w:rPr>
            </w:pP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3180" w:type="dxa"/>
            <w:vAlign w:val="bottom"/>
          </w:tcPr>
          <w:p>
            <w:pPr>
              <w:spacing w:after="0"/>
              <w:rPr>
                <w:sz w:val="20"/>
                <w:szCs w:val="20"/>
                <w:color w:val="auto"/>
              </w:rPr>
            </w:pPr>
            <w:r>
              <w:rPr>
                <w:rFonts w:ascii="Courier New" w:cs="Courier New" w:eastAsia="Courier New" w:hAnsi="Courier New"/>
                <w:sz w:val="15"/>
                <w:szCs w:val="15"/>
                <w:color w:val="auto"/>
              </w:rPr>
              <w:t>January 12, 2001</w:t>
            </w:r>
          </w:p>
        </w:tc>
        <w:tc>
          <w:tcPr>
            <w:tcW w:w="6360" w:type="dxa"/>
            <w:vAlign w:val="bottom"/>
          </w:tcPr>
          <w:p>
            <w:pPr>
              <w:spacing w:after="0"/>
              <w:rPr>
                <w:sz w:val="24"/>
                <w:szCs w:val="24"/>
                <w:color w:val="auto"/>
              </w:rPr>
            </w:pPr>
          </w:p>
        </w:tc>
      </w:tr>
    </w:tbl>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73</w:t>
      </w:r>
    </w:p>
    <w:p>
      <w:pPr>
        <w:sectPr>
          <w:pgSz w:w="11900" w:h="16838" w:orient="portrait"/>
          <w:cols w:equalWidth="0" w:num="1">
            <w:col w:w="10340"/>
          </w:cols>
          <w:pgMar w:left="220" w:top="471" w:right="1339" w:bottom="1440" w:gutter="0" w:footer="0" w:header="0"/>
        </w:sectPr>
      </w:pPr>
    </w:p>
    <w:bookmarkStart w:id="75" w:name="page76"/>
    <w:bookmarkEnd w:id="75"/>
    <w:p>
      <w:pPr>
        <w:jc w:val="right"/>
        <w:ind w:right="3239"/>
        <w:spacing w:after="0"/>
        <w:rPr>
          <w:sz w:val="20"/>
          <w:szCs w:val="20"/>
          <w:color w:val="auto"/>
        </w:rPr>
      </w:pPr>
      <w:r>
        <w:rPr>
          <w:rFonts w:ascii="Courier New" w:cs="Courier New" w:eastAsia="Courier New" w:hAnsi="Courier New"/>
          <w:sz w:val="15"/>
          <w:szCs w:val="15"/>
          <w:color w:val="auto"/>
        </w:rPr>
        <w:t>10-K 2000</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24(i)</w:t>
      </w:r>
    </w:p>
    <w:p>
      <w:pPr>
        <w:ind w:left="2800"/>
        <w:spacing w:after="0" w:line="238" w:lineRule="auto"/>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2000,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39"/>
          </w:cols>
          <w:pgMar w:left="220" w:top="471" w:right="1440" w:bottom="1440" w:gutter="0" w:footer="0" w:header="0"/>
        </w:sectPr>
      </w:pP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 Don E. Ackerman Director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T. McCormick, Jr.</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160" w:space="340"/>
            <w:col w:w="6739"/>
          </w:cols>
          <w:pgMar w:left="220" w:top="471" w:right="1440" w:bottom="1440"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 Euan Baird</w:t>
      </w:r>
    </w:p>
    <w:p>
      <w:pPr>
        <w:ind w:left="540"/>
        <w:spacing w:after="0" w:line="237" w:lineRule="auto"/>
        <w:rPr>
          <w:sz w:val="20"/>
          <w:szCs w:val="20"/>
          <w:color w:val="auto"/>
        </w:rPr>
      </w:pPr>
      <w:r>
        <w:rPr>
          <w:rFonts w:ascii="Courier New" w:cs="Courier New" w:eastAsia="Courier New" w:hAnsi="Courier New"/>
          <w:sz w:val="15"/>
          <w:szCs w:val="15"/>
          <w:color w:val="auto"/>
        </w:rPr>
        <w:t>Director</w:t>
      </w:r>
    </w:p>
    <w:p>
      <w:pPr>
        <w:ind w:left="540"/>
        <w:spacing w:after="0" w:line="238" w:lineRule="auto"/>
        <w:rPr>
          <w:sz w:val="20"/>
          <w:szCs w:val="20"/>
          <w:color w:val="auto"/>
        </w:rPr>
      </w:pPr>
      <w:r>
        <w:rPr>
          <w:rFonts w:ascii="Courier New" w:cs="Courier New" w:eastAsia="Courier New" w:hAnsi="Courier New"/>
          <w:sz w:val="15"/>
          <w:szCs w:val="15"/>
          <w:color w:val="auto"/>
        </w:rPr>
        <w:t>Chairman, President</w:t>
      </w:r>
    </w:p>
    <w:p>
      <w:pPr>
        <w:ind w:left="540"/>
        <w:spacing w:after="0" w:line="237" w:lineRule="auto"/>
        <w:rPr>
          <w:sz w:val="20"/>
          <w:szCs w:val="20"/>
          <w:color w:val="auto"/>
        </w:rPr>
      </w:pPr>
      <w:r>
        <w:rPr>
          <w:rFonts w:ascii="Courier New" w:cs="Courier New" w:eastAsia="Courier New" w:hAnsi="Courier New"/>
          <w:sz w:val="15"/>
          <w:szCs w:val="15"/>
          <w:color w:val="auto"/>
        </w:rPr>
        <w:t>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337" w:lineRule="exact"/>
        <w:rPr>
          <w:sz w:val="20"/>
          <w:szCs w:val="20"/>
          <w:color w:val="auto"/>
        </w:rPr>
      </w:pPr>
    </w:p>
    <w:p>
      <w:pPr>
        <w:sectPr>
          <w:pgSz w:w="11900" w:h="16838" w:orient="portrait"/>
          <w:cols w:equalWidth="0" w:num="2">
            <w:col w:w="3160" w:space="340"/>
            <w:col w:w="6739"/>
          </w:cols>
          <w:pgMar w:left="220" w:top="471" w:right="1440" w:bottom="1440" w:gutter="0" w:footer="0" w:header="0"/>
          <w:type w:val="continuous"/>
        </w:sectPr>
      </w:pPr>
    </w:p>
    <w:p>
      <w:pPr>
        <w:spacing w:after="0" w:line="172"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John Deutch</w:t>
      </w:r>
    </w:p>
    <w:p>
      <w:pPr>
        <w:ind w:left="5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ind w:left="1140"/>
        <w:spacing w:after="0" w:line="238" w:lineRule="auto"/>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160" w:space="340"/>
            <w:col w:w="6739"/>
          </w:cols>
          <w:pgMar w:left="220" w:top="471" w:right="1440" w:bottom="1440"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Victor E. Grijalva</w:t>
      </w:r>
    </w:p>
    <w:p>
      <w:pPr>
        <w:ind w:left="540"/>
        <w:spacing w:after="0" w:line="237" w:lineRule="auto"/>
        <w:rPr>
          <w:sz w:val="20"/>
          <w:szCs w:val="20"/>
          <w:color w:val="auto"/>
        </w:rPr>
      </w:pPr>
      <w:r>
        <w:rPr>
          <w:rFonts w:ascii="Courier New" w:cs="Courier New" w:eastAsia="Courier New" w:hAnsi="Courier New"/>
          <w:sz w:val="15"/>
          <w:szCs w:val="15"/>
          <w:color w:val="auto"/>
        </w:rPr>
        <w:t>Director</w:t>
      </w:r>
    </w:p>
    <w:p>
      <w:pPr>
        <w:ind w:left="540"/>
        <w:spacing w:after="0" w:line="238" w:lineRule="auto"/>
        <w:rPr>
          <w:sz w:val="20"/>
          <w:szCs w:val="20"/>
          <w:color w:val="auto"/>
        </w:rPr>
      </w:pPr>
      <w:r>
        <w:rPr>
          <w:rFonts w:ascii="Courier New" w:cs="Courier New" w:eastAsia="Courier New" w:hAnsi="Courier New"/>
          <w:sz w:val="15"/>
          <w:szCs w:val="15"/>
          <w:color w:val="auto"/>
        </w:rPr>
        <w:t>Vice Chairman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341" w:lineRule="exact"/>
        <w:rPr>
          <w:sz w:val="20"/>
          <w:szCs w:val="20"/>
          <w:color w:val="auto"/>
        </w:rPr>
      </w:pPr>
    </w:p>
    <w:p>
      <w:pPr>
        <w:sectPr>
          <w:pgSz w:w="11900" w:h="16838" w:orient="portrait"/>
          <w:cols w:equalWidth="0" w:num="2">
            <w:col w:w="3160" w:space="340"/>
            <w:col w:w="6739"/>
          </w:cols>
          <w:pgMar w:left="220" w:top="471" w:right="1440" w:bottom="1440" w:gutter="0" w:footer="0" w:header="0"/>
          <w:type w:val="continuous"/>
        </w:sectPr>
      </w:pPr>
    </w:p>
    <w:p>
      <w:pPr>
        <w:ind w:left="540"/>
        <w:spacing w:after="0"/>
        <w:rPr>
          <w:sz w:val="20"/>
          <w:szCs w:val="20"/>
          <w:color w:val="auto"/>
        </w:rPr>
      </w:pPr>
      <w:r>
        <w:rPr>
          <w:rFonts w:ascii="Courier New" w:cs="Courier New" w:eastAsia="Courier New" w:hAnsi="Courier New"/>
          <w:sz w:val="15"/>
          <w:szCs w:val="15"/>
          <w:color w:val="auto"/>
        </w:rPr>
        <w:t>------------------------------ Denys Henderson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160" w:space="340"/>
            <w:col w:w="6739"/>
          </w:cols>
          <w:pgMar w:left="220" w:top="471" w:right="1440" w:bottom="1440" w:gutter="0" w:footer="0" w:header="0"/>
          <w:type w:val="continuous"/>
        </w:sectPr>
      </w:pPr>
    </w:p>
    <w:p>
      <w:pPr>
        <w:ind w:left="540"/>
        <w:spacing w:after="0"/>
        <w:rPr>
          <w:sz w:val="20"/>
          <w:szCs w:val="20"/>
          <w:color w:val="auto"/>
        </w:rPr>
      </w:pPr>
      <w:r>
        <w:rPr>
          <w:rFonts w:ascii="Courier New" w:cs="Courier New" w:eastAsia="Courier New" w:hAnsi="Courier New"/>
          <w:sz w:val="15"/>
          <w:szCs w:val="15"/>
          <w:color w:val="auto"/>
        </w:rPr>
        <w:t>------------------------------ Andre Levy-Lang 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Yoshihiko Wakumoto</w:t>
      </w:r>
    </w:p>
    <w:p>
      <w:pPr>
        <w:ind w:left="620"/>
        <w:spacing w:after="0" w:line="237" w:lineRule="auto"/>
        <w:rPr>
          <w:sz w:val="20"/>
          <w:szCs w:val="20"/>
          <w:color w:val="auto"/>
        </w:rPr>
      </w:pPr>
      <w:r>
        <w:rPr>
          <w:rFonts w:ascii="Courier New" w:cs="Courier New" w:eastAsia="Courier New" w:hAnsi="Courier New"/>
          <w:sz w:val="15"/>
          <w:szCs w:val="15"/>
          <w:color w:val="auto"/>
        </w:rPr>
        <w:t>Director</w:t>
      </w:r>
    </w:p>
    <w:p>
      <w:pPr>
        <w:spacing w:after="0" w:line="167" w:lineRule="exact"/>
        <w:rPr>
          <w:sz w:val="20"/>
          <w:szCs w:val="20"/>
          <w:color w:val="auto"/>
        </w:rPr>
      </w:pPr>
    </w:p>
    <w:p>
      <w:pPr>
        <w:sectPr>
          <w:pgSz w:w="11900" w:h="16838" w:orient="portrait"/>
          <w:cols w:equalWidth="0" w:num="2">
            <w:col w:w="3160" w:space="340"/>
            <w:col w:w="6739"/>
          </w:cols>
          <w:pgMar w:left="220" w:top="47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Date: January 12, 2001</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342" w:lineRule="exact"/>
        <w:rPr>
          <w:sz w:val="20"/>
          <w:szCs w:val="20"/>
          <w:color w:val="auto"/>
        </w:rPr>
      </w:pPr>
    </w:p>
    <w:p>
      <w:pPr>
        <w:ind w:left="3340"/>
        <w:spacing w:after="0"/>
        <w:rPr>
          <w:sz w:val="20"/>
          <w:szCs w:val="20"/>
          <w:color w:val="auto"/>
        </w:rPr>
      </w:pPr>
      <w:r>
        <w:rPr>
          <w:rFonts w:ascii="Courier New" w:cs="Courier New" w:eastAsia="Courier New" w:hAnsi="Courier New"/>
          <w:sz w:val="12"/>
          <w:szCs w:val="12"/>
          <w:color w:val="auto"/>
        </w:rPr>
        <w:t>74</w:t>
      </w:r>
    </w:p>
    <w:p>
      <w:pPr>
        <w:sectPr>
          <w:pgSz w:w="11900" w:h="16838" w:orient="portrait"/>
          <w:cols w:equalWidth="0" w:num="1">
            <w:col w:w="10239"/>
          </w:cols>
          <w:pgMar w:left="220" w:top="471" w:right="1440" w:bottom="1440" w:gutter="0" w:footer="0" w:header="0"/>
          <w:type w:val="continuous"/>
        </w:sectPr>
      </w:pPr>
    </w:p>
    <w:bookmarkStart w:id="76" w:name="page77"/>
    <w:bookmarkEnd w:id="76"/>
    <w:p>
      <w:pPr>
        <w:jc w:val="right"/>
        <w:ind w:right="3239"/>
        <w:spacing w:after="0"/>
        <w:rPr>
          <w:sz w:val="20"/>
          <w:szCs w:val="20"/>
          <w:color w:val="auto"/>
        </w:rPr>
      </w:pPr>
      <w:r>
        <w:rPr>
          <w:rFonts w:ascii="Courier New" w:cs="Courier New" w:eastAsia="Courier New" w:hAnsi="Courier New"/>
          <w:sz w:val="15"/>
          <w:szCs w:val="15"/>
          <w:color w:val="auto"/>
        </w:rPr>
        <w:t>10-K 2000</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24(j)</w:t>
      </w:r>
    </w:p>
    <w:p>
      <w:pPr>
        <w:ind w:left="2800"/>
        <w:spacing w:after="0" w:line="238" w:lineRule="auto"/>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2000,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39"/>
          </w:cols>
          <w:pgMar w:left="220" w:top="471" w:right="1440" w:bottom="1440" w:gutter="0" w:footer="0" w:header="0"/>
        </w:sectPr>
      </w:pP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Don E. Ackerman</w:t>
      </w:r>
    </w:p>
    <w:p>
      <w:pPr>
        <w:ind w:left="5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T. McCormick, Jr.</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500" w:space="440"/>
            <w:col w:w="6299"/>
          </w:cols>
          <w:pgMar w:left="220" w:top="471" w:right="1440" w:bottom="1440"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 Euan Baird</w:t>
      </w:r>
    </w:p>
    <w:p>
      <w:pPr>
        <w:ind w:left="540"/>
        <w:spacing w:after="0" w:line="237" w:lineRule="auto"/>
        <w:rPr>
          <w:sz w:val="20"/>
          <w:szCs w:val="20"/>
          <w:color w:val="auto"/>
        </w:rPr>
      </w:pPr>
      <w:r>
        <w:rPr>
          <w:rFonts w:ascii="Courier New" w:cs="Courier New" w:eastAsia="Courier New" w:hAnsi="Courier New"/>
          <w:sz w:val="15"/>
          <w:szCs w:val="15"/>
          <w:color w:val="auto"/>
        </w:rPr>
        <w:t>Director</w:t>
      </w:r>
    </w:p>
    <w:p>
      <w:pPr>
        <w:ind w:left="540"/>
        <w:spacing w:after="0" w:line="238" w:lineRule="auto"/>
        <w:rPr>
          <w:sz w:val="20"/>
          <w:szCs w:val="20"/>
          <w:color w:val="auto"/>
        </w:rPr>
      </w:pPr>
      <w:r>
        <w:rPr>
          <w:rFonts w:ascii="Courier New" w:cs="Courier New" w:eastAsia="Courier New" w:hAnsi="Courier New"/>
          <w:sz w:val="15"/>
          <w:szCs w:val="15"/>
          <w:color w:val="auto"/>
        </w:rPr>
        <w:t>Chairman, President</w:t>
      </w:r>
    </w:p>
    <w:p>
      <w:pPr>
        <w:ind w:left="540"/>
        <w:spacing w:after="0" w:line="237" w:lineRule="auto"/>
        <w:rPr>
          <w:sz w:val="20"/>
          <w:szCs w:val="20"/>
          <w:color w:val="auto"/>
        </w:rPr>
      </w:pPr>
      <w:r>
        <w:rPr>
          <w:rFonts w:ascii="Courier New" w:cs="Courier New" w:eastAsia="Courier New" w:hAnsi="Courier New"/>
          <w:sz w:val="15"/>
          <w:szCs w:val="15"/>
          <w:color w:val="auto"/>
        </w:rPr>
        <w:t>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509" w:lineRule="exact"/>
        <w:rPr>
          <w:sz w:val="20"/>
          <w:szCs w:val="20"/>
          <w:color w:val="auto"/>
        </w:rPr>
      </w:pPr>
    </w:p>
    <w:p>
      <w:pPr>
        <w:sectPr>
          <w:pgSz w:w="11900" w:h="16838" w:orient="portrait"/>
          <w:cols w:equalWidth="0" w:num="2">
            <w:col w:w="3500" w:space="440"/>
            <w:col w:w="6299"/>
          </w:cols>
          <w:pgMar w:left="220" w:top="471" w:right="1440" w:bottom="1440"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John Deutch</w:t>
      </w:r>
    </w:p>
    <w:p>
      <w:pPr>
        <w:ind w:left="5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 w:lineRule="exact"/>
        <w:rPr>
          <w:sz w:val="20"/>
          <w:szCs w:val="20"/>
          <w:color w:val="auto"/>
        </w:rPr>
      </w:pPr>
    </w:p>
    <w:p>
      <w:pPr>
        <w:sectPr>
          <w:pgSz w:w="11900" w:h="16838" w:orient="portrait"/>
          <w:cols w:equalWidth="0" w:num="2">
            <w:col w:w="3500" w:space="440"/>
            <w:col w:w="6299"/>
          </w:cols>
          <w:pgMar w:left="220" w:top="471" w:right="1440" w:bottom="1440" w:gutter="0" w:footer="0" w:header="0"/>
          <w:type w:val="continuous"/>
        </w:sectPr>
      </w:pPr>
    </w:p>
    <w:p>
      <w:pPr>
        <w:spacing w:after="0" w:line="172"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Victor E. Grijalva</w:t>
      </w:r>
    </w:p>
    <w:p>
      <w:pPr>
        <w:ind w:left="540"/>
        <w:spacing w:after="0" w:line="237" w:lineRule="auto"/>
        <w:rPr>
          <w:sz w:val="20"/>
          <w:szCs w:val="20"/>
          <w:color w:val="auto"/>
        </w:rPr>
      </w:pPr>
      <w:r>
        <w:rPr>
          <w:rFonts w:ascii="Courier New" w:cs="Courier New" w:eastAsia="Courier New" w:hAnsi="Courier New"/>
          <w:sz w:val="15"/>
          <w:szCs w:val="15"/>
          <w:color w:val="auto"/>
        </w:rPr>
        <w:t>Director</w:t>
      </w:r>
    </w:p>
    <w:p>
      <w:pPr>
        <w:ind w:left="540"/>
        <w:spacing w:after="0" w:line="238" w:lineRule="auto"/>
        <w:rPr>
          <w:sz w:val="20"/>
          <w:szCs w:val="20"/>
          <w:color w:val="auto"/>
        </w:rPr>
      </w:pPr>
      <w:r>
        <w:rPr>
          <w:rFonts w:ascii="Courier New" w:cs="Courier New" w:eastAsia="Courier New" w:hAnsi="Courier New"/>
          <w:sz w:val="15"/>
          <w:szCs w:val="15"/>
          <w:color w:val="auto"/>
        </w:rPr>
        <w:t>Vice Chairman</w:t>
      </w:r>
    </w:p>
    <w:p>
      <w:pPr>
        <w:spacing w:after="0" w:line="20" w:lineRule="exact"/>
        <w:rPr>
          <w:sz w:val="20"/>
          <w:szCs w:val="20"/>
          <w:color w:val="auto"/>
        </w:rPr>
      </w:pPr>
      <w:r>
        <w:rPr>
          <w:sz w:val="20"/>
          <w:szCs w:val="20"/>
          <w:color w:val="auto"/>
        </w:rPr>
        <w:br w:type="column"/>
      </w:r>
    </w:p>
    <w:p>
      <w:pPr>
        <w:ind w:left="1060"/>
        <w:spacing w:after="0" w:line="238" w:lineRule="auto"/>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341" w:lineRule="exact"/>
        <w:rPr>
          <w:sz w:val="20"/>
          <w:szCs w:val="20"/>
          <w:color w:val="auto"/>
        </w:rPr>
      </w:pPr>
    </w:p>
    <w:p>
      <w:pPr>
        <w:sectPr>
          <w:pgSz w:w="11900" w:h="16838" w:orient="portrait"/>
          <w:cols w:equalWidth="0" w:num="2">
            <w:col w:w="3500" w:space="440"/>
            <w:col w:w="6299"/>
          </w:cols>
          <w:pgMar w:left="220" w:top="471" w:right="1440" w:bottom="1440"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Denys Henderson</w:t>
      </w:r>
    </w:p>
    <w:p>
      <w:pPr>
        <w:ind w:left="5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500" w:space="440"/>
            <w:col w:w="6299"/>
          </w:cols>
          <w:pgMar w:left="220" w:top="471" w:right="1440" w:bottom="1440"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Andre Levy-Lang</w:t>
      </w:r>
    </w:p>
    <w:p>
      <w:pPr>
        <w:ind w:left="5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Yoshihiko Wakumoto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67" w:lineRule="exact"/>
        <w:rPr>
          <w:sz w:val="20"/>
          <w:szCs w:val="20"/>
          <w:color w:val="auto"/>
        </w:rPr>
      </w:pPr>
    </w:p>
    <w:p>
      <w:pPr>
        <w:sectPr>
          <w:pgSz w:w="11900" w:h="16838" w:orient="portrait"/>
          <w:cols w:equalWidth="0" w:num="2">
            <w:col w:w="3500" w:space="440"/>
            <w:col w:w="6299"/>
          </w:cols>
          <w:pgMar w:left="220" w:top="47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Date: January 12, 2001</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2"/>
          <w:szCs w:val="12"/>
          <w:color w:val="auto"/>
        </w:rPr>
        <w:t>75</w:t>
      </w:r>
    </w:p>
    <w:p>
      <w:pPr>
        <w:sectPr>
          <w:pgSz w:w="11900" w:h="16838" w:orient="portrait"/>
          <w:cols w:equalWidth="0" w:num="1">
            <w:col w:w="10239"/>
          </w:cols>
          <w:pgMar w:left="220" w:top="471" w:right="1440" w:bottom="1440" w:gutter="0" w:footer="0" w:header="0"/>
          <w:type w:val="continuous"/>
        </w:sectPr>
      </w:pPr>
    </w:p>
    <w:bookmarkStart w:id="77" w:name="page78"/>
    <w:bookmarkEnd w:id="77"/>
    <w:p>
      <w:pPr>
        <w:jc w:val="right"/>
        <w:ind w:right="3239"/>
        <w:spacing w:after="0"/>
        <w:rPr>
          <w:sz w:val="20"/>
          <w:szCs w:val="20"/>
          <w:color w:val="auto"/>
        </w:rPr>
      </w:pPr>
      <w:r>
        <w:rPr>
          <w:rFonts w:ascii="Courier New" w:cs="Courier New" w:eastAsia="Courier New" w:hAnsi="Courier New"/>
          <w:sz w:val="15"/>
          <w:szCs w:val="15"/>
          <w:color w:val="auto"/>
        </w:rPr>
        <w:t>10-K 2000</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24(k)</w:t>
      </w:r>
    </w:p>
    <w:p>
      <w:pPr>
        <w:ind w:left="2800"/>
        <w:spacing w:after="0" w:line="238" w:lineRule="auto"/>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2000,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ectPr>
          <w:pgSz w:w="11900" w:h="16838" w:orient="portrait"/>
          <w:cols w:equalWidth="0" w:num="1">
            <w:col w:w="10239"/>
          </w:cols>
          <w:pgMar w:left="220" w:top="471" w:right="1440" w:bottom="1440" w:gutter="0" w:footer="0" w:header="0"/>
        </w:sectPr>
      </w:pPr>
    </w:p>
    <w:p>
      <w:pPr>
        <w:spacing w:after="0" w:line="173"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Don E. Ackerman</w:t>
      </w:r>
    </w:p>
    <w:p>
      <w:pPr>
        <w:ind w:left="5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William T. McCormick, Jr.</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420" w:space="440"/>
            <w:col w:w="6379"/>
          </w:cols>
          <w:pgMar w:left="220" w:top="471" w:right="1440" w:bottom="1440"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 Euan Baird</w:t>
      </w:r>
    </w:p>
    <w:p>
      <w:pPr>
        <w:ind w:left="540"/>
        <w:spacing w:after="0" w:line="237" w:lineRule="auto"/>
        <w:rPr>
          <w:sz w:val="20"/>
          <w:szCs w:val="20"/>
          <w:color w:val="auto"/>
        </w:rPr>
      </w:pPr>
      <w:r>
        <w:rPr>
          <w:rFonts w:ascii="Courier New" w:cs="Courier New" w:eastAsia="Courier New" w:hAnsi="Courier New"/>
          <w:sz w:val="15"/>
          <w:szCs w:val="15"/>
          <w:color w:val="auto"/>
        </w:rPr>
        <w:t>Director</w:t>
      </w:r>
    </w:p>
    <w:p>
      <w:pPr>
        <w:ind w:left="540"/>
        <w:spacing w:after="0" w:line="238" w:lineRule="auto"/>
        <w:rPr>
          <w:sz w:val="20"/>
          <w:szCs w:val="20"/>
          <w:color w:val="auto"/>
        </w:rPr>
      </w:pPr>
      <w:r>
        <w:rPr>
          <w:rFonts w:ascii="Courier New" w:cs="Courier New" w:eastAsia="Courier New" w:hAnsi="Courier New"/>
          <w:sz w:val="15"/>
          <w:szCs w:val="15"/>
          <w:color w:val="auto"/>
        </w:rPr>
        <w:t>Chairman, President</w:t>
      </w:r>
    </w:p>
    <w:p>
      <w:pPr>
        <w:ind w:left="540"/>
        <w:spacing w:after="0" w:line="237" w:lineRule="auto"/>
        <w:rPr>
          <w:sz w:val="20"/>
          <w:szCs w:val="20"/>
          <w:color w:val="auto"/>
        </w:rPr>
      </w:pPr>
      <w:r>
        <w:rPr>
          <w:rFonts w:ascii="Courier New" w:cs="Courier New" w:eastAsia="Courier New" w:hAnsi="Courier New"/>
          <w:sz w:val="15"/>
          <w:szCs w:val="15"/>
          <w:color w:val="auto"/>
        </w:rPr>
        <w:t>and Chief Executive Officer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Didier Primat</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509" w:lineRule="exact"/>
        <w:rPr>
          <w:sz w:val="20"/>
          <w:szCs w:val="20"/>
          <w:color w:val="auto"/>
        </w:rPr>
      </w:pPr>
    </w:p>
    <w:p>
      <w:pPr>
        <w:sectPr>
          <w:pgSz w:w="11900" w:h="16838" w:orient="portrait"/>
          <w:cols w:equalWidth="0" w:num="2">
            <w:col w:w="3420" w:space="440"/>
            <w:col w:w="6379"/>
          </w:cols>
          <w:pgMar w:left="220" w:top="471" w:right="1440" w:bottom="1440"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John Deutch</w:t>
      </w:r>
    </w:p>
    <w:p>
      <w:pPr>
        <w:ind w:left="5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Nicolas Seydoux</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420" w:space="440"/>
            <w:col w:w="6379"/>
          </w:cols>
          <w:pgMar w:left="220" w:top="471" w:right="1440" w:bottom="1440"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Victor E. Grijalva</w:t>
      </w:r>
    </w:p>
    <w:p>
      <w:pPr>
        <w:ind w:left="540"/>
        <w:spacing w:after="0" w:line="237" w:lineRule="auto"/>
        <w:rPr>
          <w:sz w:val="20"/>
          <w:szCs w:val="20"/>
          <w:color w:val="auto"/>
        </w:rPr>
      </w:pPr>
      <w:r>
        <w:rPr>
          <w:rFonts w:ascii="Courier New" w:cs="Courier New" w:eastAsia="Courier New" w:hAnsi="Courier New"/>
          <w:sz w:val="15"/>
          <w:szCs w:val="15"/>
          <w:color w:val="auto"/>
        </w:rPr>
        <w:t>Director</w:t>
      </w:r>
    </w:p>
    <w:p>
      <w:pPr>
        <w:ind w:left="540"/>
        <w:spacing w:after="0" w:line="238" w:lineRule="auto"/>
        <w:rPr>
          <w:sz w:val="20"/>
          <w:szCs w:val="20"/>
          <w:color w:val="auto"/>
        </w:rPr>
      </w:pPr>
      <w:r>
        <w:rPr>
          <w:rFonts w:ascii="Courier New" w:cs="Courier New" w:eastAsia="Courier New" w:hAnsi="Courier New"/>
          <w:sz w:val="15"/>
          <w:szCs w:val="15"/>
          <w:color w:val="auto"/>
        </w:rPr>
        <w:t>Vice Chairman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Linda G. Stuntz</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69" w:lineRule="exact"/>
        <w:rPr>
          <w:sz w:val="20"/>
          <w:szCs w:val="20"/>
          <w:color w:val="auto"/>
        </w:rPr>
      </w:pPr>
    </w:p>
    <w:p>
      <w:pPr>
        <w:sectPr>
          <w:pgSz w:w="11900" w:h="16838" w:orient="portrait"/>
          <w:cols w:equalWidth="0" w:num="2">
            <w:col w:w="3420" w:space="440"/>
            <w:col w:w="6379"/>
          </w:cols>
          <w:pgMar w:left="220" w:top="471" w:right="1440" w:bottom="1440" w:gutter="0" w:footer="0" w:header="0"/>
          <w:type w:val="continuous"/>
        </w:sectPr>
      </w:pPr>
    </w:p>
    <w:p>
      <w:pPr>
        <w:spacing w:after="0" w:line="172" w:lineRule="exact"/>
        <w:rPr>
          <w:sz w:val="20"/>
          <w:szCs w:val="20"/>
          <w:color w:val="auto"/>
        </w:rPr>
      </w:pPr>
    </w:p>
    <w:p>
      <w:pPr>
        <w:ind w:left="5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Denys Henderson</w:t>
      </w:r>
    </w:p>
    <w:p>
      <w:pPr>
        <w:ind w:left="5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ind w:left="1040"/>
        <w:spacing w:after="0" w:line="237" w:lineRule="auto"/>
        <w:rPr>
          <w:sz w:val="20"/>
          <w:szCs w:val="20"/>
          <w:color w:val="auto"/>
        </w:rPr>
      </w:pPr>
      <w:r>
        <w:rPr>
          <w:rFonts w:ascii="Courier New" w:cs="Courier New" w:eastAsia="Courier New" w:hAnsi="Courier New"/>
          <w:sz w:val="15"/>
          <w:szCs w:val="15"/>
          <w:color w:val="auto"/>
        </w:rPr>
        <w: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Sven Ullring</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73" w:lineRule="exact"/>
        <w:rPr>
          <w:sz w:val="20"/>
          <w:szCs w:val="20"/>
          <w:color w:val="auto"/>
        </w:rPr>
      </w:pPr>
    </w:p>
    <w:p>
      <w:pPr>
        <w:sectPr>
          <w:pgSz w:w="11900" w:h="16838" w:orient="portrait"/>
          <w:cols w:equalWidth="0" w:num="2">
            <w:col w:w="3420" w:space="440"/>
            <w:col w:w="6379"/>
          </w:cols>
          <w:pgMar w:left="220" w:top="471" w:right="1440" w:bottom="1440" w:gutter="0" w:footer="0" w:header="0"/>
          <w:type w:val="continuous"/>
        </w:sectPr>
      </w:pPr>
    </w:p>
    <w:p>
      <w:pPr>
        <w:ind w:left="5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Andre Levy-Lang</w:t>
      </w:r>
    </w:p>
    <w:p>
      <w:pPr>
        <w:ind w:left="540"/>
        <w:spacing w:after="0" w:line="237" w:lineRule="auto"/>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Yoshihiko Wakumoto</w:t>
      </w:r>
    </w:p>
    <w:p>
      <w:pPr>
        <w:spacing w:after="0" w:line="237" w:lineRule="auto"/>
        <w:rPr>
          <w:sz w:val="20"/>
          <w:szCs w:val="20"/>
          <w:color w:val="auto"/>
        </w:rPr>
      </w:pPr>
      <w:r>
        <w:rPr>
          <w:rFonts w:ascii="Courier New" w:cs="Courier New" w:eastAsia="Courier New" w:hAnsi="Courier New"/>
          <w:sz w:val="15"/>
          <w:szCs w:val="15"/>
          <w:color w:val="auto"/>
        </w:rPr>
        <w:t>Director</w:t>
      </w:r>
    </w:p>
    <w:p>
      <w:pPr>
        <w:spacing w:after="0" w:line="167" w:lineRule="exact"/>
        <w:rPr>
          <w:sz w:val="20"/>
          <w:szCs w:val="20"/>
          <w:color w:val="auto"/>
        </w:rPr>
      </w:pPr>
    </w:p>
    <w:p>
      <w:pPr>
        <w:sectPr>
          <w:pgSz w:w="11900" w:h="16838" w:orient="portrait"/>
          <w:cols w:equalWidth="0" w:num="2">
            <w:col w:w="3420" w:space="440"/>
            <w:col w:w="6379"/>
          </w:cols>
          <w:pgMar w:left="220" w:top="47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Date: January 15, 2001</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2"/>
          <w:szCs w:val="12"/>
          <w:color w:val="auto"/>
        </w:rPr>
        <w:t>76</w:t>
      </w:r>
    </w:p>
    <w:p>
      <w:pPr>
        <w:sectPr>
          <w:pgSz w:w="11900" w:h="16838" w:orient="portrait"/>
          <w:cols w:equalWidth="0" w:num="1">
            <w:col w:w="10239"/>
          </w:cols>
          <w:pgMar w:left="220" w:top="471" w:right="1440" w:bottom="1440" w:gutter="0" w:footer="0" w:header="0"/>
          <w:type w:val="continuous"/>
        </w:sectPr>
      </w:pPr>
    </w:p>
    <w:bookmarkStart w:id="78" w:name="page79"/>
    <w:bookmarkEnd w:id="78"/>
    <w:p>
      <w:pPr>
        <w:jc w:val="right"/>
        <w:ind w:right="3340"/>
        <w:spacing w:after="0"/>
        <w:rPr>
          <w:sz w:val="20"/>
          <w:szCs w:val="20"/>
          <w:color w:val="auto"/>
        </w:rPr>
      </w:pPr>
      <w:r>
        <w:rPr>
          <w:rFonts w:ascii="Courier New" w:cs="Courier New" w:eastAsia="Courier New" w:hAnsi="Courier New"/>
          <w:sz w:val="15"/>
          <w:szCs w:val="15"/>
          <w:color w:val="auto"/>
        </w:rPr>
        <w:t>10-K 2000</w:t>
      </w:r>
    </w:p>
    <w:p>
      <w:pPr>
        <w:jc w:val="right"/>
        <w:ind w:right="3340"/>
        <w:spacing w:after="0" w:line="237" w:lineRule="auto"/>
        <w:rPr>
          <w:sz w:val="20"/>
          <w:szCs w:val="20"/>
          <w:color w:val="auto"/>
        </w:rPr>
      </w:pPr>
      <w:r>
        <w:rPr>
          <w:rFonts w:ascii="Courier New" w:cs="Courier New" w:eastAsia="Courier New" w:hAnsi="Courier New"/>
          <w:sz w:val="15"/>
          <w:szCs w:val="15"/>
          <w:color w:val="auto"/>
        </w:rPr>
        <w:t>Exhibit 24(l)</w:t>
      </w:r>
    </w:p>
    <w:p>
      <w:pPr>
        <w:ind w:left="2720"/>
        <w:spacing w:after="0" w:line="238" w:lineRule="auto"/>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420" w:firstLine="787"/>
        <w:spacing w:after="0" w:line="237" w:lineRule="auto"/>
        <w:rPr>
          <w:sz w:val="20"/>
          <w:szCs w:val="20"/>
          <w:color w:val="auto"/>
        </w:rPr>
      </w:pPr>
      <w:r>
        <w:rPr>
          <w:rFonts w:ascii="Courier New" w:cs="Courier New" w:eastAsia="Courier New" w:hAnsi="Courier New"/>
          <w:sz w:val="15"/>
          <w:szCs w:val="15"/>
          <w:color w:val="auto"/>
        </w:rPr>
        <w:t>Each of the undersigned, in the capacity or capacities set forth below his or her signature as a member of the Board of Directors and/or an officer of Schlumberger Limited ("the Corporation"), a Netherlands Antilles corporation, hereby appoints James L. Gunderson, Jack Liu and Ellen S. Summer, and each of them, the attorney or attorneys of the undersigned, with full power of substitution and revocation, for and in the name, place and stead of the undersigned to execute and file with the Securities and Exchange Commission the Form 10-K Annual Report under the Securities Exchange Act of 1934 for the year ending 2000, and any amendment or amendments to any such Form 10-K Annual Report, and any agreements, consents or waivers relative thereto, and to take any and all such other action for and in the name and place and stead of the undersigned as may be necessary or desirable in connection with any such Form 10-K Annual Report.</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w w:val="78"/>
              </w:rPr>
              <w:t>- ------------------------------------------------------</w:t>
            </w:r>
          </w:p>
        </w:tc>
        <w:tc>
          <w:tcPr>
            <w:tcW w:w="6360" w:type="dxa"/>
            <w:vAlign w:val="bottom"/>
          </w:tcPr>
          <w:p>
            <w:pPr>
              <w:ind w:left="180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Don E. Ackerman</w:t>
            </w: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William T. McCormick, Jr.</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180" w:type="dxa"/>
            <w:vAlign w:val="bottom"/>
          </w:tcPr>
          <w:p>
            <w:pPr>
              <w:spacing w:after="0"/>
              <w:rPr>
                <w:sz w:val="14"/>
                <w:szCs w:val="14"/>
                <w:color w:val="auto"/>
              </w:rPr>
            </w:pP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33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w w:val="78"/>
              </w:rPr>
              <w:t>- ------------------------------------------------------</w:t>
            </w:r>
          </w:p>
        </w:tc>
        <w:tc>
          <w:tcPr>
            <w:tcW w:w="6360" w:type="dxa"/>
            <w:vAlign w:val="bottom"/>
          </w:tcPr>
          <w:p>
            <w:pPr>
              <w:ind w:left="180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 Euan Baird</w:t>
            </w: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Didier Primat</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180" w:type="dxa"/>
            <w:vAlign w:val="bottom"/>
          </w:tcPr>
          <w:p>
            <w:pPr>
              <w:spacing w:after="0"/>
              <w:rPr>
                <w:sz w:val="14"/>
                <w:szCs w:val="14"/>
                <w:color w:val="auto"/>
              </w:rPr>
            </w:pP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Chairman, President</w:t>
            </w:r>
          </w:p>
        </w:tc>
        <w:tc>
          <w:tcPr>
            <w:tcW w:w="6360" w:type="dxa"/>
            <w:vAlign w:val="bottom"/>
          </w:tcPr>
          <w:p>
            <w:pPr>
              <w:spacing w:after="0"/>
              <w:rPr>
                <w:sz w:val="14"/>
                <w:szCs w:val="14"/>
                <w:color w:val="auto"/>
              </w:rPr>
            </w:pP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 Chief Executive Officer</w:t>
            </w:r>
          </w:p>
        </w:tc>
        <w:tc>
          <w:tcPr>
            <w:tcW w:w="6360" w:type="dxa"/>
            <w:vAlign w:val="bottom"/>
          </w:tcPr>
          <w:p>
            <w:pPr>
              <w:spacing w:after="0"/>
              <w:rPr>
                <w:sz w:val="14"/>
                <w:szCs w:val="14"/>
                <w:color w:val="auto"/>
              </w:rPr>
            </w:pPr>
          </w:p>
        </w:tc>
      </w:tr>
      <w:tr>
        <w:trPr>
          <w:trHeight w:val="33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w w:val="78"/>
              </w:rPr>
              <w:t>- ------------------------------------------------------</w:t>
            </w:r>
          </w:p>
        </w:tc>
        <w:tc>
          <w:tcPr>
            <w:tcW w:w="6360" w:type="dxa"/>
            <w:vAlign w:val="bottom"/>
          </w:tcPr>
          <w:p>
            <w:pPr>
              <w:ind w:left="180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John Deutch</w:t>
            </w: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Nicolas Seydoux</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180" w:type="dxa"/>
            <w:vAlign w:val="bottom"/>
          </w:tcPr>
          <w:p>
            <w:pPr>
              <w:spacing w:after="0"/>
              <w:rPr>
                <w:sz w:val="14"/>
                <w:szCs w:val="14"/>
                <w:color w:val="auto"/>
              </w:rPr>
            </w:pP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33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w w:val="78"/>
              </w:rPr>
              <w:t>- ------------------------------------------------------</w:t>
            </w:r>
          </w:p>
        </w:tc>
        <w:tc>
          <w:tcPr>
            <w:tcW w:w="6360" w:type="dxa"/>
            <w:vAlign w:val="bottom"/>
          </w:tcPr>
          <w:p>
            <w:pPr>
              <w:ind w:left="180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Victor E. Grijalva</w:t>
            </w: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Linda G. Stuntz</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180" w:type="dxa"/>
            <w:vAlign w:val="bottom"/>
          </w:tcPr>
          <w:p>
            <w:pPr>
              <w:spacing w:after="0"/>
              <w:rPr>
                <w:sz w:val="14"/>
                <w:szCs w:val="14"/>
                <w:color w:val="auto"/>
              </w:rPr>
            </w:pP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wVice Chairman</w:t>
            </w:r>
          </w:p>
        </w:tc>
        <w:tc>
          <w:tcPr>
            <w:tcW w:w="6360" w:type="dxa"/>
            <w:vAlign w:val="bottom"/>
          </w:tcPr>
          <w:p>
            <w:pPr>
              <w:spacing w:after="0"/>
              <w:rPr>
                <w:sz w:val="14"/>
                <w:szCs w:val="14"/>
                <w:color w:val="auto"/>
              </w:rPr>
            </w:pPr>
          </w:p>
        </w:tc>
      </w:tr>
      <w:tr>
        <w:trPr>
          <w:trHeight w:val="336"/>
        </w:trPr>
        <w:tc>
          <w:tcPr>
            <w:tcW w:w="3980" w:type="dxa"/>
            <w:vAlign w:val="bottom"/>
            <w:gridSpan w:val="2"/>
          </w:tcPr>
          <w:p>
            <w:pPr>
              <w:spacing w:after="0"/>
              <w:rPr>
                <w:sz w:val="20"/>
                <w:szCs w:val="20"/>
                <w:color w:val="auto"/>
              </w:rPr>
            </w:pPr>
            <w:r>
              <w:rPr>
                <w:rFonts w:ascii="Courier New" w:cs="Courier New" w:eastAsia="Courier New" w:hAnsi="Courier New"/>
                <w:sz w:val="15"/>
                <w:szCs w:val="15"/>
                <w:color w:val="auto"/>
                <w:w w:val="78"/>
              </w:rPr>
              <w:t>- ------------------------------------------------------</w:t>
            </w:r>
          </w:p>
        </w:tc>
        <w:tc>
          <w:tcPr>
            <w:tcW w:w="6360" w:type="dxa"/>
            <w:vAlign w:val="bottom"/>
          </w:tcPr>
          <w:p>
            <w:pPr>
              <w:ind w:left="1800"/>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Denys Henderson</w:t>
            </w: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Sven Ullring</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180" w:type="dxa"/>
            <w:vAlign w:val="bottom"/>
          </w:tcPr>
          <w:p>
            <w:pPr>
              <w:spacing w:after="0"/>
              <w:rPr>
                <w:sz w:val="14"/>
                <w:szCs w:val="14"/>
                <w:color w:val="auto"/>
              </w:rPr>
            </w:pP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800" w:type="dxa"/>
            <w:vAlign w:val="bottom"/>
          </w:tcPr>
          <w:p>
            <w:pPr>
              <w:spacing w:after="0"/>
              <w:rPr>
                <w:sz w:val="14"/>
                <w:szCs w:val="14"/>
                <w:color w:val="auto"/>
              </w:rPr>
            </w:pPr>
          </w:p>
        </w:tc>
        <w:tc>
          <w:tcPr>
            <w:tcW w:w="3180" w:type="dxa"/>
            <w:vAlign w:val="bottom"/>
          </w:tcPr>
          <w:p>
            <w:pPr>
              <w:spacing w:after="0"/>
              <w:rPr>
                <w:sz w:val="14"/>
                <w:szCs w:val="14"/>
                <w:color w:val="auto"/>
              </w:rPr>
            </w:pPr>
          </w:p>
        </w:tc>
        <w:tc>
          <w:tcPr>
            <w:tcW w:w="6360" w:type="dxa"/>
            <w:vAlign w:val="bottom"/>
          </w:tcPr>
          <w:p>
            <w:pPr>
              <w:ind w:left="3200"/>
              <w:spacing w:after="0" w:line="168" w:lineRule="exact"/>
              <w:rPr>
                <w:sz w:val="20"/>
                <w:szCs w:val="20"/>
                <w:color w:val="auto"/>
              </w:rPr>
            </w:pPr>
            <w:r>
              <w:rPr>
                <w:rFonts w:ascii="Courier New" w:cs="Courier New" w:eastAsia="Courier New" w:hAnsi="Courier New"/>
                <w:sz w:val="15"/>
                <w:szCs w:val="15"/>
                <w:color w:val="auto"/>
              </w:rPr>
              <w:t>/s/</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78"/>
              </w:rPr>
              <w:t>- ------------------------------------------------------</w:t>
            </w:r>
          </w:p>
        </w:tc>
        <w:tc>
          <w:tcPr>
            <w:tcW w:w="6360" w:type="dxa"/>
            <w:vAlign w:val="bottom"/>
          </w:tcPr>
          <w:p>
            <w:pPr>
              <w:ind w:left="180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Andre Levy-Lang</w:t>
            </w: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Yoshihiko Wakumoto</w:t>
            </w:r>
          </w:p>
        </w:tc>
      </w:tr>
      <w:tr>
        <w:trPr>
          <w:trHeight w:val="168"/>
        </w:trPr>
        <w:tc>
          <w:tcPr>
            <w:tcW w:w="800" w:type="dxa"/>
            <w:vAlign w:val="bottom"/>
          </w:tcPr>
          <w:p>
            <w:pPr>
              <w:spacing w:after="0" w:line="168" w:lineRule="exact"/>
              <w:rPr>
                <w:sz w:val="20"/>
                <w:szCs w:val="20"/>
                <w:color w:val="auto"/>
              </w:rPr>
            </w:pPr>
            <w:r>
              <w:rPr>
                <w:rFonts w:ascii="Courier New" w:cs="Courier New" w:eastAsia="Courier New" w:hAnsi="Courier New"/>
                <w:sz w:val="15"/>
                <w:szCs w:val="15"/>
                <w:color w:val="auto"/>
              </w:rPr>
              <w:t>Director</w:t>
            </w:r>
          </w:p>
        </w:tc>
        <w:tc>
          <w:tcPr>
            <w:tcW w:w="3180" w:type="dxa"/>
            <w:vAlign w:val="bottom"/>
          </w:tcPr>
          <w:p>
            <w:pPr>
              <w:spacing w:after="0"/>
              <w:rPr>
                <w:sz w:val="14"/>
                <w:szCs w:val="14"/>
                <w:color w:val="auto"/>
              </w:rPr>
            </w:pPr>
          </w:p>
        </w:tc>
        <w:tc>
          <w:tcPr>
            <w:tcW w:w="6360" w:type="dxa"/>
            <w:vAlign w:val="bottom"/>
          </w:tcPr>
          <w:p>
            <w:pPr>
              <w:ind w:left="16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Date:</w:t>
            </w:r>
          </w:p>
        </w:tc>
        <w:tc>
          <w:tcPr>
            <w:tcW w:w="3180" w:type="dxa"/>
            <w:vAlign w:val="bottom"/>
          </w:tcPr>
          <w:p>
            <w:pPr>
              <w:spacing w:after="0"/>
              <w:rPr>
                <w:sz w:val="20"/>
                <w:szCs w:val="20"/>
                <w:color w:val="auto"/>
              </w:rPr>
            </w:pPr>
            <w:r>
              <w:rPr>
                <w:rFonts w:ascii="Courier New" w:cs="Courier New" w:eastAsia="Courier New" w:hAnsi="Courier New"/>
                <w:sz w:val="15"/>
                <w:szCs w:val="15"/>
                <w:color w:val="auto"/>
              </w:rPr>
              <w:t>January 16, 2001</w:t>
            </w:r>
          </w:p>
        </w:tc>
        <w:tc>
          <w:tcPr>
            <w:tcW w:w="6360" w:type="dxa"/>
            <w:vAlign w:val="bottom"/>
          </w:tcPr>
          <w:p>
            <w:pPr>
              <w:spacing w:after="0"/>
              <w:rPr>
                <w:sz w:val="24"/>
                <w:szCs w:val="24"/>
                <w:color w:val="auto"/>
              </w:rPr>
            </w:pPr>
          </w:p>
        </w:tc>
      </w:tr>
    </w:tbl>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77</w:t>
      </w:r>
    </w:p>
    <w:p>
      <w:pPr>
        <w:sectPr>
          <w:pgSz w:w="11900" w:h="16838" w:orient="portrait"/>
          <w:cols w:equalWidth="0" w:num="1">
            <w:col w:w="10340"/>
          </w:cols>
          <w:pgMar w:left="220" w:top="471" w:right="1339" w:bottom="1440" w:gutter="0" w:footer="0" w:header="0"/>
        </w:sectPr>
      </w:pPr>
    </w:p>
    <w:bookmarkStart w:id="79" w:name="page80"/>
    <w:bookmarkEnd w:id="79"/>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80" w:name="page81"/>
    <w:bookmarkEnd w:id="80"/>
    <w:p>
      <w:pPr>
        <w:ind w:left="6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right="3219"/>
        <w:spacing w:after="0" w:line="234" w:lineRule="auto"/>
        <w:rPr>
          <w:sz w:val="20"/>
          <w:szCs w:val="20"/>
          <w:color w:val="auto"/>
        </w:rPr>
      </w:pPr>
      <w:r>
        <w:rPr>
          <w:rFonts w:ascii="Courier New" w:cs="Courier New" w:eastAsia="Courier New" w:hAnsi="Courier New"/>
          <w:sz w:val="15"/>
          <w:szCs w:val="15"/>
          <w:color w:val="auto"/>
        </w:rPr>
        <w:t>THIS SCHEDULE CONTAINS SUMMARY FINANCIAL INFORMATION EXTRACTED FROM FORM 10K AND IS QUALIFIED IN ITS ENTIRETY BY REFERENCE TO SUCH FINANCIAL STATEMENTS</w:t>
      </w:r>
    </w:p>
    <w:p>
      <w:pPr>
        <w:spacing w:after="0" w:line="167" w:lineRule="exact"/>
        <w:rPr>
          <w:sz w:val="20"/>
          <w:szCs w:val="20"/>
          <w:color w:val="auto"/>
        </w:rPr>
      </w:pPr>
    </w:p>
    <w:p>
      <w:pPr>
        <w:ind w:left="60"/>
        <w:spacing w:after="0"/>
        <w:rPr>
          <w:sz w:val="20"/>
          <w:szCs w:val="20"/>
          <w:color w:val="auto"/>
        </w:rPr>
      </w:pPr>
      <w:r>
        <w:rPr>
          <w:rFonts w:ascii="Courier New" w:cs="Courier New" w:eastAsia="Courier New" w:hAnsi="Courier New"/>
          <w:sz w:val="15"/>
          <w:szCs w:val="15"/>
          <w:color w:val="auto"/>
        </w:rPr>
        <w:t>1</w:t>
      </w:r>
    </w:p>
    <w:p>
      <w:pPr>
        <w:spacing w:after="0" w:line="335"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12-MOS</w:t>
      </w:r>
    </w:p>
    <w:p>
      <w:pPr>
        <w:ind w:left="2240"/>
        <w:spacing w:after="0" w:line="237" w:lineRule="auto"/>
        <w:rPr>
          <w:sz w:val="20"/>
          <w:szCs w:val="20"/>
          <w:color w:val="auto"/>
        </w:rPr>
      </w:pPr>
      <w:r>
        <w:rPr>
          <w:rFonts w:ascii="Courier New" w:cs="Courier New" w:eastAsia="Courier New" w:hAnsi="Courier New"/>
          <w:sz w:val="15"/>
          <w:szCs w:val="15"/>
          <w:color w:val="auto"/>
        </w:rPr>
        <w:t>DEC-31-2000</w:t>
      </w:r>
    </w:p>
    <w:p>
      <w:pPr>
        <w:ind w:left="2500"/>
        <w:spacing w:after="0" w:line="238" w:lineRule="auto"/>
        <w:rPr>
          <w:sz w:val="20"/>
          <w:szCs w:val="20"/>
          <w:color w:val="auto"/>
        </w:rPr>
      </w:pPr>
      <w:r>
        <w:rPr>
          <w:rFonts w:ascii="Courier New" w:cs="Courier New" w:eastAsia="Courier New" w:hAnsi="Courier New"/>
          <w:sz w:val="15"/>
          <w:szCs w:val="15"/>
          <w:color w:val="auto"/>
        </w:rPr>
        <w:t>JAN-01-2000</w:t>
      </w:r>
    </w:p>
    <w:p>
      <w:pPr>
        <w:ind w:left="2680"/>
        <w:spacing w:after="0" w:line="237" w:lineRule="auto"/>
        <w:rPr>
          <w:sz w:val="20"/>
          <w:szCs w:val="20"/>
          <w:color w:val="auto"/>
        </w:rPr>
      </w:pPr>
      <w:r>
        <w:rPr>
          <w:rFonts w:ascii="Courier New" w:cs="Courier New" w:eastAsia="Courier New" w:hAnsi="Courier New"/>
          <w:sz w:val="15"/>
          <w:szCs w:val="15"/>
          <w:color w:val="auto"/>
        </w:rPr>
        <w:t>DEC-31-2000</w:t>
      </w:r>
    </w:p>
    <w:p>
      <w:pPr>
        <w:ind w:left="3380"/>
        <w:spacing w:after="0" w:line="238" w:lineRule="auto"/>
        <w:rPr>
          <w:sz w:val="20"/>
          <w:szCs w:val="20"/>
          <w:color w:val="auto"/>
        </w:rPr>
      </w:pPr>
      <w:r>
        <w:rPr>
          <w:rFonts w:ascii="Courier New" w:cs="Courier New" w:eastAsia="Courier New" w:hAnsi="Courier New"/>
          <w:sz w:val="15"/>
          <w:szCs w:val="15"/>
          <w:color w:val="auto"/>
        </w:rPr>
        <w:t>3,040,150</w:t>
      </w:r>
    </w:p>
    <w:p>
      <w:pPr>
        <w:ind w:left="3560"/>
        <w:spacing w:after="0" w:line="237" w:lineRule="auto"/>
        <w:rPr>
          <w:sz w:val="20"/>
          <w:szCs w:val="20"/>
          <w:color w:val="auto"/>
        </w:rPr>
      </w:pPr>
      <w:r>
        <w:rPr>
          <w:rFonts w:ascii="Courier New" w:cs="Courier New" w:eastAsia="Courier New" w:hAnsi="Courier New"/>
          <w:sz w:val="15"/>
          <w:szCs w:val="15"/>
          <w:color w:val="auto"/>
        </w:rPr>
        <w:t>0</w:t>
      </w:r>
    </w:p>
    <w:p>
      <w:pPr>
        <w:ind w:left="2760"/>
        <w:spacing w:after="0" w:line="238" w:lineRule="auto"/>
        <w:rPr>
          <w:sz w:val="20"/>
          <w:szCs w:val="20"/>
          <w:color w:val="auto"/>
        </w:rPr>
      </w:pPr>
      <w:r>
        <w:rPr>
          <w:rFonts w:ascii="Courier New" w:cs="Courier New" w:eastAsia="Courier New" w:hAnsi="Courier New"/>
          <w:sz w:val="15"/>
          <w:szCs w:val="15"/>
          <w:color w:val="auto"/>
        </w:rPr>
        <w:t>2,768,848</w:t>
      </w:r>
    </w:p>
    <w:p>
      <w:pPr>
        <w:ind w:left="2860"/>
        <w:spacing w:after="0" w:line="237" w:lineRule="auto"/>
        <w:rPr>
          <w:sz w:val="20"/>
          <w:szCs w:val="20"/>
          <w:color w:val="auto"/>
        </w:rPr>
      </w:pPr>
      <w:r>
        <w:rPr>
          <w:rFonts w:ascii="Courier New" w:cs="Courier New" w:eastAsia="Courier New" w:hAnsi="Courier New"/>
          <w:sz w:val="15"/>
          <w:szCs w:val="15"/>
          <w:color w:val="auto"/>
        </w:rPr>
        <w:t>(106,503)</w:t>
      </w:r>
    </w:p>
    <w:p>
      <w:pPr>
        <w:ind w:left="2940"/>
        <w:spacing w:after="0" w:line="238" w:lineRule="auto"/>
        <w:rPr>
          <w:sz w:val="20"/>
          <w:szCs w:val="20"/>
          <w:color w:val="auto"/>
        </w:rPr>
      </w:pPr>
      <w:r>
        <w:rPr>
          <w:rFonts w:ascii="Courier New" w:cs="Courier New" w:eastAsia="Courier New" w:hAnsi="Courier New"/>
          <w:sz w:val="15"/>
          <w:szCs w:val="15"/>
          <w:color w:val="auto"/>
        </w:rPr>
        <w:t>1,111,585</w:t>
      </w:r>
    </w:p>
    <w:p>
      <w:pPr>
        <w:ind w:left="2500"/>
        <w:spacing w:after="0" w:line="238" w:lineRule="auto"/>
        <w:rPr>
          <w:sz w:val="20"/>
          <w:szCs w:val="20"/>
          <w:color w:val="auto"/>
        </w:rPr>
      </w:pPr>
      <w:r>
        <w:rPr>
          <w:rFonts w:ascii="Courier New" w:cs="Courier New" w:eastAsia="Courier New" w:hAnsi="Courier New"/>
          <w:sz w:val="15"/>
          <w:szCs w:val="15"/>
          <w:color w:val="auto"/>
        </w:rPr>
        <w:t>7,493,211</w:t>
      </w:r>
    </w:p>
    <w:p>
      <w:pPr>
        <w:ind w:left="3300"/>
        <w:spacing w:after="0" w:line="237" w:lineRule="auto"/>
        <w:rPr>
          <w:sz w:val="20"/>
          <w:szCs w:val="20"/>
          <w:color w:val="auto"/>
        </w:rPr>
      </w:pPr>
      <w:r>
        <w:rPr>
          <w:rFonts w:ascii="Courier New" w:cs="Courier New" w:eastAsia="Courier New" w:hAnsi="Courier New"/>
          <w:sz w:val="15"/>
          <w:szCs w:val="15"/>
          <w:color w:val="auto"/>
        </w:rPr>
        <w:t>10,821,509</w:t>
      </w:r>
    </w:p>
    <w:p>
      <w:pPr>
        <w:ind w:left="2500"/>
        <w:spacing w:after="0" w:line="238" w:lineRule="auto"/>
        <w:rPr>
          <w:sz w:val="20"/>
          <w:szCs w:val="20"/>
          <w:color w:val="auto"/>
        </w:rPr>
      </w:pPr>
      <w:r>
        <w:rPr>
          <w:rFonts w:ascii="Courier New" w:cs="Courier New" w:eastAsia="Courier New" w:hAnsi="Courier New"/>
          <w:sz w:val="15"/>
          <w:szCs w:val="15"/>
          <w:color w:val="auto"/>
        </w:rPr>
        <w:t>(6,426,995)</w:t>
      </w:r>
    </w:p>
    <w:p>
      <w:pPr>
        <w:ind w:left="2600"/>
        <w:spacing w:after="0" w:line="237" w:lineRule="auto"/>
        <w:rPr>
          <w:sz w:val="20"/>
          <w:szCs w:val="20"/>
          <w:color w:val="auto"/>
        </w:rPr>
      </w:pPr>
      <w:r>
        <w:rPr>
          <w:rFonts w:ascii="Courier New" w:cs="Courier New" w:eastAsia="Courier New" w:hAnsi="Courier New"/>
          <w:sz w:val="15"/>
          <w:szCs w:val="15"/>
          <w:color w:val="auto"/>
        </w:rPr>
        <w:t>17,172,731</w:t>
      </w:r>
    </w:p>
    <w:p>
      <w:pPr>
        <w:ind w:left="2060"/>
        <w:spacing w:after="0" w:line="238" w:lineRule="auto"/>
        <w:rPr>
          <w:sz w:val="20"/>
          <w:szCs w:val="20"/>
          <w:color w:val="auto"/>
        </w:rPr>
      </w:pPr>
      <w:r>
        <w:rPr>
          <w:rFonts w:ascii="Courier New" w:cs="Courier New" w:eastAsia="Courier New" w:hAnsi="Courier New"/>
          <w:sz w:val="15"/>
          <w:szCs w:val="15"/>
          <w:color w:val="auto"/>
        </w:rPr>
        <w:t>3,990,905</w:t>
      </w:r>
    </w:p>
    <w:p>
      <w:pPr>
        <w:ind w:left="4000"/>
        <w:spacing w:after="0" w:line="237" w:lineRule="auto"/>
        <w:rPr>
          <w:sz w:val="20"/>
          <w:szCs w:val="20"/>
          <w:color w:val="auto"/>
        </w:rPr>
      </w:pPr>
      <w:r>
        <w:rPr>
          <w:rFonts w:ascii="Courier New" w:cs="Courier New" w:eastAsia="Courier New" w:hAnsi="Courier New"/>
          <w:sz w:val="15"/>
          <w:szCs w:val="15"/>
          <w:color w:val="auto"/>
        </w:rPr>
        <w:t>0</w:t>
      </w:r>
    </w:p>
    <w:p>
      <w:pPr>
        <w:ind w:left="2760"/>
        <w:spacing w:after="0" w:line="238" w:lineRule="auto"/>
        <w:rPr>
          <w:sz w:val="20"/>
          <w:szCs w:val="20"/>
          <w:color w:val="auto"/>
        </w:rPr>
      </w:pPr>
      <w:r>
        <w:rPr>
          <w:rFonts w:ascii="Courier New" w:cs="Courier New" w:eastAsia="Courier New" w:hAnsi="Courier New"/>
          <w:sz w:val="15"/>
          <w:szCs w:val="15"/>
          <w:color w:val="auto"/>
        </w:rPr>
        <w:t>0</w:t>
      </w:r>
    </w:p>
    <w:p>
      <w:pPr>
        <w:ind w:left="3640"/>
        <w:spacing w:after="0" w:line="238" w:lineRule="auto"/>
        <w:rPr>
          <w:sz w:val="20"/>
          <w:szCs w:val="20"/>
          <w:color w:val="auto"/>
        </w:rPr>
      </w:pPr>
      <w:r>
        <w:rPr>
          <w:rFonts w:ascii="Courier New" w:cs="Courier New" w:eastAsia="Courier New" w:hAnsi="Courier New"/>
          <w:sz w:val="15"/>
          <w:szCs w:val="15"/>
          <w:color w:val="auto"/>
        </w:rPr>
        <w:t>0</w:t>
      </w:r>
    </w:p>
    <w:p>
      <w:pPr>
        <w:ind w:left="3200"/>
        <w:spacing w:after="0" w:line="237" w:lineRule="auto"/>
        <w:rPr>
          <w:sz w:val="20"/>
          <w:szCs w:val="20"/>
          <w:color w:val="auto"/>
        </w:rPr>
      </w:pPr>
      <w:r>
        <w:rPr>
          <w:rFonts w:ascii="Courier New" w:cs="Courier New" w:eastAsia="Courier New" w:hAnsi="Courier New"/>
          <w:sz w:val="15"/>
          <w:szCs w:val="15"/>
          <w:color w:val="auto"/>
        </w:rPr>
        <w:t>1,963,905</w:t>
      </w:r>
    </w:p>
    <w:p>
      <w:pPr>
        <w:ind w:left="3040"/>
        <w:spacing w:after="0" w:line="238" w:lineRule="auto"/>
        <w:rPr>
          <w:sz w:val="20"/>
          <w:szCs w:val="20"/>
          <w:color w:val="auto"/>
        </w:rPr>
      </w:pPr>
      <w:r>
        <w:rPr>
          <w:rFonts w:ascii="Courier New" w:cs="Courier New" w:eastAsia="Courier New" w:hAnsi="Courier New"/>
          <w:sz w:val="15"/>
          <w:szCs w:val="15"/>
          <w:color w:val="auto"/>
        </w:rPr>
        <w:t>6,331,311</w:t>
      </w:r>
    </w:p>
    <w:p>
      <w:pPr>
        <w:ind w:left="1360"/>
        <w:spacing w:after="0" w:line="237" w:lineRule="auto"/>
        <w:rPr>
          <w:sz w:val="20"/>
          <w:szCs w:val="20"/>
          <w:color w:val="auto"/>
        </w:rPr>
      </w:pPr>
      <w:r>
        <w:rPr>
          <w:rFonts w:ascii="Courier New" w:cs="Courier New" w:eastAsia="Courier New" w:hAnsi="Courier New"/>
          <w:sz w:val="15"/>
          <w:szCs w:val="15"/>
          <w:color w:val="auto"/>
        </w:rPr>
        <w:t>17,172,731</w:t>
      </w:r>
    </w:p>
    <w:p>
      <w:pPr>
        <w:ind w:left="3300"/>
        <w:spacing w:after="0" w:line="238" w:lineRule="auto"/>
        <w:rPr>
          <w:sz w:val="20"/>
          <w:szCs w:val="20"/>
          <w:color w:val="auto"/>
        </w:rPr>
      </w:pPr>
      <w:r>
        <w:rPr>
          <w:rFonts w:ascii="Courier New" w:cs="Courier New" w:eastAsia="Courier New" w:hAnsi="Courier New"/>
          <w:sz w:val="15"/>
          <w:szCs w:val="15"/>
          <w:color w:val="auto"/>
        </w:rPr>
        <w:t>4,224,984</w:t>
      </w:r>
    </w:p>
    <w:p>
      <w:pPr>
        <w:ind w:left="2500"/>
        <w:spacing w:after="0" w:line="237" w:lineRule="auto"/>
        <w:rPr>
          <w:sz w:val="20"/>
          <w:szCs w:val="20"/>
          <w:color w:val="auto"/>
        </w:rPr>
      </w:pPr>
      <w:r>
        <w:rPr>
          <w:rFonts w:ascii="Courier New" w:cs="Courier New" w:eastAsia="Courier New" w:hAnsi="Courier New"/>
          <w:sz w:val="15"/>
          <w:szCs w:val="15"/>
          <w:color w:val="auto"/>
        </w:rPr>
        <w:t>9,611,462</w:t>
      </w:r>
    </w:p>
    <w:p>
      <w:pPr>
        <w:ind w:left="3460"/>
        <w:spacing w:after="0" w:line="238" w:lineRule="auto"/>
        <w:rPr>
          <w:sz w:val="20"/>
          <w:szCs w:val="20"/>
          <w:color w:val="auto"/>
        </w:rPr>
      </w:pPr>
      <w:r>
        <w:rPr>
          <w:rFonts w:ascii="Courier New" w:cs="Courier New" w:eastAsia="Courier New" w:hAnsi="Courier New"/>
          <w:sz w:val="15"/>
          <w:szCs w:val="15"/>
          <w:color w:val="auto"/>
        </w:rPr>
        <w:t>2,581,687</w:t>
      </w:r>
    </w:p>
    <w:p>
      <w:pPr>
        <w:ind w:left="2760"/>
        <w:spacing w:after="0" w:line="238" w:lineRule="auto"/>
        <w:rPr>
          <w:sz w:val="20"/>
          <w:szCs w:val="20"/>
          <w:color w:val="auto"/>
        </w:rPr>
      </w:pPr>
      <w:r>
        <w:rPr>
          <w:rFonts w:ascii="Courier New" w:cs="Courier New" w:eastAsia="Courier New" w:hAnsi="Courier New"/>
          <w:sz w:val="15"/>
          <w:szCs w:val="15"/>
          <w:color w:val="auto"/>
        </w:rPr>
        <w:t>7,371,542</w:t>
      </w:r>
    </w:p>
    <w:p>
      <w:pPr>
        <w:ind w:left="2500"/>
        <w:spacing w:after="0" w:line="237" w:lineRule="auto"/>
        <w:rPr>
          <w:sz w:val="20"/>
          <w:szCs w:val="20"/>
          <w:color w:val="auto"/>
        </w:rPr>
      </w:pPr>
      <w:r>
        <w:rPr>
          <w:rFonts w:ascii="Courier New" w:cs="Courier New" w:eastAsia="Courier New" w:hAnsi="Courier New"/>
          <w:sz w:val="15"/>
          <w:szCs w:val="15"/>
          <w:color w:val="auto"/>
        </w:rPr>
        <w:t>1,702,494</w:t>
      </w:r>
    </w:p>
    <w:p>
      <w:pPr>
        <w:ind w:left="2760"/>
        <w:spacing w:after="0" w:line="238" w:lineRule="auto"/>
        <w:rPr>
          <w:sz w:val="20"/>
          <w:szCs w:val="20"/>
          <w:color w:val="auto"/>
        </w:rPr>
      </w:pPr>
      <w:r>
        <w:rPr>
          <w:rFonts w:ascii="Courier New" w:cs="Courier New" w:eastAsia="Courier New" w:hAnsi="Courier New"/>
          <w:sz w:val="15"/>
          <w:szCs w:val="15"/>
          <w:color w:val="auto"/>
        </w:rPr>
        <w:t>32,301</w:t>
      </w:r>
    </w:p>
    <w:p>
      <w:pPr>
        <w:ind w:left="2500"/>
        <w:spacing w:after="0" w:line="237" w:lineRule="auto"/>
        <w:rPr>
          <w:sz w:val="20"/>
          <w:szCs w:val="20"/>
          <w:color w:val="auto"/>
        </w:rPr>
      </w:pPr>
      <w:r>
        <w:rPr>
          <w:rFonts w:ascii="Courier New" w:cs="Courier New" w:eastAsia="Courier New" w:hAnsi="Courier New"/>
          <w:sz w:val="15"/>
          <w:szCs w:val="15"/>
          <w:color w:val="auto"/>
        </w:rPr>
        <w:t>276,081</w:t>
      </w:r>
    </w:p>
    <w:p>
      <w:pPr>
        <w:ind w:left="2760"/>
        <w:spacing w:after="0" w:line="238" w:lineRule="auto"/>
        <w:rPr>
          <w:sz w:val="20"/>
          <w:szCs w:val="20"/>
          <w:color w:val="auto"/>
        </w:rPr>
      </w:pPr>
      <w:r>
        <w:rPr>
          <w:rFonts w:ascii="Courier New" w:cs="Courier New" w:eastAsia="Courier New" w:hAnsi="Courier New"/>
          <w:sz w:val="15"/>
          <w:szCs w:val="15"/>
          <w:color w:val="auto"/>
        </w:rPr>
        <w:t>960,681</w:t>
      </w:r>
    </w:p>
    <w:p>
      <w:pPr>
        <w:ind w:left="3040"/>
        <w:spacing w:after="0" w:line="237" w:lineRule="auto"/>
        <w:rPr>
          <w:sz w:val="20"/>
          <w:szCs w:val="20"/>
          <w:color w:val="auto"/>
        </w:rPr>
      </w:pPr>
      <w:r>
        <w:rPr>
          <w:rFonts w:ascii="Courier New" w:cs="Courier New" w:eastAsia="Courier New" w:hAnsi="Courier New"/>
          <w:sz w:val="15"/>
          <w:szCs w:val="15"/>
          <w:color w:val="auto"/>
        </w:rPr>
        <w:t>228,248</w:t>
      </w:r>
    </w:p>
    <w:p>
      <w:pPr>
        <w:ind w:left="2420"/>
        <w:spacing w:after="0" w:line="238" w:lineRule="auto"/>
        <w:rPr>
          <w:sz w:val="20"/>
          <w:szCs w:val="20"/>
          <w:color w:val="auto"/>
        </w:rPr>
      </w:pPr>
      <w:r>
        <w:rPr>
          <w:rFonts w:ascii="Courier New" w:cs="Courier New" w:eastAsia="Courier New" w:hAnsi="Courier New"/>
          <w:sz w:val="15"/>
          <w:szCs w:val="15"/>
          <w:color w:val="auto"/>
        </w:rPr>
        <w:t>734,596</w:t>
      </w:r>
    </w:p>
    <w:p>
      <w:pPr>
        <w:ind w:left="3380"/>
        <w:spacing w:after="0" w:line="238" w:lineRule="auto"/>
        <w:rPr>
          <w:sz w:val="20"/>
          <w:szCs w:val="20"/>
          <w:color w:val="auto"/>
        </w:rPr>
      </w:pPr>
      <w:r>
        <w:rPr>
          <w:rFonts w:ascii="Courier New" w:cs="Courier New" w:eastAsia="Courier New" w:hAnsi="Courier New"/>
          <w:sz w:val="15"/>
          <w:szCs w:val="15"/>
          <w:color w:val="auto"/>
        </w:rPr>
        <w:t>0</w:t>
      </w:r>
    </w:p>
    <w:p>
      <w:pPr>
        <w:ind w:left="3300"/>
        <w:spacing w:after="0" w:line="237" w:lineRule="auto"/>
        <w:rPr>
          <w:sz w:val="20"/>
          <w:szCs w:val="20"/>
          <w:color w:val="auto"/>
        </w:rPr>
      </w:pPr>
      <w:r>
        <w:rPr>
          <w:rFonts w:ascii="Courier New" w:cs="Courier New" w:eastAsia="Courier New" w:hAnsi="Courier New"/>
          <w:sz w:val="15"/>
          <w:szCs w:val="15"/>
          <w:color w:val="auto"/>
        </w:rPr>
        <w:t>0</w:t>
      </w:r>
    </w:p>
    <w:p>
      <w:pPr>
        <w:ind w:left="3820"/>
        <w:spacing w:after="0" w:line="238" w:lineRule="auto"/>
        <w:rPr>
          <w:sz w:val="20"/>
          <w:szCs w:val="20"/>
          <w:color w:val="auto"/>
        </w:rPr>
      </w:pPr>
      <w:r>
        <w:rPr>
          <w:rFonts w:ascii="Courier New" w:cs="Courier New" w:eastAsia="Courier New" w:hAnsi="Courier New"/>
          <w:sz w:val="15"/>
          <w:szCs w:val="15"/>
          <w:color w:val="auto"/>
        </w:rPr>
        <w:t>0</w:t>
      </w:r>
    </w:p>
    <w:p>
      <w:pPr>
        <w:ind w:left="3040"/>
        <w:spacing w:after="0" w:line="237" w:lineRule="auto"/>
        <w:rPr>
          <w:sz w:val="20"/>
          <w:szCs w:val="20"/>
          <w:color w:val="auto"/>
        </w:rPr>
      </w:pPr>
      <w:r>
        <w:rPr>
          <w:rFonts w:ascii="Courier New" w:cs="Courier New" w:eastAsia="Courier New" w:hAnsi="Courier New"/>
          <w:sz w:val="15"/>
          <w:szCs w:val="15"/>
          <w:color w:val="auto"/>
        </w:rPr>
        <w:t>734,596</w:t>
      </w:r>
    </w:p>
    <w:p>
      <w:pPr>
        <w:ind w:left="3380"/>
        <w:spacing w:after="0" w:line="238" w:lineRule="auto"/>
        <w:rPr>
          <w:sz w:val="20"/>
          <w:szCs w:val="20"/>
          <w:color w:val="auto"/>
        </w:rPr>
      </w:pPr>
      <w:r>
        <w:rPr>
          <w:rFonts w:ascii="Courier New" w:cs="Courier New" w:eastAsia="Courier New" w:hAnsi="Courier New"/>
          <w:sz w:val="15"/>
          <w:szCs w:val="15"/>
          <w:color w:val="auto"/>
        </w:rPr>
        <w:t>1.29</w:t>
      </w:r>
    </w:p>
    <w:p>
      <w:pPr>
        <w:ind w:left="3200"/>
        <w:spacing w:after="0" w:line="237" w:lineRule="auto"/>
        <w:rPr>
          <w:sz w:val="20"/>
          <w:szCs w:val="20"/>
          <w:color w:val="auto"/>
        </w:rPr>
      </w:pPr>
      <w:r>
        <w:rPr>
          <w:rFonts w:ascii="Courier New" w:cs="Courier New" w:eastAsia="Courier New" w:hAnsi="Courier New"/>
          <w:sz w:val="15"/>
          <w:szCs w:val="15"/>
          <w:color w:val="auto"/>
        </w:rPr>
        <w:t>1.27</w:t>
      </w:r>
    </w:p>
    <w:p>
      <w:pPr>
        <w:sectPr>
          <w:pgSz w:w="11900" w:h="16838" w:orient="portrait"/>
          <w:cols w:equalWidth="0" w:num="1">
            <w:col w:w="10199"/>
          </w:cols>
          <w:pgMar w:left="260" w:top="135" w:right="1440" w:bottom="1440" w:gutter="0" w:footer="0" w:header="0"/>
        </w:sectPr>
      </w:pPr>
    </w:p>
    <w:bookmarkStart w:id="81" w:name="page82"/>
    <w:bookmarkEnd w:id="81"/>
    <w:p>
      <w:pPr>
        <w:ind w:left="6220"/>
        <w:spacing w:after="0"/>
        <w:rPr>
          <w:sz w:val="20"/>
          <w:szCs w:val="20"/>
          <w:color w:val="auto"/>
        </w:rPr>
      </w:pPr>
      <w:r>
        <w:rPr>
          <w:rFonts w:ascii="Courier New" w:cs="Courier New" w:eastAsia="Courier New" w:hAnsi="Courier New"/>
          <w:sz w:val="14"/>
          <w:szCs w:val="14"/>
          <w:color w:val="auto"/>
        </w:rPr>
        <w:t>10-K 2000</w:t>
      </w:r>
    </w:p>
    <w:p>
      <w:pPr>
        <w:spacing w:after="0" w:line="10" w:lineRule="exact"/>
        <w:rPr>
          <w:sz w:val="20"/>
          <w:szCs w:val="20"/>
          <w:color w:val="auto"/>
        </w:rPr>
      </w:pPr>
    </w:p>
    <w:p>
      <w:pPr>
        <w:ind w:left="6140"/>
        <w:spacing w:after="0"/>
        <w:rPr>
          <w:sz w:val="20"/>
          <w:szCs w:val="20"/>
          <w:color w:val="auto"/>
        </w:rPr>
      </w:pPr>
      <w:r>
        <w:rPr>
          <w:rFonts w:ascii="Courier New" w:cs="Courier New" w:eastAsia="Courier New" w:hAnsi="Courier New"/>
          <w:sz w:val="14"/>
          <w:szCs w:val="14"/>
          <w:color w:val="auto"/>
        </w:rPr>
        <w:t>Exhibit 99</w:t>
      </w:r>
    </w:p>
    <w:p>
      <w:pPr>
        <w:spacing w:after="0" w:line="178" w:lineRule="exact"/>
        <w:rPr>
          <w:sz w:val="20"/>
          <w:szCs w:val="20"/>
          <w:color w:val="auto"/>
        </w:rPr>
      </w:pPr>
    </w:p>
    <w:p>
      <w:pPr>
        <w:ind w:right="3239" w:firstLine="875"/>
        <w:spacing w:after="0" w:line="254" w:lineRule="auto"/>
        <w:rPr>
          <w:sz w:val="20"/>
          <w:szCs w:val="20"/>
          <w:color w:val="auto"/>
        </w:rPr>
      </w:pPr>
      <w:r>
        <w:rPr>
          <w:rFonts w:ascii="Courier New" w:cs="Courier New" w:eastAsia="Courier New" w:hAnsi="Courier New"/>
          <w:sz w:val="14"/>
          <w:szCs w:val="14"/>
          <w:color w:val="auto"/>
        </w:rPr>
        <w:t>For the purposes of complying with the amendments to the rules governing Form S-8 (effective July 13, 1990) under the Securities Act of 1933, the undersigned registrant hereby undertakes as follows, which undertaking shall be incorporated by reference into Registrant's Registration Statements on</w:t>
      </w:r>
    </w:p>
    <w:p>
      <w:pPr>
        <w:spacing w:after="0" w:line="1"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Form S-8 Nos. 33-35606; 33-47592; 33-86424; 333-40227; 333-62545; 333-81713; 333-81717; 333-36366; and 333-33364.</w:t>
      </w:r>
    </w:p>
    <w:p>
      <w:pPr>
        <w:spacing w:after="0" w:line="173" w:lineRule="exact"/>
        <w:rPr>
          <w:sz w:val="20"/>
          <w:szCs w:val="20"/>
          <w:color w:val="auto"/>
        </w:rPr>
      </w:pPr>
    </w:p>
    <w:p>
      <w:pPr>
        <w:ind w:right="3239" w:firstLine="875"/>
        <w:spacing w:after="0" w:line="255" w:lineRule="auto"/>
        <w:rPr>
          <w:sz w:val="20"/>
          <w:szCs w:val="20"/>
          <w:color w:val="auto"/>
        </w:rPr>
      </w:pPr>
      <w:r>
        <w:rPr>
          <w:rFonts w:ascii="Courier New" w:cs="Courier New" w:eastAsia="Courier New" w:hAnsi="Courier New"/>
          <w:sz w:val="14"/>
          <w:szCs w:val="14"/>
          <w:color w:val="auto"/>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80</w:t>
      </w:r>
    </w:p>
    <w:sectPr>
      <w:pgSz w:w="11900" w:h="16838" w:orient="portrait"/>
      <w:cols w:equalWidth="0" w:num="1">
        <w:col w:w="10239"/>
      </w:cols>
      <w:pgMar w:left="220" w:top="47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1)"/>
      <w:numFmt w:val="decimal"/>
      <w:start w:val="212"/>
    </w:lvl>
  </w:abstractNum>
  <w:abstractNum w:abstractNumId="1">
    <w:nsid w:val="436C6125"/>
    <w:multiLevelType w:val="hybridMultilevel"/>
    <w:lvl w:ilvl="0">
      <w:lvlJc w:val="left"/>
      <w:lvlText w:val="(%1)"/>
      <w:numFmt w:val="decimal"/>
      <w:start w:val="1"/>
    </w:lvl>
  </w:abstractNum>
  <w:abstractNum w:abstractNumId="2">
    <w:nsid w:val="628C895D"/>
    <w:multiLevelType w:val="hybridMultilevel"/>
    <w:lvl w:ilvl="0">
      <w:lvlJc w:val="left"/>
      <w:lvlText w:val="-"/>
      <w:numFmt w:val="bullet"/>
      <w:start w:val="1"/>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1)"/>
      <w:numFmt w:val="decimal"/>
      <w:start w:val="1"/>
    </w:lvl>
  </w:abstractNum>
  <w:abstractNum w:abstractNumId="28">
    <w:nsid w:val="614FD4A1"/>
    <w:multiLevelType w:val="hybridMultilevel"/>
    <w:lvl w:ilvl="0">
      <w:lvlJc w:val="left"/>
      <w:lvlText w:val="(%1)"/>
      <w:numFmt w:val="decimal"/>
      <w:start w:val="1"/>
    </w:lvl>
  </w:abstractNum>
  <w:abstractNum w:abstractNumId="29">
    <w:nsid w:val="419AC241"/>
    <w:multiLevelType w:val="hybridMultilevel"/>
    <w:lvl w:ilvl="0">
      <w:lvlJc w:val="left"/>
      <w:lvlText w:val="(%1)"/>
      <w:numFmt w:val="decimal"/>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1)"/>
      <w:numFmt w:val="decimal"/>
      <w:start w:val="2"/>
    </w:lvl>
  </w:abstractNum>
  <w:abstractNum w:abstractNumId="33">
    <w:nsid w:val="3804823E"/>
    <w:multiLevelType w:val="hybridMultilevel"/>
    <w:lvl w:ilvl="0">
      <w:lvlJc w:val="left"/>
      <w:lvlText w:val="*"/>
      <w:numFmt w:val="bullet"/>
      <w:start w:val="1"/>
    </w:lvl>
  </w:abstractNum>
  <w:abstractNum w:abstractNumId="34">
    <w:nsid w:val="77465F01"/>
    <w:multiLevelType w:val="hybridMultilevel"/>
    <w:lvl w:ilvl="0">
      <w:lvlJc w:val="left"/>
      <w:lvlText w:val="*"/>
      <w:numFmt w:val="bullet"/>
      <w:start w:val="1"/>
    </w:lvl>
  </w:abstractNum>
  <w:abstractNum w:abstractNumId="35">
    <w:nsid w:val="7724C67E"/>
    <w:multiLevelType w:val="hybridMultilevel"/>
    <w:lvl w:ilvl="0">
      <w:lvlJc w:val="left"/>
      <w:lvlText w:val="-"/>
      <w:numFmt w:val="bullet"/>
      <w:start w:val="1"/>
    </w:lvl>
  </w:abstractNum>
  <w:abstractNum w:abstractNumId="36">
    <w:nsid w:val="5C482A97"/>
    <w:multiLevelType w:val="hybridMultilevel"/>
    <w:lvl w:ilvl="0">
      <w:lvlJc w:val="left"/>
      <w:lvlText w:val="-"/>
      <w:numFmt w:val="bullet"/>
      <w:start w:val="1"/>
    </w:lvl>
  </w:abstractNum>
  <w:abstractNum w:abstractNumId="37">
    <w:nsid w:val="2463B9EA"/>
    <w:multiLevelType w:val="hybridMultilevel"/>
    <w:lvl w:ilvl="0">
      <w:lvlJc w:val="left"/>
      <w:lvlText w:val="-"/>
      <w:numFmt w:val="bullet"/>
      <w:start w:val="1"/>
    </w:lvl>
  </w:abstractNum>
  <w:abstractNum w:abstractNumId="38">
    <w:nsid w:val="5E884AD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2019-12-12T10:18:21Z</dcterms:created>
  <dcterms:modified xsi:type="dcterms:W3CDTF">2019-12-12T10:18:21Z</dcterms:modified>
</cp:coreProperties>
</file>