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September 18, 2019</w:t>
      </w:r>
    </w:p>
    <w:p>
      <w:pPr>
        <w:spacing w:after="0" w:line="312" w:lineRule="exact"/>
        <w:rPr>
          <w:sz w:val="24"/>
          <w:szCs w:val="24"/>
          <w:color w:val="auto"/>
        </w:rPr>
      </w:pPr>
    </w:p>
    <w:p>
      <w:pPr>
        <w:jc w:val="center"/>
        <w:ind w:right="340"/>
        <w:spacing w:after="0"/>
        <w:rPr>
          <w:sz w:val="20"/>
          <w:szCs w:val="20"/>
          <w:color w:val="auto"/>
        </w:rPr>
      </w:pPr>
      <w:r>
        <w:rPr>
          <w:rFonts w:ascii="Arial" w:cs="Arial" w:eastAsia="Arial" w:hAnsi="Arial"/>
          <w:sz w:val="43"/>
          <w:szCs w:val="43"/>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-294640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192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2"/>
              </w:rPr>
              <w:t>1-4601</w:t>
            </w:r>
          </w:p>
        </w:tc>
        <w:tc>
          <w:tcPr>
            <w:tcW w:w="1560" w:type="dxa"/>
            <w:vAlign w:val="bottom"/>
          </w:tcPr>
          <w:p>
            <w:pPr>
              <w:jc w:val="center"/>
              <w:ind w:left="362"/>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19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56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20" w:type="dxa"/>
            <w:vAlign w:val="bottom"/>
          </w:tcPr>
          <w:p>
            <w:pPr>
              <w:jc w:val="center"/>
              <w:ind w:right="202"/>
              <w:spacing w:after="0"/>
              <w:rPr>
                <w:sz w:val="20"/>
                <w:szCs w:val="20"/>
                <w:color w:val="auto"/>
              </w:rPr>
            </w:pPr>
            <w:r>
              <w:rPr>
                <w:rFonts w:ascii="Arial" w:cs="Arial" w:eastAsia="Arial" w:hAnsi="Arial"/>
                <w:sz w:val="14"/>
                <w:szCs w:val="14"/>
                <w:b w:val="1"/>
                <w:bCs w:val="1"/>
                <w:color w:val="auto"/>
                <w:w w:val="92"/>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1560" w:type="dxa"/>
            <w:vAlign w:val="bottom"/>
          </w:tcPr>
          <w:p>
            <w:pPr>
              <w:jc w:val="center"/>
              <w:ind w:left="362"/>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920" w:type="dxa"/>
            <w:vAlign w:val="bottom"/>
          </w:tcPr>
          <w:p>
            <w:pPr>
              <w:spacing w:after="0"/>
              <w:rPr>
                <w:sz w:val="24"/>
                <w:szCs w:val="24"/>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6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60" w:type="dxa"/>
            <w:vAlign w:val="bottom"/>
          </w:tcPr>
          <w:p>
            <w:pPr>
              <w:spacing w:after="0"/>
              <w:rPr>
                <w:sz w:val="18"/>
                <w:szCs w:val="18"/>
                <w:color w:val="auto"/>
              </w:rPr>
            </w:pPr>
          </w:p>
        </w:tc>
      </w:tr>
      <w:tr>
        <w:trPr>
          <w:trHeight w:val="212"/>
        </w:trPr>
        <w:tc>
          <w:tcPr>
            <w:tcW w:w="192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60" w:type="dxa"/>
            <w:vAlign w:val="bottom"/>
          </w:tcPr>
          <w:p>
            <w:pPr>
              <w:spacing w:after="0"/>
              <w:rPr>
                <w:sz w:val="18"/>
                <w:szCs w:val="18"/>
                <w:color w:val="auto"/>
              </w:rPr>
            </w:pPr>
          </w:p>
        </w:tc>
      </w:tr>
      <w:tr>
        <w:trPr>
          <w:trHeight w:val="186"/>
        </w:trPr>
        <w:tc>
          <w:tcPr>
            <w:tcW w:w="1920" w:type="dxa"/>
            <w:vAlign w:val="bottom"/>
          </w:tcPr>
          <w:p>
            <w:pPr>
              <w:spacing w:after="0"/>
              <w:rPr>
                <w:sz w:val="16"/>
                <w:szCs w:val="16"/>
                <w:color w:val="auto"/>
              </w:rPr>
            </w:pPr>
          </w:p>
        </w:tc>
        <w:tc>
          <w:tcPr>
            <w:tcW w:w="5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60" w:type="dxa"/>
            <w:vAlign w:val="bottom"/>
          </w:tcPr>
          <w:p>
            <w:pPr>
              <w:spacing w:after="0"/>
              <w:rPr>
                <w:sz w:val="16"/>
                <w:szCs w:val="16"/>
                <w:color w:val="auto"/>
              </w:rPr>
            </w:pP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223520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On September 18, 2019, Schlumberger Limited (“Schlumberger”) issued a press release announcing that Schlumberger Holdings Corporation, an indirect wholly-owned subsidiary of Schlumberger (the “Issuer”), has commenced a cash tender offer (the “Tender Offer”) for (a) any and all of the Issuer’s outstanding 3.000% Notes due 2020 (the “2020 Notes”) and (b) any and all of the Issuer’s outstanding 3.625% Notes due 2022 (the “2022 Notes,” and, together with the 2020 Notes, the “Notes”). The complete terms and conditions of the Tender Offer are set forth in an offer to purchase and notice of guaranteed delivery (collectively, the “Tender Offer Documents”) that will be sent to registered holders of the Notes and be posted online at </w:t>
      </w:r>
      <w:r>
        <w:rPr>
          <w:rFonts w:ascii="Arial" w:cs="Arial" w:eastAsia="Arial" w:hAnsi="Arial"/>
          <w:sz w:val="18"/>
          <w:szCs w:val="18"/>
          <w:u w:val="single" w:color="auto"/>
          <w:color w:val="0000FF"/>
        </w:rPr>
        <w:t>www.dfking.com/slb</w:t>
      </w:r>
      <w:r>
        <w:rPr>
          <w:rFonts w:ascii="Arial" w:cs="Arial" w:eastAsia="Arial" w:hAnsi="Arial"/>
          <w:sz w:val="18"/>
          <w:szCs w:val="18"/>
          <w:color w:val="000000"/>
        </w:rPr>
        <w:t>. The Tender Offer will expire at 5:00 p.m., New York City time, on September 24, 2019, unless extended or earlier terminated (the</w:t>
      </w:r>
      <w:r>
        <w:rPr>
          <w:rFonts w:ascii="Arial" w:cs="Arial" w:eastAsia="Arial" w:hAnsi="Arial"/>
          <w:sz w:val="18"/>
          <w:szCs w:val="18"/>
          <w:color w:val="0000FF"/>
        </w:rPr>
        <w:t xml:space="preserve"> </w:t>
      </w:r>
      <w:r>
        <w:rPr>
          <w:rFonts w:ascii="Arial" w:cs="Arial" w:eastAsia="Arial" w:hAnsi="Arial"/>
          <w:sz w:val="18"/>
          <w:szCs w:val="18"/>
          <w:color w:val="000000"/>
        </w:rPr>
        <w:t>“Expiration Time”).</w:t>
      </w:r>
    </w:p>
    <w:p>
      <w:pPr>
        <w:spacing w:after="0" w:line="18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applicable consideration for each $1,000 principal amount of Notes validly tendered and not validly withdrawn and accepted for purchase pursuant to the Tender Offer will be determined in the manner described in the Tender Offer Documents by reference to the applicable fixed spread for such Notes plus the applicable yield based on the bid-side price of the applicable U.S. Treasury Reference Security at 2:00 p.m., New York City time, on September 24, 2019, unless extended.</w:t>
      </w:r>
    </w:p>
    <w:p>
      <w:pPr>
        <w:spacing w:after="0" w:line="187"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Holders will also receive accrued and unpaid interest on the Notes validly tendered and accepted for purchase from the applicable last interest payment date up to, but not including, the date the Issuer makes payment for such Notes, which date is anticipated to be September 27, 2019 (the “Settlement Date”).</w:t>
      </w:r>
    </w:p>
    <w:p>
      <w:pPr>
        <w:spacing w:after="0" w:line="181"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A copy of the press release is included with this Form 8-K as Exhibit 99 and incorporated into this Item 7.01 by reference. In accordance with General Instruction B.2. of Form 8-K, the information in this Item 7.01 (including Exhibit 99)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This Form 8-K and Exhibit 99 attached hereto contain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regarding the terms and timing for completion of the Tender Offer, including the acceptance for purchase of any Notes validly tendered and the expected Expiration Time and Settlement Date thereof, and the consideration of the Tender Offer. Schlumberger and the Issuer cannot give any assurance that such statements will prove correct. These statements are subject to, among other things, the risks and uncertainties detailed in Schlumberger’s most recent Forms 10-K, 10-Q, and 8-K filed with or furnished to the Securities and Exchange Commission. Actual outcomes may vary materially from those reflected in Schlumberger’s forward-looking</w:t>
      </w:r>
    </w:p>
    <w:p>
      <w:pPr>
        <w:sectPr>
          <w:pgSz w:w="11900" w:h="16838" w:orient="portrait"/>
          <w:cols w:equalWidth="0" w:num="1">
            <w:col w:w="11020"/>
          </w:cols>
          <w:pgMar w:left="440" w:top="297" w:right="4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statements. The forward-looking statements speak only as of the date of this Form 8-K, and Schlumberger disclaims any intention or obligation to update publicly or revise such statements, whether as a result of new information, future events or otherwise.</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333" w:lineRule="exact"/>
        <w:rPr>
          <w:sz w:val="20"/>
          <w:szCs w:val="20"/>
          <w:color w:val="auto"/>
        </w:rPr>
      </w:pPr>
    </w:p>
    <w:p>
      <w:pPr>
        <w:ind w:left="820" w:hanging="762"/>
        <w:spacing w:after="0"/>
        <w:tabs>
          <w:tab w:leader="none" w:pos="820"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of Schlumberger Limited dated September 18, 2019.</w:t>
        </w:r>
      </w:hyperlink>
    </w:p>
    <w:p>
      <w:pPr>
        <w:spacing w:after="0" w:line="11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520"/>
          </w:cols>
          <w:pgMar w:left="440" w:top="301" w:right="9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18, 2019</w:t>
      </w:r>
    </w:p>
    <w:p>
      <w:pPr>
        <w:sectPr>
          <w:pgSz w:w="11900" w:h="16838" w:orient="portrait"/>
          <w:cols w:equalWidth="0" w:num="1">
            <w:col w:w="10780"/>
          </w:cols>
          <w:pgMar w:left="440" w:top="297" w:right="679" w:bottom="1440" w:gutter="0" w:footer="0" w:header="0"/>
        </w:sectPr>
      </w:pPr>
    </w:p>
    <w:bookmarkStart w:id="4" w:name="page5"/>
    <w:bookmarkEnd w:id="4"/>
    <w:p>
      <w:pPr>
        <w:ind w:left="10220"/>
        <w:spacing w:after="0"/>
        <w:rPr>
          <w:sz w:val="20"/>
          <w:szCs w:val="20"/>
          <w:color w:val="auto"/>
        </w:rPr>
      </w:pPr>
      <w:r>
        <w:rPr>
          <w:rFonts w:ascii="Arial" w:cs="Arial" w:eastAsia="Arial" w:hAnsi="Arial"/>
          <w:sz w:val="17"/>
          <w:szCs w:val="17"/>
          <w:b w:val="1"/>
          <w:bCs w:val="1"/>
          <w:color w:val="auto"/>
        </w:rPr>
        <w:t>Exhibit 99</w:t>
      </w:r>
    </w:p>
    <w:p>
      <w:pPr>
        <w:spacing w:after="0" w:line="232" w:lineRule="exact"/>
        <w:rPr>
          <w:sz w:val="20"/>
          <w:szCs w:val="20"/>
          <w:color w:val="auto"/>
        </w:rPr>
      </w:pPr>
    </w:p>
    <w:p>
      <w:pPr>
        <w:ind w:right="560"/>
        <w:spacing w:after="0" w:line="327" w:lineRule="auto"/>
        <w:rPr>
          <w:sz w:val="20"/>
          <w:szCs w:val="20"/>
          <w:color w:val="auto"/>
        </w:rPr>
      </w:pPr>
      <w:r>
        <w:rPr>
          <w:rFonts w:ascii="Arial" w:cs="Arial" w:eastAsia="Arial" w:hAnsi="Arial"/>
          <w:sz w:val="23"/>
          <w:szCs w:val="23"/>
          <w:b w:val="1"/>
          <w:bCs w:val="1"/>
          <w:color w:val="auto"/>
        </w:rPr>
        <w:t>Schlumberger Announces Tender Offer for Any and All of Schlumberger Holdings Corporation’s Outstanding 3.000% Senior Notes Due 2020 and 3.625% Senior Notes Due 2022</w:t>
      </w:r>
    </w:p>
    <w:p>
      <w:pPr>
        <w:spacing w:after="0" w:line="9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HOUSTON, September 18, 2019 — Schlumberger Limited (“Schlumberger”) today announced that Schlumberger Holdings Corporation, an indirect wholly-owned subsidiary of Schlumberger (“SHC”), has commenced a cash tender offer for any and all of its outstanding (a) 3.000% Senior Notes due 2020 (the “2020 Notes”) and (b) 3.625% Senior Notes due 2022 (the “2022 Notes,” and together with the 2020 Notes, the “Notes”), on the terms and subject to the conditions set forth in the Offer to Purchase, dated the date hereof (as may be amended or supplemented from time to time, the “Offer to Purchase”) and the related Notice of Guaranteed Delivery attached to the Offer to Purchase (as may be amended or supplemented from time to time, the “Notice of Guaranteed Delivery”). As of September 18, 2019, there were $1,198,732,000 aggregate principal amount of the 2020 Notes outstanding and $616,522,000 aggregate principal amount of the 2022 Notes outstanding. The tender offer is referred to herein as the “Offer.” The Offer to Purchase and the Notice of Guaranteed Delivery are referred to herein collectively as the “Offer Documents.”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regarding the Notes and the pricing for the Offer is set forth in the table below.</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52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5"/>
              </w:rPr>
              <w:t>Title of Security</w:t>
            </w: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CUSIP Numbers</w:t>
            </w:r>
          </w:p>
        </w:tc>
        <w:tc>
          <w:tcPr>
            <w:tcW w:w="1800" w:type="dxa"/>
            <w:vAlign w:val="bottom"/>
          </w:tcPr>
          <w:p>
            <w:pPr>
              <w:jc w:val="center"/>
              <w:ind w:left="99"/>
              <w:spacing w:after="0"/>
              <w:rPr>
                <w:sz w:val="20"/>
                <w:szCs w:val="20"/>
                <w:color w:val="auto"/>
              </w:rPr>
            </w:pPr>
            <w:r>
              <w:rPr>
                <w:rFonts w:ascii="Arial" w:cs="Arial" w:eastAsia="Arial" w:hAnsi="Arial"/>
                <w:sz w:val="14"/>
                <w:szCs w:val="14"/>
                <w:b w:val="1"/>
                <w:bCs w:val="1"/>
                <w:color w:val="auto"/>
                <w:w w:val="94"/>
              </w:rPr>
              <w:t>Principal Amount</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U.S. Treasury</w:t>
            </w:r>
          </w:p>
        </w:tc>
        <w:tc>
          <w:tcPr>
            <w:tcW w:w="1760" w:type="dxa"/>
            <w:vAlign w:val="bottom"/>
          </w:tcPr>
          <w:p>
            <w:pPr>
              <w:jc w:val="center"/>
              <w:ind w:right="159"/>
              <w:spacing w:after="0"/>
              <w:rPr>
                <w:sz w:val="20"/>
                <w:szCs w:val="20"/>
                <w:color w:val="auto"/>
              </w:rPr>
            </w:pPr>
            <w:r>
              <w:rPr>
                <w:rFonts w:ascii="Arial" w:cs="Arial" w:eastAsia="Arial" w:hAnsi="Arial"/>
                <w:sz w:val="14"/>
                <w:szCs w:val="14"/>
                <w:b w:val="1"/>
                <w:bCs w:val="1"/>
                <w:color w:val="auto"/>
                <w:w w:val="91"/>
              </w:rPr>
              <w:t>Bloomberg</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Fixed Spread</w:t>
            </w:r>
          </w:p>
        </w:tc>
        <w:tc>
          <w:tcPr>
            <w:tcW w:w="0" w:type="dxa"/>
            <w:vAlign w:val="bottom"/>
          </w:tcPr>
          <w:p>
            <w:pPr>
              <w:spacing w:after="0"/>
              <w:rPr>
                <w:sz w:val="1"/>
                <w:szCs w:val="1"/>
                <w:color w:val="auto"/>
              </w:rPr>
            </w:pPr>
          </w:p>
        </w:tc>
      </w:tr>
      <w:tr>
        <w:trPr>
          <w:trHeight w:val="176"/>
        </w:trPr>
        <w:tc>
          <w:tcPr>
            <w:tcW w:w="15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800" w:type="dxa"/>
            <w:vAlign w:val="bottom"/>
          </w:tcPr>
          <w:p>
            <w:pPr>
              <w:jc w:val="center"/>
              <w:ind w:left="79"/>
              <w:spacing w:after="0"/>
              <w:rPr>
                <w:sz w:val="20"/>
                <w:szCs w:val="20"/>
                <w:color w:val="auto"/>
              </w:rPr>
            </w:pPr>
            <w:r>
              <w:rPr>
                <w:rFonts w:ascii="Arial" w:cs="Arial" w:eastAsia="Arial" w:hAnsi="Arial"/>
                <w:sz w:val="14"/>
                <w:szCs w:val="14"/>
                <w:b w:val="1"/>
                <w:bCs w:val="1"/>
                <w:color w:val="auto"/>
                <w:w w:val="92"/>
              </w:rPr>
              <w:t>Outstanding</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1"/>
              </w:rPr>
              <w:t>Reference Security</w:t>
            </w:r>
          </w:p>
        </w:tc>
        <w:tc>
          <w:tcPr>
            <w:tcW w:w="176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Reference Page</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CCEEFF"/>
          </w:tcPr>
          <w:p>
            <w:pPr>
              <w:jc w:val="center"/>
              <w:ind w:right="154"/>
              <w:spacing w:after="0" w:line="201" w:lineRule="exact"/>
              <w:rPr>
                <w:sz w:val="20"/>
                <w:szCs w:val="20"/>
                <w:color w:val="auto"/>
              </w:rPr>
            </w:pPr>
            <w:r>
              <w:rPr>
                <w:rFonts w:ascii="Arial" w:cs="Arial" w:eastAsia="Arial" w:hAnsi="Arial"/>
                <w:sz w:val="18"/>
                <w:szCs w:val="18"/>
                <w:color w:val="auto"/>
                <w:w w:val="91"/>
              </w:rPr>
              <w:t>3.000% Senior</w:t>
            </w:r>
          </w:p>
        </w:tc>
        <w:tc>
          <w:tcPr>
            <w:tcW w:w="1760" w:type="dxa"/>
            <w:vAlign w:val="bottom"/>
            <w:shd w:val="clear" w:color="auto" w:fill="CCEEFF"/>
          </w:tcPr>
          <w:p>
            <w:pPr>
              <w:jc w:val="center"/>
              <w:ind w:right="14"/>
              <w:spacing w:after="0" w:line="201" w:lineRule="exact"/>
              <w:rPr>
                <w:sz w:val="20"/>
                <w:szCs w:val="20"/>
                <w:color w:val="auto"/>
              </w:rPr>
            </w:pPr>
            <w:r>
              <w:rPr>
                <w:rFonts w:ascii="Arial" w:cs="Arial" w:eastAsia="Arial" w:hAnsi="Arial"/>
                <w:sz w:val="18"/>
                <w:szCs w:val="18"/>
                <w:color w:val="auto"/>
                <w:w w:val="93"/>
              </w:rPr>
              <w:t>806851AC5 /</w:t>
            </w:r>
          </w:p>
        </w:tc>
        <w:tc>
          <w:tcPr>
            <w:tcW w:w="1800" w:type="dxa"/>
            <w:vAlign w:val="bottom"/>
            <w:shd w:val="clear" w:color="auto" w:fill="CCEEFF"/>
          </w:tcPr>
          <w:p>
            <w:pPr>
              <w:jc w:val="right"/>
              <w:ind w:right="179"/>
              <w:spacing w:after="0" w:line="201" w:lineRule="exact"/>
              <w:rPr>
                <w:sz w:val="20"/>
                <w:szCs w:val="20"/>
                <w:color w:val="auto"/>
              </w:rPr>
            </w:pPr>
            <w:r>
              <w:rPr>
                <w:rFonts w:ascii="Arial" w:cs="Arial" w:eastAsia="Arial" w:hAnsi="Arial"/>
                <w:sz w:val="18"/>
                <w:szCs w:val="18"/>
                <w:color w:val="auto"/>
              </w:rPr>
              <w:t>$1,198,732,000</w:t>
            </w:r>
          </w:p>
        </w:tc>
        <w:tc>
          <w:tcPr>
            <w:tcW w:w="2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1.875% U.S. Treasury</w:t>
            </w:r>
          </w:p>
        </w:tc>
        <w:tc>
          <w:tcPr>
            <w:tcW w:w="1760" w:type="dxa"/>
            <w:vAlign w:val="bottom"/>
            <w:shd w:val="clear" w:color="auto" w:fill="CCEEFF"/>
          </w:tcPr>
          <w:p>
            <w:pPr>
              <w:jc w:val="center"/>
              <w:ind w:right="159"/>
              <w:spacing w:after="0" w:line="201" w:lineRule="exact"/>
              <w:rPr>
                <w:sz w:val="20"/>
                <w:szCs w:val="20"/>
                <w:color w:val="auto"/>
              </w:rPr>
            </w:pPr>
            <w:r>
              <w:rPr>
                <w:rFonts w:ascii="Arial" w:cs="Arial" w:eastAsia="Arial" w:hAnsi="Arial"/>
                <w:sz w:val="18"/>
                <w:szCs w:val="18"/>
                <w:color w:val="auto"/>
                <w:w w:val="93"/>
              </w:rPr>
              <w:t>PX4</w:t>
            </w:r>
          </w:p>
        </w:tc>
        <w:tc>
          <w:tcPr>
            <w:tcW w:w="1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25 bps</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88"/>
              </w:rPr>
              <w:t>Notes due 2020</w:t>
            </w:r>
          </w:p>
        </w:tc>
        <w:tc>
          <w:tcPr>
            <w:tcW w:w="17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U8066LAC8</w:t>
            </w:r>
          </w:p>
        </w:tc>
        <w:tc>
          <w:tcPr>
            <w:tcW w:w="180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Notes due December 15,</w:t>
            </w:r>
          </w:p>
        </w:tc>
        <w:tc>
          <w:tcPr>
            <w:tcW w:w="17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7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520" w:type="dxa"/>
            <w:vAlign w:val="bottom"/>
          </w:tcPr>
          <w:p>
            <w:pPr>
              <w:jc w:val="center"/>
              <w:ind w:right="154"/>
              <w:spacing w:after="0" w:line="201" w:lineRule="exact"/>
              <w:rPr>
                <w:sz w:val="20"/>
                <w:szCs w:val="20"/>
                <w:color w:val="auto"/>
              </w:rPr>
            </w:pPr>
            <w:r>
              <w:rPr>
                <w:rFonts w:ascii="Arial" w:cs="Arial" w:eastAsia="Arial" w:hAnsi="Arial"/>
                <w:sz w:val="18"/>
                <w:szCs w:val="18"/>
                <w:color w:val="auto"/>
                <w:w w:val="91"/>
              </w:rPr>
              <w:t>3.625% Senior</w:t>
            </w:r>
          </w:p>
        </w:tc>
        <w:tc>
          <w:tcPr>
            <w:tcW w:w="1760" w:type="dxa"/>
            <w:vAlign w:val="bottom"/>
          </w:tcPr>
          <w:p>
            <w:pPr>
              <w:jc w:val="center"/>
              <w:ind w:right="34"/>
              <w:spacing w:after="0" w:line="201" w:lineRule="exact"/>
              <w:rPr>
                <w:sz w:val="20"/>
                <w:szCs w:val="20"/>
                <w:color w:val="auto"/>
              </w:rPr>
            </w:pPr>
            <w:r>
              <w:rPr>
                <w:rFonts w:ascii="Arial" w:cs="Arial" w:eastAsia="Arial" w:hAnsi="Arial"/>
                <w:sz w:val="18"/>
                <w:szCs w:val="18"/>
                <w:color w:val="auto"/>
                <w:w w:val="92"/>
              </w:rPr>
              <w:t>806851AE1 /</w:t>
            </w:r>
          </w:p>
        </w:tc>
        <w:tc>
          <w:tcPr>
            <w:tcW w:w="1800" w:type="dxa"/>
            <w:vAlign w:val="bottom"/>
          </w:tcPr>
          <w:p>
            <w:pPr>
              <w:jc w:val="right"/>
              <w:ind w:right="239"/>
              <w:spacing w:after="0" w:line="201" w:lineRule="exact"/>
              <w:rPr>
                <w:sz w:val="20"/>
                <w:szCs w:val="20"/>
                <w:color w:val="auto"/>
              </w:rPr>
            </w:pPr>
            <w:r>
              <w:rPr>
                <w:rFonts w:ascii="Arial" w:cs="Arial" w:eastAsia="Arial" w:hAnsi="Arial"/>
                <w:sz w:val="18"/>
                <w:szCs w:val="18"/>
                <w:color w:val="auto"/>
              </w:rPr>
              <w:t>$616,522,000</w:t>
            </w:r>
          </w:p>
        </w:tc>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0"/>
              </w:rPr>
              <w:t>1.500% U.S. Treasury</w:t>
            </w:r>
          </w:p>
        </w:tc>
        <w:tc>
          <w:tcPr>
            <w:tcW w:w="1760" w:type="dxa"/>
            <w:vAlign w:val="bottom"/>
          </w:tcPr>
          <w:p>
            <w:pPr>
              <w:jc w:val="center"/>
              <w:ind w:right="159"/>
              <w:spacing w:after="0" w:line="201" w:lineRule="exact"/>
              <w:rPr>
                <w:sz w:val="20"/>
                <w:szCs w:val="20"/>
                <w:color w:val="auto"/>
              </w:rPr>
            </w:pPr>
            <w:r>
              <w:rPr>
                <w:rFonts w:ascii="Arial" w:cs="Arial" w:eastAsia="Arial" w:hAnsi="Arial"/>
                <w:sz w:val="18"/>
                <w:szCs w:val="18"/>
                <w:color w:val="auto"/>
                <w:w w:val="93"/>
              </w:rPr>
              <w:t>PX1</w:t>
            </w:r>
          </w:p>
        </w:tc>
        <w:tc>
          <w:tcPr>
            <w:tcW w:w="1820" w:type="dxa"/>
            <w:vAlign w:val="bottom"/>
          </w:tcPr>
          <w:p>
            <w:pPr>
              <w:jc w:val="center"/>
              <w:spacing w:after="0" w:line="201" w:lineRule="exact"/>
              <w:rPr>
                <w:sz w:val="20"/>
                <w:szCs w:val="20"/>
                <w:color w:val="auto"/>
              </w:rPr>
            </w:pPr>
            <w:r>
              <w:rPr>
                <w:rFonts w:ascii="Arial" w:cs="Arial" w:eastAsia="Arial" w:hAnsi="Arial"/>
                <w:sz w:val="18"/>
                <w:szCs w:val="18"/>
                <w:color w:val="auto"/>
                <w:w w:val="88"/>
              </w:rPr>
              <w:t>35 bps</w:t>
            </w:r>
          </w:p>
        </w:tc>
        <w:tc>
          <w:tcPr>
            <w:tcW w:w="0" w:type="dxa"/>
            <w:vAlign w:val="bottom"/>
          </w:tcPr>
          <w:p>
            <w:pPr>
              <w:spacing w:after="0"/>
              <w:rPr>
                <w:sz w:val="1"/>
                <w:szCs w:val="1"/>
                <w:color w:val="auto"/>
              </w:rPr>
            </w:pPr>
          </w:p>
        </w:tc>
      </w:tr>
      <w:tr>
        <w:trPr>
          <w:trHeight w:val="216"/>
        </w:trPr>
        <w:tc>
          <w:tcPr>
            <w:tcW w:w="1520" w:type="dxa"/>
            <w:vAlign w:val="bottom"/>
          </w:tcPr>
          <w:p>
            <w:pPr>
              <w:jc w:val="center"/>
              <w:ind w:right="154"/>
              <w:spacing w:after="0"/>
              <w:rPr>
                <w:sz w:val="20"/>
                <w:szCs w:val="20"/>
                <w:color w:val="auto"/>
              </w:rPr>
            </w:pPr>
            <w:r>
              <w:rPr>
                <w:rFonts w:ascii="Arial" w:cs="Arial" w:eastAsia="Arial" w:hAnsi="Arial"/>
                <w:sz w:val="18"/>
                <w:szCs w:val="18"/>
                <w:color w:val="auto"/>
                <w:w w:val="88"/>
              </w:rPr>
              <w:t>Notes due 2022</w:t>
            </w:r>
          </w:p>
        </w:tc>
        <w:tc>
          <w:tcPr>
            <w:tcW w:w="1760" w:type="dxa"/>
            <w:vAlign w:val="bottom"/>
          </w:tcPr>
          <w:p>
            <w:pPr>
              <w:jc w:val="center"/>
              <w:ind w:right="14"/>
              <w:spacing w:after="0"/>
              <w:rPr>
                <w:sz w:val="20"/>
                <w:szCs w:val="20"/>
                <w:color w:val="auto"/>
              </w:rPr>
            </w:pPr>
            <w:r>
              <w:rPr>
                <w:rFonts w:ascii="Arial" w:cs="Arial" w:eastAsia="Arial" w:hAnsi="Arial"/>
                <w:sz w:val="18"/>
                <w:szCs w:val="18"/>
                <w:color w:val="auto"/>
                <w:w w:val="95"/>
              </w:rPr>
              <w:t>U8066LAD6</w:t>
            </w:r>
          </w:p>
        </w:tc>
        <w:tc>
          <w:tcPr>
            <w:tcW w:w="180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Notes due September 15,</w:t>
            </w:r>
          </w:p>
        </w:tc>
        <w:tc>
          <w:tcPr>
            <w:tcW w:w="17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7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Holders must validly tender (and not validly withdraw) their Notes, or deliver a properly completed and duly executed Notice of Guaranteed Delivery for their Notes, at or before the Expiration Time (as defined below) in order to be eligible to receive the applicable Tender Offer Consideration (as defined below). In addition, holders whose Notes are purchased in the Offer will receive accrued and unpaid interest from the last interest payment date to, but not including, the Settlement Date (as defined in the Offer to Purchase) for the applicable Notes. SHC expects the Settlement Date to occur on September 27, 2019, the third business day after the Expiration Time.</w:t>
      </w:r>
    </w:p>
    <w:p>
      <w:pPr>
        <w:spacing w:after="0" w:line="18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Offer will expire at 5:00 p.m., New York City time, on September 24, 2019 (such time and date, as it may be extended, the “Expiration Time”), unless extended or earlier terminated by SHC. The Notes tendered may be withdrawn at any time at or before the Expiration Time by following the procedures described in the Offer to Purchase.</w:t>
      </w:r>
    </w:p>
    <w:p>
      <w:pPr>
        <w:spacing w:after="0" w:line="181"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SHC’s obligation to accept for purchase and to pay for Notes validly tendered and not validly withdrawn pursuant to the Offer is subject to the satisfaction or waiver, in SHC’s discretion, of certain conditions, which are more fully described in the Offer to Purchase. The complete terms and conditions of the Offer are set forth in the Offer Documents. Holders of the Notes are urged to read the Offer Documents carefully.</w:t>
      </w:r>
    </w:p>
    <w:p>
      <w:pPr>
        <w:sectPr>
          <w:pgSz w:w="11900" w:h="16838" w:orient="portrait"/>
          <w:cols w:equalWidth="0" w:num="1">
            <w:col w:w="11040"/>
          </w:cols>
          <w:pgMar w:left="440" w:top="121" w:right="419" w:bottom="1440" w:gutter="0" w:footer="0" w:header="0"/>
        </w:sectPr>
      </w:pPr>
    </w:p>
    <w:bookmarkStart w:id="5" w:name="page6"/>
    <w:bookmarkEnd w:id="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applicable “Tender Offer Consideration” for each $1,000 principal amount of Notes validly tendered and not validly withdrawn and accepted for purchase pursuant to the Offer will be determined in the manner described in the Offer Documents by reference to the applicable fixed spread for such Notes specified in the table above plus the yield based on the bid-side price of the applicable U.S. Treasury Reference Security specified in the table above at 2:00 p.m., New York City time, on September 24, 2019, unless extended.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SHC has retained D.F. King &amp; Co., Inc. (“D.F. King”) as the tender agent and information agent for the Offer. SHC has retained Goldman Sachs &amp; 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LLC as the dealer manager for the Offer.</w:t>
      </w:r>
    </w:p>
    <w:p>
      <w:pPr>
        <w:spacing w:after="0" w:line="2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Holders who would like additional copies of the Offer Documents may call or email D.F. King at (866) 530-8635. Copies of the Offer to Purchase and the Notice of Guaranteed Delivery are also available at the following website: </w:t>
      </w:r>
      <w:r>
        <w:rPr>
          <w:rFonts w:ascii="Arial" w:cs="Arial" w:eastAsia="Arial" w:hAnsi="Arial"/>
          <w:sz w:val="18"/>
          <w:szCs w:val="18"/>
          <w:u w:val="single" w:color="auto"/>
          <w:color w:val="0000FF"/>
        </w:rPr>
        <w:t>www.dfking.com/slb</w:t>
      </w:r>
      <w:r>
        <w:rPr>
          <w:rFonts w:ascii="Arial" w:cs="Arial" w:eastAsia="Arial" w:hAnsi="Arial"/>
          <w:sz w:val="18"/>
          <w:szCs w:val="18"/>
          <w:color w:val="auto"/>
        </w:rPr>
        <w:t>. Questions regarding the terms of the Offer should be directed to Goldman Sachs &amp; Co. LLC at 200 West Street, New York, NY 10282, telephone (800) 828-3182 (toll-free), (212) 902-6351 (collect), Attn: Liability Management.</w:t>
      </w:r>
    </w:p>
    <w:p>
      <w:pPr>
        <w:spacing w:after="0" w:line="18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press release shall not constitute an offer to buy or a solicitation of an offer to sell any Notes. The Offer is being made solely pursuant to the Offer Documents. The Offer is not being made to holders of Notes in any jurisdiction in which the making or acceptance thereof would not be in compliance with the securities, blue sky or other laws of such jurisdiction. In any jurisdiction in which the securities laws or blue sky laws require the Offer to be made by a licensed broker or dealer, the Offer will be deemed to be made on behalf of SHC by Goldman Sachs &amp; Co. LLC or one or more registered brokers or dealers that are licensed under the laws of such jurisdiction.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regarding the terms and timing for completion of the Offer, including the acceptance for purchase of any Notes validly tendered and the expected Expiration Time and Settlement Date thereof, and the consideration of the Offer. Schlumberger and SHC cannot give any assurance that such statements will prove correct. These statements are subject to, among other things, the risks and uncertainties detailed in Schlumberger’s most recent Forms 10-K, 10-Q, and 8-K filed with or furnished to the Securities and Exchange Commission. Actual outcomes may vary materially from those reflected in Schlumberger’s forward-looking statements. The forward-looking statements speak only as of the date made, and Schlumberger disclaims any intention or obligation to update publicly or revise such statements, whether as a result of new information, future events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225" w:lineRule="exact"/>
        <w:rPr>
          <w:sz w:val="20"/>
          <w:szCs w:val="20"/>
          <w:color w:val="auto"/>
        </w:rPr>
      </w:pPr>
    </w:p>
    <w:p>
      <w:pPr>
        <w:ind w:right="5500"/>
        <w:spacing w:after="0" w:line="342" w:lineRule="auto"/>
        <w:rPr>
          <w:sz w:val="20"/>
          <w:szCs w:val="20"/>
          <w:color w:val="auto"/>
        </w:rPr>
      </w:pPr>
      <w:r>
        <w:rPr>
          <w:rFonts w:ascii="Arial" w:cs="Arial" w:eastAsia="Arial" w:hAnsi="Arial"/>
          <w:sz w:val="16"/>
          <w:szCs w:val="16"/>
          <w:color w:val="auto"/>
        </w:rPr>
        <w:t>Simon Farrant – Vice President of Investor Relations, Schlumberger Limited Joy V. Domingo – Director of Investor Relations, Schlumberger Limited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2019-12-28T06:19:11Z</dcterms:created>
  <dcterms:modified xsi:type="dcterms:W3CDTF">2019-12-28T06:19:11Z</dcterms:modified>
</cp:coreProperties>
</file>