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13, 2015</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333-207260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S-4</w:t>
      </w:r>
    </w:p>
    <w:p>
      <w:pPr>
        <w:jc w:val="center"/>
        <w:spacing w:after="0" w:line="238" w:lineRule="auto"/>
        <w:rPr>
          <w:sz w:val="20"/>
          <w:szCs w:val="20"/>
          <w:color w:val="auto"/>
        </w:rPr>
      </w:pPr>
      <w:r>
        <w:rPr>
          <w:rFonts w:ascii="Arial" w:cs="Arial" w:eastAsia="Arial" w:hAnsi="Arial"/>
          <w:sz w:val="22"/>
          <w:szCs w:val="2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75565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SCHLUMBERGER N.V. (SCHLUMBERGER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3460" w:type="dxa"/>
            <w:vAlign w:val="bottom"/>
          </w:tcPr>
          <w:p>
            <w:pPr>
              <w:jc w:val="center"/>
              <w:ind w:right="1612"/>
              <w:spacing w:after="0"/>
              <w:rPr>
                <w:sz w:val="20"/>
                <w:szCs w:val="20"/>
                <w:color w:val="auto"/>
              </w:rPr>
            </w:pPr>
            <w:r>
              <w:rPr>
                <w:rFonts w:ascii="Arial" w:cs="Arial" w:eastAsia="Arial" w:hAnsi="Arial"/>
                <w:sz w:val="14"/>
                <w:szCs w:val="14"/>
                <w:b w:val="1"/>
                <w:bCs w:val="1"/>
                <w:color w:val="auto"/>
                <w:w w:val="89"/>
              </w:rPr>
              <w:t>Curaçao</w:t>
            </w:r>
          </w:p>
        </w:tc>
        <w:tc>
          <w:tcPr>
            <w:tcW w:w="2380" w:type="dxa"/>
            <w:vAlign w:val="bottom"/>
          </w:tcPr>
          <w:p>
            <w:pPr>
              <w:jc w:val="center"/>
              <w:ind w:left="192"/>
              <w:spacing w:after="0"/>
              <w:rPr>
                <w:sz w:val="20"/>
                <w:szCs w:val="20"/>
                <w:color w:val="auto"/>
              </w:rPr>
            </w:pPr>
            <w:r>
              <w:rPr>
                <w:rFonts w:ascii="Arial" w:cs="Arial" w:eastAsia="Arial" w:hAnsi="Arial"/>
                <w:sz w:val="14"/>
                <w:szCs w:val="14"/>
                <w:b w:val="1"/>
                <w:bCs w:val="1"/>
                <w:color w:val="auto"/>
                <w:w w:val="89"/>
              </w:rPr>
              <w:t>1389</w:t>
            </w:r>
          </w:p>
        </w:tc>
        <w:tc>
          <w:tcPr>
            <w:tcW w:w="3360" w:type="dxa"/>
            <w:vAlign w:val="bottom"/>
          </w:tcPr>
          <w:p>
            <w:pPr>
              <w:jc w:val="center"/>
              <w:ind w:left="1972"/>
              <w:spacing w:after="0"/>
              <w:rPr>
                <w:sz w:val="20"/>
                <w:szCs w:val="20"/>
                <w:color w:val="auto"/>
              </w:rPr>
            </w:pPr>
            <w:r>
              <w:rPr>
                <w:rFonts w:ascii="Arial" w:cs="Arial" w:eastAsia="Arial" w:hAnsi="Arial"/>
                <w:sz w:val="14"/>
                <w:szCs w:val="14"/>
                <w:b w:val="1"/>
                <w:bCs w:val="1"/>
                <w:color w:val="auto"/>
                <w:w w:val="85"/>
              </w:rPr>
              <w:t>52-0684746</w:t>
            </w:r>
          </w:p>
        </w:tc>
        <w:tc>
          <w:tcPr>
            <w:tcW w:w="0" w:type="dxa"/>
            <w:vAlign w:val="bottom"/>
          </w:tcPr>
          <w:p>
            <w:pPr>
              <w:spacing w:after="0"/>
              <w:rPr>
                <w:sz w:val="1"/>
                <w:szCs w:val="1"/>
                <w:color w:val="auto"/>
              </w:rPr>
            </w:pPr>
          </w:p>
        </w:tc>
      </w:tr>
      <w:tr>
        <w:trPr>
          <w:trHeight w:val="149"/>
        </w:trPr>
        <w:tc>
          <w:tcPr>
            <w:tcW w:w="3460" w:type="dxa"/>
            <w:vAlign w:val="bottom"/>
          </w:tcPr>
          <w:p>
            <w:pPr>
              <w:jc w:val="center"/>
              <w:ind w:right="16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3360" w:type="dxa"/>
            <w:vAlign w:val="bottom"/>
          </w:tcPr>
          <w:p>
            <w:pPr>
              <w:jc w:val="center"/>
              <w:ind w:left="195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460" w:type="dxa"/>
            <w:vAlign w:val="bottom"/>
          </w:tcPr>
          <w:p>
            <w:pPr>
              <w:jc w:val="center"/>
              <w:ind w:right="1632"/>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jc w:val="center"/>
              <w:ind w:left="192"/>
              <w:spacing w:after="0"/>
              <w:rPr>
                <w:sz w:val="20"/>
                <w:szCs w:val="20"/>
                <w:color w:val="auto"/>
              </w:rPr>
            </w:pPr>
            <w:r>
              <w:rPr>
                <w:rFonts w:ascii="Arial" w:cs="Arial" w:eastAsia="Arial" w:hAnsi="Arial"/>
                <w:sz w:val="14"/>
                <w:szCs w:val="14"/>
                <w:b w:val="1"/>
                <w:bCs w:val="1"/>
                <w:color w:val="auto"/>
                <w:w w:val="87"/>
              </w:rPr>
              <w:t>Classification Code Number)</w:t>
            </w:r>
          </w:p>
        </w:tc>
        <w:tc>
          <w:tcPr>
            <w:tcW w:w="3360" w:type="dxa"/>
            <w:vAlign w:val="bottom"/>
          </w:tcPr>
          <w:p>
            <w:pPr>
              <w:jc w:val="center"/>
              <w:ind w:left="1952"/>
              <w:spacing w:after="0"/>
              <w:rPr>
                <w:sz w:val="20"/>
                <w:szCs w:val="20"/>
                <w:color w:val="auto"/>
              </w:rPr>
            </w:pPr>
            <w:r>
              <w:rPr>
                <w:rFonts w:ascii="Arial" w:cs="Arial" w:eastAsia="Arial" w:hAnsi="Arial"/>
                <w:sz w:val="14"/>
                <w:szCs w:val="14"/>
                <w:b w:val="1"/>
                <w:bCs w:val="1"/>
                <w:color w:val="auto"/>
                <w:w w:val="90"/>
              </w:rPr>
              <w:t>Identification Number)</w:t>
            </w:r>
          </w:p>
        </w:tc>
        <w:tc>
          <w:tcPr>
            <w:tcW w:w="0" w:type="dxa"/>
            <w:vAlign w:val="bottom"/>
          </w:tcPr>
          <w:p>
            <w:pPr>
              <w:spacing w:after="0"/>
              <w:rPr>
                <w:sz w:val="1"/>
                <w:szCs w:val="1"/>
                <w:color w:val="auto"/>
              </w:rPr>
            </w:pPr>
          </w:p>
        </w:tc>
      </w:tr>
      <w:tr>
        <w:trPr>
          <w:trHeight w:val="68"/>
        </w:trPr>
        <w:tc>
          <w:tcPr>
            <w:tcW w:w="346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88"/>
              </w:rPr>
              <w:t>42, rue Saint-Dominique</w:t>
            </w:r>
          </w:p>
        </w:tc>
        <w:tc>
          <w:tcPr>
            <w:tcW w:w="2380" w:type="dxa"/>
            <w:vAlign w:val="bottom"/>
            <w:tcBorders>
              <w:bottom w:val="single" w:sz="8" w:color="auto"/>
            </w:tcBorders>
          </w:tcPr>
          <w:p>
            <w:pPr>
              <w:spacing w:after="0"/>
              <w:rPr>
                <w:sz w:val="5"/>
                <w:szCs w:val="5"/>
                <w:color w:val="auto"/>
              </w:rPr>
            </w:pPr>
          </w:p>
        </w:tc>
        <w:tc>
          <w:tcPr>
            <w:tcW w:w="3360" w:type="dxa"/>
            <w:vAlign w:val="bottom"/>
            <w:vMerge w:val="restart"/>
          </w:tcPr>
          <w:p>
            <w:pPr>
              <w:jc w:val="center"/>
              <w:ind w:left="72"/>
              <w:spacing w:after="0"/>
              <w:rPr>
                <w:sz w:val="20"/>
                <w:szCs w:val="20"/>
                <w:color w:val="auto"/>
              </w:rPr>
            </w:pPr>
            <w:r>
              <w:rPr>
                <w:rFonts w:ascii="Arial" w:cs="Arial" w:eastAsia="Arial" w:hAnsi="Arial"/>
                <w:sz w:val="14"/>
                <w:szCs w:val="14"/>
                <w:b w:val="1"/>
                <w:bCs w:val="1"/>
                <w:color w:val="auto"/>
                <w:w w:val="88"/>
              </w:rPr>
              <w:t>62 Buckingham Gate</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4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Paris, France 75007</w:t>
            </w:r>
          </w:p>
        </w:tc>
        <w:tc>
          <w:tcPr>
            <w:tcW w:w="2380" w:type="dxa"/>
            <w:vAlign w:val="bottom"/>
          </w:tcPr>
          <w:p>
            <w:pPr>
              <w:spacing w:after="0"/>
              <w:rPr>
                <w:sz w:val="12"/>
                <w:szCs w:val="12"/>
                <w:color w:val="auto"/>
              </w:rPr>
            </w:pPr>
          </w:p>
        </w:tc>
        <w:tc>
          <w:tcPr>
            <w:tcW w:w="336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London, United Kingdom SW1E 6AJ</w:t>
            </w:r>
          </w:p>
        </w:tc>
        <w:tc>
          <w:tcPr>
            <w:tcW w:w="0" w:type="dxa"/>
            <w:vAlign w:val="bottom"/>
          </w:tcPr>
          <w:p>
            <w:pPr>
              <w:spacing w:after="0"/>
              <w:rPr>
                <w:sz w:val="1"/>
                <w:szCs w:val="1"/>
                <w:color w:val="auto"/>
              </w:rPr>
            </w:pPr>
          </w:p>
        </w:tc>
      </w:tr>
      <w:tr>
        <w:trPr>
          <w:trHeight w:val="174"/>
        </w:trPr>
        <w:tc>
          <w:tcPr>
            <w:tcW w:w="3460" w:type="dxa"/>
            <w:vAlign w:val="bottom"/>
          </w:tcPr>
          <w:p>
            <w:pPr>
              <w:jc w:val="right"/>
              <w:ind w:right="1112"/>
              <w:spacing w:after="0"/>
              <w:rPr>
                <w:sz w:val="20"/>
                <w:szCs w:val="20"/>
                <w:color w:val="auto"/>
              </w:rPr>
            </w:pPr>
            <w:r>
              <w:rPr>
                <w:rFonts w:ascii="Arial" w:cs="Arial" w:eastAsia="Arial" w:hAnsi="Arial"/>
                <w:sz w:val="14"/>
                <w:szCs w:val="14"/>
                <w:b w:val="1"/>
                <w:bCs w:val="1"/>
                <w:color w:val="auto"/>
              </w:rPr>
              <w:t>33-1-4062-1000</w:t>
            </w:r>
          </w:p>
        </w:tc>
        <w:tc>
          <w:tcPr>
            <w:tcW w:w="2380" w:type="dxa"/>
            <w:vAlign w:val="bottom"/>
          </w:tcPr>
          <w:p>
            <w:pPr>
              <w:spacing w:after="0"/>
              <w:rPr>
                <w:sz w:val="15"/>
                <w:szCs w:val="15"/>
                <w:color w:val="auto"/>
              </w:rPr>
            </w:pPr>
          </w:p>
        </w:tc>
        <w:tc>
          <w:tcPr>
            <w:tcW w:w="3360" w:type="dxa"/>
            <w:vAlign w:val="bottom"/>
          </w:tcPr>
          <w:p>
            <w:pPr>
              <w:jc w:val="right"/>
              <w:ind w:right="1072"/>
              <w:spacing w:after="0"/>
              <w:rPr>
                <w:sz w:val="20"/>
                <w:szCs w:val="20"/>
                <w:color w:val="auto"/>
              </w:rPr>
            </w:pPr>
            <w:r>
              <w:rPr>
                <w:rFonts w:ascii="Arial" w:cs="Arial" w:eastAsia="Arial" w:hAnsi="Arial"/>
                <w:sz w:val="14"/>
                <w:szCs w:val="14"/>
                <w:b w:val="1"/>
                <w:bCs w:val="1"/>
                <w:color w:val="auto"/>
              </w:rPr>
              <w:t>44-20-7074-3000</w:t>
            </w:r>
          </w:p>
        </w:tc>
        <w:tc>
          <w:tcPr>
            <w:tcW w:w="0" w:type="dxa"/>
            <w:vAlign w:val="bottom"/>
          </w:tcPr>
          <w:p>
            <w:pPr>
              <w:spacing w:after="0"/>
              <w:rPr>
                <w:sz w:val="1"/>
                <w:szCs w:val="1"/>
                <w:color w:val="auto"/>
              </w:rPr>
            </w:pPr>
          </w:p>
        </w:tc>
      </w:tr>
      <w:tr>
        <w:trPr>
          <w:trHeight w:val="204"/>
        </w:trPr>
        <w:tc>
          <w:tcPr>
            <w:tcW w:w="3460" w:type="dxa"/>
            <w:vAlign w:val="bottom"/>
          </w:tcPr>
          <w:p>
            <w:pPr>
              <w:jc w:val="center"/>
              <w:ind w:left="132"/>
              <w:spacing w:after="0"/>
              <w:rPr>
                <w:sz w:val="20"/>
                <w:szCs w:val="20"/>
                <w:color w:val="auto"/>
              </w:rPr>
            </w:pPr>
            <w:r>
              <w:rPr>
                <w:rFonts w:ascii="Arial" w:cs="Arial" w:eastAsia="Arial" w:hAnsi="Arial"/>
                <w:sz w:val="14"/>
                <w:szCs w:val="14"/>
                <w:b w:val="1"/>
                <w:bCs w:val="1"/>
                <w:color w:val="auto"/>
                <w:w w:val="87"/>
              </w:rPr>
              <w:t>5599 San Felipe, 17th Floor</w:t>
            </w:r>
          </w:p>
        </w:tc>
        <w:tc>
          <w:tcPr>
            <w:tcW w:w="2380" w:type="dxa"/>
            <w:vAlign w:val="bottom"/>
          </w:tcPr>
          <w:p>
            <w:pPr>
              <w:spacing w:after="0"/>
              <w:rPr>
                <w:sz w:val="17"/>
                <w:szCs w:val="17"/>
                <w:color w:val="auto"/>
              </w:rPr>
            </w:pPr>
          </w:p>
        </w:tc>
        <w:tc>
          <w:tcPr>
            <w:tcW w:w="3360" w:type="dxa"/>
            <w:vAlign w:val="bottom"/>
          </w:tcPr>
          <w:p>
            <w:pPr>
              <w:jc w:val="center"/>
              <w:ind w:left="72"/>
              <w:spacing w:after="0"/>
              <w:rPr>
                <w:sz w:val="20"/>
                <w:szCs w:val="20"/>
                <w:color w:val="auto"/>
              </w:rPr>
            </w:pPr>
            <w:r>
              <w:rPr>
                <w:rFonts w:ascii="Arial" w:cs="Arial" w:eastAsia="Arial" w:hAnsi="Arial"/>
                <w:sz w:val="14"/>
                <w:szCs w:val="14"/>
                <w:b w:val="1"/>
                <w:bCs w:val="1"/>
                <w:color w:val="auto"/>
                <w:w w:val="89"/>
              </w:rPr>
              <w:t>Parkstraat 83, The Hague</w:t>
            </w:r>
          </w:p>
        </w:tc>
        <w:tc>
          <w:tcPr>
            <w:tcW w:w="0" w:type="dxa"/>
            <w:vAlign w:val="bottom"/>
          </w:tcPr>
          <w:p>
            <w:pPr>
              <w:spacing w:after="0"/>
              <w:rPr>
                <w:sz w:val="1"/>
                <w:szCs w:val="1"/>
                <w:color w:val="auto"/>
              </w:rPr>
            </w:pPr>
          </w:p>
        </w:tc>
      </w:tr>
      <w:tr>
        <w:trPr>
          <w:trHeight w:val="149"/>
        </w:trPr>
        <w:tc>
          <w:tcPr>
            <w:tcW w:w="34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Houston, Texas 77056</w:t>
            </w:r>
          </w:p>
        </w:tc>
        <w:tc>
          <w:tcPr>
            <w:tcW w:w="2380" w:type="dxa"/>
            <w:vAlign w:val="bottom"/>
          </w:tcPr>
          <w:p>
            <w:pPr>
              <w:spacing w:after="0"/>
              <w:rPr>
                <w:sz w:val="12"/>
                <w:szCs w:val="12"/>
                <w:color w:val="auto"/>
              </w:rPr>
            </w:pPr>
          </w:p>
        </w:tc>
        <w:tc>
          <w:tcPr>
            <w:tcW w:w="336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The Netherlands, 2514 JG</w:t>
            </w:r>
          </w:p>
        </w:tc>
        <w:tc>
          <w:tcPr>
            <w:tcW w:w="0" w:type="dxa"/>
            <w:vAlign w:val="bottom"/>
          </w:tcPr>
          <w:p>
            <w:pPr>
              <w:spacing w:after="0"/>
              <w:rPr>
                <w:sz w:val="1"/>
                <w:szCs w:val="1"/>
                <w:color w:val="auto"/>
              </w:rPr>
            </w:pPr>
          </w:p>
        </w:tc>
      </w:tr>
      <w:tr>
        <w:trPr>
          <w:trHeight w:val="174"/>
        </w:trPr>
        <w:tc>
          <w:tcPr>
            <w:tcW w:w="3460" w:type="dxa"/>
            <w:vAlign w:val="bottom"/>
          </w:tcPr>
          <w:p>
            <w:pPr>
              <w:jc w:val="right"/>
              <w:ind w:right="1132"/>
              <w:spacing w:after="0"/>
              <w:rPr>
                <w:sz w:val="20"/>
                <w:szCs w:val="20"/>
                <w:color w:val="auto"/>
              </w:rPr>
            </w:pPr>
            <w:r>
              <w:rPr>
                <w:rFonts w:ascii="Arial" w:cs="Arial" w:eastAsia="Arial" w:hAnsi="Arial"/>
                <w:sz w:val="14"/>
                <w:szCs w:val="14"/>
                <w:b w:val="1"/>
                <w:bCs w:val="1"/>
                <w:color w:val="auto"/>
              </w:rPr>
              <w:t>(713) 513-2000</w:t>
            </w:r>
          </w:p>
        </w:tc>
        <w:tc>
          <w:tcPr>
            <w:tcW w:w="2380" w:type="dxa"/>
            <w:vAlign w:val="bottom"/>
          </w:tcPr>
          <w:p>
            <w:pPr>
              <w:spacing w:after="0"/>
              <w:rPr>
                <w:sz w:val="15"/>
                <w:szCs w:val="15"/>
                <w:color w:val="auto"/>
              </w:rPr>
            </w:pPr>
          </w:p>
        </w:tc>
        <w:tc>
          <w:tcPr>
            <w:tcW w:w="3360" w:type="dxa"/>
            <w:vAlign w:val="bottom"/>
          </w:tcPr>
          <w:p>
            <w:pPr>
              <w:jc w:val="right"/>
              <w:ind w:right="1092"/>
              <w:spacing w:after="0"/>
              <w:rPr>
                <w:sz w:val="20"/>
                <w:szCs w:val="20"/>
                <w:color w:val="auto"/>
              </w:rPr>
            </w:pPr>
            <w:r>
              <w:rPr>
                <w:rFonts w:ascii="Arial" w:cs="Arial" w:eastAsia="Arial" w:hAnsi="Arial"/>
                <w:sz w:val="14"/>
                <w:szCs w:val="14"/>
                <w:b w:val="1"/>
                <w:bCs w:val="1"/>
                <w:color w:val="auto"/>
              </w:rPr>
              <w:t>31-70-310-5400</w:t>
            </w:r>
          </w:p>
        </w:tc>
        <w:tc>
          <w:tcPr>
            <w:tcW w:w="0" w:type="dxa"/>
            <w:vAlign w:val="bottom"/>
          </w:tcPr>
          <w:p>
            <w:pPr>
              <w:spacing w:after="0"/>
              <w:rPr>
                <w:sz w:val="1"/>
                <w:szCs w:val="1"/>
                <w:color w:val="auto"/>
              </w:rPr>
            </w:pPr>
          </w:p>
        </w:tc>
      </w:tr>
    </w:tbl>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52705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Saul R. Laureles</w:t>
      </w:r>
    </w:p>
    <w:p>
      <w:pPr>
        <w:jc w:val="center"/>
        <w:spacing w:after="0" w:line="223" w:lineRule="auto"/>
        <w:rPr>
          <w:sz w:val="20"/>
          <w:szCs w:val="20"/>
          <w:color w:val="auto"/>
        </w:rPr>
      </w:pPr>
      <w:r>
        <w:rPr>
          <w:rFonts w:ascii="Arial" w:cs="Arial" w:eastAsia="Arial" w:hAnsi="Arial"/>
          <w:sz w:val="14"/>
          <w:szCs w:val="14"/>
          <w:b w:val="1"/>
          <w:bCs w:val="1"/>
          <w:color w:val="auto"/>
        </w:rPr>
        <w:t>Deputy General Counsel</w:t>
      </w:r>
    </w:p>
    <w:p>
      <w:pPr>
        <w:jc w:val="center"/>
        <w:spacing w:after="0" w:line="222" w:lineRule="auto"/>
        <w:rPr>
          <w:sz w:val="20"/>
          <w:szCs w:val="20"/>
          <w:color w:val="auto"/>
        </w:rPr>
      </w:pPr>
      <w:r>
        <w:rPr>
          <w:rFonts w:ascii="Arial" w:cs="Arial" w:eastAsia="Arial" w:hAnsi="Arial"/>
          <w:sz w:val="14"/>
          <w:szCs w:val="14"/>
          <w:b w:val="1"/>
          <w:bCs w:val="1"/>
          <w:color w:val="auto"/>
        </w:rPr>
        <w:t>Schlumberger Limited</w:t>
      </w:r>
    </w:p>
    <w:p>
      <w:pPr>
        <w:jc w:val="center"/>
        <w:spacing w:after="0" w:line="221" w:lineRule="auto"/>
        <w:rPr>
          <w:sz w:val="20"/>
          <w:szCs w:val="20"/>
          <w:color w:val="auto"/>
        </w:rPr>
      </w:pPr>
      <w:r>
        <w:rPr>
          <w:rFonts w:ascii="Arial" w:cs="Arial" w:eastAsia="Arial" w:hAnsi="Arial"/>
          <w:sz w:val="14"/>
          <w:szCs w:val="14"/>
          <w:b w:val="1"/>
          <w:bCs w:val="1"/>
          <w:color w:val="auto"/>
        </w:rPr>
        <w:t>5599 San Felipe, 17th Floor</w:t>
      </w:r>
    </w:p>
    <w:p>
      <w:pPr>
        <w:jc w:val="center"/>
        <w:spacing w:after="0" w:line="222" w:lineRule="auto"/>
        <w:rPr>
          <w:sz w:val="20"/>
          <w:szCs w:val="20"/>
          <w:color w:val="auto"/>
        </w:rPr>
      </w:pPr>
      <w:r>
        <w:rPr>
          <w:rFonts w:ascii="Arial" w:cs="Arial" w:eastAsia="Arial" w:hAnsi="Arial"/>
          <w:sz w:val="14"/>
          <w:szCs w:val="14"/>
          <w:b w:val="1"/>
          <w:bCs w:val="1"/>
          <w:color w:val="auto"/>
        </w:rPr>
        <w:t>Houston, Texas 77056</w:t>
      </w:r>
    </w:p>
    <w:p>
      <w:pPr>
        <w:jc w:val="center"/>
        <w:spacing w:after="0" w:line="221" w:lineRule="auto"/>
        <w:rPr>
          <w:sz w:val="20"/>
          <w:szCs w:val="20"/>
          <w:color w:val="auto"/>
        </w:rPr>
      </w:pPr>
      <w:r>
        <w:rPr>
          <w:rFonts w:ascii="Arial" w:cs="Arial" w:eastAsia="Arial" w:hAnsi="Arial"/>
          <w:sz w:val="14"/>
          <w:szCs w:val="14"/>
          <w:b w:val="1"/>
          <w:bCs w:val="1"/>
          <w:color w:val="auto"/>
        </w:rPr>
        <w:t>(713) 513-2000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22"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2260" w:type="dxa"/>
            <w:vAlign w:val="bottom"/>
          </w:tcPr>
          <w:p>
            <w:pPr>
              <w:jc w:val="center"/>
              <w:ind w:right="932"/>
              <w:spacing w:after="0"/>
              <w:rPr>
                <w:sz w:val="20"/>
                <w:szCs w:val="20"/>
                <w:color w:val="auto"/>
              </w:rPr>
            </w:pPr>
            <w:r>
              <w:rPr>
                <w:rFonts w:ascii="Arial" w:cs="Arial" w:eastAsia="Arial" w:hAnsi="Arial"/>
                <w:sz w:val="14"/>
                <w:szCs w:val="14"/>
                <w:b w:val="1"/>
                <w:bCs w:val="1"/>
                <w:color w:val="auto"/>
                <w:w w:val="90"/>
              </w:rPr>
              <w:t>J. David Kirkland, Jr.</w:t>
            </w:r>
          </w:p>
        </w:tc>
        <w:tc>
          <w:tcPr>
            <w:tcW w:w="4300" w:type="dxa"/>
            <w:vAlign w:val="bottom"/>
          </w:tcPr>
          <w:p>
            <w:pPr>
              <w:jc w:val="center"/>
              <w:ind w:left="152"/>
              <w:spacing w:after="0"/>
              <w:rPr>
                <w:sz w:val="20"/>
                <w:szCs w:val="20"/>
                <w:color w:val="auto"/>
              </w:rPr>
            </w:pPr>
            <w:r>
              <w:rPr>
                <w:rFonts w:ascii="Arial" w:cs="Arial" w:eastAsia="Arial" w:hAnsi="Arial"/>
                <w:sz w:val="14"/>
                <w:szCs w:val="14"/>
                <w:b w:val="1"/>
                <w:bCs w:val="1"/>
                <w:color w:val="auto"/>
                <w:w w:val="92"/>
              </w:rPr>
              <w:t>William C. Lemmer</w:t>
            </w:r>
          </w:p>
        </w:tc>
        <w:tc>
          <w:tcPr>
            <w:tcW w:w="2620" w:type="dxa"/>
            <w:vAlign w:val="bottom"/>
          </w:tcPr>
          <w:p>
            <w:pPr>
              <w:jc w:val="center"/>
              <w:ind w:left="752"/>
              <w:spacing w:after="0"/>
              <w:rPr>
                <w:sz w:val="20"/>
                <w:szCs w:val="20"/>
                <w:color w:val="auto"/>
              </w:rPr>
            </w:pPr>
            <w:r>
              <w:rPr>
                <w:rFonts w:ascii="Arial" w:cs="Arial" w:eastAsia="Arial" w:hAnsi="Arial"/>
                <w:sz w:val="14"/>
                <w:szCs w:val="14"/>
                <w:b w:val="1"/>
                <w:bCs w:val="1"/>
                <w:color w:val="auto"/>
                <w:w w:val="85"/>
              </w:rPr>
              <w:t>Scott A. Barshay</w:t>
            </w:r>
          </w:p>
        </w:tc>
      </w:tr>
      <w:tr>
        <w:trPr>
          <w:trHeight w:val="149"/>
        </w:trPr>
        <w:tc>
          <w:tcPr>
            <w:tcW w:w="2260" w:type="dxa"/>
            <w:vAlign w:val="bottom"/>
          </w:tcPr>
          <w:p>
            <w:pPr>
              <w:jc w:val="center"/>
              <w:ind w:right="952"/>
              <w:spacing w:after="0" w:line="149" w:lineRule="exact"/>
              <w:rPr>
                <w:sz w:val="20"/>
                <w:szCs w:val="20"/>
                <w:color w:val="auto"/>
              </w:rPr>
            </w:pPr>
            <w:r>
              <w:rPr>
                <w:rFonts w:ascii="Arial" w:cs="Arial" w:eastAsia="Arial" w:hAnsi="Arial"/>
                <w:sz w:val="14"/>
                <w:szCs w:val="14"/>
                <w:b w:val="1"/>
                <w:bCs w:val="1"/>
                <w:color w:val="auto"/>
                <w:w w:val="90"/>
              </w:rPr>
              <w:t>Tull R. Florey</w:t>
            </w:r>
          </w:p>
        </w:tc>
        <w:tc>
          <w:tcPr>
            <w:tcW w:w="43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Senior Vice President and General Counsel</w:t>
            </w:r>
          </w:p>
        </w:tc>
        <w:tc>
          <w:tcPr>
            <w:tcW w:w="2620" w:type="dxa"/>
            <w:vAlign w:val="bottom"/>
          </w:tcPr>
          <w:p>
            <w:pPr>
              <w:jc w:val="center"/>
              <w:ind w:left="752"/>
              <w:spacing w:after="0" w:line="149" w:lineRule="exact"/>
              <w:rPr>
                <w:sz w:val="20"/>
                <w:szCs w:val="20"/>
                <w:color w:val="auto"/>
              </w:rPr>
            </w:pPr>
            <w:r>
              <w:rPr>
                <w:rFonts w:ascii="Arial" w:cs="Arial" w:eastAsia="Arial" w:hAnsi="Arial"/>
                <w:sz w:val="14"/>
                <w:szCs w:val="14"/>
                <w:b w:val="1"/>
                <w:bCs w:val="1"/>
                <w:color w:val="auto"/>
                <w:w w:val="83"/>
              </w:rPr>
              <w:t>George F. Schoen</w:t>
            </w:r>
          </w:p>
        </w:tc>
      </w:tr>
      <w:tr>
        <w:trPr>
          <w:trHeight w:val="149"/>
        </w:trPr>
        <w:tc>
          <w:tcPr>
            <w:tcW w:w="226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8"/>
              </w:rPr>
              <w:t>Andrew J. Ericksen</w:t>
            </w:r>
          </w:p>
        </w:tc>
        <w:tc>
          <w:tcPr>
            <w:tcW w:w="43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Cameron International Corporation</w:t>
            </w:r>
          </w:p>
        </w:tc>
        <w:tc>
          <w:tcPr>
            <w:tcW w:w="2620" w:type="dxa"/>
            <w:vAlign w:val="bottom"/>
          </w:tcPr>
          <w:p>
            <w:pPr>
              <w:jc w:val="center"/>
              <w:ind w:left="732"/>
              <w:spacing w:after="0" w:line="149" w:lineRule="exact"/>
              <w:rPr>
                <w:sz w:val="20"/>
                <w:szCs w:val="20"/>
                <w:color w:val="auto"/>
              </w:rPr>
            </w:pPr>
            <w:r>
              <w:rPr>
                <w:rFonts w:ascii="Arial" w:cs="Arial" w:eastAsia="Arial" w:hAnsi="Arial"/>
                <w:sz w:val="14"/>
                <w:szCs w:val="14"/>
                <w:b w:val="1"/>
                <w:bCs w:val="1"/>
                <w:color w:val="auto"/>
                <w:w w:val="91"/>
              </w:rPr>
              <w:t>Keith Hallam</w:t>
            </w:r>
          </w:p>
        </w:tc>
      </w:tr>
      <w:tr>
        <w:trPr>
          <w:trHeight w:val="149"/>
        </w:trPr>
        <w:tc>
          <w:tcPr>
            <w:tcW w:w="226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7"/>
              </w:rPr>
              <w:t>Baker Botts L.L.P.</w:t>
            </w:r>
          </w:p>
        </w:tc>
        <w:tc>
          <w:tcPr>
            <w:tcW w:w="43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1333 West Loop South, Suite 1700</w:t>
            </w:r>
          </w:p>
        </w:tc>
        <w:tc>
          <w:tcPr>
            <w:tcW w:w="2620" w:type="dxa"/>
            <w:vAlign w:val="bottom"/>
          </w:tcPr>
          <w:p>
            <w:pPr>
              <w:jc w:val="center"/>
              <w:ind w:left="732"/>
              <w:spacing w:after="0" w:line="149" w:lineRule="exact"/>
              <w:rPr>
                <w:sz w:val="20"/>
                <w:szCs w:val="20"/>
                <w:color w:val="auto"/>
              </w:rPr>
            </w:pPr>
            <w:r>
              <w:rPr>
                <w:rFonts w:ascii="Arial" w:cs="Arial" w:eastAsia="Arial" w:hAnsi="Arial"/>
                <w:sz w:val="14"/>
                <w:szCs w:val="14"/>
                <w:b w:val="1"/>
                <w:bCs w:val="1"/>
                <w:color w:val="auto"/>
                <w:w w:val="91"/>
              </w:rPr>
              <w:t>Cravath, Swaine &amp; Moore LLP</w:t>
            </w:r>
          </w:p>
        </w:tc>
      </w:tr>
      <w:tr>
        <w:trPr>
          <w:trHeight w:val="149"/>
        </w:trPr>
        <w:tc>
          <w:tcPr>
            <w:tcW w:w="226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6"/>
              </w:rPr>
              <w:t>910 Louisiana Street</w:t>
            </w:r>
          </w:p>
        </w:tc>
        <w:tc>
          <w:tcPr>
            <w:tcW w:w="43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4"/>
              </w:rPr>
              <w:t>Houston, Texas 77027</w:t>
            </w:r>
          </w:p>
        </w:tc>
        <w:tc>
          <w:tcPr>
            <w:tcW w:w="2620" w:type="dxa"/>
            <w:vAlign w:val="bottom"/>
          </w:tcPr>
          <w:p>
            <w:pPr>
              <w:jc w:val="center"/>
              <w:ind w:left="752"/>
              <w:spacing w:after="0" w:line="149" w:lineRule="exact"/>
              <w:rPr>
                <w:sz w:val="20"/>
                <w:szCs w:val="20"/>
                <w:color w:val="auto"/>
              </w:rPr>
            </w:pPr>
            <w:r>
              <w:rPr>
                <w:rFonts w:ascii="Arial" w:cs="Arial" w:eastAsia="Arial" w:hAnsi="Arial"/>
                <w:sz w:val="14"/>
                <w:szCs w:val="14"/>
                <w:b w:val="1"/>
                <w:bCs w:val="1"/>
                <w:color w:val="auto"/>
                <w:w w:val="86"/>
              </w:rPr>
              <w:t>825 Eighth Avenue</w:t>
            </w:r>
          </w:p>
        </w:tc>
      </w:tr>
      <w:tr>
        <w:trPr>
          <w:trHeight w:val="149"/>
        </w:trPr>
        <w:tc>
          <w:tcPr>
            <w:tcW w:w="226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5"/>
              </w:rPr>
              <w:t>Houston, Texas 77002</w:t>
            </w:r>
          </w:p>
        </w:tc>
        <w:tc>
          <w:tcPr>
            <w:tcW w:w="43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7"/>
              </w:rPr>
              <w:t>(713) 513-3300</w:t>
            </w:r>
          </w:p>
        </w:tc>
        <w:tc>
          <w:tcPr>
            <w:tcW w:w="2620" w:type="dxa"/>
            <w:vAlign w:val="bottom"/>
          </w:tcPr>
          <w:p>
            <w:pPr>
              <w:jc w:val="center"/>
              <w:ind w:left="732"/>
              <w:spacing w:after="0" w:line="149" w:lineRule="exact"/>
              <w:rPr>
                <w:sz w:val="20"/>
                <w:szCs w:val="20"/>
                <w:color w:val="auto"/>
              </w:rPr>
            </w:pPr>
            <w:r>
              <w:rPr>
                <w:rFonts w:ascii="Arial" w:cs="Arial" w:eastAsia="Arial" w:hAnsi="Arial"/>
                <w:sz w:val="14"/>
                <w:szCs w:val="14"/>
                <w:b w:val="1"/>
                <w:bCs w:val="1"/>
                <w:color w:val="auto"/>
                <w:w w:val="88"/>
              </w:rPr>
              <w:t>New York, New York 10019</w:t>
            </w:r>
          </w:p>
        </w:tc>
      </w:tr>
      <w:tr>
        <w:trPr>
          <w:trHeight w:val="174"/>
        </w:trPr>
        <w:tc>
          <w:tcPr>
            <w:tcW w:w="2260" w:type="dxa"/>
            <w:vAlign w:val="bottom"/>
          </w:tcPr>
          <w:p>
            <w:pPr>
              <w:jc w:val="center"/>
              <w:ind w:right="952"/>
              <w:spacing w:after="0"/>
              <w:rPr>
                <w:sz w:val="20"/>
                <w:szCs w:val="20"/>
                <w:color w:val="auto"/>
              </w:rPr>
            </w:pPr>
            <w:r>
              <w:rPr>
                <w:rFonts w:ascii="Arial" w:cs="Arial" w:eastAsia="Arial" w:hAnsi="Arial"/>
                <w:sz w:val="14"/>
                <w:szCs w:val="14"/>
                <w:b w:val="1"/>
                <w:bCs w:val="1"/>
                <w:color w:val="auto"/>
                <w:w w:val="87"/>
              </w:rPr>
              <w:t>(713) 229-1234</w:t>
            </w:r>
          </w:p>
        </w:tc>
        <w:tc>
          <w:tcPr>
            <w:tcW w:w="4300" w:type="dxa"/>
            <w:vAlign w:val="bottom"/>
          </w:tcPr>
          <w:p>
            <w:pPr>
              <w:spacing w:after="0"/>
              <w:rPr>
                <w:sz w:val="15"/>
                <w:szCs w:val="15"/>
                <w:color w:val="auto"/>
              </w:rPr>
            </w:pPr>
          </w:p>
        </w:tc>
        <w:tc>
          <w:tcPr>
            <w:tcW w:w="2620" w:type="dxa"/>
            <w:vAlign w:val="bottom"/>
          </w:tcPr>
          <w:p>
            <w:pPr>
              <w:jc w:val="center"/>
              <w:ind w:left="752"/>
              <w:spacing w:after="0"/>
              <w:rPr>
                <w:sz w:val="20"/>
                <w:szCs w:val="20"/>
                <w:color w:val="auto"/>
              </w:rPr>
            </w:pPr>
            <w:r>
              <w:rPr>
                <w:rFonts w:ascii="Arial" w:cs="Arial" w:eastAsia="Arial" w:hAnsi="Arial"/>
                <w:sz w:val="14"/>
                <w:szCs w:val="14"/>
                <w:b w:val="1"/>
                <w:bCs w:val="1"/>
                <w:color w:val="auto"/>
                <w:w w:val="87"/>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1" w:lineRule="exact"/>
        <w:rPr>
          <w:sz w:val="24"/>
          <w:szCs w:val="24"/>
          <w:color w:val="auto"/>
        </w:rPr>
      </w:pPr>
    </w:p>
    <w:p>
      <w:pPr>
        <w:ind w:right="40" w:firstLine="342"/>
        <w:spacing w:after="0"/>
        <w:rPr>
          <w:sz w:val="20"/>
          <w:szCs w:val="20"/>
          <w:color w:val="auto"/>
        </w:rPr>
      </w:pPr>
      <w:r>
        <w:rPr>
          <w:rFonts w:ascii="Arial" w:cs="Arial" w:eastAsia="Arial" w:hAnsi="Arial"/>
          <w:sz w:val="13"/>
          <w:szCs w:val="13"/>
          <w:b w:val="1"/>
          <w:bCs w:val="1"/>
          <w:color w:val="auto"/>
        </w:rPr>
        <w:t xml:space="preserve">Approximate date of commencement of the proposed sale of the securities to the public: </w:t>
      </w:r>
      <w:r>
        <w:rPr>
          <w:rFonts w:ascii="Arial" w:cs="Arial" w:eastAsia="Arial" w:hAnsi="Arial"/>
          <w:sz w:val="13"/>
          <w:szCs w:val="13"/>
          <w:color w:val="auto"/>
        </w:rPr>
        <w:t>As soon as practicable after this registration statement becomes effective and upon completion of the merger described in the</w:t>
      </w:r>
      <w:r>
        <w:rPr>
          <w:rFonts w:ascii="Arial" w:cs="Arial" w:eastAsia="Arial" w:hAnsi="Arial"/>
          <w:sz w:val="13"/>
          <w:szCs w:val="13"/>
          <w:b w:val="1"/>
          <w:bCs w:val="1"/>
          <w:color w:val="auto"/>
        </w:rPr>
        <w:t xml:space="preserve"> </w:t>
      </w:r>
      <w:r>
        <w:rPr>
          <w:rFonts w:ascii="Arial" w:cs="Arial" w:eastAsia="Arial" w:hAnsi="Arial"/>
          <w:sz w:val="13"/>
          <w:szCs w:val="13"/>
          <w:color w:val="auto"/>
        </w:rPr>
        <w:t>enclosed document.</w:t>
      </w: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53" w:lineRule="exact"/>
        <w:rPr>
          <w:sz w:val="24"/>
          <w:szCs w:val="24"/>
          <w:color w:val="auto"/>
        </w:rPr>
      </w:pPr>
    </w:p>
    <w:p>
      <w:pPr>
        <w:ind w:right="4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280" w:firstLine="342"/>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40" w:firstLine="342"/>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78"/>
        </w:trPr>
        <w:tc>
          <w:tcPr>
            <w:tcW w:w="1360" w:type="dxa"/>
            <w:vAlign w:val="bottom"/>
            <w:gridSpan w:val="2"/>
          </w:tcPr>
          <w:p>
            <w:pPr>
              <w:spacing w:after="0"/>
              <w:rPr>
                <w:sz w:val="20"/>
                <w:szCs w:val="20"/>
                <w:color w:val="auto"/>
              </w:rPr>
            </w:pPr>
            <w:r>
              <w:rPr>
                <w:rFonts w:ascii="Arial" w:cs="Arial" w:eastAsia="Arial" w:hAnsi="Arial"/>
                <w:sz w:val="14"/>
                <w:szCs w:val="14"/>
                <w:color w:val="auto"/>
                <w:w w:val="96"/>
              </w:rPr>
              <w:t>Large accelerated filer</w:t>
            </w:r>
          </w:p>
        </w:tc>
        <w:tc>
          <w:tcPr>
            <w:tcW w:w="25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980" w:type="dxa"/>
            <w:vAlign w:val="bottom"/>
            <w:gridSpan w:val="2"/>
          </w:tcPr>
          <w:p>
            <w:pPr>
              <w:ind w:left="1220"/>
              <w:spacing w:after="0"/>
              <w:rPr>
                <w:sz w:val="20"/>
                <w:szCs w:val="20"/>
                <w:color w:val="auto"/>
              </w:rPr>
            </w:pPr>
            <w:r>
              <w:rPr>
                <w:rFonts w:ascii="Arial" w:cs="Arial" w:eastAsia="Arial" w:hAnsi="Arial"/>
                <w:sz w:val="14"/>
                <w:szCs w:val="14"/>
                <w:color w:val="auto"/>
              </w:rPr>
              <w:t>Accelerated filer</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9"/>
        </w:trPr>
        <w:tc>
          <w:tcPr>
            <w:tcW w:w="136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5700" w:type="dxa"/>
            <w:vAlign w:val="bottom"/>
            <w:gridSpan w:val="6"/>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1200" w:type="dxa"/>
            <w:vAlign w:val="bottom"/>
          </w:tcPr>
          <w:p>
            <w:pPr>
              <w:spacing w:after="0"/>
              <w:rPr>
                <w:sz w:val="19"/>
                <w:szCs w:val="19"/>
                <w:color w:val="auto"/>
              </w:rPr>
            </w:pPr>
          </w:p>
        </w:tc>
        <w:tc>
          <w:tcPr>
            <w:tcW w:w="2980" w:type="dxa"/>
            <w:vAlign w:val="bottom"/>
            <w:gridSpan w:val="2"/>
          </w:tcPr>
          <w:p>
            <w:pPr>
              <w:ind w:left="1220"/>
              <w:spacing w:after="0"/>
              <w:rPr>
                <w:sz w:val="20"/>
                <w:szCs w:val="20"/>
                <w:color w:val="auto"/>
              </w:rPr>
            </w:pPr>
            <w:r>
              <w:rPr>
                <w:rFonts w:ascii="Arial" w:cs="Arial" w:eastAsia="Arial" w:hAnsi="Arial"/>
                <w:sz w:val="14"/>
                <w:szCs w:val="14"/>
                <w:color w:val="auto"/>
              </w:rPr>
              <w:t>Smaller reporting company</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40" w:type="dxa"/>
            <w:vAlign w:val="bottom"/>
            <w:gridSpan w:val="7"/>
          </w:tcPr>
          <w:p>
            <w:pPr>
              <w:ind w:left="340"/>
              <w:spacing w:after="0"/>
              <w:rPr>
                <w:sz w:val="20"/>
                <w:szCs w:val="20"/>
                <w:color w:val="auto"/>
              </w:rPr>
            </w:pPr>
            <w:r>
              <w:rPr>
                <w:rFonts w:ascii="Arial" w:cs="Arial" w:eastAsia="Arial" w:hAnsi="Arial"/>
                <w:sz w:val="13"/>
                <w:szCs w:val="13"/>
                <w:color w:val="auto"/>
                <w:w w:val="97"/>
              </w:rPr>
              <w:t>If applicable, place an X in the box to designate the appropriate rule provision relied upon in conducting this transaction:</w:t>
            </w:r>
          </w:p>
        </w:tc>
        <w:tc>
          <w:tcPr>
            <w:tcW w:w="1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340"/>
              <w:spacing w:after="0" w:line="150" w:lineRule="exact"/>
              <w:rPr>
                <w:sz w:val="20"/>
                <w:szCs w:val="20"/>
                <w:color w:val="auto"/>
              </w:rPr>
            </w:pPr>
            <w:r>
              <w:rPr>
                <w:rFonts w:ascii="Arial" w:cs="Arial" w:eastAsia="Arial" w:hAnsi="Arial"/>
                <w:sz w:val="13"/>
                <w:szCs w:val="13"/>
                <w:color w:val="auto"/>
                <w:w w:val="92"/>
              </w:rPr>
              <w:t xml:space="preserve">Exchange Act Rule 13e-4(i) (Cross-Border Issuer Tender Offer) </w:t>
            </w:r>
            <w:r>
              <w:rPr>
                <w:rFonts w:ascii="MS PGothic" w:cs="MS PGothic" w:eastAsia="MS PGothic" w:hAnsi="MS PGothic"/>
                <w:sz w:val="13"/>
                <w:szCs w:val="13"/>
                <w:color w:val="auto"/>
                <w:w w:val="92"/>
              </w:rPr>
              <w:t>☐</w:t>
            </w:r>
          </w:p>
        </w:tc>
        <w:tc>
          <w:tcPr>
            <w:tcW w:w="3140" w:type="dxa"/>
            <w:vAlign w:val="bottom"/>
            <w:gridSpan w:val="5"/>
            <w:vMerge w:val="restart"/>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gridSpan w:val="2"/>
          </w:tcPr>
          <w:p>
            <w:pPr>
              <w:ind w:left="340"/>
              <w:spacing w:after="0"/>
              <w:rPr>
                <w:sz w:val="20"/>
                <w:szCs w:val="20"/>
                <w:color w:val="auto"/>
              </w:rPr>
            </w:pPr>
            <w:r>
              <w:rPr>
                <w:rFonts w:ascii="Arial" w:cs="Arial" w:eastAsia="Arial" w:hAnsi="Arial"/>
                <w:sz w:val="13"/>
                <w:szCs w:val="13"/>
                <w:color w:val="auto"/>
                <w:w w:val="88"/>
              </w:rPr>
              <w:t>Exchange Act Rule 14d-1(d) (Cross-Border Third-Party Tender Offer)</w:t>
            </w:r>
          </w:p>
        </w:tc>
        <w:tc>
          <w:tcPr>
            <w:tcW w:w="3140" w:type="dxa"/>
            <w:vAlign w:val="bottom"/>
            <w:gridSpan w:val="5"/>
            <w:vMerge w:val="continue"/>
          </w:tcPr>
          <w:p>
            <w:pPr>
              <w:spacing w:after="0"/>
              <w:rPr>
                <w:sz w:val="15"/>
                <w:szCs w:val="15"/>
                <w:color w:val="auto"/>
              </w:rPr>
            </w:pP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140" w:type="dxa"/>
            <w:vAlign w:val="bottom"/>
            <w:gridSpan w:val="5"/>
          </w:tcPr>
          <w:p>
            <w:pPr>
              <w:ind w:left="500"/>
              <w:spacing w:after="0"/>
              <w:rPr>
                <w:sz w:val="20"/>
                <w:szCs w:val="20"/>
                <w:color w:val="auto"/>
              </w:rPr>
            </w:pPr>
            <w:r>
              <w:rPr>
                <w:rFonts w:ascii="Arial" w:cs="Arial" w:eastAsia="Arial" w:hAnsi="Arial"/>
                <w:sz w:val="14"/>
                <w:szCs w:val="14"/>
                <w:b w:val="1"/>
                <w:bCs w:val="1"/>
                <w:color w:val="auto"/>
                <w:w w:val="98"/>
              </w:rPr>
              <w:t>CALCULATION OF REGISTRATION FEE</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right w:val="single" w:sz="8" w:color="auto"/>
            </w:tcBorders>
          </w:tcPr>
          <w:p>
            <w:pPr>
              <w:jc w:val="center"/>
              <w:ind w:right="234"/>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3"/>
              <w:spacing w:after="0" w:line="117" w:lineRule="exact"/>
              <w:rPr>
                <w:sz w:val="20"/>
                <w:szCs w:val="20"/>
                <w:color w:val="auto"/>
              </w:rPr>
            </w:pPr>
            <w:r>
              <w:rPr>
                <w:rFonts w:ascii="Arial" w:cs="Arial" w:eastAsia="Arial" w:hAnsi="Arial"/>
                <w:sz w:val="12"/>
                <w:szCs w:val="12"/>
                <w:b w:val="1"/>
                <w:bCs w:val="1"/>
                <w:color w:val="auto"/>
                <w:w w:val="97"/>
              </w:rPr>
              <w:t>Proposed</w:t>
            </w: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jc w:val="center"/>
              <w:ind w:right="234"/>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33"/>
              <w:spacing w:after="0" w:line="149" w:lineRule="exact"/>
              <w:rPr>
                <w:sz w:val="20"/>
                <w:szCs w:val="20"/>
                <w:color w:val="auto"/>
              </w:rPr>
            </w:pPr>
            <w:r>
              <w:rPr>
                <w:rFonts w:ascii="Arial" w:cs="Arial" w:eastAsia="Arial" w:hAnsi="Arial"/>
                <w:sz w:val="14"/>
                <w:szCs w:val="14"/>
                <w:b w:val="1"/>
                <w:bCs w:val="1"/>
                <w:color w:val="auto"/>
                <w:w w:val="88"/>
              </w:rPr>
              <w:t>maximum</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6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400" w:type="dxa"/>
            <w:vAlign w:val="bottom"/>
            <w:gridSpan w:val="2"/>
          </w:tcPr>
          <w:p>
            <w:pPr>
              <w:spacing w:after="0"/>
              <w:rPr>
                <w:sz w:val="12"/>
                <w:szCs w:val="12"/>
                <w:color w:val="auto"/>
              </w:rPr>
            </w:pPr>
          </w:p>
        </w:tc>
        <w:tc>
          <w:tcPr>
            <w:tcW w:w="1200" w:type="dxa"/>
            <w:vAlign w:val="bottom"/>
            <w:tcBorders>
              <w:right w:val="single" w:sz="8" w:color="auto"/>
            </w:tcBorders>
          </w:tcPr>
          <w:p>
            <w:pPr>
              <w:jc w:val="center"/>
              <w:ind w:right="234"/>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83"/>
              </w:rPr>
              <w:t>aggregate</w:t>
            </w:r>
          </w:p>
        </w:tc>
        <w:tc>
          <w:tcPr>
            <w:tcW w:w="13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Amount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4"/>
              </w:rPr>
              <w:t>securities to be registered</w:t>
            </w: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registered</w:t>
            </w:r>
            <w:r>
              <w:rPr>
                <w:rFonts w:ascii="Arial" w:cs="Arial" w:eastAsia="Arial" w:hAnsi="Arial"/>
                <w:sz w:val="11"/>
                <w:szCs w:val="11"/>
                <w:b w:val="1"/>
                <w:bCs w:val="1"/>
                <w:color w:val="auto"/>
                <w:w w:val="86"/>
              </w:rPr>
              <w:t>(1)</w:t>
            </w:r>
          </w:p>
        </w:tc>
        <w:tc>
          <w:tcPr>
            <w:tcW w:w="400" w:type="dxa"/>
            <w:vAlign w:val="bottom"/>
            <w:tcBorders>
              <w:bottom w:val="single" w:sz="8" w:color="auto"/>
            </w:tcBorders>
            <w:gridSpan w:val="2"/>
          </w:tcPr>
          <w:p>
            <w:pPr>
              <w:spacing w:after="0"/>
              <w:rPr>
                <w:sz w:val="15"/>
                <w:szCs w:val="15"/>
                <w:color w:val="auto"/>
              </w:rPr>
            </w:pPr>
          </w:p>
        </w:tc>
        <w:tc>
          <w:tcPr>
            <w:tcW w:w="1200" w:type="dxa"/>
            <w:vAlign w:val="bottom"/>
            <w:tcBorders>
              <w:bottom w:val="single" w:sz="8" w:color="auto"/>
              <w:right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5"/>
              </w:rPr>
              <w:t>per share</w:t>
            </w:r>
          </w:p>
        </w:tc>
        <w:tc>
          <w:tcPr>
            <w:tcW w:w="160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offering price</w:t>
            </w:r>
            <w:r>
              <w:rPr>
                <w:rFonts w:ascii="Arial" w:cs="Arial" w:eastAsia="Arial" w:hAnsi="Arial"/>
                <w:sz w:val="11"/>
                <w:szCs w:val="11"/>
                <w:b w:val="1"/>
                <w:bCs w:val="1"/>
                <w:color w:val="auto"/>
                <w:w w:val="89"/>
              </w:rPr>
              <w:t>(2)</w:t>
            </w:r>
          </w:p>
        </w:tc>
        <w:tc>
          <w:tcPr>
            <w:tcW w:w="138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1"/>
                <w:szCs w:val="11"/>
                <w:b w:val="1"/>
                <w:bCs w:val="1"/>
                <w:color w:val="auto"/>
                <w:w w:val="87"/>
              </w:rPr>
              <w:t>(3)</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1140" w:type="dxa"/>
            <w:vAlign w:val="bottom"/>
            <w:tcBorders>
              <w:bottom w:val="single" w:sz="8" w:color="auto"/>
              <w:right w:val="single" w:sz="8" w:color="auto"/>
            </w:tcBorders>
            <w:gridSpan w:val="2"/>
          </w:tcPr>
          <w:p>
            <w:pPr>
              <w:spacing w:after="0"/>
              <w:rPr>
                <w:sz w:val="12"/>
                <w:szCs w:val="12"/>
                <w:color w:val="auto"/>
              </w:rPr>
            </w:pP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87"/>
              </w:rPr>
              <w:t>141,169,593</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center"/>
              <w:ind w:right="254"/>
              <w:spacing w:after="0" w:line="142" w:lineRule="exact"/>
              <w:rPr>
                <w:sz w:val="20"/>
                <w:szCs w:val="20"/>
                <w:color w:val="auto"/>
              </w:rPr>
            </w:pPr>
            <w:r>
              <w:rPr>
                <w:rFonts w:ascii="Arial" w:cs="Arial" w:eastAsia="Arial" w:hAnsi="Arial"/>
                <w:sz w:val="14"/>
                <w:szCs w:val="14"/>
                <w:b w:val="1"/>
                <w:bCs w:val="1"/>
                <w:color w:val="auto"/>
                <w:w w:val="99"/>
              </w:rPr>
              <w:t>N/A</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b w:val="1"/>
                <w:bCs w:val="1"/>
                <w:color w:val="auto"/>
                <w:w w:val="86"/>
              </w:rPr>
              <w:t>$9,222,578,010</w:t>
            </w:r>
          </w:p>
        </w:tc>
        <w:tc>
          <w:tcPr>
            <w:tcW w:w="1380" w:type="dxa"/>
            <w:vAlign w:val="bottom"/>
            <w:tcBorders>
              <w:bottom w:val="single" w:sz="8" w:color="auto"/>
            </w:tcBorders>
          </w:tcPr>
          <w:p>
            <w:pPr>
              <w:jc w:val="center"/>
              <w:ind w:left="192"/>
              <w:spacing w:after="0" w:line="142" w:lineRule="exact"/>
              <w:rPr>
                <w:sz w:val="20"/>
                <w:szCs w:val="20"/>
                <w:color w:val="auto"/>
              </w:rPr>
            </w:pPr>
            <w:r>
              <w:rPr>
                <w:rFonts w:ascii="Arial" w:cs="Arial" w:eastAsia="Arial" w:hAnsi="Arial"/>
                <w:sz w:val="14"/>
                <w:szCs w:val="14"/>
                <w:b w:val="1"/>
                <w:bCs w:val="1"/>
                <w:color w:val="auto"/>
                <w:w w:val="87"/>
              </w:rPr>
              <w:t>$928,713.61</w:t>
            </w:r>
            <w:r>
              <w:rPr>
                <w:rFonts w:ascii="Arial" w:cs="Arial" w:eastAsia="Arial" w:hAnsi="Arial"/>
                <w:sz w:val="11"/>
                <w:szCs w:val="11"/>
                <w:b w:val="1"/>
                <w:bCs w:val="1"/>
                <w:color w:val="auto"/>
                <w:w w:val="87"/>
              </w:rPr>
              <w:t>(4)</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60" w:hanging="332"/>
        <w:spacing w:after="0" w:line="23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Represents the estimated maximum number of shares of common stock, par value of $0.01 per share, of Schlumberger Limited to be issuable upon the completion of the merger described herein, equal to (a) 140,523,049, the number of shares of Schlumberger Limited common stock registered in connection with the initial filing of the registrant’s Registration Statement on Form S-4 on October 2, 2015, plus (b) 902,994, the number of additional shares of Cameron International Corporation common stock outstanding as of November 10, 2015 (other than shares owned by Cameron International Corporation, the registrant and any of their respective subsidiaries) or issuable pursuant to outstanding stock options, restricted stock units and deferred stock units of Cameron International Corporation, multiplied by the exchange ratio of 0.716 shares of Schlumberger Limited common stock for each share of Cameron International Corporation common stock.</w:t>
      </w:r>
    </w:p>
    <w:p>
      <w:pPr>
        <w:ind w:left="340" w:right="80" w:hanging="332"/>
        <w:spacing w:after="0" w:line="234"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required by Section 6(b) of the Securities Act and calculated pursuant to Rules 457(f) and 457(c) under the Securities Act. The proposed maximum aggregate offering price of the registrant’s common stock was calculated based upon the market value of shares of Cameron International Corporation common stock (the securities to be canceled in the merger) in accordance with Rule 457(c), 457(f)(1) and 457(f)(3) and is calculated as follows (a) the proposed maximum aggregate offering price in respect of the shares of Schlumberger Limited common stock registered in connection with the initial filing of the registrant’s Registration Statement on Form S-4 on October 2, 2015, which was equal to the product of (i) $61.185, the average of the high and low prices per share of Cameron International Corporation common stock on the New York Stock Exchange on September 30, 2015, less the cash consideration to be paid in the merger of $14.44 per share, multiplied by (ii) 196,261,241, the maximum number of shares of Cameron International Corporation common stock that may be canceled and converted in the merger as of September 30, 2015, plus (b) the product of (i) $67.980, the average of the high and low prices per share of Cameron International Corporation common stock on the New York Stock Exchange on November 10, 2015, less the cash consideration to be paid in the merger of $14.44 per share, multiplied by (ii) 902,994, the additional number of shares of Cameron International Corporation common stock that may be canceled and converted in the merger, computed as of November 10, 2015, that are being registered in connection with this Amendment No. 1 to the Registration Statement on Form S-4.</w:t>
      </w:r>
    </w:p>
    <w:p>
      <w:pPr>
        <w:spacing w:after="0" w:line="4" w:lineRule="exact"/>
        <w:rPr>
          <w:rFonts w:ascii="Arial" w:cs="Arial" w:eastAsia="Arial" w:hAnsi="Arial"/>
          <w:sz w:val="12"/>
          <w:szCs w:val="12"/>
          <w:color w:val="auto"/>
        </w:rPr>
      </w:pPr>
    </w:p>
    <w:p>
      <w:pPr>
        <w:ind w:left="34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Section 6(b) of the Securities Act and SEC Fee Advisory #1 for Fiscal Year 2016 at a rate equal to $100.70 per $1.0 million of the proposed aggregate offering price.</w:t>
      </w:r>
    </w:p>
    <w:p>
      <w:pPr>
        <w:ind w:left="340" w:right="60" w:hanging="332"/>
        <w:spacing w:after="0" w:line="229"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Schlumberger previously paid a fee of $923,845.13 in connection with the initial filing of the registrant’s Registration Statement on Form S-4 filed on October 2, 2015. Accordingly, an additional $4,868.47 is being paid upon the filing of this Amendment No. 1 to the Registration Statement on Form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61595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5" w:lineRule="exact"/>
        <w:rPr>
          <w:sz w:val="24"/>
          <w:szCs w:val="24"/>
          <w:color w:val="auto"/>
        </w:rPr>
      </w:pPr>
    </w:p>
    <w:p>
      <w:pPr>
        <w:ind w:right="20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09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DE1A1E"/>
        </w:rPr>
        <w:t>SUBJECT TO COMPLETION, DATED NOVEMBER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57785</wp:posOffset>
            </wp:positionV>
            <wp:extent cx="175831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83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MERGER PROPOSAL—YOUR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of Cameron International Corporation:</w:t>
      </w:r>
    </w:p>
    <w:p>
      <w:pPr>
        <w:spacing w:after="0" w:line="69" w:lineRule="exact"/>
        <w:rPr>
          <w:sz w:val="20"/>
          <w:szCs w:val="20"/>
          <w:color w:val="auto"/>
        </w:rPr>
      </w:pPr>
    </w:p>
    <w:p>
      <w:pPr>
        <w:ind w:right="120" w:firstLine="342"/>
        <w:spacing w:after="0" w:line="231" w:lineRule="auto"/>
        <w:rPr>
          <w:sz w:val="20"/>
          <w:szCs w:val="20"/>
          <w:color w:val="auto"/>
        </w:rPr>
      </w:pPr>
      <w:r>
        <w:rPr>
          <w:rFonts w:ascii="Arial" w:cs="Arial" w:eastAsia="Arial" w:hAnsi="Arial"/>
          <w:sz w:val="14"/>
          <w:szCs w:val="14"/>
          <w:color w:val="auto"/>
        </w:rPr>
        <w:t>We cordially invite you to attend a special meeting of stockholders of Cameron International Corporation, which we refer to as Cameron, to be held on Thursday, December 17, 2015, at Cameron’s corporate headquarters, 1333 West Loop South, Suite 1700, Houston, Texas 77027, commencing at 10:00 a.m. local time. As previously announced, Cameron, Schlumberger Limited (Schlumberger N.V.), which we refer to as Schlumberger, and Schlumberger Holdings Corporation, which we refer to as Schlumberger US, have entered into an Agreement and Plan of Merger, dated as of August 25, 2015, which we refer to as the merger agreement. Pursuant to the terms of the merger agreement, a subsidiary of Schlumberger US will merge with and into Cameron, which we refer to as the merger, with Cameron surviving the merger as a direct wholly-owned subsidiary of Schlumberger US.</w:t>
      </w:r>
    </w:p>
    <w:p>
      <w:pPr>
        <w:spacing w:after="0" w:line="36" w:lineRule="exact"/>
        <w:rPr>
          <w:sz w:val="20"/>
          <w:szCs w:val="20"/>
          <w:color w:val="auto"/>
        </w:rPr>
      </w:pPr>
    </w:p>
    <w:p>
      <w:pPr>
        <w:ind w:right="40" w:firstLine="342"/>
        <w:spacing w:after="0" w:line="246" w:lineRule="auto"/>
        <w:rPr>
          <w:sz w:val="20"/>
          <w:szCs w:val="20"/>
          <w:color w:val="auto"/>
        </w:rPr>
      </w:pPr>
      <w:r>
        <w:rPr>
          <w:rFonts w:ascii="Arial" w:cs="Arial" w:eastAsia="Arial" w:hAnsi="Arial"/>
          <w:sz w:val="13"/>
          <w:szCs w:val="13"/>
          <w:color w:val="auto"/>
        </w:rPr>
        <w:t>If the merger is completed, holders of Cameron common stock will be entitled to receive 0.716 shares of Schlumberger common stock and $14.44 in cash, without interest, together with cash in lieu of fractional shares, which we refer to as the merger consideration, for each share of Cameron common stock that they own. Based on the closing price of Schlumberger common stock on the New York Stock Exchange, which we refer to as the NYSE, on August 25, 2015, the last trading day before the public announcement of the merger agreement, the merger consideration represented approximately $66.36 in value per share of Cameron common stock. This amount represented a premium of approximately 56.3% to the closing price of Cameron common stock on the NYSE on August 25, 2015. Based on the closing price of Schlumberger common stock on the NYSE on November 10, 2015, the most recent practicable trading day before the date of this proxy statement/prospectus, the merger consideration represented approximately $70.84 per share of Cameron common stock. Schlumberger common stock is listed on the NYSE under the trading symbol “SLB,” and Cameron common stock is listed on the NYSE under the trading symbol “CAM.” We encourage you to obtain quotes for the Schlumberger common stock, given that part of the merger consideration is payable in Schlumberger common stock, and Cameron common stock.</w:t>
      </w:r>
    </w:p>
    <w:p>
      <w:pPr>
        <w:spacing w:after="0" w:line="30" w:lineRule="exact"/>
        <w:rPr>
          <w:sz w:val="20"/>
          <w:szCs w:val="20"/>
          <w:color w:val="auto"/>
        </w:rPr>
      </w:pPr>
    </w:p>
    <w:p>
      <w:pPr>
        <w:ind w:right="60" w:firstLine="342"/>
        <w:spacing w:after="0" w:line="234" w:lineRule="auto"/>
        <w:rPr>
          <w:sz w:val="20"/>
          <w:szCs w:val="20"/>
          <w:color w:val="auto"/>
        </w:rPr>
      </w:pPr>
      <w:r>
        <w:rPr>
          <w:rFonts w:ascii="Arial" w:cs="Arial" w:eastAsia="Arial" w:hAnsi="Arial"/>
          <w:sz w:val="14"/>
          <w:szCs w:val="14"/>
          <w:color w:val="auto"/>
        </w:rPr>
        <w:t>Under the General Corporation Law of the State of Delaware, the approval of Cameron stockholders must be obtained before effecting the merger and the other transactions contemplated by the merger agreement. Based on the estimated number of shares of Cameron common stock and Schlumberger common stock that will be outstanding immediately prior to the closing of the merger, we estimate that, upon closing, existing Schlumberger stockholders will own approximately 90% of the outstanding shares of Schlumberger common stock and former Cameron stockholders will own approximately 10% of the outstanding shares of Schlumberger common stock.</w:t>
      </w:r>
    </w:p>
    <w:p>
      <w:pPr>
        <w:spacing w:after="0" w:line="47" w:lineRule="exact"/>
        <w:rPr>
          <w:sz w:val="20"/>
          <w:szCs w:val="20"/>
          <w:color w:val="auto"/>
        </w:rPr>
      </w:pPr>
    </w:p>
    <w:p>
      <w:pPr>
        <w:ind w:right="40" w:firstLine="342"/>
        <w:spacing w:after="0" w:line="243" w:lineRule="auto"/>
        <w:rPr>
          <w:sz w:val="20"/>
          <w:szCs w:val="20"/>
          <w:color w:val="auto"/>
        </w:rPr>
      </w:pPr>
      <w:r>
        <w:rPr>
          <w:rFonts w:ascii="Arial" w:cs="Arial" w:eastAsia="Arial" w:hAnsi="Arial"/>
          <w:sz w:val="13"/>
          <w:szCs w:val="13"/>
          <w:color w:val="auto"/>
        </w:rPr>
        <w:t xml:space="preserve">At the special meeting, Cameron stockholders will be asked to vote on (1) a proposal to adopt the merger agreement; (2) a proposal to approve, by non-binding, advisory vote, the compensation that may become payable to Cameron’s named executive officers in connection with the merger; and (3) a proposal to approve the adjournment of the special meeting, if necessary, to solicit additional proxies if there are not sufficient votes to approve the proposal to adopt the merger agreement at the time of the special meeting. The merger cannot be completed unless the holders of at least a majority of the outstanding shares of Cameron common stock entitled to vote on the matter at the special meeting vote to approve the proposal to adopt the merger agreement. </w:t>
      </w:r>
      <w:r>
        <w:rPr>
          <w:rFonts w:ascii="Arial" w:cs="Arial" w:eastAsia="Arial" w:hAnsi="Arial"/>
          <w:sz w:val="13"/>
          <w:szCs w:val="13"/>
          <w:b w:val="1"/>
          <w:bCs w:val="1"/>
          <w:color w:val="auto"/>
        </w:rPr>
        <w:t>A</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b w:val="1"/>
          <w:bCs w:val="1"/>
          <w:color w:val="auto"/>
        </w:rPr>
        <w:t xml:space="preserve">FAILURE TO VOTE, A BROKER NON-VOTE OR AN ABSTENTION WILL HAVE THE SAME EFFECT AS A VOTE “AGAINST” THE PROPOSAL TO ADOPT THE MERGER AGREEMENT. </w:t>
      </w:r>
      <w:r>
        <w:rPr>
          <w:rFonts w:ascii="Arial" w:cs="Arial" w:eastAsia="Arial" w:hAnsi="Arial"/>
          <w:sz w:val="13"/>
          <w:szCs w:val="13"/>
          <w:color w:val="auto"/>
        </w:rPr>
        <w:t>The advisory proposal concerning the compensation that may become payable to Cameron’s named executive officers in connection with the merger and the proposal to adjourn the</w:t>
      </w:r>
      <w:r>
        <w:rPr>
          <w:rFonts w:ascii="Arial" w:cs="Arial" w:eastAsia="Arial" w:hAnsi="Arial"/>
          <w:sz w:val="13"/>
          <w:szCs w:val="13"/>
          <w:b w:val="1"/>
          <w:bCs w:val="1"/>
          <w:color w:val="auto"/>
        </w:rPr>
        <w:t xml:space="preserve"> </w:t>
      </w:r>
      <w:r>
        <w:rPr>
          <w:rFonts w:ascii="Arial" w:cs="Arial" w:eastAsia="Arial" w:hAnsi="Arial"/>
          <w:sz w:val="13"/>
          <w:szCs w:val="13"/>
          <w:color w:val="auto"/>
        </w:rPr>
        <w:t>special meeting, if necessary, to solicit additional proxies each require the affirmative vote of the holders of a majority of the shares of Cameron common stock represented at the special meeting and entitled to vote on such proposal. With respect to the advisory proposal concerning the compensation that may become payable to Cameron’s named executive officers in connection with the merger and the proposal to adjourn the special meeting, if necessary, to solicit additional proxies, a failure to vote or a broker non-vote will have no effect on the outcome of such proposals (assuming that a quorum is present, in the case of the advisory compensation proposal), but a vote to abstain will have the same effect as a vote cast “</w:t>
      </w:r>
      <w:r>
        <w:rPr>
          <w:rFonts w:ascii="Arial" w:cs="Arial" w:eastAsia="Arial" w:hAnsi="Arial"/>
          <w:sz w:val="13"/>
          <w:szCs w:val="13"/>
          <w:b w:val="1"/>
          <w:bCs w:val="1"/>
          <w:color w:val="auto"/>
        </w:rPr>
        <w:t>AGAINST</w:t>
      </w:r>
      <w:r>
        <w:rPr>
          <w:rFonts w:ascii="Arial" w:cs="Arial" w:eastAsia="Arial" w:hAnsi="Arial"/>
          <w:sz w:val="13"/>
          <w:szCs w:val="13"/>
          <w:color w:val="auto"/>
        </w:rPr>
        <w:t>” these proposals.</w:t>
      </w:r>
    </w:p>
    <w:p>
      <w:pPr>
        <w:spacing w:after="0" w:line="31" w:lineRule="exact"/>
        <w:rPr>
          <w:sz w:val="20"/>
          <w:szCs w:val="20"/>
          <w:color w:val="auto"/>
        </w:rPr>
      </w:pPr>
    </w:p>
    <w:p>
      <w:pPr>
        <w:ind w:right="180" w:firstLine="342"/>
        <w:spacing w:after="0" w:line="234" w:lineRule="auto"/>
        <w:rPr>
          <w:sz w:val="20"/>
          <w:szCs w:val="20"/>
          <w:color w:val="auto"/>
        </w:rPr>
      </w:pPr>
      <w:r>
        <w:rPr>
          <w:rFonts w:ascii="Arial" w:cs="Arial" w:eastAsia="Arial" w:hAnsi="Arial"/>
          <w:sz w:val="14"/>
          <w:szCs w:val="14"/>
          <w:color w:val="auto"/>
        </w:rPr>
        <w:t xml:space="preserve">We cannot complete the merger unless the Cameron stockholders approve the proposal to adopt the merger agreement. The merger is not conditioned on approval of the advisory proposal concerning the compensation that may become payable to Cameron’s named executive officers in connection with the merger or the proposal to adjourn the special meeting, if necessary, to solicit additional proxies. </w:t>
      </w:r>
      <w:r>
        <w:rPr>
          <w:rFonts w:ascii="Arial" w:cs="Arial" w:eastAsia="Arial" w:hAnsi="Arial"/>
          <w:sz w:val="14"/>
          <w:szCs w:val="14"/>
          <w:b w:val="1"/>
          <w:bCs w:val="1"/>
          <w:color w:val="auto"/>
        </w:rPr>
        <w:t>Your vote is very important, regardless of the number of shares you own. Whether or not you expect to attend the special meeting in person, please submit a proxy to</w:t>
      </w:r>
      <w:r>
        <w:rPr>
          <w:rFonts w:ascii="Arial" w:cs="Arial" w:eastAsia="Arial" w:hAnsi="Arial"/>
          <w:sz w:val="14"/>
          <w:szCs w:val="14"/>
          <w:color w:val="auto"/>
        </w:rPr>
        <w:t xml:space="preserve"> </w:t>
      </w:r>
      <w:r>
        <w:rPr>
          <w:rFonts w:ascii="Arial" w:cs="Arial" w:eastAsia="Arial" w:hAnsi="Arial"/>
          <w:sz w:val="14"/>
          <w:szCs w:val="14"/>
          <w:b w:val="1"/>
          <w:bCs w:val="1"/>
          <w:color w:val="auto"/>
        </w:rPr>
        <w:t>vote your shares as promptly as possible so that your shares may be represented and voted at the special meeting.</w:t>
      </w:r>
    </w:p>
    <w:p>
      <w:pPr>
        <w:spacing w:after="0" w:line="30" w:lineRule="exact"/>
        <w:rPr>
          <w:sz w:val="20"/>
          <w:szCs w:val="20"/>
          <w:color w:val="auto"/>
        </w:rPr>
      </w:pPr>
    </w:p>
    <w:p>
      <w:pPr>
        <w:ind w:right="40" w:firstLine="342"/>
        <w:spacing w:after="0" w:line="245" w:lineRule="auto"/>
        <w:rPr>
          <w:sz w:val="20"/>
          <w:szCs w:val="20"/>
          <w:color w:val="auto"/>
        </w:rPr>
      </w:pPr>
      <w:r>
        <w:rPr>
          <w:rFonts w:ascii="Arial" w:cs="Arial" w:eastAsia="Arial" w:hAnsi="Arial"/>
          <w:sz w:val="13"/>
          <w:szCs w:val="13"/>
          <w:b w:val="1"/>
          <w:bCs w:val="1"/>
          <w:color w:val="auto"/>
        </w:rPr>
        <w:t xml:space="preserve">The Cameron board of directors has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the adoption of the merger agreement be submitted to a vote at a meeting of the Cameron stockholders, and recommended that the Cameron stockholders vote to adopt the merger agreement. ACCORDINGLY, THE CAMERON BOARD OF DIRECTORS UNANIMOUSLY RECOMMENDS A VOTE “FOR” THE PROPOSAL TO ADOPT THE MERGER AGREEMENT, A VOTE “FOR” THE ADVISORY PROPOSAL CONCERNING THE COMPENSATION THAT MAY BECOME PAYABLE TO CAMERON’S NAMED EXECUTIVE OFFICERS IN CONNECTION WITH THE MERGER AND A VOTE “FOR” THE PROPOSAL TO ADJOURN THE SPECIAL MEETING, IF NECESSARY, TO SOLICIT ADDITIONAL PROXIES. </w:t>
      </w:r>
      <w:r>
        <w:rPr>
          <w:rFonts w:ascii="Arial" w:cs="Arial" w:eastAsia="Arial" w:hAnsi="Arial"/>
          <w:sz w:val="13"/>
          <w:szCs w:val="13"/>
          <w:color w:val="auto"/>
        </w:rPr>
        <w:t>In considering the recommendation of the Cameron board of directors, you should be aware that certain directors and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of Cameron will have interests in the merger that may be different from, or in addition to, the interests of Cameron stockholders generally. See the section entitled “The Merger—Interests of Cameron’s Directors and Executive Officers in the Merger” beginning on page 63 of this proxy statement/prospectus.</w:t>
      </w:r>
    </w:p>
    <w:p>
      <w:pPr>
        <w:spacing w:after="0" w:line="49" w:lineRule="exact"/>
        <w:rPr>
          <w:sz w:val="20"/>
          <w:szCs w:val="20"/>
          <w:color w:val="auto"/>
        </w:rPr>
      </w:pPr>
    </w:p>
    <w:p>
      <w:pPr>
        <w:ind w:firstLine="342"/>
        <w:spacing w:after="0" w:line="231" w:lineRule="auto"/>
        <w:rPr>
          <w:rFonts w:ascii="Arial" w:cs="Arial" w:eastAsia="Arial" w:hAnsi="Arial"/>
          <w:sz w:val="14"/>
          <w:szCs w:val="14"/>
          <w:b w:val="1"/>
          <w:bCs w:val="1"/>
          <w:color w:val="auto"/>
        </w:rPr>
      </w:pPr>
      <w:r>
        <w:rPr>
          <w:rFonts w:ascii="Arial" w:cs="Arial" w:eastAsia="Arial" w:hAnsi="Arial"/>
          <w:sz w:val="14"/>
          <w:szCs w:val="14"/>
          <w:color w:val="auto"/>
        </w:rPr>
        <w:t xml:space="preserve">The obligations of Cameron and Schlumberger to complete the merger are subject to the satisfaction or waiver of several conditions set forth in the merger agreement. More information about Cameron, Schlumberger and the merger is contained in this proxy statement/prospectus. </w:t>
      </w:r>
      <w:r>
        <w:rPr>
          <w:rFonts w:ascii="Arial" w:cs="Arial" w:eastAsia="Arial" w:hAnsi="Arial"/>
          <w:sz w:val="14"/>
          <w:szCs w:val="14"/>
          <w:b w:val="1"/>
          <w:bCs w:val="1"/>
          <w:color w:val="auto"/>
        </w:rPr>
        <w:t>Before voting, we urge you to read carefully and in their entirety the accompanying proxy</w:t>
      </w:r>
      <w:r>
        <w:rPr>
          <w:rFonts w:ascii="Arial" w:cs="Arial" w:eastAsia="Arial" w:hAnsi="Arial"/>
          <w:sz w:val="14"/>
          <w:szCs w:val="14"/>
          <w:color w:val="auto"/>
        </w:rPr>
        <w:t xml:space="preserve"> </w:t>
      </w:r>
      <w:r>
        <w:rPr>
          <w:rFonts w:ascii="Arial" w:cs="Arial" w:eastAsia="Arial" w:hAnsi="Arial"/>
          <w:sz w:val="14"/>
          <w:szCs w:val="14"/>
          <w:b w:val="1"/>
          <w:bCs w:val="1"/>
          <w:color w:val="auto"/>
        </w:rPr>
        <w:t>statement/prospectus, including the Annexes and the documents incorporated by reference. In particular, we urge you to read carefully the section entitled “</w:t>
      </w:r>
      <w:hyperlink w:anchor="page33">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xml:space="preserve">” beginning on page 26 of this proxy statement/prospectus. </w:t>
      </w:r>
      <w:r>
        <w:rPr>
          <w:rFonts w:ascii="Arial" w:cs="Arial" w:eastAsia="Arial" w:hAnsi="Arial"/>
          <w:sz w:val="14"/>
          <w:szCs w:val="14"/>
          <w:color w:val="auto"/>
        </w:rPr>
        <w:t>If you have any questions regarding this proxy statement/prospectus, you may contact D.F. King &amp; Co., Inc., Cameron’s proxy solicitor, by calling toll-free at (866) 751-6312.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Thank you for your continued support of and interest in Cameron. We at Cameron look forward to the successful combination of Cameron and Schlumberger.</w:t>
      </w:r>
    </w:p>
    <w:p>
      <w:pPr>
        <w:spacing w:after="0" w:line="5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55245</wp:posOffset>
            </wp:positionV>
            <wp:extent cx="102933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Jack B. Moore</w:t>
      </w:r>
    </w:p>
    <w:p>
      <w:pPr>
        <w:ind w:left="6060"/>
        <w:spacing w:after="0" w:line="221" w:lineRule="auto"/>
        <w:rPr>
          <w:sz w:val="20"/>
          <w:szCs w:val="20"/>
          <w:color w:val="auto"/>
        </w:rPr>
      </w:pPr>
      <w:r>
        <w:rPr>
          <w:rFonts w:ascii="Arial" w:cs="Arial" w:eastAsia="Arial" w:hAnsi="Arial"/>
          <w:sz w:val="14"/>
          <w:szCs w:val="14"/>
          <w:color w:val="auto"/>
        </w:rPr>
        <w:t>Chairman of the Board</w:t>
      </w:r>
    </w:p>
    <w:p>
      <w:pPr>
        <w:ind w:left="6060"/>
        <w:spacing w:after="0"/>
        <w:rPr>
          <w:sz w:val="20"/>
          <w:szCs w:val="20"/>
          <w:color w:val="auto"/>
        </w:rPr>
      </w:pPr>
      <w:r>
        <w:rPr>
          <w:rFonts w:ascii="Arial" w:cs="Arial" w:eastAsia="Arial" w:hAnsi="Arial"/>
          <w:sz w:val="14"/>
          <w:szCs w:val="14"/>
          <w:color w:val="auto"/>
        </w:rPr>
        <w:t>Cameron International Corporation</w:t>
      </w:r>
    </w:p>
    <w:p>
      <w:pPr>
        <w:spacing w:after="0" w:line="53" w:lineRule="exact"/>
        <w:rPr>
          <w:sz w:val="20"/>
          <w:szCs w:val="20"/>
          <w:color w:val="auto"/>
        </w:rPr>
      </w:pPr>
    </w:p>
    <w:p>
      <w:pPr>
        <w:ind w:right="1260"/>
        <w:spacing w:after="0" w:line="29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securities to be issued under this proxy statement/prospectus or determined if this proxy statement/prospectus is truthful or complete. Any representation to the contrary is a criminal offense.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statement/prospectus is dated [—], 2015 and is first being mailed to Cameron stockholders on or about [—], 2015.</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This proxy statement/prospectus incorporates important business and financial information about Schlumberger and Cameron from other documents that are not included in or delivered with this proxy statement/prospectus. This information is available to you without charge. You can obtain copies of the documents incorporated by reference into this proxy statement/prospectus through the Securities and Exchange Commission (sometimes referred to as the SEC) website at www.sec.gov or by requesting them in writing or by telephone from the appropriate company at the following addresses and telephone numbers:</w:t>
      </w:r>
    </w:p>
    <w:p>
      <w:pPr>
        <w:spacing w:after="0" w:line="19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Schlumberger Limited</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Cameron International Corporation</w:t>
            </w:r>
          </w:p>
        </w:tc>
      </w:t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5599 San Felipe, 17th Floor</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1333 West Loop South, Suite 1700</w:t>
            </w:r>
          </w:p>
        </w:tc>
      </w:t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87"/>
              </w:rPr>
              <w:t>Houston, Texas 77056</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Houston, TX 77027</w:t>
            </w:r>
          </w:p>
        </w:tc>
      </w:tr>
      <w:tr>
        <w:trPr>
          <w:trHeight w:val="216"/>
        </w:trPr>
        <w:tc>
          <w:tcPr>
            <w:tcW w:w="3780" w:type="dxa"/>
            <w:vAlign w:val="bottom"/>
          </w:tcPr>
          <w:p>
            <w:pPr>
              <w:jc w:val="center"/>
              <w:ind w:right="1610"/>
              <w:spacing w:after="0"/>
              <w:rPr>
                <w:sz w:val="20"/>
                <w:szCs w:val="20"/>
                <w:color w:val="auto"/>
              </w:rPr>
            </w:pPr>
            <w:r>
              <w:rPr>
                <w:rFonts w:ascii="Arial" w:cs="Arial" w:eastAsia="Arial" w:hAnsi="Arial"/>
                <w:sz w:val="18"/>
                <w:szCs w:val="18"/>
                <w:b w:val="1"/>
                <w:bCs w:val="1"/>
                <w:color w:val="auto"/>
                <w:w w:val="89"/>
              </w:rPr>
              <w:t>Investor Relations</w:t>
            </w:r>
          </w:p>
        </w:tc>
        <w:tc>
          <w:tcPr>
            <w:tcW w:w="4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Corporate Secretary</w:t>
            </w:r>
          </w:p>
        </w:tc>
      </w:tr>
      <w:tr>
        <w:trPr>
          <w:trHeight w:val="234"/>
        </w:trPr>
        <w:tc>
          <w:tcPr>
            <w:tcW w:w="37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(713) 375-3535</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0"/>
              </w:rPr>
              <w:t>(713) 513-3300</w:t>
            </w:r>
          </w:p>
        </w:tc>
      </w:tr>
    </w:tbl>
    <w:p>
      <w:pPr>
        <w:spacing w:after="0" w:line="21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In addition, you may also obtain additional copies of this proxy statement/prospectus or the documents incorporated by reference into this proxy statement/prospectus by contacting D.F. King &amp; Co., Inc., Cameron’s proxy solicitor, at the address and telephone numbers listed below. You will not be charged for any of these documents that you request.</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48 Wall Street, 22nd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Banks and Brokers Call Collect: (212) 493-3910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All Others Please Call Toll-Free: (866) 751-6312</w:t>
      </w:r>
    </w:p>
    <w:p>
      <w:pPr>
        <w:spacing w:after="0" w:line="207"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To obtain timely delivery of documents, you must request them no later than five business days before the date of the special meeting. Therefore, if you would like to request documents from Cameron, please do so by December 10, 2015, in order to receive them before the special meeting.</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See “Where You Can Find More Information” beginning on page 128 of this proxy statement/prospectus.</w:t>
      </w:r>
    </w:p>
    <w:p>
      <w:pPr>
        <w:spacing w:after="0" w:line="200" w:lineRule="exact"/>
        <w:rPr>
          <w:sz w:val="20"/>
          <w:szCs w:val="20"/>
          <w:color w:val="auto"/>
        </w:rPr>
      </w:pPr>
    </w:p>
    <w:p>
      <w:pPr>
        <w:spacing w:after="0" w:line="24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SUBMITTING PROXIES BY MAIL, TELEPHONE OR INTERNET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stockholders of record may submit their proxies:</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by telephone (within the United States, US territories and Canada) using the toll-free telephone number listed on the enclosed proxy card;</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the Internet by logging onto the website indicated on the enclosed proxy card and following the prompts using the Control Number located on the proxy card;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mail, by completing, signing, dating and returning the enclosed proxy card in the postage-paid envelope provided: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of Cameron whose shares are held in “street name” must provide their broker, nominee, fiduciary or other custodian with instructions on how to vote their shares; otherwise, their broker, nominee, fiduciary or other custodian will not vote their shares on any of the proposals before the special meeting. Stockholders of Cameron should check the voting form provided by their broker, nominee, fiduciary or other custodian for instructions on how to vote their shares.</w:t>
      </w:r>
    </w:p>
    <w:p>
      <w:pPr>
        <w:sectPr>
          <w:pgSz w:w="11900" w:h="16838" w:orient="portrait"/>
          <w:cols w:equalWidth="0" w:num="1">
            <w:col w:w="11280"/>
          </w:cols>
          <w:pgMar w:left="24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205740</wp:posOffset>
            </wp:positionV>
            <wp:extent cx="175831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83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1333 West Loop South, Suite 1700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77027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(713) 513-3300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TO BE HELD ON DECEMBER 17,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Cameron International Corporation: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You are cordially invited to a special meeting of stockholders of Cameron International Corporation, which we refer to as Cameron, which will be held at Cameron’s corporate headquarters, 1333 West Loop South, Suite 1700, Houston, Texas 77027, on Thursday, December 17, 2015, at 10:00 a.m. local time, for the following purposes:</w:t>
      </w:r>
    </w:p>
    <w:p>
      <w:pPr>
        <w:spacing w:after="0" w:line="87" w:lineRule="exact"/>
        <w:rPr>
          <w:sz w:val="20"/>
          <w:szCs w:val="20"/>
          <w:color w:val="auto"/>
        </w:rPr>
      </w:pPr>
    </w:p>
    <w:p>
      <w:pPr>
        <w:ind w:left="900" w:right="60" w:hanging="446"/>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vote on a proposal to adopt the Agreement and Plan of Merger, which we refer to as the merger agreement, dated as of August 25, 2015, as may be amended from time to time, among Schlumberger Holdings Corporation, an indirect wholly-owned subsidiary of Schlumberger Limited, Rain Merger Sub LLC, a direct wholly-owned subsidiary of Schlumberger Holdings Corporation, Schlumberger Limited (Schlumberger N.V.), which we refer to as Schlumberger, and Cameron, a copy of which is included as Annex A to the proxy statement/prospectus of which this notice forms a part;</w:t>
      </w:r>
    </w:p>
    <w:p>
      <w:pPr>
        <w:spacing w:after="0" w:line="93"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vote on a proposal to approve, by non-binding, advisory vote, the compensation that may become payable to Cameron’s named executive officers in connection with the merger;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vote on a proposal to approve the adjournment of the special meeting, if necessary, to solicit additional proxies if there are not sufficient votes to approve the proposal to adopt the merger agreement at the time of the special meeting.</w:t>
      </w:r>
    </w:p>
    <w:p>
      <w:pPr>
        <w:spacing w:after="0" w:line="166"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 xml:space="preserve">Your proxy is being solicited by the Cameron board of directors. </w:t>
      </w:r>
      <w:r>
        <w:rPr>
          <w:rFonts w:ascii="Arial" w:cs="Arial" w:eastAsia="Arial" w:hAnsi="Arial"/>
          <w:sz w:val="17"/>
          <w:szCs w:val="17"/>
          <w:b w:val="1"/>
          <w:bCs w:val="1"/>
          <w:color w:val="auto"/>
        </w:rPr>
        <w:t>The Cameron board of directors has unanimously approved and declared</w:t>
      </w:r>
      <w:r>
        <w:rPr>
          <w:rFonts w:ascii="Arial" w:cs="Arial" w:eastAsia="Arial" w:hAnsi="Arial"/>
          <w:sz w:val="17"/>
          <w:szCs w:val="17"/>
          <w:color w:val="auto"/>
        </w:rPr>
        <w:t xml:space="preserve"> </w:t>
      </w:r>
      <w:r>
        <w:rPr>
          <w:rFonts w:ascii="Arial" w:cs="Arial" w:eastAsia="Arial" w:hAnsi="Arial"/>
          <w:sz w:val="17"/>
          <w:szCs w:val="17"/>
          <w:b w:val="1"/>
          <w:bCs w:val="1"/>
          <w:color w:val="auto"/>
        </w:rPr>
        <w:t>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the adoption of the merger agreement be submitted to a vote at a meeting of the Cameron stockholders, and recommended that the Cameron stockholders vote to adopt the merger agreement. ACCORDINGLY, THE CAMERON BOARD OF DIRECTORS UNANIMOUSLY RECOMMENDS A VOTE “FOR” THE PROPOSAL TO ADOPT THE MERGER AGREEMENT, A VOTE “FOR” THE ADVISORY PROPOSAL CONCERNING THE COMPENSATION THAT MAY BECOME PAYABLE TO CAMERON’S NAMED EXECUTIVE OFFICERS IN CONNECTION WITH THE MERGER AND A VOTE “FOR” THE PROPOSAL TO ADJOURN THE SPECIAL MEETING, IF NECESSARY, TO SOLICIT ADDITIONAL PROXIES.</w:t>
      </w:r>
    </w:p>
    <w:p>
      <w:pPr>
        <w:spacing w:after="0" w:line="178"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 xml:space="preserve">The Cameron board of directors has fixed the close of business on November 16, 2015 as the record date for determination of Cameron stockholders entitled to receive notice of, and to vote at, the special meeting or any adjournments or postponements thereof. Only holders of record of issued and outstanding Cameron common stock at the close of business on the record date are entitled to receive notice of, and to vote at, the special meeting or any adjournments or postponements thereof. The merger cannot be completed unless the holders of at least a majority of the outstanding shares of Cameron common stock entitled to vote on the matter at the special meeting vote to approve the proposal to adopt the merger agreement. </w:t>
      </w:r>
      <w:r>
        <w:rPr>
          <w:rFonts w:ascii="Arial" w:cs="Arial" w:eastAsia="Arial" w:hAnsi="Arial"/>
          <w:sz w:val="16"/>
          <w:szCs w:val="16"/>
          <w:b w:val="1"/>
          <w:bCs w:val="1"/>
          <w:color w:val="auto"/>
        </w:rPr>
        <w:t>A FAILURE TO VOTE, A</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BROKER NON-VOTE OR AN ABSTENTION, WILL HAVE THE SAME EFFECT AS A VOTE “AGAINST” THE PROPOSAL TO ADOPT THE MERGER AGREEMENT. </w:t>
      </w:r>
      <w:r>
        <w:rPr>
          <w:rFonts w:ascii="Arial" w:cs="Arial" w:eastAsia="Arial" w:hAnsi="Arial"/>
          <w:sz w:val="17"/>
          <w:szCs w:val="17"/>
          <w:color w:val="auto"/>
        </w:rPr>
        <w:t>The advisory proposal concerning the compensation that may become payable to Cameron’s named executive officers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merger and the proposal to adjourn the special meeting, if necessary, to solicit additional proxies each require the</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affirmative vote of the holders of a majority of the shares of Cameron common stock represented at the special meeting and entitled to vote on such proposal. With respect to the advisory proposal concerning the compensation that may become payable to Cameron’s named executive officers in connection with the merger and the proposal to adjourn the special meeting, if necessary, to solicit additional proxies, a failure to vote or a broker non-vote will have no effect on the outcome of such proposals (assuming that a quorum is present, in the case of the advisory compensation proposal), but a vote to abstain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these proposals.</w:t>
      </w:r>
    </w:p>
    <w:p>
      <w:pPr>
        <w:spacing w:after="0" w:line="184"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Your vote is very important. Whether or not you plan to attend the meeting in person, we urge you to vote by Internet, telephone or mail to ensure that your shares are represented at the meeting. </w:t>
      </w:r>
      <w:r>
        <w:rPr>
          <w:rFonts w:ascii="Arial" w:cs="Arial" w:eastAsia="Arial" w:hAnsi="Arial"/>
          <w:sz w:val="16"/>
          <w:szCs w:val="16"/>
          <w:color w:val="auto"/>
        </w:rPr>
        <w:t>Registered stockholders may vote in person at the special meeting or by proxy, in one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ways: (1) through the Internet by logging onto the website indicated on the enclosed proxy card and following the prompts using the Control Number located on the proxy card; (2) by telephone (within the United States, US territories and Canada) using the toll-free telephone number listed on the enclosed proxy card; or (3) by completing, signing, dating and returning the enclosed proxy card in the postage-paid envelope provided. If your shares are held in the name of a bank, broker, trust company or other nominee, follow the instructions you receive from your nominee on how to vote your shares.</w:t>
      </w:r>
    </w:p>
    <w:p>
      <w:pPr>
        <w:spacing w:after="0" w:line="15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A government-issued picture identification will be required to enter the special meeting. </w:t>
      </w:r>
      <w:r>
        <w:rPr>
          <w:rFonts w:ascii="Arial" w:cs="Arial" w:eastAsia="Arial" w:hAnsi="Arial"/>
          <w:sz w:val="18"/>
          <w:szCs w:val="18"/>
          <w:color w:val="auto"/>
        </w:rPr>
        <w:t>If you are the representative of a corporate or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18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enclosed proxy statement/prospectus provides a detailed description of the merger, the merger agreement and the other matters to be considered at the special meeting. We urge you to read this proxy statement/prospectus, including any documents incorporated by reference, and the Annexes carefully and in their entirety. If you have any questions regarding the accompanying proxy statement/prospectus, you may contact D.F. King &amp; Co., Inc., Cameron’s proxy solicitor, by calling toll-free at (866) 751-6312.</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92075</wp:posOffset>
            </wp:positionV>
            <wp:extent cx="137223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Grace B. Holmes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Corporate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Governance Officer</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320" w:type="dxa"/>
            <w:vAlign w:val="bottom"/>
            <w:gridSpan w:val="44"/>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MERGER AND THE CAMERON SPECIAL MEETING</w:t>
              </w:r>
            </w:hyperlink>
          </w:p>
        </w:tc>
        <w:tc>
          <w:tcPr>
            <w:tcW w:w="20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7600" w:type="dxa"/>
            <w:vAlign w:val="bottom"/>
            <w:tcBorders>
              <w:top w:val="single" w:sz="8" w:color="0000EE"/>
            </w:tcBorders>
            <w:gridSpan w:val="4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SUMMARY</w:t>
              </w:r>
            </w:hyperlink>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The Companies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The Merger</w:t>
              </w:r>
            </w:hyperlink>
          </w:p>
        </w:tc>
        <w:tc>
          <w:tcPr>
            <w:tcW w:w="280" w:type="dxa"/>
            <w:vAlign w:val="bottom"/>
            <w:tcBorders>
              <w:top w:val="single" w:sz="8" w:color="0000EE"/>
            </w:tcBorders>
            <w:gridSpan w:val="3"/>
          </w:tcPr>
          <w:p>
            <w:pPr>
              <w:spacing w:after="0"/>
              <w:rPr>
                <w:sz w:val="17"/>
                <w:szCs w:val="17"/>
                <w:color w:val="auto"/>
              </w:rPr>
            </w:pPr>
          </w:p>
        </w:tc>
        <w:tc>
          <w:tcPr>
            <w:tcW w:w="7820" w:type="dxa"/>
            <w:vAlign w:val="bottom"/>
            <w:gridSpan w:val="3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Special Meeting of Cameron Stockholders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Schlumberger Stockholder Approval Is Not Required</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Share Ownership of Cameron’s Directors and Executive Officers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Treatment of Equity Awards</w:t>
              </w:r>
            </w:hyperlink>
          </w:p>
        </w:tc>
        <w:tc>
          <w:tcPr>
            <w:tcW w:w="2620" w:type="dxa"/>
            <w:vAlign w:val="bottom"/>
            <w:tcBorders>
              <w:top w:val="single" w:sz="8" w:color="0000EE"/>
            </w:tcBorders>
            <w:gridSpan w:val="18"/>
          </w:tcPr>
          <w:p>
            <w:pPr>
              <w:spacing w:after="0"/>
              <w:rPr>
                <w:sz w:val="17"/>
                <w:szCs w:val="17"/>
                <w:color w:val="auto"/>
              </w:rPr>
            </w:pPr>
          </w:p>
        </w:tc>
        <w:tc>
          <w:tcPr>
            <w:tcW w:w="4280" w:type="dxa"/>
            <w:vAlign w:val="bottom"/>
            <w:gridSpan w:val="1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Opinion of Cameron’s Financial Advisor</w:t>
              </w:r>
            </w:hyperlink>
          </w:p>
        </w:tc>
        <w:tc>
          <w:tcPr>
            <w:tcW w:w="5980" w:type="dxa"/>
            <w:vAlign w:val="bottom"/>
            <w:gridSpan w:val="2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Ownership of Schlumberger After the Merger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Interests of Cameron’s Directors and Executive Officers in the Merger</w:t>
              </w:r>
            </w:hyperlink>
          </w:p>
        </w:tc>
        <w:tc>
          <w:tcPr>
            <w:tcW w:w="388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Listing of Schlumberger Stock and Delisting and Deregistration of Cameron Stock</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59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Appraisal Rights</w:t>
              </w:r>
            </w:hyperlink>
          </w:p>
        </w:tc>
        <w:tc>
          <w:tcPr>
            <w:tcW w:w="300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Completion of the Merger Is Subject to Certain Conditions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Regulatory Approvals Required for the Merger</w:t>
              </w:r>
            </w:hyperlink>
          </w:p>
        </w:tc>
        <w:tc>
          <w:tcPr>
            <w:tcW w:w="840" w:type="dxa"/>
            <w:vAlign w:val="bottom"/>
            <w:tcBorders>
              <w:top w:val="single" w:sz="8" w:color="0000EE"/>
            </w:tcBorders>
            <w:gridSpan w:val="3"/>
          </w:tcPr>
          <w:p>
            <w:pPr>
              <w:spacing w:after="0"/>
              <w:rPr>
                <w:sz w:val="17"/>
                <w:szCs w:val="17"/>
                <w:color w:val="auto"/>
              </w:rPr>
            </w:pPr>
          </w:p>
        </w:tc>
        <w:tc>
          <w:tcPr>
            <w:tcW w:w="472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No Solicitation by Cameron</w:t>
              </w:r>
            </w:hyperlink>
          </w:p>
        </w:tc>
        <w:tc>
          <w:tcPr>
            <w:tcW w:w="6920" w:type="dxa"/>
            <w:vAlign w:val="bottom"/>
            <w:gridSpan w:val="3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Termination of the Merger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Termination Fee and Expenses</w:t>
              </w:r>
            </w:hyperlink>
          </w:p>
        </w:tc>
        <w:tc>
          <w:tcPr>
            <w:tcW w:w="540" w:type="dxa"/>
            <w:vAlign w:val="bottom"/>
            <w:tcBorders>
              <w:top w:val="single" w:sz="8" w:color="0000EE"/>
            </w:tcBorders>
            <w:gridSpan w:val="2"/>
          </w:tcPr>
          <w:p>
            <w:pPr>
              <w:spacing w:after="0"/>
              <w:rPr>
                <w:sz w:val="17"/>
                <w:szCs w:val="17"/>
                <w:color w:val="auto"/>
              </w:rPr>
            </w:pPr>
          </w:p>
        </w:tc>
        <w:tc>
          <w:tcPr>
            <w:tcW w:w="6200" w:type="dxa"/>
            <w:vAlign w:val="bottom"/>
            <w:gridSpan w:val="2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Payment of Dividends and Stock Repurchases</w:t>
              </w:r>
            </w:hyperlink>
          </w:p>
        </w:tc>
        <w:tc>
          <w:tcPr>
            <w:tcW w:w="562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51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Rights of Cameron Stockholders Will Change as a Result of the Merger</w:t>
              </w:r>
            </w:hyperlink>
          </w:p>
        </w:tc>
        <w:tc>
          <w:tcPr>
            <w:tcW w:w="378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Material U.S. Federal Income Tax Consequences of the Merger</w:t>
              </w:r>
            </w:hyperlink>
          </w:p>
        </w:tc>
        <w:tc>
          <w:tcPr>
            <w:tcW w:w="438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Accounting Treatment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Litigation Relating to the Merger</w:t>
              </w:r>
            </w:hyperlink>
          </w:p>
        </w:tc>
        <w:tc>
          <w:tcPr>
            <w:tcW w:w="6560" w:type="dxa"/>
            <w:vAlign w:val="bottom"/>
            <w:gridSpan w:val="2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472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Selected Historical Consolidated Financial Data of Schlumberger</w:t>
              </w:r>
            </w:hyperlink>
          </w:p>
        </w:tc>
        <w:tc>
          <w:tcPr>
            <w:tcW w:w="424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Selected Historical Consolidated Financial Data of Cameron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Selected Unaudited Pro Forma Condensed Combined Financial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54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Comparative Per Share Data</w:t>
              </w:r>
            </w:hyperlink>
          </w:p>
        </w:tc>
        <w:tc>
          <w:tcPr>
            <w:tcW w:w="348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Comparative Per Share Market Price And Dividend Information</w:t>
              </w:r>
            </w:hyperlink>
          </w:p>
        </w:tc>
        <w:tc>
          <w:tcPr>
            <w:tcW w:w="432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12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RISK FACTORS</w:t>
              </w:r>
            </w:hyperlink>
          </w:p>
        </w:tc>
        <w:tc>
          <w:tcPr>
            <w:tcW w:w="8060" w:type="dxa"/>
            <w:vAlign w:val="bottom"/>
            <w:gridSpan w:val="38"/>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Risks Relating to the Merger</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Risks Relating to the Combined Company Upon Completion of the Merger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Risks Relating to Schlumberger Common Stock Following the Merger</w:t>
              </w:r>
            </w:hyperlink>
          </w:p>
        </w:tc>
        <w:tc>
          <w:tcPr>
            <w:tcW w:w="320" w:type="dxa"/>
            <w:vAlign w:val="bottom"/>
            <w:tcBorders>
              <w:top w:val="single" w:sz="8" w:color="0000EE"/>
            </w:tcBorders>
            <w:gridSpan w:val="2"/>
          </w:tcPr>
          <w:p>
            <w:pPr>
              <w:spacing w:after="0"/>
              <w:rPr>
                <w:sz w:val="17"/>
                <w:szCs w:val="17"/>
                <w:color w:val="auto"/>
              </w:rPr>
            </w:pPr>
          </w:p>
        </w:tc>
        <w:tc>
          <w:tcPr>
            <w:tcW w:w="354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Risks Relating to Cameron and Schlumberger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22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9320" w:type="dxa"/>
            <w:vAlign w:val="bottom"/>
            <w:gridSpan w:val="4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CAUTIONARY STATEMENT REGARDING FORWARD-LOOKING STATEMENTS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340" w:type="dxa"/>
            <w:vAlign w:val="bottom"/>
            <w:tcBorders>
              <w:top w:val="single" w:sz="8" w:color="0000EE"/>
            </w:tcBorders>
            <w:gridSpan w:val="4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THE COMPANIES</w:t>
              </w:r>
            </w:hyperlink>
          </w:p>
        </w:tc>
        <w:tc>
          <w:tcPr>
            <w:tcW w:w="298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9320" w:type="dxa"/>
            <w:vAlign w:val="bottom"/>
            <w:gridSpan w:val="4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THE SPECIAL MEETING</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980" w:type="dxa"/>
            <w:vAlign w:val="bottom"/>
            <w:tcBorders>
              <w:top w:val="single" w:sz="8" w:color="0000EE"/>
            </w:tcBorders>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PROPOSALS</w:t>
              </w:r>
            </w:hyperlink>
          </w:p>
        </w:tc>
        <w:tc>
          <w:tcPr>
            <w:tcW w:w="7340" w:type="dxa"/>
            <w:vAlign w:val="bottom"/>
            <w:gridSpan w:val="3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11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THE MERGER</w:t>
              </w:r>
            </w:hyperlink>
          </w:p>
        </w:tc>
        <w:tc>
          <w:tcPr>
            <w:tcW w:w="8160" w:type="dxa"/>
            <w:vAlign w:val="bottom"/>
            <w:gridSpan w:val="40"/>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360" w:type="dxa"/>
            <w:vAlign w:val="bottom"/>
          </w:tcPr>
          <w:p>
            <w:pPr>
              <w:spacing w:after="0"/>
              <w:rPr>
                <w:sz w:val="24"/>
                <w:szCs w:val="24"/>
                <w:color w:val="auto"/>
              </w:rPr>
            </w:pPr>
          </w:p>
        </w:tc>
        <w:tc>
          <w:tcPr>
            <w:tcW w:w="19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Background of the Merger</w:t>
              </w:r>
            </w:hyperlink>
          </w:p>
        </w:tc>
        <w:tc>
          <w:tcPr>
            <w:tcW w:w="7040" w:type="dxa"/>
            <w:vAlign w:val="bottom"/>
            <w:gridSpan w:val="3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Cameron’s Reasons for the Merger; Recommendation of the Cameron Board of Directors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Schlumberger’s Reasons for the Merger</w:t>
              </w:r>
            </w:hyperlink>
          </w:p>
        </w:tc>
        <w:tc>
          <w:tcPr>
            <w:tcW w:w="3560" w:type="dxa"/>
            <w:vAlign w:val="bottom"/>
            <w:tcBorders>
              <w:top w:val="single" w:sz="8" w:color="0000EE"/>
            </w:tcBorders>
            <w:gridSpan w:val="22"/>
          </w:tcPr>
          <w:p>
            <w:pPr>
              <w:spacing w:after="0"/>
              <w:rPr>
                <w:sz w:val="17"/>
                <w:szCs w:val="17"/>
                <w:color w:val="auto"/>
              </w:rPr>
            </w:pPr>
          </w:p>
        </w:tc>
        <w:tc>
          <w:tcPr>
            <w:tcW w:w="252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Opinion of Cameron’s Financial Advisor</w:t>
              </w:r>
            </w:hyperlink>
          </w:p>
        </w:tc>
        <w:tc>
          <w:tcPr>
            <w:tcW w:w="6000" w:type="dxa"/>
            <w:vAlign w:val="bottom"/>
            <w:gridSpan w:val="2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Forecasts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5180" w:type="dxa"/>
            <w:vAlign w:val="bottom"/>
            <w:gridSpan w:val="3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Interests of Cameron’s Directors and Executive Officers in the Merger</w:t>
              </w:r>
            </w:hyperlink>
          </w:p>
        </w:tc>
        <w:tc>
          <w:tcPr>
            <w:tcW w:w="388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360" w:type="dxa"/>
            <w:vAlign w:val="bottom"/>
          </w:tcPr>
          <w:p>
            <w:pPr>
              <w:spacing w:after="0"/>
              <w:rPr>
                <w:sz w:val="17"/>
                <w:szCs w:val="17"/>
                <w:color w:val="auto"/>
              </w:rPr>
            </w:pPr>
          </w:p>
        </w:tc>
        <w:tc>
          <w:tcPr>
            <w:tcW w:w="658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Advisory Vote on Merger-Related Compensation for Cameron’s Named Executive Officers</w:t>
              </w:r>
            </w:hyperlink>
          </w:p>
        </w:tc>
        <w:tc>
          <w:tcPr>
            <w:tcW w:w="238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80" w:type="dxa"/>
            <w:vAlign w:val="bottom"/>
          </w:tcPr>
          <w:p>
            <w:pPr>
              <w:spacing w:after="0"/>
              <w:rPr>
                <w:sz w:val="16"/>
                <w:szCs w:val="16"/>
                <w:color w:val="auto"/>
              </w:rPr>
            </w:pPr>
          </w:p>
        </w:tc>
        <w:tc>
          <w:tcPr>
            <w:tcW w:w="10280" w:type="dxa"/>
            <w:vAlign w:val="bottom"/>
            <w:gridSpan w:val="36"/>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Appraisal Rights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Listing of Schlumberger Stock and Delisting and Deregistration of Cameron Stock</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38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Restrictions on Sales of Shares of Schlumberger Common Stock Received in the Merger</w:t>
              </w:r>
            </w:hyperlink>
          </w:p>
        </w:tc>
        <w:tc>
          <w:tcPr>
            <w:tcW w:w="390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Accounting Treatment</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Material U.S. Federal Income Tax Consequences</w:t>
              </w:r>
            </w:hyperlink>
          </w:p>
        </w:tc>
        <w:tc>
          <w:tcPr>
            <w:tcW w:w="676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380" w:type="dxa"/>
            <w:vAlign w:val="bottom"/>
          </w:tcPr>
          <w:p>
            <w:pPr>
              <w:spacing w:after="0"/>
              <w:rPr>
                <w:sz w:val="17"/>
                <w:szCs w:val="17"/>
                <w:color w:val="auto"/>
              </w:rPr>
            </w:pPr>
          </w:p>
        </w:tc>
        <w:tc>
          <w:tcPr>
            <w:tcW w:w="33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Regulatory Approvals Required for the Merger</w:t>
              </w:r>
            </w:hyperlink>
          </w:p>
        </w:tc>
        <w:tc>
          <w:tcPr>
            <w:tcW w:w="690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Closing and Effective Time</w:t>
              </w:r>
            </w:hyperlink>
          </w:p>
        </w:tc>
        <w:tc>
          <w:tcPr>
            <w:tcW w:w="8300" w:type="dxa"/>
            <w:vAlign w:val="bottom"/>
            <w:gridSpan w:val="2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Litigation Relating to the Merger</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THE MERGER AGREEMENT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992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Representations, Warranties and Covenants in the Merger Agreement Are Not Intended to Function or Be Relied on as Public Disclosures</w:t>
              </w:r>
            </w:hyperlink>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Structure of the Merger</w:t>
              </w:r>
            </w:hyperlink>
          </w:p>
        </w:tc>
        <w:tc>
          <w:tcPr>
            <w:tcW w:w="8600" w:type="dxa"/>
            <w:vAlign w:val="bottom"/>
            <w:gridSpan w:val="2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Effective Time; Closing</w:t>
              </w:r>
            </w:hyperlink>
          </w:p>
        </w:tc>
        <w:tc>
          <w:tcPr>
            <w:tcW w:w="8560" w:type="dxa"/>
            <w:vAlign w:val="bottom"/>
            <w:gridSpan w:val="2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Merger Consideration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80" w:type="dxa"/>
            <w:vAlign w:val="bottom"/>
          </w:tcPr>
          <w:p>
            <w:pPr>
              <w:spacing w:after="0"/>
              <w:rPr>
                <w:sz w:val="17"/>
                <w:szCs w:val="17"/>
                <w:color w:val="auto"/>
              </w:rPr>
            </w:pPr>
          </w:p>
        </w:tc>
        <w:tc>
          <w:tcPr>
            <w:tcW w:w="16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Fractional Shares</w:t>
              </w:r>
            </w:hyperlink>
          </w:p>
        </w:tc>
        <w:tc>
          <w:tcPr>
            <w:tcW w:w="8680" w:type="dxa"/>
            <w:vAlign w:val="bottom"/>
            <w:gridSpan w:val="2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Treatment of Equity Awards</w:t>
              </w:r>
            </w:hyperlink>
          </w:p>
        </w:tc>
        <w:tc>
          <w:tcPr>
            <w:tcW w:w="824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80" w:type="dxa"/>
            <w:vAlign w:val="bottom"/>
          </w:tcPr>
          <w:p>
            <w:pPr>
              <w:spacing w:after="0"/>
              <w:rPr>
                <w:sz w:val="17"/>
                <w:szCs w:val="17"/>
                <w:color w:val="auto"/>
              </w:rPr>
            </w:pPr>
          </w:p>
        </w:tc>
        <w:tc>
          <w:tcPr>
            <w:tcW w:w="30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Exchange of Shares; Stock Transfer Books</w:t>
              </w:r>
            </w:hyperlink>
          </w:p>
        </w:tc>
        <w:tc>
          <w:tcPr>
            <w:tcW w:w="720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8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Lost, Stolen or Destroyed Certificates</w:t>
              </w:r>
            </w:hyperlink>
          </w:p>
        </w:tc>
        <w:tc>
          <w:tcPr>
            <w:tcW w:w="754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Appraisal Rights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Withholding Taxes</w:t>
              </w:r>
            </w:hyperlink>
          </w:p>
        </w:tc>
        <w:tc>
          <w:tcPr>
            <w:tcW w:w="8920" w:type="dxa"/>
            <w:vAlign w:val="bottom"/>
            <w:gridSpan w:val="2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Representations and Warranties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Conduct of Business Pending the Effective Time</w:t>
              </w:r>
            </w:hyperlink>
          </w:p>
        </w:tc>
        <w:tc>
          <w:tcPr>
            <w:tcW w:w="678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Certain Additional Agreements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Conditions to the Merger</w:t>
              </w:r>
            </w:hyperlink>
          </w:p>
        </w:tc>
        <w:tc>
          <w:tcPr>
            <w:tcW w:w="460" w:type="dxa"/>
            <w:vAlign w:val="bottom"/>
            <w:tcBorders>
              <w:top w:val="single" w:sz="8" w:color="0000EE"/>
            </w:tcBorders>
            <w:gridSpan w:val="5"/>
          </w:tcPr>
          <w:p>
            <w:pPr>
              <w:spacing w:after="0"/>
              <w:rPr>
                <w:sz w:val="17"/>
                <w:szCs w:val="17"/>
                <w:color w:val="auto"/>
              </w:rPr>
            </w:pPr>
          </w:p>
        </w:tc>
        <w:tc>
          <w:tcPr>
            <w:tcW w:w="802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Termination, Amendment and Waiver</w:t>
              </w:r>
            </w:hyperlink>
          </w:p>
        </w:tc>
        <w:tc>
          <w:tcPr>
            <w:tcW w:w="756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UNAUDITED PRO FORMA CONDENSED COMBINED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6480" w:type="dxa"/>
            <w:vAlign w:val="bottom"/>
            <w:tcBorders>
              <w:top w:val="single" w:sz="8" w:color="0000EE"/>
            </w:tcBorders>
            <w:gridSpan w:val="33"/>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COMPARISON OF STOCKHOLDER RIGHTS</w:t>
              </w:r>
            </w:hyperlink>
          </w:p>
        </w:tc>
        <w:tc>
          <w:tcPr>
            <w:tcW w:w="418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APPRAISAL RIGHTS OF CAMERON STOCKHOLDERS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DESCRIPTION OF SCHLUMBERGER CAPITAL STOCK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34"/>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SECURITY OWNERSHIP OF CERTAIN BENEFICIAL OWNERS AND MANAGEMENT</w:t>
              </w:r>
            </w:hyperlink>
          </w:p>
        </w:tc>
        <w:tc>
          <w:tcPr>
            <w:tcW w:w="392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04"/>
        </w:trPr>
        <w:tc>
          <w:tcPr>
            <w:tcW w:w="24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34">
              <w:r>
                <w:rPr>
                  <w:rFonts w:ascii="Arial" w:cs="Arial" w:eastAsia="Arial" w:hAnsi="Arial"/>
                  <w:sz w:val="18"/>
                  <w:szCs w:val="18"/>
                  <w:color w:val="0000EE"/>
                  <w:w w:val="94"/>
                </w:rPr>
                <w:t>STOCKHOLDER PROPOSALS</w:t>
              </w:r>
            </w:hyperlink>
          </w:p>
        </w:tc>
        <w:tc>
          <w:tcPr>
            <w:tcW w:w="8260" w:type="dxa"/>
            <w:vAlign w:val="bottom"/>
            <w:gridSpan w:val="2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EXPERTS</w:t>
              </w:r>
            </w:hyperlink>
          </w:p>
        </w:tc>
        <w:tc>
          <w:tcPr>
            <w:tcW w:w="9880" w:type="dxa"/>
            <w:vAlign w:val="bottom"/>
            <w:gridSpan w:val="3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HOUSEHOLDING</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LEGAL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4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35">
              <w:r>
                <w:rPr>
                  <w:rFonts w:ascii="Arial" w:cs="Arial" w:eastAsia="Arial" w:hAnsi="Arial"/>
                  <w:sz w:val="18"/>
                  <w:szCs w:val="18"/>
                  <w:color w:val="0000EE"/>
                  <w:w w:val="94"/>
                </w:rPr>
                <w:t>OTHER MATTERS</w:t>
              </w:r>
            </w:hyperlink>
          </w:p>
        </w:tc>
        <w:tc>
          <w:tcPr>
            <w:tcW w:w="9180" w:type="dxa"/>
            <w:vAlign w:val="bottom"/>
            <w:gridSpan w:val="3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WHERE YOU CAN FIND MORE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30"/>
        </w:trPr>
        <w:tc>
          <w:tcPr>
            <w:tcW w:w="382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auto"/>
              </w:rPr>
              <w:t>LIST OF ANNEXES</w:t>
            </w:r>
          </w:p>
        </w:tc>
        <w:tc>
          <w:tcPr>
            <w:tcW w:w="684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3080" w:type="dxa"/>
            <w:vAlign w:val="bottom"/>
            <w:tcBorders>
              <w:bottom w:val="single" w:sz="8" w:color="0000EE"/>
            </w:tcBorders>
            <w:gridSpan w:val="19"/>
          </w:tcPr>
          <w:p>
            <w:pPr>
              <w:spacing w:after="0" w:line="190"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Annex A—Agreement and Plan of Merger</w:t>
              </w:r>
            </w:hyperlink>
          </w:p>
        </w:tc>
        <w:tc>
          <w:tcPr>
            <w:tcW w:w="7580" w:type="dxa"/>
            <w:vAlign w:val="bottom"/>
            <w:gridSpan w:val="18"/>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A-1</w:t>
            </w:r>
          </w:p>
        </w:tc>
      </w:tr>
      <w:tr>
        <w:trPr>
          <w:trHeight w:val="196"/>
        </w:trPr>
        <w:tc>
          <w:tcPr>
            <w:tcW w:w="58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203">
              <w:r>
                <w:rPr>
                  <w:rFonts w:ascii="Arial" w:cs="Arial" w:eastAsia="Arial" w:hAnsi="Arial"/>
                  <w:sz w:val="18"/>
                  <w:szCs w:val="18"/>
                  <w:color w:val="0000EE"/>
                  <w:w w:val="91"/>
                </w:rPr>
                <w:t>Annex B—Section 262 of the General Corporation Law of the State of Delaware</w:t>
              </w:r>
            </w:hyperlink>
          </w:p>
        </w:tc>
        <w:tc>
          <w:tcPr>
            <w:tcW w:w="48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0660" w:type="dxa"/>
            <w:vAlign w:val="bottom"/>
            <w:gridSpan w:val="37"/>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Annex C—Opinion of Credit Suisse Securities (USA) LLC</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MERGER AND THE CAMERON SPECIAL MEETING</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The following are some questions that you, as a stockholder of Cameron, may have regarding the merger, the merger agreement and the special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the merger agreement and the special meeting. Additional important information is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beginning on page 128 of this proxy statement/prospectus.</w:t>
      </w:r>
    </w:p>
    <w:p>
      <w:pPr>
        <w:spacing w:after="0" w:line="18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135" w:lineRule="exact"/>
        <w:rPr>
          <w:sz w:val="20"/>
          <w:szCs w:val="20"/>
          <w:color w:val="auto"/>
        </w:rPr>
      </w:pPr>
    </w:p>
    <w:p>
      <w:pPr>
        <w:jc w:val="both"/>
        <w:ind w:left="460" w:right="22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receiving this document because you were a stockholder of record of Cameron on the record date for the special meeting. Schlumberger US, Schlumberger and Cameron have agreed to combine under the terms of the merger agreement that is described in this proxy statement/prospectus. A copy of the merger agreement is attached as Annex A.</w:t>
      </w:r>
    </w:p>
    <w:p>
      <w:pPr>
        <w:spacing w:after="0" w:line="73"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This proxy statement/prospectus serves as the proxy statement through which Cameron will solicit proxies to obtain the necessary stockholder approval for the merger. It also serves as the prospectus by which Schlumberger will issue shares of Schlumberger common stock to pay the stock portion of the merger consideration.</w:t>
      </w:r>
    </w:p>
    <w:p>
      <w:pPr>
        <w:spacing w:after="0" w:line="73"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In order to complete the merger, among other things, Cameron stockholders must approve the proposal to adopt the merger agreement. Cameron is holding the special meeting to ask its stockholders to vote on the proposal to adopt the merger agreement.</w:t>
      </w:r>
    </w:p>
    <w:p>
      <w:pPr>
        <w:spacing w:after="0" w:line="62" w:lineRule="exact"/>
        <w:rPr>
          <w:rFonts w:ascii="Arial" w:cs="Arial" w:eastAsia="Arial" w:hAnsi="Arial"/>
          <w:sz w:val="18"/>
          <w:szCs w:val="18"/>
          <w:color w:val="auto"/>
        </w:rPr>
      </w:pPr>
    </w:p>
    <w:p>
      <w:pPr>
        <w:ind w:left="460" w:right="40"/>
        <w:spacing w:after="0" w:line="312" w:lineRule="auto"/>
        <w:rPr>
          <w:rFonts w:ascii="Arial" w:cs="Arial" w:eastAsia="Arial" w:hAnsi="Arial"/>
          <w:sz w:val="18"/>
          <w:szCs w:val="18"/>
          <w:color w:val="auto"/>
        </w:rPr>
      </w:pPr>
      <w:r>
        <w:rPr>
          <w:rFonts w:ascii="Arial" w:cs="Arial" w:eastAsia="Arial" w:hAnsi="Arial"/>
          <w:sz w:val="16"/>
          <w:szCs w:val="16"/>
          <w:color w:val="auto"/>
        </w:rPr>
        <w:t>At the special meeting, Cameron stockholders will also be asked to vote on a proposal, by non-binding, advisory vote, concerning compensation that may become payable to Cameron’s named executive officers in connection with the merger and a proposal to adjourn the special meeting, if necessary, to solicit additional proxies if there are not sufficient votes to approve the proposal to adopt the merger agreement at the time of the special meeting.</w:t>
      </w:r>
    </w:p>
    <w:p>
      <w:pPr>
        <w:spacing w:after="0" w:line="38"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This document contains important information about the merger, the merger agreement and the special meeting, and you should read it carefully. The enclosed voting materials allow you to vote your shares without attending the special meeting.</w:t>
      </w:r>
    </w:p>
    <w:p>
      <w:pPr>
        <w:spacing w:after="0" w:line="19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3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Yes, your vote is very important. We encourage you to vote as soon as possible.</w:t>
      </w:r>
    </w:p>
    <w:p>
      <w:pPr>
        <w:spacing w:after="0" w:line="117" w:lineRule="exact"/>
        <w:rPr>
          <w:rFonts w:ascii="Arial" w:cs="Arial" w:eastAsia="Arial" w:hAnsi="Arial"/>
          <w:sz w:val="18"/>
          <w:szCs w:val="18"/>
          <w:color w:val="auto"/>
        </w:rPr>
      </w:pPr>
    </w:p>
    <w:p>
      <w:pPr>
        <w:ind w:left="460" w:right="140"/>
        <w:spacing w:after="0" w:line="279" w:lineRule="auto"/>
        <w:rPr>
          <w:rFonts w:ascii="Arial" w:cs="Arial" w:eastAsia="Arial" w:hAnsi="Arial"/>
          <w:sz w:val="18"/>
          <w:szCs w:val="18"/>
          <w:color w:val="auto"/>
        </w:rPr>
      </w:pPr>
      <w:r>
        <w:rPr>
          <w:rFonts w:ascii="Arial" w:cs="Arial" w:eastAsia="Arial" w:hAnsi="Arial"/>
          <w:sz w:val="17"/>
          <w:szCs w:val="17"/>
          <w:color w:val="auto"/>
        </w:rPr>
        <w:t>The merger cannot be completed unless the holders of at least a majority of the shares of Cameron common stock outstanding and entitled to vote on the matter at the special meeting vote to approve the proposal to adopt the merger agreement. If you fail to submit a proxy or vote in person at the special meeting, or vote to abstain, or you do not provide your bank, broker, trust company or other nominee with instructions, as applicable, this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to adopt the merger agreement.</w:t>
      </w:r>
    </w:p>
    <w:p>
      <w:pPr>
        <w:spacing w:after="0" w:line="19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13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votes are required to approve each proposal:</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requires the affirmative vote of the holders of a majority of the shares of Cameron common stock outstanding and entitled to vote on such proposal.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approval of the advisory proposal concerning merger-related compensation arrangements for Cameron’s named executive officers requires the affirmative vote of the holders of a majority of the shares of Cameron common stock represented at the special meeting and entitled to vote on such proposal. Shares represented at the meeting and entitled to vote on such proposal include all shares that are voted in person at the meeting or that are represented by valid proxies.</w:t>
      </w:r>
    </w:p>
    <w:p>
      <w:pPr>
        <w:spacing w:after="0" w:line="92"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approval of the proposal to adjourn the special meeting, if necessary, to solicit additional proxies requires the affirmative vote of the holders of a majority of the shares of Cameron common stock represented at the special meeting and entitled to vote on such proposal. Shares represented at the meeting and entitled to vote on such proposal include all shares that are voted in person at the meeting or that are represented by valid proxies.</w:t>
      </w:r>
    </w:p>
    <w:p>
      <w:pPr>
        <w:spacing w:after="0" w:line="20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Cameron board of directors recommend that I vote at the special meeting?</w:t>
      </w:r>
    </w:p>
    <w:p>
      <w:pPr>
        <w:spacing w:after="0" w:line="131" w:lineRule="exact"/>
        <w:rPr>
          <w:sz w:val="20"/>
          <w:szCs w:val="20"/>
          <w:color w:val="auto"/>
        </w:rPr>
      </w:pPr>
    </w:p>
    <w:p>
      <w:pPr>
        <w:ind w:left="460" w:right="260" w:hanging="452"/>
        <w:spacing w:after="0" w:line="26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Cameron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0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135" w:lineRule="exact"/>
        <w:rPr>
          <w:sz w:val="20"/>
          <w:szCs w:val="20"/>
          <w:color w:val="auto"/>
        </w:rPr>
      </w:pPr>
    </w:p>
    <w:p>
      <w:pPr>
        <w:ind w:left="460" w:right="4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Schlumberger US, Rain Merger Sub LLC, Schlumberger and Cameron have agreed to a merger pursuant to which Rain Merger Sub LLC, a wholly-owned subsidiary of Schlumberger US that was formed for the purpose of the merger, will be merged with and into Cameron, with Cameron continuing as the surviving entity, and Schlumberger US acquiring all of the stock of Cameron.</w:t>
      </w:r>
    </w:p>
    <w:p>
      <w:pPr>
        <w:spacing w:after="0" w:line="73"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In the merger, Schlumberger will issue shares of Schlumberger common stock to Schlumberger US, which will deliver those shares and cash as the consideration to be paid to holders of Cameron common stock. Following the merger, Cameron will cease to be a publicly held corporation and will be a wholly-owned subsidiary of Schlumberger US.</w:t>
      </w:r>
    </w:p>
    <w:p>
      <w:pPr>
        <w:spacing w:after="0" w:line="20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135" w:lineRule="exact"/>
        <w:rPr>
          <w:sz w:val="20"/>
          <w:szCs w:val="20"/>
          <w:color w:val="auto"/>
        </w:rPr>
      </w:pPr>
    </w:p>
    <w:p>
      <w:pPr>
        <w:ind w:left="460" w:right="160" w:hanging="452"/>
        <w:spacing w:after="0" w:line="279"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merger is completed, each share of Cameron common stock issued and outstanding immediately prior to the completion of the merger will be canceled and converted automatically into the right to receive 0.716 shares of Schlumberger common stock and $14.44 in cash, without interest. If the aggregate number of shares of Schlumberger common stock that you are entitled to receive as part of the merger consideration includes a fraction of a share of Schlumberger common stock, you will receive cash in lieu of that fractional share.</w:t>
      </w:r>
    </w:p>
    <w:p>
      <w:pPr>
        <w:spacing w:after="0" w:line="19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calculate the value of the merger consideration?</w:t>
      </w:r>
    </w:p>
    <w:p>
      <w:pPr>
        <w:spacing w:after="0" w:line="135" w:lineRule="exact"/>
        <w:rPr>
          <w:sz w:val="20"/>
          <w:szCs w:val="20"/>
          <w:color w:val="auto"/>
        </w:rPr>
      </w:pPr>
    </w:p>
    <w:p>
      <w:pPr>
        <w:ind w:left="460" w:right="10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Schlumberger will pay a fixed amount of cash and issue a fixed number of shares of Schlumberger common stock as part of the merger consideration, the value of the merger consideration will depend in part on the price per share of Schlumberger common stock at the time the merger is completed. That price will not be known at the time of the special meeting and may be greater or less than the current price of Schlumberger common stock or the price of Schlumberger common stock at the time of the special meeting. The market price of Schlumberger common stock will fluctuate prior to the merger, and the market price of Schlumberger common stock when received by Cameron stockholders after the merger is completed could be greater or less than the current market price of Schlumberger common stock. See “Risk Factors” beginning on page 26 of this proxy statement/prospectus.</w:t>
      </w:r>
    </w:p>
    <w:p>
      <w:pPr>
        <w:spacing w:after="0" w:line="81"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Based on the closing price of Schlumberger common stock on the NYSE on August 25, 2015, the last trading day before the public announcement of the merger agreement, the merger consideration represented approximately $66.36 per share of Cameron common stock. Based on the closing price of Schlumberger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common stock on the NYSE on November 10, 2015, the most recent practicable trading day prior to the date of this proxy statement/prospectus, the merger consideration represented approximately $70.84 in value per share of Cameron common stock. We urge you to obtain current market quotations of Cameron common stock and Schlumberger common stock.</w:t>
      </w:r>
    </w:p>
    <w:p>
      <w:pPr>
        <w:spacing w:after="0" w:line="20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w:t>
      </w:r>
    </w:p>
    <w:p>
      <w:pPr>
        <w:spacing w:after="0" w:line="135" w:lineRule="exact"/>
        <w:rPr>
          <w:sz w:val="20"/>
          <w:szCs w:val="20"/>
          <w:color w:val="auto"/>
        </w:rPr>
      </w:pPr>
    </w:p>
    <w:p>
      <w:pPr>
        <w:ind w:left="460" w:right="60" w:hanging="452"/>
        <w:spacing w:after="0" w:line="30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exchange of Cameron common stock for Schlumberger common stock and cash in the merger will be a taxable transaction for U.S. federal income tax purposes. Therefore, a U.S. Holder (as defined below) generally will recognize capital gain or loss equal to the difference, if any, between (1) the sum of the fair market value of Schlumberger common stock and cash received by such U.S. Holder in the merger, including any cash received in lieu of fractional shares of Cameron common stock, and (2) the U.S. Holder’s adjusted tax basis in its Cameron common stock.</w:t>
      </w:r>
    </w:p>
    <w:p>
      <w:pPr>
        <w:spacing w:after="0" w:line="46" w:lineRule="exact"/>
        <w:rPr>
          <w:rFonts w:ascii="Arial" w:cs="Arial" w:eastAsia="Arial" w:hAnsi="Arial"/>
          <w:sz w:val="16"/>
          <w:szCs w:val="16"/>
          <w:color w:val="auto"/>
        </w:rPr>
      </w:pPr>
    </w:p>
    <w:p>
      <w:pPr>
        <w:ind w:left="460" w:right="80"/>
        <w:spacing w:after="0" w:line="264" w:lineRule="auto"/>
        <w:rPr>
          <w:rFonts w:ascii="Arial" w:cs="Arial" w:eastAsia="Arial" w:hAnsi="Arial"/>
          <w:sz w:val="16"/>
          <w:szCs w:val="16"/>
          <w:color w:val="auto"/>
        </w:rPr>
      </w:pPr>
      <w:r>
        <w:rPr>
          <w:rFonts w:ascii="Arial" w:cs="Arial" w:eastAsia="Arial" w:hAnsi="Arial"/>
          <w:sz w:val="18"/>
          <w:szCs w:val="18"/>
          <w:color w:val="auto"/>
        </w:rPr>
        <w:t>Except in certain specific circumstances described in “The Merger—Material U.S. Federal Income Tax Consequences,” a Non-U.S. Holder (as defined below) generally will not be subject to U.S. federal income tax on any gain recognized on the exchange of Cameron common stock for Schlumberger common stock and cash in the merger.</w:t>
      </w:r>
    </w:p>
    <w:p>
      <w:pPr>
        <w:spacing w:after="0" w:line="73" w:lineRule="exact"/>
        <w:rPr>
          <w:rFonts w:ascii="Arial" w:cs="Arial" w:eastAsia="Arial" w:hAnsi="Arial"/>
          <w:sz w:val="16"/>
          <w:szCs w:val="16"/>
          <w:color w:val="auto"/>
        </w:rPr>
      </w:pPr>
    </w:p>
    <w:p>
      <w:pPr>
        <w:ind w:left="460" w:right="40"/>
        <w:spacing w:after="0" w:line="259" w:lineRule="auto"/>
        <w:rPr>
          <w:rFonts w:ascii="Arial" w:cs="Arial" w:eastAsia="Arial" w:hAnsi="Arial"/>
          <w:sz w:val="16"/>
          <w:szCs w:val="16"/>
          <w:color w:val="auto"/>
        </w:rPr>
      </w:pPr>
      <w:r>
        <w:rPr>
          <w:rFonts w:ascii="Arial" w:cs="Arial" w:eastAsia="Arial" w:hAnsi="Arial"/>
          <w:sz w:val="18"/>
          <w:szCs w:val="18"/>
          <w:b w:val="1"/>
          <w:bCs w:val="1"/>
          <w:i w:val="1"/>
          <w:iCs w:val="1"/>
          <w:color w:val="auto"/>
        </w:rPr>
        <w:t>Please refer to “The Merger—Material U.S. Federal Income Tax Consequences” beginning on page 69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21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460" w:right="40" w:hanging="452"/>
        <w:spacing w:after="0" w:line="273"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proposal to adopt the merger agreement is not approved by Cameron stockholders or if the merger is not completed for any other reason, you will not receive any payment for your shares of Cameron common stock in connection with the merger. Instead, Cameron will remain as a public company and Cameron common stock will continue to be registered under the Securities Exchange Act of 1934, as amended, which we refer to as the Exchange Act, and listed and traded on the NYSE. If the merger agreement is terminated under specified circumstances, Cameron may be required to pay Schlumberger US a termination fee of $321 million as described under “The Merger Agreement—Termination, Amendment and Waiver—Fees and Expenses” beginning on page 91 of this proxy statement/prospectus.</w:t>
      </w:r>
    </w:p>
    <w:p>
      <w:pPr>
        <w:spacing w:after="0" w:line="20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Will I receive future dividends?</w:t>
      </w:r>
    </w:p>
    <w:p>
      <w:pPr>
        <w:spacing w:after="0" w:line="135" w:lineRule="exact"/>
        <w:rPr>
          <w:sz w:val="20"/>
          <w:szCs w:val="20"/>
          <w:color w:val="auto"/>
        </w:rPr>
      </w:pPr>
    </w:p>
    <w:p>
      <w:pPr>
        <w:ind w:left="460" w:right="40" w:hanging="452"/>
        <w:spacing w:after="0" w:line="25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Cameron does not pay regular quarterly cash dividends on shares of its common stock, and under the merger agreement Cameron will not be permitted to pay cash dividends. After completion of the merger, you will be entitled to dividends on any shares of Schlumberger common stock you receive in the merger. Although Schlumberger provides no assurances as to the level or payment of any future dividends on shares of its common stock, and Schlumberger’s board of directors has the power to modify its dividend policy at any time, Schlumberger currently pays dividends at a quarterly rate of $0.50 per share of Schlumberger common stock.</w:t>
      </w:r>
    </w:p>
    <w:p>
      <w:pPr>
        <w:spacing w:after="0" w:line="21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 Cameron’s directors and executive officers intend to vote?</w:t>
      </w:r>
    </w:p>
    <w:p>
      <w:pPr>
        <w:spacing w:after="0" w:line="135" w:lineRule="exact"/>
        <w:rPr>
          <w:sz w:val="20"/>
          <w:szCs w:val="20"/>
          <w:color w:val="auto"/>
        </w:rPr>
      </w:pPr>
    </w:p>
    <w:p>
      <w:pPr>
        <w:ind w:left="460" w:hanging="452"/>
        <w:spacing w:after="0" w:line="276"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Cameron’s directors and executive officers have informed us that they intend, as of the date hereof, to vote all of their shares of Cameron common stock in favor of each of the proposals to be considered at the special meeting, although none of them has entered into any agreement obligating them to do so. At the close of business on November 10, 2015, the most recent practical date prior to the date of this proxy statement/prospectus, directors and executive officers of Cameron beneficially owned and were expected to be entitled to vote approximately 2,883,636 shares of Cameron common stock, or approximately 1.5% of the shares of Cameron common stock outstanding on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after the record date but before the special meeting?</w:t>
      </w:r>
    </w:p>
    <w:p>
      <w:pPr>
        <w:spacing w:after="0" w:line="135" w:lineRule="exact"/>
        <w:rPr>
          <w:sz w:val="20"/>
          <w:szCs w:val="20"/>
          <w:color w:val="auto"/>
        </w:rPr>
      </w:pPr>
    </w:p>
    <w:p>
      <w:pPr>
        <w:ind w:left="460" w:hanging="452"/>
        <w:spacing w:after="0" w:line="279"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record date for the special meeting is earlier than the date of the special meeting and the date that the merger is expected to be completed. If you sell or otherwise transfer your shares of Cameron common stock after the record date but before the date of the special meeting, you will retain your right to vote at the special meeting. However, you will not have the right to receive the merger consideration to be received by Cameron stockholders in the merger. In order to receive the merger consideration, you must hold your shares through completion of the merger.</w:t>
      </w:r>
    </w:p>
    <w:p>
      <w:pPr>
        <w:spacing w:after="0" w:line="19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 if I vote against the adoption of the merger agreement?</w:t>
      </w:r>
    </w:p>
    <w:p>
      <w:pPr>
        <w:spacing w:after="0" w:line="135" w:lineRule="exact"/>
        <w:rPr>
          <w:sz w:val="20"/>
          <w:szCs w:val="20"/>
          <w:color w:val="auto"/>
        </w:rPr>
      </w:pPr>
    </w:p>
    <w:p>
      <w:pPr>
        <w:ind w:left="460" w:right="100" w:hanging="452"/>
        <w:spacing w:after="0" w:line="25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Yes. Cameron stockholders are entitled to appraisal rights under Section 262 of the General Corporation Law of the State of Delaware, which we refer to as the DGCL, provided they fully comply with and follow the procedures and satisfy the conditions set forth in Section 262 of the DGCL. For more information regarding appraisal rights, see “The Merger—Appraisal Rights” beginning on page 68 of this proxy statement/prospectus. In addition, a copy of Section 262 of the DGCL is attached as Annex B to this proxy statement/prospectus. Failure to comply with Section 262 of the DGCL will result in your waiver of, or inability to exercise, appraisal rights.</w:t>
      </w:r>
    </w:p>
    <w:p>
      <w:pPr>
        <w:spacing w:after="0" w:line="21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w:t>
      </w:r>
    </w:p>
    <w:p>
      <w:pPr>
        <w:spacing w:after="0" w:line="135" w:lineRule="exact"/>
        <w:rPr>
          <w:sz w:val="20"/>
          <w:szCs w:val="20"/>
          <w:color w:val="auto"/>
        </w:rPr>
      </w:pPr>
    </w:p>
    <w:p>
      <w:pPr>
        <w:ind w:left="46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Yes. In addition to the approval of the proposal to adopt the merger agreement by Cameron stockholders, completion of the merger requires the receipt of the necessary governmental and regulatory approvals and the satisfaction or, to the extent permitted by applicable law, waiver of the other conditions specified in the merger agreement.</w:t>
      </w:r>
    </w:p>
    <w:p>
      <w:pPr>
        <w:spacing w:after="0" w:line="20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Is consummation of the merger contingent upon approval by the holders of Schlumberger common stock?</w:t>
      </w:r>
    </w:p>
    <w:p>
      <w:pPr>
        <w:spacing w:after="0" w:line="13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A vote of holders of Schlumberger’s common stock is not required to consummate the merger.</w:t>
      </w:r>
    </w:p>
    <w:p>
      <w:pPr>
        <w:spacing w:after="0" w:line="24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135" w:lineRule="exact"/>
        <w:rPr>
          <w:sz w:val="20"/>
          <w:szCs w:val="20"/>
          <w:color w:val="auto"/>
        </w:rPr>
      </w:pPr>
    </w:p>
    <w:p>
      <w:pPr>
        <w:ind w:left="460" w:right="1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Cameron and Schlumberger are working to complete the merger as promptly as practicable. Cameron and Schlumberger currently expect to complete the merger in the first quarter of 2016, subject to receipt of Cameron’s stockholder approval of the proposal to adopt the merger agreement, governmental and regulatory approvals and other usual and customary closing conditions. However, no assurance can be given as to when, or if, the merger will occur.</w:t>
      </w:r>
    </w:p>
    <w:p>
      <w:pPr>
        <w:spacing w:after="0" w:line="210" w:lineRule="exact"/>
        <w:rPr>
          <w:sz w:val="20"/>
          <w:szCs w:val="20"/>
          <w:color w:val="auto"/>
        </w:rPr>
      </w:pPr>
    </w:p>
    <w:p>
      <w:pPr>
        <w:ind w:left="460" w:right="100" w:hanging="452"/>
        <w:spacing w:after="0" w:line="282" w:lineRule="auto"/>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vote on a proposal, by non-binding, advisory vote, concerning compensation that may become payable to Cameron’s named executive officers in connection with the merger?</w:t>
      </w:r>
    </w:p>
    <w:p>
      <w:pPr>
        <w:spacing w:after="0" w:line="71" w:lineRule="exact"/>
        <w:rPr>
          <w:sz w:val="20"/>
          <w:szCs w:val="20"/>
          <w:color w:val="auto"/>
        </w:rPr>
      </w:pPr>
    </w:p>
    <w:p>
      <w:pPr>
        <w:ind w:left="460" w:right="74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SEC rules, Cameron is required to seek a non-binding, advisory vote with respect to certain compensation that may become payable to Cameron’s named executive officers in connection with the merger.</w:t>
      </w:r>
    </w:p>
    <w:p>
      <w:pPr>
        <w:spacing w:after="0" w:line="193" w:lineRule="exact"/>
        <w:rPr>
          <w:sz w:val="20"/>
          <w:szCs w:val="20"/>
          <w:color w:val="auto"/>
        </w:rPr>
      </w:pPr>
    </w:p>
    <w:p>
      <w:pPr>
        <w:ind w:left="460" w:right="240" w:hanging="452"/>
        <w:spacing w:after="0" w:line="282" w:lineRule="auto"/>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Cameron stockholders do not approve the merger-related compensation arrangements for Cameron’s named executive officers?</w:t>
      </w:r>
    </w:p>
    <w:p>
      <w:pPr>
        <w:spacing w:after="0" w:line="71" w:lineRule="exact"/>
        <w:rPr>
          <w:sz w:val="20"/>
          <w:szCs w:val="20"/>
          <w:color w:val="auto"/>
        </w:rPr>
      </w:pPr>
    </w:p>
    <w:p>
      <w:pPr>
        <w:ind w:left="460" w:right="14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Approval of the compensation that may become payable to Cameron’s named executive officers that is based on, or otherwise relates to, the merger is not a condition to completion of the merger. Accordingly, you may vote not to approve the proposal concerning the merger-related compensation arrangements for Cameron’s named executive officers and vote to approve the proposal to adopt the merger agreement. The vote on the proposal concerning the merger-related compensation arrangements for Cameron’s named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executive officers is an advisory vote and will not be binding on Cameron or the surviving corporation in the merger. If the merger is completed, because Cameron is contractually obligated to pay such compensation, the compensation will be payable, subject only to the contractual conditions applicable to such compensation payments, regardless of the outcome of the advisory vote.</w:t>
      </w:r>
    </w:p>
    <w:p>
      <w:pPr>
        <w:spacing w:after="0" w:line="20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135" w:lineRule="exact"/>
        <w:rPr>
          <w:sz w:val="20"/>
          <w:szCs w:val="20"/>
          <w:color w:val="auto"/>
        </w:rPr>
      </w:pPr>
    </w:p>
    <w:p>
      <w:pPr>
        <w:ind w:left="460" w:right="140" w:hanging="452"/>
        <w:spacing w:after="0" w:line="293"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Cameron stockholders should not send in their stock certificates at this time. At the effective time of the merger, your shares of Cameron common stock will be converted automatically into the right to receive the merger consideration. After completion of the merger, Schlumberger US’s exchange agent will send you a letter of transmittal and instructions for exchanging your shares of Cameron common stock for the merger consideration. Upon surrender of the certificates or book-entry shares for cancellation along with the executed letter of transmittal and other documents, a Cameron stockholder will receive the merger consideration and any unpaid dividends and distributions declared and paid in respect of Schlumberger common stock after completion of the merger. The shares of Schlumberger common stock you receive in the merger will be issued in book-entry form.</w:t>
      </w:r>
    </w:p>
    <w:p>
      <w:pPr>
        <w:spacing w:after="0" w:line="18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outstanding Cameron equity compensation awards in the merger?</w:t>
      </w:r>
    </w:p>
    <w:p>
      <w:pPr>
        <w:spacing w:after="0" w:line="135" w:lineRule="exact"/>
        <w:rPr>
          <w:sz w:val="20"/>
          <w:szCs w:val="20"/>
          <w:color w:val="auto"/>
        </w:rPr>
      </w:pPr>
    </w:p>
    <w:p>
      <w:pPr>
        <w:ind w:left="460" w:right="32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information regarding the treatment of Cameron’s equity awards, please see the section of this proxy statement/prospectus entitled “The Merger Agreement—Treatment of Equity Awards” beginning on page 77 of this proxy statement/prospectus.</w:t>
      </w:r>
    </w:p>
    <w:p>
      <w:pPr>
        <w:spacing w:after="0" w:line="193"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participate in the Cameron and OneSubsea Retirement Savings Plans?</w:t>
      </w:r>
    </w:p>
    <w:p>
      <w:pPr>
        <w:spacing w:after="0" w:line="135" w:lineRule="exact"/>
        <w:rPr>
          <w:sz w:val="20"/>
          <w:szCs w:val="20"/>
          <w:color w:val="auto"/>
        </w:rPr>
      </w:pPr>
    </w:p>
    <w:p>
      <w:pPr>
        <w:ind w:left="460" w:right="20" w:hanging="452"/>
        <w:spacing w:after="0" w:line="25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common stock held in our Retirement Savings Plans are held of record and are voted by the trustee of the Retirement Savings Plans at the direction of Retirement Savings Plan participants. Participants in the Retirement Savings Plans will be provided with a full paper set of proxy materials. Participants in the Retirement Savings Plans may direct the trustee of the plans as to how to vote shares allocated to their Retirement Savings Plan accounts. If you do not provide voting instructions, the trustee will vote shares allocated to your plan account in the same proportion as those votes cast by plan participants submitting voting instructions considered as a group.</w:t>
      </w:r>
    </w:p>
    <w:p>
      <w:pPr>
        <w:spacing w:after="0" w:line="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cutoff date for voting for participants in the Retirement Savings Plans is December 15, 2015.</w:t>
      </w:r>
    </w:p>
    <w:p>
      <w:pPr>
        <w:spacing w:after="0" w:line="24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 be held?</w:t>
      </w:r>
    </w:p>
    <w:p>
      <w:pPr>
        <w:spacing w:after="0" w:line="135" w:lineRule="exact"/>
        <w:rPr>
          <w:sz w:val="20"/>
          <w:szCs w:val="20"/>
          <w:color w:val="auto"/>
        </w:rPr>
      </w:pPr>
    </w:p>
    <w:p>
      <w:pPr>
        <w:ind w:left="460" w:right="10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special meeting will be held on Thursday, December 17, 2015, at Cameron’s corporate headquarters, 1333 West Loop South, Suite 1700, Houston, Texas 77027, commencing at 10:00 a.m. local time.</w:t>
      </w:r>
    </w:p>
    <w:p>
      <w:pPr>
        <w:spacing w:after="0" w:line="19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w:t>
      </w:r>
    </w:p>
    <w:p>
      <w:pPr>
        <w:spacing w:after="0" w:line="135" w:lineRule="exact"/>
        <w:rPr>
          <w:sz w:val="20"/>
          <w:szCs w:val="20"/>
          <w:color w:val="auto"/>
        </w:rPr>
      </w:pPr>
    </w:p>
    <w:p>
      <w:pPr>
        <w:ind w:left="460" w:right="4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are entitled to vote your shares of Cameron common stock if you are a stockholder of record as of the close of business on November 16, 2015, the record date for the special meeting.</w:t>
      </w:r>
    </w:p>
    <w:p>
      <w:pPr>
        <w:spacing w:after="0" w:line="19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46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are entitled to one vote for each share of Cameron common stock that you owned as of the close of business on the record date. The enclosed proxy card shows the number of shares that you are entitled to vote. As of the close of business on November 10, 2015, there were 191,115,313 outstanding shares of Cameron common stock.</w:t>
      </w:r>
    </w:p>
    <w:p>
      <w:pPr>
        <w:spacing w:after="0" w:line="20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35" w:lineRule="exact"/>
        <w:rPr>
          <w:sz w:val="20"/>
          <w:szCs w:val="20"/>
          <w:color w:val="auto"/>
        </w:rPr>
      </w:pPr>
    </w:p>
    <w:p>
      <w:pPr>
        <w:ind w:left="460" w:right="42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your shares of Cameron common stock are registered directly in your name with the transfer agent of Cameron, Computershare Trust Company, N.A., you are considered the stockholder of record with respect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to those shares. As the stockholder of record, you have the right to vote, or to grant a proxy for your vote directly to Cameron or to a third party to vote, at the special meeting.</w:t>
      </w:r>
    </w:p>
    <w:p>
      <w:pPr>
        <w:spacing w:after="0" w:line="62"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If your shares are held by a bank, broker, trust company or other nominee, you are considered the beneficial owner of shares held in “street name,” and your bank, broker, trust company or other nominee is considered the stockholder of record with respect to those shares. Your bank, broker, trust company or other nominee will send you, as the beneficial owner, a package describing the procedure for voting your shares. You should follow the instructions provided by them to vote your shares. You are invited to attend the special meeting; however, you may not vote these shares in person at the special meeting unless you obtain a “legal proxy” from your bank, broker, trust company or other nominee that holds your shares, giving you the right to vote the shares at the special meeting.</w:t>
      </w:r>
    </w:p>
    <w:p>
      <w:pPr>
        <w:spacing w:after="0" w:line="21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460" w:right="140" w:hanging="452"/>
        <w:spacing w:after="0" w:line="25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Registered stockholders may vote in person by attending the special meeting, or by telephone, Internet or mail. If you are voting by mail, please sign, date and return the enclosed proxy card. If you are voting by telephone or Internet, please follow the instructions on the enclosed proxy card. Whether or not you plan to attend the special meeting, we encourage you to vote by proxy as soon as possible. If your shares are held in the name of a bank, broker, trust company or other nominee, follow the instructions you receive from your nominee on how to vote your shares. If you hold your shares in more than one type of account or your shares are registered differently, you may receive more than one proxy card. We encourage you to vote each proxy card that you receive.</w:t>
      </w:r>
    </w:p>
    <w:p>
      <w:pPr>
        <w:spacing w:after="0" w:line="85"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If you choose to attend the special meeting in person, a government-issued picture identification will be required to enter the special meeting. If you are the representative of a corporate or institutional 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19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w:t>
      </w:r>
    </w:p>
    <w:p>
      <w:pPr>
        <w:spacing w:after="0" w:line="135" w:lineRule="exact"/>
        <w:rPr>
          <w:sz w:val="20"/>
          <w:szCs w:val="20"/>
          <w:color w:val="auto"/>
        </w:rPr>
      </w:pPr>
    </w:p>
    <w:p>
      <w:pPr>
        <w:ind w:left="460" w:right="260" w:hanging="452"/>
        <w:spacing w:after="0" w:line="27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 vote by proxy, the individuals named on the proxy card (your proxies) will vote your shares in the manner you indicate. You may also specify whether you approve, disapprove or abstain from the other proposals.</w:t>
      </w:r>
    </w:p>
    <w:p>
      <w:pPr>
        <w:spacing w:after="0" w:line="58" w:lineRule="exact"/>
        <w:rPr>
          <w:rFonts w:ascii="Arial" w:cs="Arial" w:eastAsia="Arial" w:hAnsi="Arial"/>
          <w:sz w:val="18"/>
          <w:szCs w:val="18"/>
          <w:color w:val="auto"/>
        </w:rPr>
      </w:pPr>
    </w:p>
    <w:p>
      <w:pPr>
        <w:ind w:left="460" w:right="1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If you sign and return your proxy card without indicating your voting instructions,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0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by a broker?</w:t>
      </w:r>
    </w:p>
    <w:p>
      <w:pPr>
        <w:spacing w:after="0" w:line="135" w:lineRule="exact"/>
        <w:rPr>
          <w:sz w:val="20"/>
          <w:szCs w:val="20"/>
          <w:color w:val="auto"/>
        </w:rPr>
      </w:pPr>
    </w:p>
    <w:p>
      <w:pPr>
        <w:ind w:left="460" w:right="140" w:hanging="452"/>
        <w:spacing w:after="0" w:line="30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your shares of Cameron common stock are held by a bank, broker, trust company or other nominee (that is, in “street name”), you must provide the record holder of your shares with instructions on how to vote your shares. Please follow the voting instructions provided by your bank, broker, trust company or other nominee. Please note that you may not vote shares held in “street name” by returning a proxy card directly to Cameron or by voting in person at the special meeting unless you provide a “legal proxy,” which you must obtain from your bank, broker, trust company or other nominee.</w:t>
      </w:r>
    </w:p>
    <w:p>
      <w:pPr>
        <w:spacing w:after="0" w:line="46" w:lineRule="exact"/>
        <w:rPr>
          <w:rFonts w:ascii="Arial" w:cs="Arial" w:eastAsia="Arial" w:hAnsi="Arial"/>
          <w:sz w:val="16"/>
          <w:szCs w:val="16"/>
          <w:color w:val="auto"/>
        </w:rPr>
      </w:pPr>
    </w:p>
    <w:p>
      <w:pPr>
        <w:ind w:left="460" w:right="40"/>
        <w:spacing w:after="0" w:line="259" w:lineRule="auto"/>
        <w:rPr>
          <w:rFonts w:ascii="Arial" w:cs="Arial" w:eastAsia="Arial" w:hAnsi="Arial"/>
          <w:sz w:val="16"/>
          <w:szCs w:val="16"/>
          <w:color w:val="auto"/>
        </w:rPr>
      </w:pPr>
      <w:r>
        <w:rPr>
          <w:rFonts w:ascii="Arial" w:cs="Arial" w:eastAsia="Arial" w:hAnsi="Arial"/>
          <w:sz w:val="18"/>
          <w:szCs w:val="18"/>
          <w:color w:val="auto"/>
        </w:rPr>
        <w:t>If you do not instruct your bank, broker, trust company or other nominee on how to vote your shares, your nominee may not vote your shares on (1) the proposal to adopt the merger agreement (which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adoption of the merger agreement), (2) the advisory proposal concerning merger-related compensation arrangements for Cameron’s named executive officers (which will have no effect on the outcome of such proposal, assuming a quorum is present) or (3) the proposal to adjourn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special meeting, if necessary, to solicit additional proxies (which will have no effect on the outcome of such proposal). We refer to instances where a nominee holds shares for a beneficial owner but cannot vote on a proposal because the nominee does not have the discretionary power to do so and has not received instructions from the beneficial owner as “broker non-votes.”</w:t>
      </w:r>
    </w:p>
    <w:p>
      <w:pPr>
        <w:spacing w:after="0" w:line="20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May I revoke or change my vote?</w:t>
      </w:r>
    </w:p>
    <w:p>
      <w:pPr>
        <w:spacing w:after="0" w:line="13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Yes. You may revoke or change your proxy at any time prior to a vote at the special meeting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notifying Cameron’s Corporate Secretary in writing;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signing and returning a proxy card with a later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subsequently voting by Internet or telephone;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attending the special meeting and revoking the proxy.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Written notices of revocation and other communications with respect to the revocation of proxies should be addressed as follows: Cameron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Corporation, Attention: Corporate Secretary, 1333 West Loop South, Suite 1700, Houston, Texas 77027.</w:t>
      </w:r>
    </w:p>
    <w:p>
      <w:pPr>
        <w:spacing w:after="0" w:line="103"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Attendance at the Cameron special meeting will not by itself revoke a previously granted proxy. If you hold your shares in “street name” and you wish to change your vote at the Cameron special meeting, you will need to obtain a “legal proxy” from the broker or nominee that holds your shares.</w:t>
      </w:r>
    </w:p>
    <w:p>
      <w:pPr>
        <w:spacing w:after="0" w:line="147"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460" w:hanging="452"/>
        <w:spacing w:after="0" w:line="25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majority of the shares of Cameron common stock issued and outstanding as of the close of business on the record date and entitled to vote, present in person or represented by proxy, at the special meeting will constitute a quorum for the special meeting. If you have returned valid proxy instructions or attend the meeting in person and are entitled to vote your shares at the meeting, your Cameron common stock will be counted for the purpose of determining whether there is a quorum, even if you wish to abstain from voting on some or all matters introduced at the meeting. “Broker non-votes” are not counted for quorum purposes unless the nominee has been instructed to vote on at least one of the proposals presented in this proxy statement/prospectus.</w:t>
      </w:r>
    </w:p>
    <w:p>
      <w:pPr>
        <w:spacing w:after="0" w:line="216"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35" w:lineRule="exact"/>
        <w:rPr>
          <w:sz w:val="20"/>
          <w:szCs w:val="20"/>
          <w:color w:val="auto"/>
        </w:rPr>
      </w:pPr>
    </w:p>
    <w:p>
      <w:pPr>
        <w:ind w:left="460" w:right="6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you are a holder of record and you sign and return your proxy card without indicating how to vote on any particular proposal, the Cameron common stock represented by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1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135" w:lineRule="exact"/>
        <w:rPr>
          <w:sz w:val="20"/>
          <w:szCs w:val="20"/>
          <w:color w:val="auto"/>
        </w:rPr>
      </w:pPr>
    </w:p>
    <w:p>
      <w:pPr>
        <w:ind w:left="460" w:right="260" w:hanging="452"/>
        <w:spacing w:after="0" w:line="27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you fail to vote, fail to instruct your bank, broker, trust company or other nominee to vote, or vote to abstain, it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62"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If you fail to vote, fail to instruct your bank, broker, trust company or other nominee to vote, it will have no effect on the advisory proposal concerning merger-related compensation arrangements for Cameron’s named executive officers, assuming that a quorum is present, or the proposal to adjourn the special meeting, if necessary, to solicit additional proxies. A vote to abstain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advisory proposal concerning merger-related compensation arrangements for Cameron’s named executive officers and the proposal to adjourn the special meeting, if necessary, to solicit additional proxies.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acted upon at the meeting?</w:t>
      </w:r>
    </w:p>
    <w:p>
      <w:pPr>
        <w:spacing w:after="0" w:line="13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do not know of any other matters that will be presented at the special meeting, other than those mentioned in this proxy statement/prospectus.</w:t>
      </w:r>
    </w:p>
    <w:p>
      <w:pPr>
        <w:spacing w:after="0" w:line="271"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Who pays the cost of this proxy solicitation?</w:t>
      </w:r>
    </w:p>
    <w:p>
      <w:pPr>
        <w:spacing w:after="0" w:line="135" w:lineRule="exact"/>
        <w:rPr>
          <w:sz w:val="20"/>
          <w:szCs w:val="20"/>
          <w:color w:val="auto"/>
        </w:rPr>
      </w:pPr>
    </w:p>
    <w:p>
      <w:pPr>
        <w:ind w:left="460" w:right="22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Cameron will pay the cost of solicitation of proxies, including preparing, printing and mailing this proxy statement/prospectus. Cameron has retained D.F. King &amp; Co., Inc. to help in soliciting proxies for a fee not to exceed $12,500, plus reimbursement for out-of-pocket expenses. Cameron will also reimburse brokers, banks or other custodians, nominees and fiduciaries for their charges and expenses in forwarding proxy materials to beneficial owners.</w:t>
      </w:r>
    </w:p>
    <w:p>
      <w:pPr>
        <w:spacing w:after="0" w:line="21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special meeting?</w:t>
      </w:r>
    </w:p>
    <w:p>
      <w:pPr>
        <w:spacing w:after="0" w:line="135" w:lineRule="exact"/>
        <w:rPr>
          <w:sz w:val="20"/>
          <w:szCs w:val="20"/>
          <w:color w:val="auto"/>
        </w:rPr>
      </w:pPr>
    </w:p>
    <w:p>
      <w:pPr>
        <w:ind w:left="460" w:right="8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Holders of record of Cameron common stock as of the close of business on November 16, 2015 may attend the special meeting. For a period of at least 10 days prior to the special meeting, a complete list of stockholders entitled to vote at the special meeting will be open to examination by any Cameron stockholder during ordinary business hours at the Office of the Corporate Secretary at Cameron’s corporate offices at 1333 West Loop South, Suite 1700, Houston, Texas 77027.</w:t>
      </w:r>
    </w:p>
    <w:p>
      <w:pPr>
        <w:spacing w:after="0" w:line="21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receive more than one set of voting materials?</w:t>
      </w:r>
    </w:p>
    <w:p>
      <w:pPr>
        <w:spacing w:after="0" w:line="135" w:lineRule="exact"/>
        <w:rPr>
          <w:sz w:val="20"/>
          <w:szCs w:val="20"/>
          <w:color w:val="auto"/>
        </w:rPr>
      </w:pPr>
    </w:p>
    <w:p>
      <w:pPr>
        <w:ind w:left="460" w:right="20" w:hanging="452"/>
        <w:spacing w:after="0" w:line="279"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You may receive more than one set of voting materials for the special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19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Who is the inspector of election?</w:t>
      </w:r>
    </w:p>
    <w:p>
      <w:pPr>
        <w:spacing w:after="0" w:line="135" w:lineRule="exact"/>
        <w:rPr>
          <w:sz w:val="20"/>
          <w:szCs w:val="20"/>
          <w:color w:val="auto"/>
        </w:rPr>
      </w:pPr>
    </w:p>
    <w:p>
      <w:pPr>
        <w:ind w:left="460" w:right="10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Cameron board of directors has appointed a representative of Computershare Trust Company, N.A. to act as the inspector of election at the special meeting.</w:t>
      </w:r>
    </w:p>
    <w:p>
      <w:pPr>
        <w:spacing w:after="0" w:line="19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135" w:lineRule="exact"/>
        <w:rPr>
          <w:sz w:val="20"/>
          <w:szCs w:val="20"/>
          <w:color w:val="auto"/>
        </w:rPr>
      </w:pPr>
    </w:p>
    <w:p>
      <w:pPr>
        <w:ind w:left="460" w:hanging="452"/>
        <w:spacing w:after="0" w:line="277"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preliminary voting results will be announced at the special meeting. In addition, within four business days following certification of the final voting results, Cameron intends to file the final voting results with the SEC on Form 8-K.</w:t>
      </w:r>
    </w:p>
    <w:p>
      <w:pPr>
        <w:spacing w:after="0" w:line="19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in the merger that I should consider?</w:t>
      </w:r>
    </w:p>
    <w:p>
      <w:pPr>
        <w:spacing w:after="0" w:line="135" w:lineRule="exact"/>
        <w:rPr>
          <w:sz w:val="20"/>
          <w:szCs w:val="20"/>
          <w:color w:val="auto"/>
        </w:rPr>
      </w:pPr>
    </w:p>
    <w:p>
      <w:pPr>
        <w:ind w:left="460" w:right="10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Yes. There are risks associated with all business combinations, including the merger. These risks are discussed in more detail in the section titled “Risk Factors” beginning on page 26 of this proxy statement/prospectus.</w:t>
      </w:r>
    </w:p>
    <w:p>
      <w:pPr>
        <w:spacing w:after="0" w:line="193"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460" w:right="38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Then, please vote your shares of Cameron common stock, which you may do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completing, dating, signing and returning the enclosed proxy card in the accompanying postage-paid envelope;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submitting your proxy by telephone or via the Internet by following the instructions included on your proxy card;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attending the special meeting and voting by ballot in person.</w:t>
      </w:r>
    </w:p>
    <w:p>
      <w:pPr>
        <w:spacing w:after="0" w:line="11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If your shares are held in the name of a bank, broker, trust company or other nominee, please instruct your nominee to vote your shares by following the instructions you receive from your nominee.</w:t>
      </w:r>
    </w:p>
    <w:p>
      <w:pPr>
        <w:spacing w:after="0" w:line="19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the parties to the merger?</w:t>
      </w:r>
    </w:p>
    <w:p>
      <w:pPr>
        <w:spacing w:after="0" w:line="135" w:lineRule="exact"/>
        <w:rPr>
          <w:sz w:val="20"/>
          <w:szCs w:val="20"/>
          <w:color w:val="auto"/>
        </w:rPr>
      </w:pPr>
    </w:p>
    <w:p>
      <w:pPr>
        <w:ind w:left="460" w:right="480" w:hanging="452"/>
        <w:spacing w:after="0" w:line="342"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You can find more information about Cameron and Schlumberger from the various sources described in the sections titled “The Companies” and “Where You Can Find More Information” beginning on pages 36 and 128 of this proxy statement/prospectus, respectively.</w:t>
      </w:r>
    </w:p>
    <w:p>
      <w:pPr>
        <w:spacing w:after="0" w:line="147"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135" w:lineRule="exact"/>
        <w:rPr>
          <w:sz w:val="20"/>
          <w:szCs w:val="20"/>
          <w:color w:val="auto"/>
        </w:rPr>
      </w:pPr>
    </w:p>
    <w:p>
      <w:pPr>
        <w:ind w:left="460" w:hanging="452"/>
        <w:spacing w:after="0" w:line="277"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Cameron stockholders who have questions about the merger or the other matters to be voted on at the special meeting or desire additional copies of this document or additional proxy cards should contact: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Banks and Brokers Call Collect: (212) 493-3910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All Others Please Call Toll-Free: (866) 751-6312</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in this proxy statement/prospectus with respect to the merger and the merger agreement and may not contain all of the information that is important to you. To understand the merger and the merger agreement fully and for a more complete description of the legal terms of the merger agreement, you should carefully read this entire proxy statement/prospectus and the documents to which Schlumberger and Cameron refer you. A copy of the merger agreement is attached as Annex A to this proxy statement/prospectus and is incorporated by reference into this proxy statement/prospectus. See “Where You Can Find More Information” beginning on page 128 of this proxy statement/prospectus. Schlumberger and Cameron have included in this summary references to other portions of this proxy statement/prospectus to direct you to a more complete description of the topics presented, which you should review carefully in their entirety.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(page 36)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Cameron International Corporation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Founded in 1920, Cameron is a leading provider of flow equipment products, systems and services to worldwide oil and gas industries.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Cameron’s common stock is listed on the NYSE, where it is traded under the symbol “CAM.”</w:t>
      </w:r>
    </w:p>
    <w:p>
      <w:pPr>
        <w:spacing w:after="0" w:line="225"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Cameron was incorporated in the state of Delaware in November 1994. Cameron’s executive offices are headquartered at 1333 West Loop South, Suite 1700, Houston, Texas 77027, and its telephone number is (713) 513-3300.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117" w:lineRule="exact"/>
        <w:rPr>
          <w:sz w:val="20"/>
          <w:szCs w:val="20"/>
          <w:color w:val="auto"/>
        </w:rPr>
      </w:pPr>
    </w:p>
    <w:p>
      <w:pPr>
        <w:ind w:left="200" w:right="120" w:firstLine="443"/>
        <w:spacing w:after="0" w:line="308" w:lineRule="auto"/>
        <w:rPr>
          <w:sz w:val="20"/>
          <w:szCs w:val="20"/>
          <w:color w:val="auto"/>
        </w:rPr>
      </w:pPr>
      <w:r>
        <w:rPr>
          <w:rFonts w:ascii="Arial" w:cs="Arial" w:eastAsia="Arial" w:hAnsi="Arial"/>
          <w:sz w:val="17"/>
          <w:szCs w:val="17"/>
          <w:color w:val="auto"/>
        </w:rPr>
        <w:t>Founded in 1926, Schlumberger Limited (Schlumberger N.V.), which we refer to as Schlumberger, is the world’s leading supplier of technology, integrated project management and information solutions to the international oil and gas exploration and production industry.</w:t>
      </w:r>
    </w:p>
    <w:p>
      <w:pPr>
        <w:spacing w:after="0" w:line="147"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London and SIX Swiss stock exchanges.</w:t>
      </w:r>
    </w:p>
    <w:p>
      <w:pPr>
        <w:spacing w:after="0" w:line="170"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color w:val="auto"/>
        </w:rPr>
        <w:t>Schlumberger has principal executive offices in Paris, Houston, London and The Hague. Its principal executive offices in the United States are located at 5599 San Felipe, 17th Floor, Houston, Texas 77056, and its telephone number is (713) 513-2000.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Holdings Corporation</w:t>
      </w:r>
    </w:p>
    <w:p>
      <w:pPr>
        <w:spacing w:after="0" w:line="117"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Formed in 2010, Schlumberger Holdings Corporation, which we refer to as Schlumberger US, is a Delaware corporation and an indirect wholly-owned subsidiary of Schlumberger. Schlumberger US is the parent company of Schlumberger’s U.S. subsidiaries that conduct Schlumberger’s U.S.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Schlumberger US’s executive offices are located at 300 Schlumberger Drive, Sugar Land, Texas 77478, and its telephone number is (713) 513-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2000.</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Rain Merger Sub LLC</w:t>
      </w:r>
    </w:p>
    <w:p>
      <w:pPr>
        <w:spacing w:after="0" w:line="117"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Rain Merger Sub LLC, which we refer to as Merger Sub, is a Delaware limited liability company and a direct wholly-owned subsidiary of Schlumberger US. Merger Sub was formed solely for the purpose of participating in the merger and has conducted no activities other than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Merger Agreement (page 76)</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 xml:space="preserve">Schlumberger US, Merger Sub, Schlumberger and Cameron have entered into an Agreement and Plan of Merger dated as of August 25, 2015, which, as it may be amended from time to time, we refer to as the merger agreement. Subject to the terms and conditions of the merger agreement and in accordance with Delaware law, Merger Sub will be merged with and into Cameron, with Cameron continuing as the surviving corporation. Upon completion of this transaction, which we refer to as the merger, Cameron will be a wholly-owned subsidiary of Schlumberger US, and Cameron common stock will no longer be publicly traded. A copy of the merger agreement is attached as Annex A to this proxy statement/prospectus. </w:t>
      </w:r>
      <w:r>
        <w:rPr>
          <w:rFonts w:ascii="Arial" w:cs="Arial" w:eastAsia="Arial" w:hAnsi="Arial"/>
          <w:sz w:val="17"/>
          <w:szCs w:val="17"/>
          <w:b w:val="1"/>
          <w:bCs w:val="1"/>
          <w:color w:val="auto"/>
        </w:rPr>
        <w:t>You should read the</w:t>
      </w:r>
      <w:r>
        <w:rPr>
          <w:rFonts w:ascii="Arial" w:cs="Arial" w:eastAsia="Arial" w:hAnsi="Arial"/>
          <w:sz w:val="17"/>
          <w:szCs w:val="17"/>
          <w:color w:val="auto"/>
        </w:rPr>
        <w:t xml:space="preserve"> </w:t>
      </w:r>
      <w:r>
        <w:rPr>
          <w:rFonts w:ascii="Arial" w:cs="Arial" w:eastAsia="Arial" w:hAnsi="Arial"/>
          <w:sz w:val="17"/>
          <w:szCs w:val="17"/>
          <w:b w:val="1"/>
          <w:bCs w:val="1"/>
          <w:color w:val="auto"/>
        </w:rPr>
        <w:t>entire merger agreement carefully before making any decisions regarding the merger, including approval of the proposal to adopt the merger agreement, because it is the legal document that governs the merger.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Merger Consideration (page 77)</w:t>
      </w:r>
    </w:p>
    <w:p>
      <w:pPr>
        <w:spacing w:after="0" w:line="117"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If the merger is completed, each share of Cameron common stock issued and outstanding immediately prior to the effective time will be converted into the right to receive 0.716 shares of Schlumberger common stock and $14.44 in cash, without interest. The number of shares of Schlumberger common stock delivered in respect of each share of Cameron common stock in the merger is referred to as the exchange ratio, and the amount of cash delivered in respect of each share of Cameron common stock in the merger is referred to as the per share cash amount. Schlumberger US will not deliver any fractional shares of Schlumberger common stock in the merger. Instead, the total number of shares of Schlumberger common stock that each Cameron stockholder will receive in the merger will be rounded down to the nearest whole number, and each Cameron stockholder will receive cash, without interest, for any fractional shares of Schlumberger common stock that he or she would otherwise receive in the merger. The amount of cash for fractional shares will be calculated by multiplying the fraction of a share of Schlumberger common stock that the Cameron stockholder would otherwise be entitled to receive in the merger by the closing sale price of a share of Schlumberger common stock on the business day immediately preceding the completion of the merger. The Schlumberger common stock issuable based on the exchange ratio, the cash payable based on the per share cash amount and any cash payable in lieu of fractional shares are collectively referred to as the merger consideration.</w:t>
      </w:r>
    </w:p>
    <w:p>
      <w:pPr>
        <w:spacing w:after="0" w:line="173" w:lineRule="exact"/>
        <w:rPr>
          <w:sz w:val="20"/>
          <w:szCs w:val="20"/>
          <w:color w:val="auto"/>
        </w:rPr>
      </w:pPr>
    </w:p>
    <w:p>
      <w:pPr>
        <w:ind w:left="200" w:right="180" w:firstLine="443"/>
        <w:spacing w:after="0" w:line="312" w:lineRule="auto"/>
        <w:rPr>
          <w:sz w:val="20"/>
          <w:szCs w:val="20"/>
          <w:color w:val="auto"/>
        </w:rPr>
      </w:pPr>
      <w:r>
        <w:rPr>
          <w:rFonts w:ascii="Arial" w:cs="Arial" w:eastAsia="Arial" w:hAnsi="Arial"/>
          <w:sz w:val="16"/>
          <w:szCs w:val="16"/>
          <w:i w:val="1"/>
          <w:iCs w:val="1"/>
          <w:color w:val="auto"/>
        </w:rPr>
        <w:t>Example: If you currently own 100 shares of Cameron common stock, you will be entitled to receive 71 shares of Schlumberger common stock based on the exchange ratio, $1,440 in cash based on the per share cash amount and cash for the market value of 0.6 shares of Schlumberger common stock at the closing sale price of a share of Schlumberger common stock on the business day immediately preceding the completion of the merger.</w:t>
      </w:r>
    </w:p>
    <w:p>
      <w:pPr>
        <w:spacing w:after="0" w:line="14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exchange ratio and the per share cash amount are fixed, which means that they will not change between now and the date of the merger, regardless of whether the market price of either Schlumberger or Cameron common stock changes. Therefore, the value of the merger consideration will depend in part on the market price of Schlumberger common stock at the time Cameron stockholders receive Schlumberger common stock in the merger. The market price of Schlumberger common stock will fluctuate prior to the merger, and the market price of Schlumberger common stock when received by Cameron stockholders in connection with the merger could be greater or less than the current market price of Schlumberger common stock.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47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247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Cameron Stockholders (page 37)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w:t>
      </w:r>
    </w:p>
    <w:p>
      <w:pPr>
        <w:spacing w:after="0" w:line="11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The Cameron special meeting will be held on Thursday, December 17, 2015, at Cameron’s corporate headquarters, 1333 West Loop South, Suite 1700, Houston, Texas 77027, commencing at 10:00 a.m. local time. At the Cameron special meeting, Cameron stockholders will be asked to vote on the following proposals:</w:t>
      </w:r>
    </w:p>
    <w:p>
      <w:pPr>
        <w:spacing w:after="0" w:line="87" w:lineRule="exact"/>
        <w:rPr>
          <w:sz w:val="20"/>
          <w:szCs w:val="20"/>
          <w:color w:val="auto"/>
        </w:rPr>
      </w:pPr>
    </w:p>
    <w:p>
      <w:pPr>
        <w:ind w:left="1060" w:hanging="431"/>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130"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approve by non-binding, advisory vote, the compensation that may become payable to Cameron’s named executive officers in connection with the merger; and</w:t>
      </w:r>
    </w:p>
    <w:p>
      <w:pPr>
        <w:spacing w:after="0" w:line="75" w:lineRule="exact"/>
        <w:rPr>
          <w:rFonts w:ascii="Arial" w:cs="Arial" w:eastAsia="Arial" w:hAnsi="Arial"/>
          <w:sz w:val="18"/>
          <w:szCs w:val="18"/>
          <w:color w:val="auto"/>
        </w:rPr>
      </w:pPr>
    </w:p>
    <w:p>
      <w:pPr>
        <w:ind w:left="1060" w:right="240" w:hanging="431"/>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if necessary, to solicit additional proxies if there are not sufficient votes to approve the proposal to adopt the merger agreement at the time of the special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w:t>
      </w:r>
    </w:p>
    <w:p>
      <w:pPr>
        <w:spacing w:after="0" w:line="117"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Only Cameron stockholders of record at the close of business on November 16, 2015, which we refer to as the record date, will be entitled to notice of, and to vote at, the special meeting or any adjournments or postponements thereof.</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At the close of business on the record date, there were approximately [—] shares of Cameron common stock issued and outstanding and entitled to vote at the special meeting. Cameron stockholders are entitled to one vote for each share of Cameron common stock they owned as of the close of business on the record date.</w:t>
      </w:r>
    </w:p>
    <w:p>
      <w:pPr>
        <w:spacing w:after="0" w:line="181"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For a period of at least 10 days prior to the special meeting, a complete list of stockholders entitled to vote at the special meeting will be open to examination by any Cameron stockholder during ordinary business hours at the Office of the Corporate Secretary at Cameron’s corporate offices at 1333 West Loop South, Suite 1700, Houston, Texas 77027.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Required Vote</w:t>
      </w:r>
    </w:p>
    <w:p>
      <w:pPr>
        <w:spacing w:after="0" w:line="117"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To adopt the merger agreement, holders of a majority of the shares of Cameron common stock outstanding on the record date must vote in favor of adoption of the merger agreement. Cameron cannot complete the merger unless its stockholders adopt the merger agreement. Because approval is based on the affirmative vote of a majority of the outstanding shares of Cameron common stock, a Cameron stockholder’s failure to vote, an abstention from voting or the failure of a Cameron stockholder who holds his or her shares in “street name” through a broker or other nominee to give voting instructions to such broker or other nominee will all have the same effect as a vote “AGAINST” adoption of the merger agreement.</w:t>
      </w:r>
    </w:p>
    <w:p>
      <w:pPr>
        <w:spacing w:after="0" w:line="158" w:lineRule="exact"/>
        <w:rPr>
          <w:sz w:val="20"/>
          <w:szCs w:val="20"/>
          <w:color w:val="auto"/>
        </w:rPr>
      </w:pPr>
    </w:p>
    <w:p>
      <w:pPr>
        <w:ind w:left="200" w:right="20" w:firstLine="443"/>
        <w:spacing w:after="0" w:line="271" w:lineRule="auto"/>
        <w:rPr>
          <w:sz w:val="20"/>
          <w:szCs w:val="20"/>
          <w:color w:val="auto"/>
        </w:rPr>
      </w:pPr>
      <w:r>
        <w:rPr>
          <w:rFonts w:ascii="Arial" w:cs="Arial" w:eastAsia="Arial" w:hAnsi="Arial"/>
          <w:sz w:val="17"/>
          <w:szCs w:val="17"/>
          <w:color w:val="auto"/>
        </w:rPr>
        <w:t>The approval of the advisory compensation proposal and the approval of the proposal to adjourn the special meeting, if necessary, to solicit additional proxies each requires the affirmative vote of the holders of a majority of the shares of Cameron common stock represented at the special meeting and entitled to vote on such proposal. A Cameron stockholder’s failure to vote or the failure of an Cameron stockholder who holds his or her shares in “street name” through a broker or other nominee to give voting instructions to such broker or other nominee will have no effect on the proposal to adjourn the special meeting, if necessary, to solicit additional proxies and, assuming a quorum is present, the advisory compensation proposal. A Cameron stockholder’s abstention from voting will have the effect of a vote “AGAINST” the advisory compensation proposal and the proposal to adjourn the special meeting, if necessary, to solicit additional proxies. The advisory compensation proposal is an advisory vote only and will not be binding on Cameron or the Cameron board of directors.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Cameron Board of Directors</w:t>
      </w:r>
    </w:p>
    <w:p>
      <w:pPr>
        <w:spacing w:after="0" w:line="117"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After careful consideration, the Cameron board of directors, at a meeting held on August 25, 2015,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adoption of the merger agreement be submitted to a vote at a meeting of the Cameron stockholders, and recommended that the Cameron stockholders vote to adopt the merger agreement. Accordingly, the Cameron board of directors unanimously recommends that Cameron stockholders vote “FOR” the proposal to adopt the merger agreement and vote “FOR” all other proposals.</w:t>
      </w:r>
    </w:p>
    <w:p>
      <w:pPr>
        <w:spacing w:after="0" w:line="17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In evaluating the merger, the Cameron board of directors consulted with and received the advice of Cameron’s outside legal and financial advisors, held discussions with Cameron’s management and considered a number of factors that it believed supported its decision to enter into the merger agreement. These factors included, but were not limited to, those listed in “The Merger—Cameron’s Reasons for the Merger; Recommendation of the Cameron Board of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Schlumberger Stockholder Approval Is Not Required</w:t>
      </w:r>
    </w:p>
    <w:p>
      <w:pPr>
        <w:spacing w:after="0" w:line="121"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Schlumberger stockholders are not required to adopt the merger agreement or approve the merger or the issuance of shares of Schlumberger common stock in connection with the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Cameron’s Directors and Executive Officers (page 38)</w:t>
      </w:r>
    </w:p>
    <w:p>
      <w:pPr>
        <w:spacing w:after="0" w:line="121" w:lineRule="exact"/>
        <w:rPr>
          <w:sz w:val="20"/>
          <w:szCs w:val="20"/>
          <w:color w:val="auto"/>
        </w:rPr>
      </w:pPr>
    </w:p>
    <w:p>
      <w:pPr>
        <w:ind w:left="200" w:right="100" w:firstLine="443"/>
        <w:spacing w:after="0" w:line="297" w:lineRule="auto"/>
        <w:rPr>
          <w:sz w:val="20"/>
          <w:szCs w:val="20"/>
          <w:color w:val="auto"/>
        </w:rPr>
      </w:pPr>
      <w:r>
        <w:rPr>
          <w:rFonts w:ascii="Arial" w:cs="Arial" w:eastAsia="Arial" w:hAnsi="Arial"/>
          <w:sz w:val="16"/>
          <w:szCs w:val="16"/>
          <w:color w:val="auto"/>
        </w:rPr>
        <w:t>At the close of business on November 10, 2015, the most recent practicable date prior to the date of this proxy statement/prospectus, directors and executive officers of Cameron beneficially owned and were expected to be entitled to vote 2,883,636 shares of Cameron common stock, or approximately 1.5% of the shares of Cameron common stock outstanding on that date. Cameron’s directors and executive officers have informed Cameron that they intend, as of the date hereof, to vote their shares in favor of the adoption of the merger agreement and each of the other Cameron proposals described in this proxy statement/prospectus, although none of them have entered into any agreements obligating them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 (page 77)</w:t>
      </w:r>
    </w:p>
    <w:p>
      <w:pPr>
        <w:spacing w:after="0" w:line="121" w:lineRule="exact"/>
        <w:rPr>
          <w:sz w:val="20"/>
          <w:szCs w:val="20"/>
          <w:color w:val="auto"/>
        </w:rPr>
      </w:pPr>
    </w:p>
    <w:p>
      <w:pPr>
        <w:ind w:left="200" w:right="40" w:firstLine="443"/>
        <w:spacing w:after="0" w:line="288" w:lineRule="auto"/>
        <w:rPr>
          <w:sz w:val="20"/>
          <w:szCs w:val="20"/>
          <w:color w:val="auto"/>
        </w:rPr>
      </w:pPr>
      <w:r>
        <w:rPr>
          <w:rFonts w:ascii="Arial" w:cs="Arial" w:eastAsia="Arial" w:hAnsi="Arial"/>
          <w:sz w:val="16"/>
          <w:szCs w:val="16"/>
          <w:color w:val="auto"/>
        </w:rPr>
        <w:t>At the effective time of the merger, all outstanding options to purchase shares of Cameron common stock, including any options granted following the execution of the merger agreement, will be converted into options to purchase shares of Schlumberger common stock with the duration and terms of such converted options to remain generally the same as the original Cameron option. The number of shares of Schlumberger common stock subject to each option will be determined by multiplying the number of shares of Cameron common stock subject to the original Cameron option by the equity award exchange ratio, rounded down to the nearest whole share. See “The Merger Agreement—Treatment of Equity Awards—Stock Options” beginning on page 77 of this proxy statement/prospectus. The option exercise price per share of Schlumberger common stock will be equal to the option exercise price per share of Cameron common stock under the original Cameron option divided by the equity award exchange ratio, rounded up to the nearest whole cent. The term “equity award exchange ratio” means (1) the exchange ratio (0.716) plus (2) the quotient obtained by dividing $14.44 by the average of the volume weighted average price of a share of Schlumberger common stock on each of the five consecutive trading days ending with the second complete trading day prior to the effective time of the merger.</w:t>
      </w:r>
    </w:p>
    <w:p>
      <w:pPr>
        <w:spacing w:after="0" w:line="169" w:lineRule="exact"/>
        <w:rPr>
          <w:sz w:val="20"/>
          <w:szCs w:val="20"/>
          <w:color w:val="auto"/>
        </w:rPr>
      </w:pPr>
    </w:p>
    <w:p>
      <w:pPr>
        <w:jc w:val="both"/>
        <w:ind w:left="200" w:right="440" w:firstLine="443"/>
        <w:spacing w:after="0" w:line="264" w:lineRule="auto"/>
        <w:rPr>
          <w:sz w:val="20"/>
          <w:szCs w:val="20"/>
          <w:color w:val="auto"/>
        </w:rPr>
      </w:pPr>
      <w:r>
        <w:rPr>
          <w:rFonts w:ascii="Arial" w:cs="Arial" w:eastAsia="Arial" w:hAnsi="Arial"/>
          <w:sz w:val="18"/>
          <w:szCs w:val="18"/>
          <w:color w:val="auto"/>
        </w:rPr>
        <w:t>At the effective time of the merger, each outstanding award of restricted stock units granted by Cameron under any of its plans, including any restricted stock units granted following the execution of the merger agreement, will be converted into an award of restricted stock units that will be settled in Schlumberger common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stock with substantially the same terms as the original Cameron award. The number of shares of Schlumberger common stock subject to the converted restricted stock unit award will be determined by multiplying the number of shares of Cameron common stock subject to the Cameron restricted stock unit award by the equity award exchange ratio, rounded to the nearest whole number of shares.</w:t>
      </w:r>
    </w:p>
    <w:p>
      <w:pPr>
        <w:spacing w:after="0" w:line="181"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At the effective time of the merger, each outstanding award of performance shares granted by Cameron under any of its plans will be converted into fully vested deferred stock units that will be settled in Schlumberger common stock on the same payment schedule as the original Cameron award. For purposes of determining the number of performance shares earned under the Cameron performance share award, unless otherwise specified in an individual change in control agreement with an employee, (1) performance with respect to the total shareholder return metric will be determined based on total shareholder return as of the effective time and (2) performance with respect to the return on invested capital (ROIC) metric will be determined as follows: (A) for any completed performance year prior to the effective time, based on actual ROIC performance as certified by the Cameron compensation committee, (B) if the effective time occurs in 2015, based on actual ROIC through the effective time (or the most recent practicable date prior to the effective time) and a reasonable good faith estimate of ROIC performance for the remainder of 2015 and (C) target performance for any other performance year.</w:t>
      </w:r>
    </w:p>
    <w:p>
      <w:pPr>
        <w:spacing w:after="0" w:line="19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At the effective time of the merger, each outstanding award of deferred stock units granted by Cameron under any of its plans will be canceled and converted into the right to receive the merger consideration based on the total number of shares of Cameron common stock subject to the outstanding award.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Cameron’s Financial Advisor (page 54)</w:t>
      </w:r>
    </w:p>
    <w:p>
      <w:pPr>
        <w:spacing w:after="0" w:line="12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On August 25, 2015, Credit Suisse Securities (USA) LLC, which we refer to as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8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b w:val="1"/>
          <w:bCs w:val="1"/>
          <w:color w:val="auto"/>
        </w:rPr>
        <w:t>Credit Suisse’s opinion was directed to the Cameron board of directors, and only addressed, as of August 25, 2015, the fairness, from a financial point of view, to the holders of Cameron common stock of the merger consideration to be received by such holders in the merger pursuant to the merger agreement and did not address any other aspect or implication of the merger. The summary of Credit Suisse’s opinion in this proxy statement/prospectus is qualified in its entirety by reference to the full text of its written opinion, which is included as Annex C to this proxy statement/prospectus and sets forth the procedures followed, assumptions made, qualifications and limitations on the review undertaken and other matters considered by Credit Suisse in preparing its opinion. However, neither Credit Suisse’s written opinion nor the summary of its opinion and the related analyses set forth in this proxy statement/prospectus is intended to be, and they do not constitute, advice or a recommendation to any stockholder as to how such holder should vote or act on any matter relating to the proposed merger.</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Schlumberger After the Merger</w:t>
      </w:r>
    </w:p>
    <w:p>
      <w:pPr>
        <w:spacing w:after="0" w:line="121" w:lineRule="exact"/>
        <w:rPr>
          <w:sz w:val="20"/>
          <w:szCs w:val="20"/>
          <w:color w:val="auto"/>
        </w:rPr>
      </w:pPr>
    </w:p>
    <w:p>
      <w:pPr>
        <w:jc w:val="both"/>
        <w:ind w:left="200" w:right="180" w:firstLine="443"/>
        <w:spacing w:after="0" w:line="257" w:lineRule="auto"/>
        <w:rPr>
          <w:sz w:val="20"/>
          <w:szCs w:val="20"/>
          <w:color w:val="auto"/>
        </w:rPr>
      </w:pPr>
      <w:r>
        <w:rPr>
          <w:rFonts w:ascii="Arial" w:cs="Arial" w:eastAsia="Arial" w:hAnsi="Arial"/>
          <w:sz w:val="18"/>
          <w:szCs w:val="18"/>
          <w:color w:val="auto"/>
        </w:rPr>
        <w:t>Based on the number of shares of Cameron common stock, restricted stock units and deferred stock units outstanding as of November 10, 2015, Schlumberger expects to issue approximately 136,838,564 shares of its common stock to Schlumberger US, which will deliver such shares to Cameron stockholders pursuant to the merger and reserve for issuance approximately 4,331,028 additional shares of Schlumberger common stock in connection with the exercise or conversion of Cameron’s outstanding equity awards. The actual number of shares of Schlumberger common stock to be issued and reserved for issuance in connection with the merger will be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determined at the completion of the merger based on the exchange ratio of 0.716, the equity award exchange ratio and the number of shares of Cameron common stock, options, restricted stock units and deferred stock units outstanding at such time. Immediately after completion of the merger, it is expected that former Cameron stockholders will own approximately 10% of Schlumberger’s outstanding common stock, based on the number of shares of Cameron common stock and Schlumberger common stock outstanding, on a fully diluted basis.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Cameron’s Directors and Executive Officers in the Merger (page 63)</w:t>
      </w:r>
    </w:p>
    <w:p>
      <w:pPr>
        <w:spacing w:after="0" w:line="121" w:lineRule="exact"/>
        <w:rPr>
          <w:sz w:val="20"/>
          <w:szCs w:val="20"/>
          <w:color w:val="auto"/>
        </w:rPr>
      </w:pPr>
    </w:p>
    <w:p>
      <w:pPr>
        <w:ind w:left="200" w:right="80" w:firstLine="443"/>
        <w:spacing w:after="0" w:line="297" w:lineRule="auto"/>
        <w:rPr>
          <w:sz w:val="20"/>
          <w:szCs w:val="20"/>
          <w:color w:val="auto"/>
        </w:rPr>
      </w:pPr>
      <w:r>
        <w:rPr>
          <w:rFonts w:ascii="Arial" w:cs="Arial" w:eastAsia="Arial" w:hAnsi="Arial"/>
          <w:sz w:val="16"/>
          <w:szCs w:val="16"/>
          <w:color w:val="auto"/>
        </w:rPr>
        <w:t>In considering the recommendation of the Cameron board of directors with respect to the proposal to adopt the merger agreement, Cameron stockholders should be aware that Cameron’s directors and executive officers have interests in the merger that are different from, or in addition to, those of Cameron’s stockholders generally. The independent members of Cameron’s board of directors were aware of and considered these interests, among other matters, in evaluating and negotiating the merger agreement and the merger and in recommending that Cameron stockholders vote in favor of the proposal to adopt the merger agreement and the advisory compensation proposal. These interests include, among others:</w:t>
      </w:r>
    </w:p>
    <w:p>
      <w:pPr>
        <w:spacing w:after="0" w:line="64" w:lineRule="exact"/>
        <w:rPr>
          <w:sz w:val="20"/>
          <w:szCs w:val="20"/>
          <w:color w:val="auto"/>
        </w:rPr>
      </w:pPr>
    </w:p>
    <w:p>
      <w:pPr>
        <w:ind w:left="1060" w:right="200" w:hanging="431"/>
        <w:spacing w:after="0" w:line="312"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under the merger agreement, Cameron equity awards (including those held by the executive officers) other than performance share awards and deferred stock units will convert into Schlumberger equity awards of the corresponding type (generally subject to existing terms and conditions, including accelerated vesting of unvested awards on a qualifying termination following the effective time);</w:t>
      </w:r>
    </w:p>
    <w:p>
      <w:pPr>
        <w:spacing w:after="0" w:line="52" w:lineRule="exact"/>
        <w:rPr>
          <w:rFonts w:ascii="Arial" w:cs="Arial" w:eastAsia="Arial" w:hAnsi="Arial"/>
          <w:sz w:val="16"/>
          <w:szCs w:val="16"/>
          <w:color w:val="auto"/>
        </w:rPr>
      </w:pPr>
    </w:p>
    <w:p>
      <w:pPr>
        <w:ind w:left="1060" w:hanging="431"/>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Cameron performance share award (including those held by the executive officers) will convert into fully vested Schlumberger deferred stock units payable on the schedule applicable to the Cameron performance share awards;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Cameron deferred stock unit held by non-employee directors will fully vest and be settled for the merger consideration;</w:t>
      </w:r>
    </w:p>
    <w:p>
      <w:pPr>
        <w:spacing w:after="0" w:line="130" w:lineRule="exact"/>
        <w:rPr>
          <w:rFonts w:ascii="Arial" w:cs="Arial" w:eastAsia="Arial" w:hAnsi="Arial"/>
          <w:sz w:val="18"/>
          <w:szCs w:val="18"/>
          <w:color w:val="auto"/>
        </w:rPr>
      </w:pPr>
    </w:p>
    <w:p>
      <w:pPr>
        <w:ind w:left="1060" w:right="700" w:hanging="431"/>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equity awards made by Cameron to Mr. Rowe from and after September 2015 will be fully vested on any termination following the consummation of the transaction;</w:t>
      </w:r>
    </w:p>
    <w:p>
      <w:pPr>
        <w:spacing w:after="0" w:line="75" w:lineRule="exact"/>
        <w:rPr>
          <w:rFonts w:ascii="Arial" w:cs="Arial" w:eastAsia="Arial" w:hAnsi="Arial"/>
          <w:sz w:val="18"/>
          <w:szCs w:val="18"/>
          <w:color w:val="auto"/>
        </w:rPr>
      </w:pPr>
    </w:p>
    <w:p>
      <w:pPr>
        <w:ind w:left="1060" w:hanging="431"/>
        <w:spacing w:after="0" w:line="273"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Cameron’s executive officers, including each of its named executive officers, are party to change of control agreements with Cameron that provide severance and other benefits in the case of qualifying terminations of employment in connection with or following a change of control, including completion of the merger; and for purposes of these agreements, certain employees of Cameron (including certain executive officers) who are expected to provide transitional services to Cameron following the effective time will be deemed to have experienced a qualifying termination as of the effective time and, therefore, will become fully vested in their existing cash severance benefits and equity awards granted prior to August 25, 2015 as of the effective time;</w:t>
      </w:r>
    </w:p>
    <w:p>
      <w:pPr>
        <w:spacing w:after="0" w:line="83" w:lineRule="exact"/>
        <w:rPr>
          <w:rFonts w:ascii="Arial" w:cs="Arial" w:eastAsia="Arial" w:hAnsi="Arial"/>
          <w:sz w:val="17"/>
          <w:szCs w:val="17"/>
          <w:color w:val="auto"/>
        </w:rPr>
      </w:pPr>
    </w:p>
    <w:p>
      <w:pPr>
        <w:ind w:left="1060" w:hanging="431"/>
        <w:spacing w:after="0" w:line="259"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employees of Cameron (including the executive officers) are eligible to receive retention bonuses and other awards or payments on the terms and conditions agreed between Cameron and Schlumberger in an aggregate amount not to exceed $50 million (retention payments of approximately $1.95 million have been allocated to certain executive officers (none of whom is a named executive officer) as of the date of this proxy statement/prospectus); and</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Cameron’s directors and executive officers are entitled to continued indemnification and insurance coverage under the merger agreement.</w:t>
      </w:r>
    </w:p>
    <w:p>
      <w:pPr>
        <w:spacing w:after="0" w:line="248" w:lineRule="exact"/>
        <w:rPr>
          <w:sz w:val="20"/>
          <w:szCs w:val="20"/>
          <w:color w:val="auto"/>
        </w:rPr>
      </w:pPr>
    </w:p>
    <w:p>
      <w:pPr>
        <w:ind w:left="200" w:right="340" w:firstLine="443"/>
        <w:spacing w:after="0" w:line="264" w:lineRule="auto"/>
        <w:rPr>
          <w:sz w:val="20"/>
          <w:szCs w:val="20"/>
          <w:color w:val="auto"/>
        </w:rPr>
      </w:pPr>
      <w:r>
        <w:rPr>
          <w:rFonts w:ascii="Arial" w:cs="Arial" w:eastAsia="Arial" w:hAnsi="Arial"/>
          <w:sz w:val="18"/>
          <w:szCs w:val="18"/>
          <w:color w:val="auto"/>
        </w:rPr>
        <w:t>Please see “The Merger—Interests of Cameron’s Directors and Executive Officers in the Merger” beginning on page 63 of this proxy statement/prospectus and “Advisory Vote on Merger-Related Compensation for Cameron’s Named Executive Officers” beginning on page 66 of this proxy statement/prospectus for additional information about these financial interests.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27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642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Schlumberger Stock and Delisting and Deregistration of Cameron Stock (page 68)</w:t>
      </w:r>
    </w:p>
    <w:p>
      <w:pPr>
        <w:spacing w:after="0" w:line="121"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Schlumberger will apply to have the shares of its common stock to be issued and delivered in the merger approved for listing on the NYSE, where Schlumberger common stock is currently traded. If the merger is completed, shares of Cameron common stock will no longer be listed on the NYSE, and will be deregistered under the Exchange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 (page 68)</w:t>
      </w:r>
    </w:p>
    <w:p>
      <w:pPr>
        <w:spacing w:after="0" w:line="121" w:lineRule="exact"/>
        <w:rPr>
          <w:sz w:val="20"/>
          <w:szCs w:val="20"/>
          <w:color w:val="auto"/>
        </w:rPr>
      </w:pPr>
    </w:p>
    <w:p>
      <w:pPr>
        <w:ind w:left="200" w:right="100" w:firstLine="443"/>
        <w:spacing w:after="0" w:line="297" w:lineRule="auto"/>
        <w:rPr>
          <w:sz w:val="20"/>
          <w:szCs w:val="20"/>
          <w:color w:val="auto"/>
        </w:rPr>
      </w:pPr>
      <w:r>
        <w:rPr>
          <w:rFonts w:ascii="Arial" w:cs="Arial" w:eastAsia="Arial" w:hAnsi="Arial"/>
          <w:sz w:val="16"/>
          <w:szCs w:val="16"/>
          <w:color w:val="auto"/>
        </w:rPr>
        <w:t>In connection with the merger, record holders of Cameron common stock who do not vote in favor of the proposal to adopt the merger agreement are entitled to appraisal rights under Section 262 of the General Corporation Law of the State of Delaware, which we refer to as the DGCL, provided they fully comply with and follow the procedures and satisfy all of the conditions set forth in Section 262 of the DGCL. For more information regarding appraisal rights, see “The Merger—Appraisal Rights.” In addition, a copy of Section 262 of the DGCL is attached as Annex B to this proxy statement/prospectus. Failure to comply with Section 262 of the DGCL will result in your waiver of, or inability to exercise, appraisal rights.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(page 89)</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i w:val="1"/>
          <w:iCs w:val="1"/>
          <w:color w:val="auto"/>
        </w:rPr>
        <w:t xml:space="preserve">Conditions to the Obligations of Each Party to Effect the Merger. </w:t>
      </w:r>
      <w:r>
        <w:rPr>
          <w:rFonts w:ascii="Arial" w:cs="Arial" w:eastAsia="Arial" w:hAnsi="Arial"/>
          <w:sz w:val="18"/>
          <w:szCs w:val="18"/>
          <w:color w:val="auto"/>
        </w:rPr>
        <w:t>The respective obligations of each party to effect the merger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the following conditions on or prior to the closing date:</w:t>
      </w:r>
    </w:p>
    <w:p>
      <w:pPr>
        <w:spacing w:after="0" w:line="76" w:lineRule="exact"/>
        <w:rPr>
          <w:sz w:val="20"/>
          <w:szCs w:val="20"/>
          <w:color w:val="auto"/>
        </w:rPr>
      </w:pPr>
    </w:p>
    <w:p>
      <w:pPr>
        <w:ind w:left="1060" w:hanging="431"/>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by Cameron’s stockholders;</w:t>
      </w:r>
    </w:p>
    <w:p>
      <w:pPr>
        <w:spacing w:after="0" w:line="130" w:lineRule="exact"/>
        <w:rPr>
          <w:rFonts w:ascii="Arial" w:cs="Arial" w:eastAsia="Arial" w:hAnsi="Arial"/>
          <w:sz w:val="18"/>
          <w:szCs w:val="18"/>
          <w:color w:val="auto"/>
        </w:rPr>
      </w:pPr>
    </w:p>
    <w:p>
      <w:pPr>
        <w:ind w:left="1060" w:right="220" w:hanging="431"/>
        <w:spacing w:after="0" w:line="28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termination or expiration of any waiting period under the Hart-Scott-Rodino Antitrust Improvements Act of 1976, which we refer to as the HSR Act, and the issuance by the European Commission of a decision under Council Regulation No. 4064/89 of the European Community, which we refer to as the EC Merger Regulation, declaring the merger compatible with the common market;</w:t>
      </w:r>
    </w:p>
    <w:p>
      <w:pPr>
        <w:spacing w:after="0" w:line="70" w:lineRule="exact"/>
        <w:rPr>
          <w:rFonts w:ascii="Arial" w:cs="Arial" w:eastAsia="Arial" w:hAnsi="Arial"/>
          <w:sz w:val="17"/>
          <w:szCs w:val="17"/>
          <w:color w:val="auto"/>
        </w:rPr>
      </w:pPr>
    </w:p>
    <w:p>
      <w:pPr>
        <w:ind w:left="1060" w:hanging="4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expiration, lapse or termination of all applicable waiting or other time periods under antitrust laws in other specified jurisdictions;</w:t>
      </w:r>
    </w:p>
    <w:p>
      <w:pPr>
        <w:spacing w:after="0" w:line="142"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effectiveness of the registration statement that includes this prospectus, and the absence of any stop order or proceeding seeking a stop order;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130"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US, Merger Sub and Schlumberger, on the one hand, and Cameron, on the other hand, of its respective covenants and agreements required to be performed by it under the merger agreement at or prior to the closing date; and</w:t>
      </w:r>
    </w:p>
    <w:p>
      <w:pPr>
        <w:spacing w:after="0" w:line="86" w:lineRule="exact"/>
        <w:rPr>
          <w:rFonts w:ascii="Arial" w:cs="Arial" w:eastAsia="Arial" w:hAnsi="Arial"/>
          <w:sz w:val="18"/>
          <w:szCs w:val="18"/>
          <w:color w:val="auto"/>
        </w:rPr>
      </w:pPr>
    </w:p>
    <w:p>
      <w:pPr>
        <w:ind w:left="1060" w:right="80" w:hanging="431"/>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representations and warranties of Schlumberger US, Merger Sub and Schlumberger, on the one hand, and Cameron, on the other hand, contained in the merger agreement being true and correct as of the date of the merger agreement and as of the closing date, subject to certain materiality thresholds.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for the Merger (page 73)</w:t>
      </w:r>
    </w:p>
    <w:p>
      <w:pPr>
        <w:spacing w:after="0" w:line="12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merger is subject to review by the Antitrust Division of the U.S. Department of Justice, which we refer to as the Antitrust Division, under the HSR Act. Under the HSR Act, Schlumberger and Cameron are required to make premerger notification filings and to await the expiration or early termination of the statutory waiting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period (and any extension of the waiting period) prior to completing the merger. On September 16, 2015, Schlumberger and Cameron each filed a Premerger Notification and Report Form with the Antitrust Division and the Federal Trade Commission, which we refer to as the FTC. On October 16, 2015, Schlumberger withdrew its filing and refiled on October 19, 2015 in order to provide the Antitrust Division and the FTC with an additional 30-day period to review the companies’ filings.</w:t>
      </w:r>
    </w:p>
    <w:p>
      <w:pPr>
        <w:spacing w:after="0" w:line="187" w:lineRule="exact"/>
        <w:rPr>
          <w:sz w:val="20"/>
          <w:szCs w:val="20"/>
          <w:color w:val="auto"/>
        </w:rPr>
      </w:pPr>
    </w:p>
    <w:p>
      <w:pPr>
        <w:ind w:left="200" w:right="220" w:firstLine="443"/>
        <w:spacing w:after="0" w:line="264"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presence to require filings. As of the date of this proxy statement/prospectus, the parties have made, or are about to make, antitrust filings in the European Union and in certain other jurisdictions.</w:t>
      </w:r>
    </w:p>
    <w:p>
      <w:pPr>
        <w:spacing w:after="0" w:line="181"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Schlumberger US, Merger Sub and Schlumberger are required to take all such action necessary to resolve any objections that an antitrust regulator may assert under regulatory laws, and to avoid or eliminate, and minimize the impact of, each impediment under regulatory laws that may be asserted by a governmental entity in order to enable the closing to occur as soon as reasonably possible (and in any event no later than the termination date); however:</w:t>
      </w:r>
    </w:p>
    <w:p>
      <w:pPr>
        <w:spacing w:after="0" w:line="73" w:lineRule="exact"/>
        <w:rPr>
          <w:sz w:val="20"/>
          <w:szCs w:val="20"/>
          <w:color w:val="auto"/>
        </w:rPr>
      </w:pPr>
    </w:p>
    <w:p>
      <w:pPr>
        <w:ind w:left="1060" w:right="40" w:hanging="431"/>
        <w:spacing w:after="0" w:line="255"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none of Schlumberger US, Merger Sub, Schlumberger or Cameron or their respective subsidiaries is required to take, or cause to be taken, or agree to take, any action with respect to any of the assets, businesses or product lines of Cameron, Schlumberger, any of their subsidiaries, or any combination thereof, if such action (whether taken with respect to assets of Cameron and its subsidiaries or Schlumberger and its subsidiaries), individually or in the aggregate, would result in the divestiture, sale, hold separate, license or limitation on the conduct of business that, individually or taken together, would reasonably be expected to be material to Cameron and its subsidiaries, taken as a whole, and</w:t>
      </w:r>
    </w:p>
    <w:p>
      <w:pPr>
        <w:spacing w:after="0" w:line="98" w:lineRule="exact"/>
        <w:rPr>
          <w:rFonts w:ascii="Arial" w:cs="Arial" w:eastAsia="Arial" w:hAnsi="Arial"/>
          <w:sz w:val="18"/>
          <w:szCs w:val="18"/>
          <w:color w:val="auto"/>
        </w:rPr>
      </w:pPr>
    </w:p>
    <w:p>
      <w:pPr>
        <w:ind w:left="1060" w:right="20" w:hanging="431"/>
        <w:spacing w:after="0" w:line="259"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Schlumberger is not required to take or agree to take any action that would result in the divestiture, sale, hold separate, license or limitation of the conduct, in whole or in significant part, of the OneSubsea joint venture. If the merger has not occurred on or before the termination date due to the failure to obtain regulatory clearances, or if an order, decree or ruling permanently prohibits the merger, the merger agreement may be terminated.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Cameron (page 84)</w:t>
      </w:r>
    </w:p>
    <w:p>
      <w:pPr>
        <w:spacing w:after="0" w:line="121" w:lineRule="exact"/>
        <w:rPr>
          <w:sz w:val="20"/>
          <w:szCs w:val="20"/>
          <w:color w:val="auto"/>
        </w:rPr>
      </w:pPr>
    </w:p>
    <w:p>
      <w:pPr>
        <w:ind w:left="200" w:firstLine="443"/>
        <w:spacing w:after="0" w:line="308" w:lineRule="auto"/>
        <w:rPr>
          <w:sz w:val="20"/>
          <w:szCs w:val="20"/>
          <w:color w:val="auto"/>
        </w:rPr>
      </w:pPr>
      <w:r>
        <w:rPr>
          <w:rFonts w:ascii="Arial" w:cs="Arial" w:eastAsia="Arial" w:hAnsi="Arial"/>
          <w:sz w:val="17"/>
          <w:szCs w:val="17"/>
          <w:color w:val="auto"/>
        </w:rPr>
        <w:t>Under the merger agreement, Cameron has agreed not to (and to direct and use its reasonable best efforts to cause its officers, directors, employees, investment bankers, consultants, attorneys, accountants, advisors, agents and other representatives not to), among other things:</w:t>
      </w:r>
    </w:p>
    <w:p>
      <w:pPr>
        <w:spacing w:after="0" w:line="52" w:lineRule="exact"/>
        <w:rPr>
          <w:sz w:val="20"/>
          <w:szCs w:val="20"/>
          <w:color w:val="auto"/>
        </w:rPr>
      </w:pPr>
    </w:p>
    <w:p>
      <w:pPr>
        <w:ind w:left="1060" w:hanging="431"/>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acquisition proposal;</w:t>
      </w:r>
    </w:p>
    <w:p>
      <w:pPr>
        <w:spacing w:after="0" w:line="130"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nonpublic information regarding Cameron or access to Cameron’s properties, books or records to a third party in connection with an acquisition proposal;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approve or recommend an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67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670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before the adoption of the merger agreement by the Cameron stockholders, Cameron may, under certain circumstances, engage in negotiations with and provide information regarding Cameron to a third party making an unsolicited, written acquisition proposal that Cameron’s board of directors concludes in good faith is reasonably likely to be superior to the merger. Under the merger agreement, Cameron is required to notify Schlumberger if it receives any acquisition proposal or request for information in connection with such a proposal. Additionally, before the adoption of the merger agreement by the Cameron stockholders, the Cameron board of directors may withdraw its recommendation of the merger if it determines in good faith, after consultation with its outside legal counsel and financial advisors, that a failure to change its recommendation would be inconsistent with its fiduciary duties to Cameron stockholders.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(page 90)</w:t>
      </w:r>
    </w:p>
    <w:p>
      <w:pPr>
        <w:spacing w:after="0" w:line="121"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of the merger, notwithstanding the adoption of the merger agreement by Cameron’s stockholders (except as described below):</w:t>
      </w:r>
    </w:p>
    <w:p>
      <w:pPr>
        <w:spacing w:after="0" w:line="76" w:lineRule="exact"/>
        <w:rPr>
          <w:sz w:val="20"/>
          <w:szCs w:val="20"/>
          <w:color w:val="auto"/>
        </w:rPr>
      </w:pPr>
    </w:p>
    <w:p>
      <w:pPr>
        <w:ind w:left="1060" w:hanging="431"/>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mutual written agreement of Schlumberger US, Schlumberger and Cameron;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either Schlumberger or Cameron if:</w:t>
      </w:r>
    </w:p>
    <w:p>
      <w:pPr>
        <w:spacing w:after="0" w:line="130" w:lineRule="exact"/>
        <w:rPr>
          <w:rFonts w:ascii="Arial" w:cs="Arial" w:eastAsia="Arial" w:hAnsi="Arial"/>
          <w:sz w:val="18"/>
          <w:szCs w:val="18"/>
          <w:color w:val="auto"/>
        </w:rPr>
      </w:pPr>
    </w:p>
    <w:p>
      <w:pPr>
        <w:ind w:left="1620" w:right="180" w:hanging="545"/>
        <w:spacing w:after="0" w:line="342" w:lineRule="auto"/>
        <w:tabs>
          <w:tab w:leader="none" w:pos="16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merger has not occurred on or before the “termination date,” August 25, 2016, which termination date may, subject to specified conditions, at the option of either Schlumberger or Cameron, be extended to a date not later than November 25, 2016;</w:t>
      </w:r>
    </w:p>
    <w:p>
      <w:pPr>
        <w:spacing w:after="0" w:line="29" w:lineRule="exact"/>
        <w:rPr>
          <w:rFonts w:ascii="Arial" w:cs="Arial" w:eastAsia="Arial" w:hAnsi="Arial"/>
          <w:sz w:val="16"/>
          <w:szCs w:val="16"/>
          <w:color w:val="auto"/>
        </w:rPr>
      </w:pPr>
    </w:p>
    <w:p>
      <w:pPr>
        <w:ind w:left="1620" w:right="180" w:hanging="545"/>
        <w:spacing w:after="0" w:line="277" w:lineRule="auto"/>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Cameron stockholders do not approve the proposal to adopt the merger agreement at the special meeting or any adjournment or postponement of the special meeting; or</w:t>
      </w:r>
    </w:p>
    <w:p>
      <w:pPr>
        <w:spacing w:after="0" w:line="75" w:lineRule="exact"/>
        <w:rPr>
          <w:rFonts w:ascii="Arial" w:cs="Arial" w:eastAsia="Arial" w:hAnsi="Arial"/>
          <w:sz w:val="18"/>
          <w:szCs w:val="18"/>
          <w:color w:val="auto"/>
        </w:rPr>
      </w:pPr>
    </w:p>
    <w:p>
      <w:pPr>
        <w:ind w:left="1620" w:right="700" w:hanging="545"/>
        <w:spacing w:after="0" w:line="308" w:lineRule="auto"/>
        <w:tabs>
          <w:tab w:leader="none" w:pos="16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1" w:lineRule="exact"/>
        <w:rPr>
          <w:rFonts w:ascii="Arial" w:cs="Arial" w:eastAsia="Arial" w:hAnsi="Arial"/>
          <w:sz w:val="17"/>
          <w:szCs w:val="17"/>
          <w:color w:val="auto"/>
        </w:rPr>
      </w:pPr>
    </w:p>
    <w:p>
      <w:pPr>
        <w:ind w:left="1060" w:hanging="431"/>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Cameron if:</w:t>
      </w:r>
    </w:p>
    <w:p>
      <w:pPr>
        <w:spacing w:after="0" w:line="130" w:lineRule="exact"/>
        <w:rPr>
          <w:rFonts w:ascii="Arial" w:cs="Arial" w:eastAsia="Arial" w:hAnsi="Arial"/>
          <w:sz w:val="18"/>
          <w:szCs w:val="18"/>
          <w:color w:val="auto"/>
        </w:rPr>
      </w:pPr>
    </w:p>
    <w:p>
      <w:pPr>
        <w:ind w:left="1620" w:hanging="545"/>
        <w:spacing w:after="0" w:line="277" w:lineRule="auto"/>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Schlumberger US or Schlumberger is in breach of the merger agreement such that the conditions to the merger set forth in the merger agreement would not be satisfied and such breach is not curable prior to the termination date; or</w:t>
      </w:r>
    </w:p>
    <w:p>
      <w:pPr>
        <w:spacing w:after="0" w:line="75" w:lineRule="exact"/>
        <w:rPr>
          <w:rFonts w:ascii="Arial" w:cs="Arial" w:eastAsia="Arial" w:hAnsi="Arial"/>
          <w:sz w:val="18"/>
          <w:szCs w:val="18"/>
          <w:color w:val="auto"/>
        </w:rPr>
      </w:pPr>
    </w:p>
    <w:p>
      <w:pPr>
        <w:ind w:left="1620" w:hanging="545"/>
        <w:spacing w:after="0" w:line="276" w:lineRule="auto"/>
        <w:tabs>
          <w:tab w:leader="none" w:pos="16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Cameron has received an acquisition proposal that Cameron’s board of directors determines in good faith to be superior to the merger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(Cameron may not terminate the merger agreement pursuant to this provision following the approval of the proposal to adopt the merger agreement by Cameron’s stockholders); or</w:t>
      </w:r>
    </w:p>
    <w:p>
      <w:pPr>
        <w:spacing w:after="0" w:line="77" w:lineRule="exact"/>
        <w:rPr>
          <w:rFonts w:ascii="Arial" w:cs="Arial" w:eastAsia="Arial" w:hAnsi="Arial"/>
          <w:sz w:val="17"/>
          <w:szCs w:val="17"/>
          <w:color w:val="auto"/>
        </w:rPr>
      </w:pPr>
    </w:p>
    <w:p>
      <w:pPr>
        <w:ind w:left="1060" w:hanging="431"/>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130" w:lineRule="exact"/>
        <w:rPr>
          <w:rFonts w:ascii="Arial" w:cs="Arial" w:eastAsia="Arial" w:hAnsi="Arial"/>
          <w:sz w:val="18"/>
          <w:szCs w:val="18"/>
          <w:color w:val="auto"/>
        </w:rPr>
      </w:pPr>
    </w:p>
    <w:p>
      <w:pPr>
        <w:ind w:left="1620" w:right="100" w:hanging="545"/>
        <w:spacing w:after="0" w:line="277" w:lineRule="auto"/>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Cameron is in breach of the merger agreement such that the conditions to the merger set forth in the merger agreement would not be satisfied and such breach is not curable prior to the termination date; or</w:t>
      </w:r>
    </w:p>
    <w:p>
      <w:pPr>
        <w:spacing w:after="0" w:line="75" w:lineRule="exact"/>
        <w:rPr>
          <w:rFonts w:ascii="Arial" w:cs="Arial" w:eastAsia="Arial" w:hAnsi="Arial"/>
          <w:sz w:val="18"/>
          <w:szCs w:val="18"/>
          <w:color w:val="auto"/>
        </w:rPr>
      </w:pPr>
    </w:p>
    <w:p>
      <w:pPr>
        <w:ind w:left="1620" w:right="20" w:hanging="545"/>
        <w:spacing w:after="0" w:line="277" w:lineRule="auto"/>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the merger to Cameron stockholders or there is a change in the Cameron board of directors’ recommendation.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 and Expenses (page 91)</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merger agreement provides for the payment of a termination fee by Cameron to Schlumberger US if the agreement is terminated in specified circumstances. Cameron will be obligated to pay Schlumberger US a $321 million termination fee if:</w:t>
      </w:r>
    </w:p>
    <w:p>
      <w:pPr>
        <w:spacing w:after="0" w:line="76" w:lineRule="exact"/>
        <w:rPr>
          <w:sz w:val="20"/>
          <w:szCs w:val="20"/>
          <w:color w:val="auto"/>
        </w:rPr>
      </w:pPr>
    </w:p>
    <w:p>
      <w:pPr>
        <w:ind w:left="1060" w:right="120" w:hanging="431"/>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Cameron’s stockholder approval of the proposal to adopt the merger agreement is not obtained and:</w:t>
      </w:r>
    </w:p>
    <w:p>
      <w:pPr>
        <w:spacing w:after="0" w:line="75" w:lineRule="exact"/>
        <w:rPr>
          <w:rFonts w:ascii="Arial" w:cs="Arial" w:eastAsia="Arial" w:hAnsi="Arial"/>
          <w:sz w:val="18"/>
          <w:szCs w:val="18"/>
          <w:color w:val="auto"/>
        </w:rPr>
      </w:pPr>
    </w:p>
    <w:p>
      <w:pPr>
        <w:ind w:left="1620" w:hanging="545"/>
        <w:spacing w:after="0"/>
        <w:tabs>
          <w:tab w:leader="none" w:pos="16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53" w:lineRule="exact"/>
        <w:rPr>
          <w:rFonts w:ascii="Arial" w:cs="Arial" w:eastAsia="Arial" w:hAnsi="Arial"/>
          <w:sz w:val="16"/>
          <w:szCs w:val="16"/>
          <w:color w:val="auto"/>
        </w:rPr>
      </w:pPr>
    </w:p>
    <w:p>
      <w:pPr>
        <w:ind w:left="1620" w:right="600" w:hanging="545"/>
        <w:spacing w:after="0" w:line="277"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within one year after the date of termination, Cameron enters into a definitive agreement with respect to, or consummates, an acquisition proposal;</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Cameron terminates the merger agreement in order to enter into an agreement providing for a superior proposal; or</w:t>
      </w:r>
    </w:p>
    <w:p>
      <w:pPr>
        <w:spacing w:after="0" w:line="130" w:lineRule="exact"/>
        <w:rPr>
          <w:rFonts w:ascii="Arial" w:cs="Arial" w:eastAsia="Arial" w:hAnsi="Arial"/>
          <w:sz w:val="18"/>
          <w:szCs w:val="18"/>
          <w:color w:val="auto"/>
        </w:rPr>
      </w:pPr>
    </w:p>
    <w:p>
      <w:pPr>
        <w:ind w:left="1060" w:right="600" w:hanging="431"/>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its approval of the merger or there is a change in the Cameron board of directors’ recommendation.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merger agreement generally provides that all expenses incurred by the parties will be borne by the party that has incurred such expenses.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under specified circumstances, either party may be required to reimburse the other party for its expenses of up to $10 million.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Dividends and Stock Repurchases (page 81)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w:t>
      </w:r>
    </w:p>
    <w:p>
      <w:pPr>
        <w:spacing w:after="0" w:line="11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Schlumberger paid quarterly cash dividends of $0.50 per share since the first quarter of 2015, $0.40 per share in 2014, $0.3125 per share in 2013 and $0.2750 per share in 2012. Schlumberger is not prohibited under the terms of the merger agreement from paying quarterly dividends consistent with past practice.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18, 2013, the Schlumberger board of directors approved a $10 billion share repurchase program to be completed at the latest by June 30,</w:t>
      </w:r>
    </w:p>
    <w:p>
      <w:pPr>
        <w:spacing w:after="0" w:line="46" w:lineRule="exact"/>
        <w:rPr>
          <w:sz w:val="20"/>
          <w:szCs w:val="20"/>
          <w:color w:val="auto"/>
        </w:rPr>
      </w:pPr>
    </w:p>
    <w:p>
      <w:pPr>
        <w:ind w:left="200" w:right="360"/>
        <w:spacing w:after="0" w:line="261" w:lineRule="auto"/>
        <w:rPr>
          <w:sz w:val="20"/>
          <w:szCs w:val="20"/>
          <w:color w:val="auto"/>
        </w:rPr>
      </w:pPr>
      <w:r>
        <w:rPr>
          <w:rFonts w:ascii="Arial" w:cs="Arial" w:eastAsia="Arial" w:hAnsi="Arial"/>
          <w:sz w:val="18"/>
          <w:szCs w:val="18"/>
          <w:color w:val="auto"/>
        </w:rPr>
        <w:t>2018. Schlumberger had repurchased $8.2 billion of shares under this new share repurchase program as of September 30, 2015. Schlumberger is not prohibited from making repurchases under the share repurchase program by the terms of the merger agreement.</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Cameron</w:t>
      </w:r>
    </w:p>
    <w:p>
      <w:pPr>
        <w:spacing w:after="0" w:line="11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Cameron does not pay regular quarterly cash dividends. Under the terms of the merger agreement, during the period before the closing of the merger, Cameron is prohibited from paying quarterly dividends.</w:t>
      </w:r>
    </w:p>
    <w:p>
      <w:pPr>
        <w:spacing w:after="0" w:line="170"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Cameron has an authorized stock repurchase program whereby it may purchase shares directly or indirectly by way of open market transactions or structured programs, including the use of derivatives, for its own account or through commercial banks or financial institutions. The program, initiated in October 2011, has had a series of authorizations by the Cameron board of directors totaling $3.8 billion since inception. At September 30, 2015, Cameron had remaining authority for future stock purchases totaling approximately $240 million; however, Cameron is prohibited from making any further repurchases under the share repurchase program by the terms of the merger agreement.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Cameron Stockholders Will Change as a Result of the Merger (page 104)</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Cameron stockholders will have different rights once they become Schlumberger stockholders due to differences between Delaware corporate law and Curaçao law and the differences between the governing documents of Schlumberger and Cameron.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(page 69)</w:t>
      </w:r>
    </w:p>
    <w:p>
      <w:pPr>
        <w:spacing w:after="0" w:line="121" w:lineRule="exact"/>
        <w:rPr>
          <w:sz w:val="20"/>
          <w:szCs w:val="20"/>
          <w:color w:val="auto"/>
        </w:rPr>
      </w:pPr>
    </w:p>
    <w:p>
      <w:pPr>
        <w:ind w:left="200" w:right="260" w:firstLine="443"/>
        <w:spacing w:after="0" w:line="291" w:lineRule="auto"/>
        <w:rPr>
          <w:sz w:val="20"/>
          <w:szCs w:val="20"/>
          <w:color w:val="auto"/>
        </w:rPr>
      </w:pPr>
      <w:r>
        <w:rPr>
          <w:rFonts w:ascii="Arial" w:cs="Arial" w:eastAsia="Arial" w:hAnsi="Arial"/>
          <w:sz w:val="16"/>
          <w:szCs w:val="16"/>
          <w:color w:val="auto"/>
        </w:rPr>
        <w:t>The exchange of Cameron common stock for Schlumberger common stock and cash in the merger will be a taxable transaction for U.S. federal income tax purposes. Therefore, a U.S. Holder (as defined below) generally will recognize capital gain or loss equal to the difference, if any, between</w:t>
      </w:r>
    </w:p>
    <w:p>
      <w:pPr>
        <w:ind w:left="200" w:right="20" w:hanging="3"/>
        <w:spacing w:after="0" w:line="290" w:lineRule="auto"/>
        <w:tabs>
          <w:tab w:leader="none" w:pos="4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sum of the fair market value of Schlumberger common stock and cash received by such U.S. Holder in the merger, including any cash received in lieu of fractional shares of Cameron common stock, and (2) the U.S. Holder’s adjusted tax basis in its Cameron common stock.</w:t>
      </w:r>
    </w:p>
    <w:p>
      <w:pPr>
        <w:spacing w:after="0" w:line="162" w:lineRule="exact"/>
        <w:rPr>
          <w:sz w:val="20"/>
          <w:szCs w:val="20"/>
          <w:color w:val="auto"/>
        </w:rPr>
      </w:pPr>
    </w:p>
    <w:p>
      <w:pPr>
        <w:ind w:left="200" w:right="300" w:firstLine="443"/>
        <w:spacing w:after="0" w:line="264" w:lineRule="auto"/>
        <w:rPr>
          <w:sz w:val="20"/>
          <w:szCs w:val="20"/>
          <w:color w:val="auto"/>
        </w:rPr>
      </w:pPr>
      <w:r>
        <w:rPr>
          <w:rFonts w:ascii="Arial" w:cs="Arial" w:eastAsia="Arial" w:hAnsi="Arial"/>
          <w:sz w:val="18"/>
          <w:szCs w:val="18"/>
          <w:color w:val="auto"/>
        </w:rPr>
        <w:t>Except in certain specific circumstances described in “The Merger—Material U.S. Federal Income Tax Consequences,” a Non-U.S. Holder (as defined below) generally will not be subject to U.S. federal income tax on any gain recognized on the exchange of Cameron common stock for Schlumberger common stock and cash in the merger.</w:t>
      </w:r>
    </w:p>
    <w:p>
      <w:pPr>
        <w:spacing w:after="0" w:line="18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b w:val="1"/>
          <w:bCs w:val="1"/>
          <w:i w:val="1"/>
          <w:iCs w:val="1"/>
          <w:color w:val="auto"/>
        </w:rPr>
        <w:t>Please refer to “The Merger—Material U.S. Federal Income Tax Consequences” beginning on page 69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(page 68)</w:t>
      </w:r>
    </w:p>
    <w:p>
      <w:pPr>
        <w:spacing w:after="0" w:line="121"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In accordance with accounting principles generally accepted in the United States, Schlumberger will account for the merger as an acquisition of a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(page 75)</w:t>
      </w:r>
    </w:p>
    <w:p>
      <w:pPr>
        <w:spacing w:after="0" w:line="121"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 xml:space="preserve">Subsequent to the announcement of the merger, Cameron, Cameron’s directors, Schlumberger US, Merger Sub and Schlumberger were named as defendants in four purported class action lawsuits relating to the proposed transaction that were filed in the Court of Chancery of the State of Delaware. These lawsuits were consolidated for all purposes under the caption </w:t>
      </w:r>
      <w:r>
        <w:rPr>
          <w:rFonts w:ascii="Arial" w:cs="Arial" w:eastAsia="Arial" w:hAnsi="Arial"/>
          <w:sz w:val="16"/>
          <w:szCs w:val="16"/>
          <w:i w:val="1"/>
          <w:iCs w:val="1"/>
          <w:color w:val="auto"/>
        </w:rPr>
        <w:t>In re Cameron International Corp. Stockholders Litigation</w:t>
      </w:r>
      <w:r>
        <w:rPr>
          <w:rFonts w:ascii="Arial" w:cs="Arial" w:eastAsia="Arial" w:hAnsi="Arial"/>
          <w:sz w:val="16"/>
          <w:szCs w:val="16"/>
          <w:color w:val="auto"/>
        </w:rPr>
        <w:t>, Case No. 11506-VCN, and a Consolidated Amended Class Action Complaint (the “Consolidated Complaint”) was filed. The Consolidated Complaint generally alleges that Cameron’s directors breached their fiduciary duties to Company stockholders by, among other things, agreeing to enter into the transaction for an allegedly unfair price and as the result of an allegedly unfair process. The Consolidated Complaint also alleges that Cameron, Schlumberger US, Merger Sub and Schlumberger aided and abetted the alleged breaches by Cameron’s directors. The Consolidated Complaint seeks various remedies, including enjoining the merger from being consummated, rescission of the merger to the extent already implemented and the plaintiffs’ costs and fees.</w:t>
      </w:r>
    </w:p>
    <w:p>
      <w:pPr>
        <w:spacing w:after="0" w:line="166"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On October 30, 2015, plaintiffs in the consolidated class action moved to expedite discovery and to preliminarily enjoin the consummation of the merger. On November 6, 2015, following Cameron’s agreement to make certain supplemental disclosures, plaintiffs withdrew both their motion for expedited discovery and their motion for a preliminary injunction.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Cameron and Schlumberger expect similar lawsuits may be filed in the future.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Cameron and Schlumberger believe that the lawsuits in which they are named are without merit and intend to defend the lawsuits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0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47809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Schlumberger</w:t>
      </w:r>
    </w:p>
    <w:p>
      <w:pPr>
        <w:spacing w:after="0" w:line="229" w:lineRule="exact"/>
        <w:rPr>
          <w:sz w:val="20"/>
          <w:szCs w:val="20"/>
          <w:color w:val="auto"/>
        </w:rPr>
      </w:pPr>
    </w:p>
    <w:p>
      <w:pPr>
        <w:jc w:val="both"/>
        <w:ind w:left="200" w:right="200" w:firstLine="443"/>
        <w:spacing w:after="0" w:line="264" w:lineRule="auto"/>
        <w:rPr>
          <w:sz w:val="20"/>
          <w:szCs w:val="20"/>
          <w:color w:val="auto"/>
        </w:rPr>
      </w:pPr>
      <w:r>
        <w:rPr>
          <w:rFonts w:ascii="Arial" w:cs="Arial" w:eastAsia="Arial" w:hAnsi="Arial"/>
          <w:sz w:val="18"/>
          <w:szCs w:val="18"/>
          <w:color w:val="auto"/>
        </w:rPr>
        <w:t>The following table sets forth selected consolidated historical financial information of Schlumberger that has been derived from Schlumberger’s consolidated financial statements as of December 31, 2014, 2013, 2012, 2011 and 2010 and for the years then ended and as of September 30, 2015 and 2014 and for the nine months then ended. This disclosure does not include the effects of the merger.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You should read this financial information in conjunction with “Management’s Discussion and Analysis of Financial Condition and Results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Operations” and the consolidated financial statements and notes thereto in Schlumberger’s Annual Report on Form 10-K for the year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2014 and in its Quarterly Report on Form 10-Q for the nine months ended September 30, 2015 incorporated by reference in this document.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the section entitled “Where You Can Find More Information” beginning on page 128 of this proxy statement/prospectus. See also the pro forma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information set forth elsewhere in this proxy statement/prospectus regarding the proposed merger with Cameron. Schlumberger’s historical results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necessarily indicative of results to be expected in future periods.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As of/For the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60" w:type="dxa"/>
            <w:vAlign w:val="bottom"/>
            <w:gridSpan w:val="6"/>
            <w:vMerge w:val="restart"/>
          </w:tcPr>
          <w:p>
            <w:pPr>
              <w:jc w:val="right"/>
              <w:ind w:right="52"/>
              <w:spacing w:after="0"/>
              <w:rPr>
                <w:sz w:val="20"/>
                <w:szCs w:val="20"/>
                <w:color w:val="auto"/>
              </w:rPr>
            </w:pPr>
            <w:r>
              <w:rPr>
                <w:rFonts w:ascii="Arial" w:cs="Arial" w:eastAsia="Arial" w:hAnsi="Arial"/>
                <w:sz w:val="14"/>
                <w:szCs w:val="14"/>
                <w:b w:val="1"/>
                <w:bCs w:val="1"/>
                <w:color w:val="auto"/>
                <w:w w:val="96"/>
              </w:rPr>
              <w:t>As of/For the Years Ended December 31,</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(In millions, except per share data)</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27,731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35,939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48,580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45,266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41,731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36,579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26,280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5,643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6,801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5,230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4,516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3.32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7,522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13,085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10,518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12,700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11,788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10,001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7"/>
              </w:rPr>
              <w:t>63,342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68,320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66,904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67,100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61,547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55,201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51,767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5,204</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5,387</w:t>
            </w:r>
          </w:p>
        </w:tc>
        <w:tc>
          <w:tcPr>
            <w:tcW w:w="2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4,443</w:t>
            </w:r>
          </w:p>
        </w:tc>
        <w:tc>
          <w:tcPr>
            <w:tcW w:w="2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5,111</w:t>
            </w:r>
          </w:p>
        </w:tc>
        <w:tc>
          <w:tcPr>
            <w:tcW w:w="24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4,850</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7,487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10,565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10,393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9,509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8,556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0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37,941</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40,505</w:t>
            </w: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37,850</w:t>
            </w:r>
          </w:p>
        </w:tc>
        <w:tc>
          <w:tcPr>
            <w:tcW w:w="2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39,469</w:t>
            </w:r>
          </w:p>
        </w:tc>
        <w:tc>
          <w:tcPr>
            <w:tcW w:w="2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34,751</w:t>
            </w:r>
          </w:p>
        </w:tc>
        <w:tc>
          <w:tcPr>
            <w:tcW w:w="24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31,263</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31,226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20" w:hanging="423"/>
        <w:spacing w:after="0" w:line="264" w:lineRule="auto"/>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89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4189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Cameron</w:t>
      </w:r>
    </w:p>
    <w:p>
      <w:pPr>
        <w:spacing w:after="0" w:line="229"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The following table sets forth selected consolidated historical financial information of Cameron that has been derived from Cameron’s consolidated financial statements as of December 31, 2014, 2013, 2012, 2011 and 2010 and for the years then ended and as of September 30, 2015 and 2014 and for the nine months then ended. This disclosure does not include the effects of the merger.</w:t>
      </w:r>
    </w:p>
    <w:p>
      <w:pPr>
        <w:spacing w:after="0" w:line="18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You should read this financial information in conjunction with “Management’s Discussion and Analysis of Financial Condition and Results of Operations” and the consolidated financial statements and notes thereto in Cameron’s Annual Report on Form 10-K for the year ended December 31, 2014 and in its Quarterly Report on Form 10-Q for the nine months ended September 30, 2015 incorporated by reference in this document. See the section entitled “Where You Can Find More Information” beginning on page 128 of this proxy statement/prospectus. See also the pro forma information set forth elsewhere in this proxy statement/prospectus regarding the proposed merger with Schlumberger. Cameron’s historical results are not necessarily indicative of results to be expected in future periods.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As of/For the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gridSpan w:val="6"/>
            <w:vMerge w:val="restart"/>
          </w:tcPr>
          <w:p>
            <w:pPr>
              <w:jc w:val="right"/>
              <w:ind w:right="52"/>
              <w:spacing w:after="0"/>
              <w:rPr>
                <w:sz w:val="20"/>
                <w:szCs w:val="20"/>
                <w:color w:val="auto"/>
              </w:rPr>
            </w:pPr>
            <w:r>
              <w:rPr>
                <w:rFonts w:ascii="Arial" w:cs="Arial" w:eastAsia="Arial" w:hAnsi="Arial"/>
                <w:sz w:val="14"/>
                <w:szCs w:val="14"/>
                <w:b w:val="1"/>
                <w:bCs w:val="1"/>
                <w:color w:val="auto"/>
                <w:w w:val="94"/>
              </w:rPr>
              <w:t>As of/For the Years Ended December 31,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2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6"/>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(In millions, except per share data)</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6,703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7,577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10,381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9,138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7,795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6,348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5,644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w w:val="87"/>
              </w:rPr>
              <w:t>11,609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12,892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14,249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11,158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9,362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8,005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2,794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2,563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2,047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1,574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Cameron stockholders’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4,429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5,852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5,566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4,707</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4,392</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9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098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229"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The following unaudited pro forma condensed combined statements of income information for the nine months ended September 30, 2015 and the year ended December 31, 2014 has been prepared to give effect to the merger as if it had occurred on January 1, 2014. The unaudited pro forma condensed combined balance sheet information as of September 30, 2015 has been prepared to give effect to the merger as if it had occurred on September 30, 2015.</w:t>
      </w:r>
    </w:p>
    <w:p>
      <w:pPr>
        <w:spacing w:after="0" w:line="187" w:lineRule="exact"/>
        <w:rPr>
          <w:sz w:val="20"/>
          <w:szCs w:val="20"/>
          <w:color w:val="auto"/>
        </w:rPr>
      </w:pPr>
    </w:p>
    <w:p>
      <w:pPr>
        <w:ind w:left="200" w:right="300" w:firstLine="443"/>
        <w:spacing w:after="0" w:line="255" w:lineRule="auto"/>
        <w:rPr>
          <w:sz w:val="20"/>
          <w:szCs w:val="20"/>
          <w:color w:val="auto"/>
        </w:rPr>
      </w:pPr>
      <w:r>
        <w:rPr>
          <w:rFonts w:ascii="Arial" w:cs="Arial" w:eastAsia="Arial" w:hAnsi="Arial"/>
          <w:sz w:val="18"/>
          <w:szCs w:val="18"/>
          <w:color w:val="auto"/>
        </w:rPr>
        <w:t>This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“Risk Factors.” The following selected unaudited pro forma condensed combined financial information should be read in conjunction with the “Unaudited Pro Forma Condensed Combined Financial Statements” and related notes included elsewhere in this proxy statement/prospectus.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56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2015</w:t>
            </w: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2014</w:t>
            </w:r>
          </w:p>
        </w:tc>
      </w:tr>
      <w:tr>
        <w:trPr>
          <w:trHeight w:val="142"/>
        </w:trPr>
        <w:tc>
          <w:tcPr>
            <w:tcW w:w="7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(In millions, except per share amount)</w:t>
            </w:r>
          </w:p>
        </w:tc>
        <w:tc>
          <w:tcPr>
            <w:tcW w:w="10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Information:</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874"/>
              <w:spacing w:after="0"/>
              <w:rPr>
                <w:sz w:val="20"/>
                <w:szCs w:val="20"/>
                <w:color w:val="auto"/>
              </w:rPr>
            </w:pPr>
            <w:r>
              <w:rPr>
                <w:rFonts w:ascii="Arial" w:cs="Arial" w:eastAsia="Arial" w:hAnsi="Arial"/>
                <w:sz w:val="18"/>
                <w:szCs w:val="18"/>
                <w:color w:val="auto"/>
              </w:rPr>
              <w:t>34,434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58,961</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Schlumberger/Cameron</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rPr>
              <w:t>2,957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r>
      <w:tr>
        <w:trPr>
          <w:trHeight w:val="202"/>
        </w:trPr>
        <w:tc>
          <w:tcPr>
            <w:tcW w:w="7560" w:type="dxa"/>
            <w:vAlign w:val="bottom"/>
          </w:tcPr>
          <w:p>
            <w:pPr>
              <w:spacing w:after="0" w:line="201" w:lineRule="exact"/>
              <w:rPr>
                <w:sz w:val="20"/>
                <w:szCs w:val="20"/>
                <w:color w:val="auto"/>
              </w:rPr>
            </w:pPr>
            <w:r>
              <w:rPr>
                <w:rFonts w:ascii="Arial" w:cs="Arial" w:eastAsia="Arial" w:hAnsi="Arial"/>
                <w:sz w:val="18"/>
                <w:szCs w:val="18"/>
                <w:color w:val="auto"/>
              </w:rPr>
              <w:t>Diluted earnings per share from continuing operations attributable to</w:t>
            </w: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60" w:type="dxa"/>
            <w:vAlign w:val="bottom"/>
          </w:tcPr>
          <w:p>
            <w:pPr>
              <w:ind w:left="180"/>
              <w:spacing w:after="0"/>
              <w:rPr>
                <w:sz w:val="20"/>
                <w:szCs w:val="20"/>
                <w:color w:val="auto"/>
              </w:rPr>
            </w:pPr>
            <w:r>
              <w:rPr>
                <w:rFonts w:ascii="Arial" w:cs="Arial" w:eastAsia="Arial" w:hAnsi="Arial"/>
                <w:sz w:val="18"/>
                <w:szCs w:val="18"/>
                <w:color w:val="auto"/>
              </w:rPr>
              <w:t>Schlumberger/Cameron</w:t>
            </w:r>
          </w:p>
        </w:tc>
        <w:tc>
          <w:tcPr>
            <w:tcW w:w="320" w:type="dxa"/>
            <w:vAlign w:val="bottom"/>
          </w:tcPr>
          <w:p>
            <w:pPr>
              <w:spacing w:after="0"/>
              <w:rPr>
                <w:sz w:val="20"/>
                <w:szCs w:val="20"/>
                <w:color w:val="auto"/>
              </w:rPr>
            </w:pPr>
          </w:p>
        </w:tc>
        <w:tc>
          <w:tcPr>
            <w:tcW w:w="1880" w:type="dxa"/>
            <w:vAlign w:val="bottom"/>
          </w:tcPr>
          <w:p>
            <w:pPr>
              <w:jc w:val="right"/>
              <w:ind w:right="874"/>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369"/>
        </w:trPr>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r>
      <w:tr>
        <w:trPr>
          <w:trHeight w:val="142"/>
        </w:trPr>
        <w:tc>
          <w:tcPr>
            <w:tcW w:w="7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Information:</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83,187</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15,309</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9,089</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49,115</w:t>
            </w:r>
          </w:p>
        </w:tc>
      </w:tr>
    </w:tbl>
    <w:p>
      <w:pPr>
        <w:spacing w:after="0" w:line="175" w:lineRule="exact"/>
        <w:rPr>
          <w:sz w:val="20"/>
          <w:szCs w:val="20"/>
          <w:color w:val="auto"/>
        </w:rPr>
      </w:pPr>
    </w:p>
    <w:p>
      <w:pPr>
        <w:ind w:left="620" w:right="20" w:hanging="423"/>
        <w:spacing w:after="0" w:line="264" w:lineRule="auto"/>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38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4438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Data</w:t>
      </w:r>
    </w:p>
    <w:p>
      <w:pPr>
        <w:spacing w:after="0" w:line="229" w:lineRule="exact"/>
        <w:rPr>
          <w:sz w:val="20"/>
          <w:szCs w:val="20"/>
          <w:color w:val="auto"/>
        </w:rPr>
      </w:pPr>
    </w:p>
    <w:p>
      <w:pPr>
        <w:ind w:left="200" w:right="60" w:firstLine="443"/>
        <w:spacing w:after="0" w:line="308" w:lineRule="auto"/>
        <w:rPr>
          <w:sz w:val="20"/>
          <w:szCs w:val="20"/>
          <w:color w:val="auto"/>
        </w:rPr>
      </w:pPr>
      <w:r>
        <w:rPr>
          <w:rFonts w:ascii="Arial" w:cs="Arial" w:eastAsia="Arial" w:hAnsi="Arial"/>
          <w:sz w:val="17"/>
          <w:szCs w:val="17"/>
          <w:color w:val="auto"/>
        </w:rPr>
        <w:t>The following table presents: (1) historical per share information for Schlumberger; (2) pro forma per share information of the combined company after giving effect to the merger; and (3) historical and equivalent pro forma per share information for Cameron for the period indicated.</w:t>
      </w:r>
    </w:p>
    <w:p>
      <w:pPr>
        <w:spacing w:after="0" w:line="147"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The combined company pro forma per share information was derived by combining information from the historical consolidated financial statements of Schlumberger and Cameron. You should read this table together with the unaudited pro forma condensed combined financial statements and the notes thereto included in this proxy statement/prospectus and the historical consolidated financial statements of Schlumberger and Cameron that are filed with the Securities and Exchange Commission and incorporated by reference into this proxy statement/prospectus. You should not rely on the pro forma per share information as being necessarily indicative of actual results had the merger occurred on January 1, 2014 for statement of operations purposes or September 30, 2015 for book value per share data. The equivalent pro forma per share information was derived by multiplying the combined company pro forma per share information by the exchange ratio of 0.716.</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680" w:type="dxa"/>
            <w:vAlign w:val="bottom"/>
          </w:tcPr>
          <w:p>
            <w:pPr>
              <w:ind w:left="308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1"/>
          </w:tcPr>
          <w:p>
            <w:pPr>
              <w:jc w:val="right"/>
              <w:ind w:right="148"/>
              <w:spacing w:after="0"/>
              <w:rPr>
                <w:sz w:val="20"/>
                <w:szCs w:val="20"/>
                <w:color w:val="auto"/>
              </w:rPr>
            </w:pPr>
            <w:r>
              <w:rPr>
                <w:rFonts w:ascii="Arial" w:cs="Arial" w:eastAsia="Arial" w:hAnsi="Arial"/>
                <w:sz w:val="14"/>
                <w:szCs w:val="14"/>
                <w:b w:val="1"/>
                <w:bCs w:val="1"/>
                <w:color w:val="auto"/>
                <w:w w:val="97"/>
              </w:rPr>
              <w:t>Nine Months Ended September 30, 2015</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w w:val="99"/>
              </w:rPr>
              <w:t>Schlumberger</w:t>
            </w: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Cameron</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Combined</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Company</w:t>
            </w:r>
          </w:p>
        </w:tc>
        <w:tc>
          <w:tcPr>
            <w:tcW w:w="1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5"/>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(loss) per share from continuing operations</w:t>
            </w: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(0.29)</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6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5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8"/>
              <w:spacing w:after="0"/>
              <w:rPr>
                <w:sz w:val="20"/>
                <w:szCs w:val="20"/>
                <w:color w:val="auto"/>
              </w:rPr>
            </w:pPr>
            <w:r>
              <w:rPr>
                <w:rFonts w:ascii="Arial" w:cs="Arial" w:eastAsia="Arial" w:hAnsi="Arial"/>
                <w:sz w:val="18"/>
                <w:szCs w:val="18"/>
                <w:color w:val="auto"/>
              </w:rPr>
              <w:t>(0.29)</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30.09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23.21</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Year Ended December 31, 2014</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w w:val="99"/>
              </w:rPr>
              <w:t>Schlumberger</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Cameron</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Combined</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4.31</w:t>
            </w: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4.35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88"/>
              <w:spacing w:after="0"/>
              <w:rPr>
                <w:sz w:val="20"/>
                <w:szCs w:val="20"/>
                <w:color w:val="auto"/>
              </w:rPr>
            </w:pPr>
            <w:r>
              <w:rPr>
                <w:rFonts w:ascii="Arial" w:cs="Arial" w:eastAsia="Arial" w:hAnsi="Arial"/>
                <w:sz w:val="18"/>
                <w:szCs w:val="18"/>
                <w:color w:val="auto"/>
              </w:rPr>
              <w:t>3.83</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29.69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88"/>
              <w:spacing w:after="0"/>
              <w:rPr>
                <w:sz w:val="20"/>
                <w:szCs w:val="20"/>
                <w:color w:val="auto"/>
              </w:rPr>
            </w:pPr>
            <w:r>
              <w:rPr>
                <w:rFonts w:ascii="Arial" w:cs="Arial" w:eastAsia="Arial" w:hAnsi="Arial"/>
                <w:sz w:val="18"/>
                <w:szCs w:val="18"/>
                <w:color w:val="auto"/>
                <w:w w:val="97"/>
              </w:rPr>
              <w:t>22.78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13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7113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9"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for Schlumberger and Cameron common stock as reported on the NYSE, which is the principal trading market for both Schlumberger and Cameron common stock, and the cash dividends declared per share of Schlumberger and Cameron common stock.</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Schlumberger Common Stock</w:t>
            </w:r>
          </w:p>
        </w:tc>
        <w:tc>
          <w:tcPr>
            <w:tcW w:w="2520" w:type="dxa"/>
            <w:vAlign w:val="bottom"/>
            <w:gridSpan w:val="7"/>
          </w:tcPr>
          <w:p>
            <w:pPr>
              <w:ind w:left="440"/>
              <w:spacing w:after="0"/>
              <w:rPr>
                <w:sz w:val="20"/>
                <w:szCs w:val="20"/>
                <w:color w:val="auto"/>
              </w:rPr>
            </w:pPr>
            <w:r>
              <w:rPr>
                <w:rFonts w:ascii="Arial" w:cs="Arial" w:eastAsia="Arial" w:hAnsi="Arial"/>
                <w:sz w:val="14"/>
                <w:szCs w:val="14"/>
                <w:b w:val="1"/>
                <w:bCs w:val="1"/>
                <w:color w:val="auto"/>
              </w:rPr>
              <w:t>Cameron Common Stock</w:t>
            </w: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Cash</w:t>
            </w:r>
          </w:p>
        </w:tc>
        <w:tc>
          <w:tcPr>
            <w:tcW w:w="4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9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Dividends</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Declared</w:t>
            </w: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 (through November 10,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66.57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$ 0.5000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$71.22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$59.49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67.75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67.12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83.60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56.28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75.60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$ 0.4000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$66.88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$44.43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118.76</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100.30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74.89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65.88</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118.13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96.66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68.54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60.63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98.45</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85.77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64.38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94.91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84.91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$ 0.3125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$66.09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$52.50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71.84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54.83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69.08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65.51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$ 0.2750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$57.78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78.47</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64.19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53.84</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67.12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57.65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table sets forth the closing sale price per share of Schlumberger and Cameron common stock as reported on the NYSE as of August 25, 2015, the last trading day before the public announcement of the merger, and as of November 10, 2015, the most recent practicable trading day prior to the date of this proxy statement/prospectus. The table also shows the implied value of the merger consideration proposed for each share of Cameron common stock (including the cash consideration of $14.44 per share, without interest) as of the same dates. This implied value was calculated by adding (1) the product of the closing sale price of Schlumberger common stock on the relevant date and the exchange ratio of 0.716 and (2) the $14.44 per share cash amount.</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1"/>
              </w:rPr>
              <w:t>Schlumberger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Cameron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Equivalent</w:t>
            </w:r>
          </w:p>
        </w:tc>
      </w:tr>
      <w:tr>
        <w:trPr>
          <w:trHeight w:val="171"/>
        </w:trPr>
        <w:tc>
          <w:tcPr>
            <w:tcW w:w="3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Closing Price</w:t>
            </w:r>
          </w:p>
        </w:tc>
        <w:tc>
          <w:tcPr>
            <w:tcW w:w="1720" w:type="dxa"/>
            <w:vAlign w:val="bottom"/>
            <w:gridSpan w:val="3"/>
          </w:tcPr>
          <w:p>
            <w:pPr>
              <w:ind w:left="900"/>
              <w:spacing w:after="0"/>
              <w:rPr>
                <w:sz w:val="20"/>
                <w:szCs w:val="20"/>
                <w:color w:val="auto"/>
              </w:rPr>
            </w:pPr>
            <w:r>
              <w:rPr>
                <w:rFonts w:ascii="Arial" w:cs="Arial" w:eastAsia="Arial" w:hAnsi="Arial"/>
                <w:sz w:val="14"/>
                <w:szCs w:val="14"/>
                <w:b w:val="1"/>
                <w:bCs w:val="1"/>
                <w:color w:val="auto"/>
                <w:w w:val="89"/>
              </w:rPr>
              <w:t>Closing Price</w:t>
            </w:r>
          </w:p>
        </w:tc>
        <w:tc>
          <w:tcPr>
            <w:tcW w:w="9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Per Share Value</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25, 2015</w:t>
            </w:r>
          </w:p>
        </w:tc>
        <w:tc>
          <w:tcPr>
            <w:tcW w:w="1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November 10, 2015</w:t>
            </w:r>
          </w:p>
        </w:tc>
        <w:tc>
          <w:tcPr>
            <w:tcW w:w="19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78.77</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68.52</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70.84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The market prices of Schlumberger and Cameron common stock will fluctuate between the date of this proxy statement/prospectus and the completion of the merger. No assurance can be given concerning the market prices of Schlumberger or Cameron common stock before the completion of the merger or Schlumberger common stock after the completion of the merger. Because the exchange ratio is fixed in the merger agreement, the market value of the Schlumberger common stock that Cameron stockholders will receive in connection with the merger may vary significantly from the prices shown in the table above. Accordingly, Cameron stockholders are advised to obtain current market quotations for Schlumberger and Cameron common stock before deciding whether to vote for adoption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By voting in favor of the proposal to adopt the merger agreement, Cameron stockholders will be choosing to invest in Schlumberger common stock. An investment in Schlumberger common stock involves certain risks. Before deciding how to vote, Cameron stockholders should carefully consider the risks described below, those described in the section entitled “Cautionary Statement Regarding Forward-Looking Statements” and the other information contained in this proxy statement/prospectus or in the documents of Cameron and Schlumberger incorporated by reference into this proxy statement/prospectus, particularly the risk factors set forth in the documents of Cameron and Schlumberger incorporated by reference into this proxy statement/prospectus. See the section entitled “Where You Can Find More Information.” In addition to the risks set forth below, new risks may emerge from time to time and it is not possible to predict all risk factors, nor can Cameron or Schlumberger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The exchange ratio and per share cash amount are fixed and will not be adjusted in the event of any change in either Cameron’s or Schlumberger’s stock price.</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completion of the merger, each share of Cameron common stock issued and outstanding immediately prior to the completion of the merger (other than dissenting shares as described in “The Merger—Appraisal Rights” and other than shares held by Cameron or its subsidiaries) will be canceled and converted automatically into the right to receive (1) 0.716 shares of Schlumberger common stock and (2) $14.44 in cash, without interest, with cash paid in lieu of fractional shares. The exchange ratio and per share cash amount were fixed in the merger agreement and will not be adjusted for changes in the market price of either Cameron common stock or Schlumberger common stock. As such, the value of the merger consideration will depend in part on the price per share of Schlumberger common stock at the time the merger is completed. Changes in the price of Schlumberger common stock prior to the merger will affect the market value of the merger consideration that Cameron stockholders will become entitled to receive on the date of the merger. Neither party is permitted to abandon the merger or terminate the merger agreement solely because of changes in the market price of either party’s common stock. Stock price changes may result from a variety of factors (many of which are beyond Cameron’s or Schlumberger’s control), including:</w:t>
      </w:r>
    </w:p>
    <w:p>
      <w:pPr>
        <w:spacing w:after="0" w:line="72"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in Cameron’s and Schlumberger’s respective business, operations and prospects;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either company;</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market assessments of the likelihood that the merger will be completed, including related considerations regarding regulatory approvals of the merger;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interest rates, general market, industry and economic conditions and other factors generally affecting the price of Cameron’s and Schlumberger’s common stock, including sales prices for oil and gas; and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federal, state and local legislation, governmental regulation and legal developments in the businesses in which Cameron and Schlumberger operate.</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price of Schlumberger common stock at the closing of the merger may vary from its price on the date the merger agreement was executed, on the date of this proxy statement/prospectus and on the date of the special meeting. As a result, the market value represented by the exchange ratio will also vary. For example, based on the range of closing prices of Schlumberger common stock during the period from August 25, 2015 (the last trading day before the public announcement of the merger), through November 10, 2015 (the most recent practicable trading day before the date of this proxy statement/prospectus), the exchange ratio represented a market value ranging from a low of $62.88 to a high of $72.81 for each share of Cameron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880"/>
        <w:spacing w:after="0" w:line="375" w:lineRule="auto"/>
        <w:rPr>
          <w:sz w:val="20"/>
          <w:szCs w:val="20"/>
          <w:color w:val="auto"/>
        </w:rPr>
      </w:pPr>
      <w:r>
        <w:rPr>
          <w:rFonts w:ascii="Arial" w:cs="Arial" w:eastAsia="Arial" w:hAnsi="Arial"/>
          <w:sz w:val="15"/>
          <w:szCs w:val="15"/>
          <w:b w:val="1"/>
          <w:bCs w:val="1"/>
          <w:i w:val="1"/>
          <w:iCs w:val="1"/>
          <w:color w:val="auto"/>
        </w:rPr>
        <w:t>Because the date that the merger is completed will be later than the date of the special meeting, at the time of the special meeting, Cameron stockholders will not know the exact market value of the Schlumberger common stock that they will receive upon completion of the merger.</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the price of Schlumberger common stock declines between the date of the special meeting and the effective time of the merger, including for any of the reasons described above, Cameron stockholders will receive shares of Schlumberger common stock that have a market value upon completion of the merger that is less than the market value calculated pursuant to the exchange ratio on the date of the Cameron special meeting. Therefore, while the number of shares of Schlumberger common stock to be issued and delivered in the merger is fixed, Cameron stockholders cannot be sure of the market value of the Schlumberger common stock they will receive upon completion of the merger. In addition, the market value of the shares of Schlumberger common stock that Cameron stockholders will be entitled to receive in the merger also will continue to fluctuate after the completion of the merger and Cameron stockholders could lose the value of their investment in Schlumberger common stock.</w:t>
      </w:r>
    </w:p>
    <w:p>
      <w:pPr>
        <w:spacing w:after="0" w:line="286"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The market price for Schlumberger common stock may be affected by factors different from those that historically have affected the market price of Cameron common stock.</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completion of the merger, Cameron stockholders will become Schlumberger stockholders. Schlumberger’s business differs from that of Cameron, and accordingly the results of operations of Schlumberger will be affected by certain factors that are different from those currently affecting the results of operations of Cameron. For a discussion of the businesses of Schlumberger and Cameron and of some important factors to consider in connection with those businesses, see the section entitled “Where You Can Find More Information” for the location of information incorporated by reference into this proxy statement/prospectus.</w:t>
      </w:r>
    </w:p>
    <w:p>
      <w:pPr>
        <w:spacing w:after="0" w:line="296" w:lineRule="exact"/>
        <w:rPr>
          <w:sz w:val="20"/>
          <w:szCs w:val="20"/>
          <w:color w:val="auto"/>
        </w:rPr>
      </w:pPr>
    </w:p>
    <w:p>
      <w:pPr>
        <w:ind w:left="240" w:right="880"/>
        <w:spacing w:after="0" w:line="277" w:lineRule="auto"/>
        <w:rPr>
          <w:sz w:val="20"/>
          <w:szCs w:val="20"/>
          <w:color w:val="auto"/>
        </w:rPr>
      </w:pPr>
      <w:r>
        <w:rPr>
          <w:rFonts w:ascii="Arial" w:cs="Arial" w:eastAsia="Arial" w:hAnsi="Arial"/>
          <w:sz w:val="18"/>
          <w:szCs w:val="18"/>
          <w:b w:val="1"/>
          <w:bCs w:val="1"/>
          <w:i w:val="1"/>
          <w:iCs w:val="1"/>
          <w:color w:val="auto"/>
        </w:rPr>
        <w:t>Cameron stockholders will have a significantly reduced ownership and voting interest after the merger and will exercise less influence over management.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after the completion of the merger, it is expected that Cameron stockholders, who collectively own 100% of Cameron, will own approximately 10% of Schlumberger based on the number of shares of Cameron common stock and Schlumberger common stock outstanding. Consequently, Cameron stockholders will have less influence over the management and policies of Schlumberger than they currently have over the management and policies of Cameron.</w:t>
      </w:r>
    </w:p>
    <w:p>
      <w:pPr>
        <w:spacing w:after="0" w:line="295"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The unaudited pro forma condensed combined financial statements included in this proxy statement/prospectus are presented for illustrative purposes only and the actual financial condition and results of operations of Schlumberger following the merger may differ materially.</w:t>
      </w:r>
    </w:p>
    <w:p>
      <w:pPr>
        <w:spacing w:after="0" w:line="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unaudited pro forma condensed combined financial statements contained in this proxy statement/prospectus are presented for illustrative purposes only, are based on various adjustments, assumptions and preliminary estimates, and may not be an indication of Schlumberger’s financial condition or results of operations following the merger for several reasons. The actual financial condition and results of operations of Schlumberger following the merger may not be consistent with, or evident from, these unaudited pro forma condensed combined financial statements. In addition, the assumptions used in preparing the unaudited pro forma financial information may not prove to be accurate, and other factors may affect Schlumberger’s financial condition or results of operations following the merger. Any potential decline in Schlumberger’s financial condition or results of operations may cause significant variations in the stock price of Schlumberger. For more information, see the section entitled “Summary—Selected Unaudited Pro Forma Condensed Combined Financial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Cameron’s directors and executive officers have interests in the merger that may be different from, and in addition to, the interests of other Cameron stockholders.</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Executive officers of Cameron negotiated the terms of the merger agreement with their counterparts at Schlumberger, and the Cameron board of directors determined that entering into the merger agreement was in the best interests of Cameron and its stockholders, declared the merger agreement advisable and recommended that Cameron stockholders approve the proposal to adopt the merger agreement. In considering these facts and the other information contained in this proxy statement/prospectus, you should be aware that Cameron’s directors and executive officers are parties to agreements or participants in other arrangements that give them interests in the merger that may be different from, or in addition to, the interests of the other stockholders of Cameron, which could create conflicts of interest in their determinations to recommend the merger. The Cameron board of directors was aware of these interests and considered them, among other matters, in approving the merger agreement and the transactions contemplated thereby and making its recommendation that Cameron’s stockholders vote in favor of the proposal to adopt the merger agreement. Cameron stockholders should consider these interests in voting on the merger. See the sections entitled “The Merger—Interests of Cameron’s Directors and Executive Officers in the Merger” and “Advisory Vote on Merger-Related Compensation for Cameron’s Named Executive Officers” for additional details regarding these interests.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Schlumberger and Cameron will be subject to business uncertainties and certain operating restrictions until completion of the merger.</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pending merger, some of the suppliers and customers of Cameron and/or Schlumberger may delay or defer sales and purchasing decisions, which could negatively impact revenues, earnings and cash flows regardless of whether the merger is completed. Additionally, Cameron and Schlumberger have each agreed in the merger agreement to refrain from taking certain actions with respect to their business and financial affairs during the pendency of the merger, which restrictions could be in place for an extended period of time if completion of the merger is delayed and could adversely impact Cameron’s and Schlumberger’s ability to execute certain of their business strategies and their financial condition, results of operations or cash flows. See the section entitled “The Merger Agreement—Conduct of Business Pending the Effective Time” for a description of the restrictive covenants to which each of Schlumberger and Cameron is subject.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Cameron may be unable to attract and retain key employees during the pendency of the merger.</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pending merger, current and prospective employees of Cameron may experience uncertainty about their future roles with the combined company following the merger, which may materially adversely affect the ability of Cameron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Cameron will be able to attract and retain key employees to the same extent that Cameron has been able to in the past.</w:t>
      </w:r>
    </w:p>
    <w:p>
      <w:pPr>
        <w:spacing w:after="0" w:line="29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ability of Cameron and Schlumberger to complete the merger is subject to the approval of Cameron stockholders, certain closing conditions and the receipt of consents and approvals from government entities which may impose conditions that could adversely affect Cameron or Schlumberger or cause the merger to be abandoned.</w:t>
      </w:r>
    </w:p>
    <w:p>
      <w:pPr>
        <w:spacing w:after="0" w:line="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merger agreement contains certain closing conditions, including approval of the merger by Cameron stockholders, the absence of injunctions or other legal restrictions and that no material adverse effect shall have occurred with respect to either company.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Cameron and Schlumberger will be unable to complete the merger until the expiration or termination of the applicable waiting period under the HSR Act and consents and approvals are received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European Commission and various other governmental entities. Regulatory entities may impose certain requirements or obligations as conditions for their approval. The merger agreement may require Cameron and/or Schlumberger to accept conditions from these regulators that could adversely impact the combined company. If the regulatory clearances are not received, or they are not received on terms that satisfy the conditions set forth in the merger agreement, then neither Schlumberger nor Cameron will be obligated to complete the merger.</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Cameron and Schlumberger.</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the merger is not completed, the ongoing businesses and the market price of the common stock of Cameron and/or Schlumberger may be adversely affected and Cameron and Schlumberger will be subject to several risks, including Cameron being required, under certain circumstances, to pay Schlumberger US a termination fee of $321 million; Cameron, Schlumberger US or Schlumberger having to pay certain costs relating to the merger; and diverting the focus of management from pursuing other opportunities that could be beneficial to each of Cameron, Schlumberger US and Schlumberger, in each case, without realizing any of the benefits which might have resulted had the merger been completed.</w:t>
      </w:r>
    </w:p>
    <w:p>
      <w:pPr>
        <w:spacing w:after="0" w:line="28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Multiple lawsuits have been filed against Cameron challenging the merger, and an adverse ruling in any such lawsuit may prevent the merger from being completed.</w:t>
      </w:r>
    </w:p>
    <w:p>
      <w:pPr>
        <w:spacing w:after="0" w:line="62"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Subsequent to the announcement of the merger, three putative class action lawsuits were commenced on behalf of stockholders of Cameron against Cameron, its directors, Schlumberger US, Merger Sub and Schlumberger. Additional lawsuits with similar allegations may be filed. See “The Merger— Litigation Relating to the Merger” for more information about the lawsuits related to the merger that have been filed.</w:t>
      </w:r>
    </w:p>
    <w:p>
      <w:pPr>
        <w:spacing w:after="0" w:line="166"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 frame.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 agreement contains restrictions on the ability of Cameron to pursue other alternatives to the merger.</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merger agreement contains non-solicitation provisions that, subject to limited exceptions, restrict the ability of Cameron to solicit, initiate, knowingly encourage or knowingly facilitate any competing acquisition proposal. Further, subject to limited exceptions, consistent with applicable law, the merger agreement provides that the Cameron board of directors will not fail to make, withdraw, modify or qualify, or propose publicly to withhold, withdraw, modify or qualify, in any manner adverse to Schlumberger or its affiliates its recommendation that Cameron stockholders vote in favor of the proposal to adopt the merger agreement, and in specified circumstances Schlumberger has a right to negotiate with Cameron in order to match any competing acquisition proposals that may be made. Although the Cameron board of directors is permitted to take certain actions in response to a superior proposal or an acquisition proposal that is reasonably likely to result in a superior proposal if it determines that the failure to do so would be inconsistent with its fiduciary duties, doing so in specified situations could require Cameron to pay to Schlumberger US a termination fee of $321 million. See the section entitled “The Merger Agreement—Certain Additional Agreements—No Solicitation; Recommendation,” the section entitled “The Merger Agreement—Termination, Amendment and Waiver—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Termination” and the section entitled “The Merger Agreement—Termination, Amendment and Waiver—Fees and Expenses” for a more complete discussion of these restrictions and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Such provisions could discourage a potential acquiror that might have an interest in making a proposal from considering or proposing any such acquisition, even if it were prepared to pay consideration with a higher value than that to be paid in the merger. There also is a risk that the requirement to pay the termination fee or expense payment to Schlumberger US in certain circumstances may result in a potential acquiror proposing to pay a lower per share price to acquire Cameron than it might otherwise have proposed to pay.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Combined Company Upon Completion of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Schlumberger may fail to realize the anticipated benefits of the merger.</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success of the merger will depend on, among other things, Schlumberger’s ability to combine its business with that of Cameron in a manner that facilitates growth opportunities and realizes anticipated synergies. However, Schlumberger must successfully combine the businesses of Schlumberger and Cameron in a manner that permits these benefits to be realized. In addition, Schlumberger must achieve the anticipated synergies without adversely affecting current revenues and investments in future growth. If Schlumberger is not able to successfully achieve these objectives, the anticipated benefits of the merger may not be realized fully, or at all, or may take longer to realize than expected.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combined company could incur substantial expenses related to the merger and the integration of Cameron and Schlumberger.</w:t>
      </w:r>
    </w:p>
    <w:p>
      <w:pPr>
        <w:spacing w:after="0" w:line="1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Cameron and Schlumberger expect that the combined company will incur substantial expenses in connection with the merger and the integration of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Schlumberger expects to achieve from the elimination of duplicative expenses and the realization of economies of scale and cost savings and revenue enhancements related to the integration of the businesses following the completion of the merger, and accordingly, any anticipated net benefits may not be achieved in the near term or at all. These integration expenses may result in the combined company taking significant charges against earnings following the completion of the merger.</w:t>
      </w:r>
    </w:p>
    <w:p>
      <w:pPr>
        <w:spacing w:after="0" w:line="290"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Cameron’s and Schlumberger’s businesses and realize the anticipated benefits of the merger.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merger involves the combination of two companies that historically have operated and currently operate as independent public companies.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success of Schlumberger’s acquisition of Cameron will depend in large part on the success of the management of the combined company in integrating the operations, strategies, technologies and personnel of the two companies following the completion of the merger. Schlumberger may fail to realize some or all of the anticipated benefits of the merger if the integration process takes longer than expected or is more costly than expected. The failure of Schlumberger to meet the challenges involved in successfully integrating the operations of Cameron or to otherwise realize any of the anticipated benefits of the merger, including additional cost savings and synergies, could impair the operations of Schlumberger. The combined company will be required to devote management attention and resources to integrating its business practices and operations, and prior to the merger, management attention and resources will be required to plan for such integration.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issues and difficulties the combined company may encounter in the integration process include the following:</w:t>
      </w:r>
    </w:p>
    <w:p>
      <w:pPr>
        <w:spacing w:after="0" w:line="131" w:lineRule="exact"/>
        <w:rPr>
          <w:sz w:val="20"/>
          <w:szCs w:val="20"/>
          <w:color w:val="auto"/>
        </w:rPr>
      </w:pPr>
    </w:p>
    <w:p>
      <w:pPr>
        <w:jc w:val="both"/>
        <w:ind w:left="900" w:right="20" w:hanging="446"/>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Cameron and Schlumberger in a manner that permits the combined company to achieve the cost savings and operating synergies anticipated to result from the merger, which could result in the anticipated benefits of the merger not being realized partly or wholly in the time frame currently anticipated or at all;</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integrating personnel from the two companies while maintaining focus on providing consistent, high quality products and customer service;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either Schlumberger or Cameron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Schlumberger’s performance following the merger could be adversely affected if the combined company is unable to retain certain key employees and skilled workers of Cameron. It is possible that these employees may decide not to remain with Cameron while the merger is pending or with the combined company after the merger is consummated. The loss of the services of one or more of these key employees and skilled workers could adversely affect Schlumberger’s future operating results because of their experience and knowledge of Cameron’s business. In addition, current and prospective employees of Schlumberger and Cameron may experience uncertainty about their future roles with the company until after the merger is completed. This may adversely affect the ability of Schlumberger and Cameron to attract and retain key personnel, which could adversely affect Schlumberger’s performance following the merger.</w:t>
      </w:r>
    </w:p>
    <w:p>
      <w:pPr>
        <w:spacing w:after="0" w:line="297" w:lineRule="exact"/>
        <w:rPr>
          <w:sz w:val="20"/>
          <w:szCs w:val="20"/>
          <w:color w:val="auto"/>
        </w:rPr>
      </w:pPr>
    </w:p>
    <w:p>
      <w:pPr>
        <w:ind w:left="240" w:right="640"/>
        <w:spacing w:after="0" w:line="277"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Cameron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Under the terms of the merger agreement, Schlumberger has the right, but not the obligation, to oppose or refuse to consent, through litigation or otherwise, to any request, attempt or demand by any governmental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Please see “The Merger Agreement—Certain Additional Agreements—Filings” for more information. If Schlumberger agrees to undertake divestitures or comply with operating restrictions in 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Common Stock Following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market value of Schlumberger common stock could decline if large amounts of its common stock are sold following the merger.</w:t>
      </w:r>
    </w:p>
    <w:p>
      <w:pPr>
        <w:spacing w:after="0" w:line="1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Following the merger, stockholders of Schlumberger and former stockholders of Cameron will own interests in a combined company operating an expanded business with more assets and a different mix of liabilities. Current stockholders of Schlumberger and Cameron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Cameron common stock is included. If, following the merger, large amounts of Schlumberger common stock are sold, the price of its common stock could decline.</w:t>
      </w:r>
    </w:p>
    <w:p>
      <w:pPr>
        <w:spacing w:after="0" w:line="281"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 merger may not be accretive, and may be dilutive, to Schlumberger’s earnings per share in the near term, which may negatively affect the market price of Schlumberger common stock.</w:t>
      </w:r>
    </w:p>
    <w:p>
      <w:pPr>
        <w:spacing w:after="0" w:line="62"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Schlumberger anticipates that the merger will be accretive to earnings per share by the end of the first year after closing. However, the merger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7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279"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 shares of Schlumberger common stock to be received by Cameron stockholders upon the completion of the merger will have different rights from shares of Cameron common stock.</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completion of the merger, Cameron stockholders will no longer be stockholders of Cameron, a Delaware corporation, but will instead become shareholders of Schlumberger, a company organized under the laws of Curaçao, and their rights as shareholders will be governed by Curaçao law and Schlumberger’s articles of incorporation and by-laws. Curaçao law and the terms of Schlumberger’s articles of incorporation and by-laws may be materially different than Delaware law and the terms of Cameron’s restated certificate of incorporation and amended and restated bylaws, which currently govern the rights of Cameron stockholders. Please see “Comparison of Shareholder Rights” for a discussion of the different rights associated with Schlumberger common stock.</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Cameron and Schlumberger</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Schlumberger and Cameron are, and following completion of the merger, the combined company will continue to be, subject to the risks described above. In addition, Schlumberger is, and will continue to be, subject to the risks described in (A) Part I, Item 1A in Schlumberger’s Annual Report on Form 10-K for the year ended December 31, 2014, filed with the SEC on January 29, 2015 and (B) Part II, Item 1A in Schlumberger’s Quarterly Report on Form 10-Q for the quarter ended September 30, 2015, filed with the SEC on October 21, 2015 and Cameron is, and will continue to be, subject to the risks described in (A) Part I, Item 1A in Cameron’s Annual Report on Form 10-K for the year ended December 31, 2014, filed with the SEC on February 20, 2015,</w:t>
      </w:r>
    </w:p>
    <w:p>
      <w:pPr>
        <w:spacing w:after="0" w:line="2" w:lineRule="exact"/>
        <w:rPr>
          <w:sz w:val="20"/>
          <w:szCs w:val="20"/>
          <w:color w:val="auto"/>
        </w:rPr>
      </w:pPr>
    </w:p>
    <w:p>
      <w:pPr>
        <w:jc w:val="both"/>
        <w:ind w:right="40" w:firstLine="8"/>
        <w:spacing w:after="0" w:line="253" w:lineRule="auto"/>
        <w:tabs>
          <w:tab w:leader="none" w:pos="2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 II, Item 1A in Cameron’s Quarterly Report on Form 10-Q for the quarter ended March 31, 2015, filed with the SEC on April 24, 2015, (C) Part II, Item 1A in Cameron’s Quarterly Report on Form 10-Q for the quarter ended June 30, 2015, filed with the SEC on July 24, 2015 and (D) Part II, Item 1A in Cameron’s Quarterly Report on Form 10-Q for the quarter ended September 30, 2015, filed with the SEC on October 22, 2015, each of which is incorporated by reference into this proxy statement/prospectus. See “Where You Can Find More Information” for the location of information incorporated by reference in this proxy statement/prospectus.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proxy statement/prospectus and the documents incorporated by reference herein include “forward-looking statements” about Schlumberger, Cameron and the combined company within the meaning of Section 27A of the Securities Act of 1933, as amended, which we refer to as the Securities Act, Section 21E of the Exchange Act, and the Private Securities Litigation Reform Act of 1995.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Similarly, statements that describe future plans, objectives or goals or future revenues or other financial metrics are also forward-looking statements. Although Schlumberger and Cameron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Schlumberger and Cameron will not be able to retain key employees, expenses of the merger, the timing to consummate the proposed transaction, the ability to successfully integrate the merged businesses and other risk factors.</w:t>
      </w:r>
    </w:p>
    <w:p>
      <w:pPr>
        <w:spacing w:after="0" w:line="16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and elsewhere in this proxy statement/prospectus and the documents incorporated by reference herein, could affect the future results of the energy industry in general, and Schlumberger after the merger in particular, and could cause those results to differ materially from those expressed in or implied by such forward-looking statements:</w:t>
      </w:r>
    </w:p>
    <w:p>
      <w:pPr>
        <w:sectPr>
          <w:pgSz w:w="11900" w:h="16838" w:orient="portrait"/>
          <w:cols w:equalWidth="0" w:num="1">
            <w:col w:w="11300"/>
          </w:cols>
          <w:pgMar w:left="240" w:top="459" w:right="359" w:bottom="1440" w:gutter="0" w:footer="0" w:header="0"/>
        </w:sectPr>
      </w:pPr>
    </w:p>
    <w:p>
      <w:pPr>
        <w:spacing w:after="0" w:line="132" w:lineRule="exact"/>
        <w:rPr>
          <w:sz w:val="20"/>
          <w:szCs w:val="20"/>
          <w:color w:val="auto"/>
        </w:rPr>
      </w:pPr>
    </w:p>
    <w:p>
      <w:pPr>
        <w:ind w:left="780" w:hanging="407"/>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780" w:right="32" w:hanging="407"/>
        <w:spacing w:after="0" w:line="264"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companies’ customers and changes in the level of oil and natural gas exploration and development;</w:t>
      </w:r>
    </w:p>
    <w:p>
      <w:pPr>
        <w:spacing w:after="0" w:line="86" w:lineRule="exact"/>
        <w:rPr>
          <w:rFonts w:ascii="Arial" w:cs="Arial" w:eastAsia="Arial" w:hAnsi="Arial"/>
          <w:sz w:val="18"/>
          <w:szCs w:val="18"/>
          <w:color w:val="auto"/>
        </w:rPr>
      </w:pPr>
    </w:p>
    <w:p>
      <w:pPr>
        <w:ind w:left="780" w:right="292" w:hanging="407"/>
        <w:spacing w:after="0" w:line="308" w:lineRule="auto"/>
        <w:tabs>
          <w:tab w:leader="none" w:pos="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general economic, political, social and business conditions in key regions of the world, including Russia and Ukraine;</w:t>
      </w:r>
    </w:p>
    <w:p>
      <w:pPr>
        <w:spacing w:after="0" w:line="51" w:lineRule="exact"/>
        <w:rPr>
          <w:rFonts w:ascii="Arial" w:cs="Arial" w:eastAsia="Arial" w:hAnsi="Arial"/>
          <w:sz w:val="17"/>
          <w:szCs w:val="17"/>
          <w:color w:val="auto"/>
        </w:rPr>
      </w:pPr>
    </w:p>
    <w:p>
      <w:pPr>
        <w:ind w:left="780" w:hanging="407"/>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780" w:right="52" w:hanging="407"/>
        <w:spacing w:after="0" w:line="302" w:lineRule="auto"/>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changes in government regulations and regulatory requirements, including those related to offshore oil and gas exploration, radioactive sources, explosives, chemicals, hydraulic fracturing services, technology and climate-related initiatives;</w:t>
      </w:r>
    </w:p>
    <w:p>
      <w:pPr>
        <w:spacing w:after="0" w:line="59" w:lineRule="exact"/>
        <w:rPr>
          <w:rFonts w:ascii="Arial" w:cs="Arial" w:eastAsia="Arial" w:hAnsi="Arial"/>
          <w:sz w:val="16"/>
          <w:szCs w:val="16"/>
          <w:color w:val="auto"/>
        </w:rPr>
      </w:pPr>
    </w:p>
    <w:p>
      <w:pPr>
        <w:ind w:left="780" w:right="872" w:hanging="407"/>
        <w:spacing w:after="0" w:line="277"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408" w:hanging="408"/>
        <w:spacing w:after="0"/>
        <w:tabs>
          <w:tab w:leader="none" w:pos="40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overall demand for, and pricing of, the companies’ products;</w:t>
      </w:r>
    </w:p>
    <w:p>
      <w:pPr>
        <w:spacing w:after="0" w:line="142" w:lineRule="exact"/>
        <w:rPr>
          <w:rFonts w:ascii="Arial" w:cs="Arial" w:eastAsia="Arial" w:hAnsi="Arial"/>
          <w:sz w:val="17"/>
          <w:szCs w:val="17"/>
          <w:color w:val="auto"/>
        </w:rPr>
      </w:pPr>
    </w:p>
    <w:p>
      <w:pPr>
        <w:ind w:left="408" w:hanging="408"/>
        <w:spacing w:after="0"/>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size and timing of orders;</w:t>
      </w:r>
    </w:p>
    <w:p>
      <w:pPr>
        <w:spacing w:after="0" w:line="130" w:lineRule="exact"/>
        <w:rPr>
          <w:rFonts w:ascii="Arial" w:cs="Arial" w:eastAsia="Arial" w:hAnsi="Arial"/>
          <w:sz w:val="18"/>
          <w:szCs w:val="18"/>
          <w:color w:val="auto"/>
        </w:rPr>
      </w:pPr>
    </w:p>
    <w:p>
      <w:pPr>
        <w:ind w:left="408" w:right="160" w:hanging="408"/>
        <w:spacing w:after="0" w:line="277" w:lineRule="auto"/>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companies’ ability to successfully execute large subsea and drilling projects they have been awarded;</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possibility of cancellations of orders in backlog;</w:t>
      </w:r>
    </w:p>
    <w:p>
      <w:pPr>
        <w:spacing w:after="0" w:line="130" w:lineRule="exact"/>
        <w:rPr>
          <w:rFonts w:ascii="Arial" w:cs="Arial" w:eastAsia="Arial" w:hAnsi="Arial"/>
          <w:sz w:val="18"/>
          <w:szCs w:val="18"/>
          <w:color w:val="auto"/>
        </w:rPr>
      </w:pPr>
    </w:p>
    <w:p>
      <w:pPr>
        <w:ind w:left="408" w:right="360" w:hanging="408"/>
        <w:spacing w:after="0" w:line="277" w:lineRule="auto"/>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companies’ ability to convert backlog into revenues on a timely and profitable basis;</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warranty and product liability claims;</w:t>
      </w:r>
    </w:p>
    <w:p>
      <w:pPr>
        <w:spacing w:after="0" w:line="130" w:lineRule="exact"/>
        <w:rPr>
          <w:rFonts w:ascii="Arial" w:cs="Arial" w:eastAsia="Arial" w:hAnsi="Arial"/>
          <w:sz w:val="18"/>
          <w:szCs w:val="18"/>
          <w:color w:val="auto"/>
        </w:rPr>
      </w:pPr>
    </w:p>
    <w:p>
      <w:pPr>
        <w:ind w:left="408" w:right="400" w:hanging="408"/>
        <w:spacing w:after="0" w:line="277" w:lineRule="auto"/>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impact of acquisitions the companies have made or may make;</w:t>
      </w:r>
    </w:p>
    <w:p>
      <w:pPr>
        <w:spacing w:after="0" w:line="75" w:lineRule="exact"/>
        <w:rPr>
          <w:rFonts w:ascii="Arial" w:cs="Arial" w:eastAsia="Arial" w:hAnsi="Arial"/>
          <w:sz w:val="18"/>
          <w:szCs w:val="18"/>
          <w:color w:val="auto"/>
        </w:rPr>
      </w:pPr>
    </w:p>
    <w:p>
      <w:pPr>
        <w:ind w:left="408" w:right="400" w:hanging="408"/>
        <w:spacing w:after="0" w:line="277" w:lineRule="auto"/>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changes in the price of (and demand for) oil and gas in both domestic and international markets;</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raw material costs and availability;</w:t>
      </w:r>
    </w:p>
    <w:p>
      <w:pPr>
        <w:spacing w:after="0" w:line="130" w:lineRule="exact"/>
        <w:rPr>
          <w:rFonts w:ascii="Arial" w:cs="Arial" w:eastAsia="Arial" w:hAnsi="Arial"/>
          <w:sz w:val="18"/>
          <w:szCs w:val="18"/>
          <w:color w:val="auto"/>
        </w:rPr>
      </w:pPr>
    </w:p>
    <w:p>
      <w:pPr>
        <w:ind w:left="408" w:hanging="408"/>
        <w:spacing w:after="0"/>
        <w:tabs>
          <w:tab w:leader="none" w:pos="4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fluctuations in currency markets worldwide;</w:t>
      </w:r>
    </w:p>
    <w:p>
      <w:pPr>
        <w:spacing w:after="0" w:line="565" w:lineRule="exact"/>
        <w:rPr>
          <w:sz w:val="20"/>
          <w:szCs w:val="20"/>
          <w:color w:val="auto"/>
        </w:rPr>
      </w:pPr>
    </w:p>
    <w:p>
      <w:pPr>
        <w:sectPr>
          <w:pgSz w:w="11900" w:h="16838" w:orient="portrait"/>
          <w:cols w:equalWidth="0" w:num="2">
            <w:col w:w="5472" w:space="720"/>
            <w:col w:w="5108"/>
          </w:cols>
          <w:pgMar w:left="240" w:top="459" w:right="359" w:bottom="1440" w:gutter="0" w:footer="0" w:header="0"/>
          <w:type w:val="continuous"/>
        </w:sectPr>
      </w:pPr>
    </w:p>
    <w:p>
      <w:pPr>
        <w:spacing w:after="0" w:line="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00"/>
          </w:cols>
          <w:pgMar w:left="240" w:top="459"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780" w:hanging="407"/>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Schlumberger’s ability to integrate the operations of Cameron;</w:t>
      </w:r>
    </w:p>
    <w:p>
      <w:pPr>
        <w:spacing w:after="0" w:line="153" w:lineRule="exact"/>
        <w:rPr>
          <w:rFonts w:ascii="Arial" w:cs="Arial" w:eastAsia="Arial" w:hAnsi="Arial"/>
          <w:sz w:val="16"/>
          <w:szCs w:val="16"/>
          <w:color w:val="auto"/>
        </w:rPr>
      </w:pPr>
    </w:p>
    <w:p>
      <w:pPr>
        <w:ind w:left="780" w:right="312" w:hanging="407"/>
        <w:spacing w:after="0" w:line="308" w:lineRule="auto"/>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 and timing of any cost savings synergies or other efficiencies expected to result from the merger;</w:t>
      </w:r>
    </w:p>
    <w:p>
      <w:pPr>
        <w:spacing w:after="0" w:line="51" w:lineRule="exact"/>
        <w:rPr>
          <w:rFonts w:ascii="Arial" w:cs="Arial" w:eastAsia="Arial" w:hAnsi="Arial"/>
          <w:sz w:val="17"/>
          <w:szCs w:val="17"/>
          <w:color w:val="auto"/>
        </w:rPr>
      </w:pPr>
    </w:p>
    <w:p>
      <w:pPr>
        <w:ind w:left="780" w:hanging="407"/>
        <w:spacing w:after="0"/>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failure to retain certain key employees and skilled workers;</w:t>
      </w:r>
    </w:p>
    <w:p>
      <w:pPr>
        <w:spacing w:after="0" w:line="142" w:lineRule="exact"/>
        <w:rPr>
          <w:rFonts w:ascii="Arial" w:cs="Arial" w:eastAsia="Arial" w:hAnsi="Arial"/>
          <w:sz w:val="17"/>
          <w:szCs w:val="17"/>
          <w:color w:val="auto"/>
        </w:rPr>
      </w:pPr>
    </w:p>
    <w:p>
      <w:pPr>
        <w:ind w:left="780" w:right="92" w:hanging="407"/>
        <w:spacing w:after="0" w:line="277"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future and pro forma financial condition or results of operations and future revenues and expenses;</w:t>
      </w:r>
    </w:p>
    <w:p>
      <w:pPr>
        <w:spacing w:after="0" w:line="75" w:lineRule="exact"/>
        <w:rPr>
          <w:rFonts w:ascii="Arial" w:cs="Arial" w:eastAsia="Arial" w:hAnsi="Arial"/>
          <w:sz w:val="18"/>
          <w:szCs w:val="18"/>
          <w:color w:val="auto"/>
        </w:rPr>
      </w:pPr>
    </w:p>
    <w:p>
      <w:pPr>
        <w:ind w:left="780" w:right="192" w:hanging="407"/>
        <w:spacing w:after="0" w:line="277"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ability to complete the merger on the anticipated terms and timetable;</w:t>
      </w:r>
    </w:p>
    <w:p>
      <w:pPr>
        <w:spacing w:after="0" w:line="75" w:lineRule="exact"/>
        <w:rPr>
          <w:rFonts w:ascii="Arial" w:cs="Arial" w:eastAsia="Arial" w:hAnsi="Arial"/>
          <w:sz w:val="18"/>
          <w:szCs w:val="18"/>
          <w:color w:val="auto"/>
        </w:rPr>
      </w:pPr>
    </w:p>
    <w:p>
      <w:pPr>
        <w:ind w:left="780" w:right="212" w:hanging="407"/>
        <w:spacing w:after="0" w:line="277"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regulatory conditions which may be imposed as a condition to approval of the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408" w:right="60" w:hanging="408"/>
        <w:spacing w:after="0" w:line="259" w:lineRule="auto"/>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risks described under the caption “Risk Factors” in Schlumberger’s and Cameron’s Annual Reports on Form 10-K for the year ended December 31, 2014 and subsequent Quarterly Reports on Form 10-Q; and</w:t>
      </w:r>
    </w:p>
    <w:p>
      <w:pPr>
        <w:spacing w:after="0" w:line="92" w:lineRule="exact"/>
        <w:rPr>
          <w:rFonts w:ascii="Arial" w:cs="Arial" w:eastAsia="Arial" w:hAnsi="Arial"/>
          <w:sz w:val="18"/>
          <w:szCs w:val="18"/>
          <w:color w:val="auto"/>
        </w:rPr>
      </w:pPr>
    </w:p>
    <w:p>
      <w:pPr>
        <w:ind w:left="408" w:right="120" w:hanging="408"/>
        <w:spacing w:after="0" w:line="297" w:lineRule="auto"/>
        <w:tabs>
          <w:tab w:leader="none" w:pos="40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various risks and other factors considered by the respective boards of Schlumberger and Cameron as described under “The Merger—Cameron’s Reasons for the Merger; Recommendation of the Cameron Board of Directors” and under “The Merger— Schlumberger’s Reasons for the Merger.”</w:t>
      </w:r>
    </w:p>
    <w:p>
      <w:pPr>
        <w:spacing w:after="0" w:line="889" w:lineRule="exact"/>
        <w:rPr>
          <w:sz w:val="20"/>
          <w:szCs w:val="20"/>
          <w:color w:val="auto"/>
        </w:rPr>
      </w:pPr>
    </w:p>
    <w:p>
      <w:pPr>
        <w:sectPr>
          <w:pgSz w:w="11900" w:h="16838" w:orient="portrait"/>
          <w:cols w:equalWidth="0" w:num="2">
            <w:col w:w="5472" w:space="720"/>
            <w:col w:w="5108"/>
          </w:cols>
          <w:pgMar w:left="240" w:top="459" w:right="359" w:bottom="1440" w:gutter="0" w:footer="0" w:header="0"/>
        </w:sectPr>
      </w:pPr>
    </w:p>
    <w:p>
      <w:pPr>
        <w:spacing w:after="0" w:line="14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foregoing list of factors should not be construed to be exhaustive. Many factors mentioned in this proxy statement/prospectus, including the risks outlined under the caption “Risk Factors” contained in the Exchange Act reports of Schlumberger and Cameron, incorporated herein by reference, will be important in determining future results, and actual future results may vary materially.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All subsequent written and oral forward-looking statements attributable to Schlumberger or Cameron or to persons acting on their behalf are expressly qualified in their entirety by reference to these risks and uncertainties. There is no assurance that the actions, events or results of the forward-looking statements will occur, or, if any of them do, when they will occur or what effect they will have on the results of operations, financial condition, cash flows or distributions of Schlumberger or Cameron. In light of these uncertainties, you should not place undue reliance on forward-looking statements. Each forward-looking statement speaks only as of the date of the particular statement, and neither Schlumberger nor Cameron undertakes any obligation to publicly update or revise any forward-looking statements except as required by law.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with respect to these factors, see “Where You Can Find More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International Corporation</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Cameron provides flow equipment products, systems and services to worldwide oil and gas industries. Cameron’s business is segregated into four business segments: Subsea, Surface, Drilling and Valves &amp; Measurement (V&amp;M).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Cameron’s common stock is listed on the NYSE, where it is traded under the symbol “CAM.”</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Cameron was incorporated in the state of Delaware in November 1994. Cameron’s executive offices are headquartered at 1333 West Loop South, Suite 1700, Houston, Texas 77027, and its telephone number is (713) 513-3300.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(Schlumberger N.V.)</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2014, Schlumberger employed approximately 120,000 people of over 140 nationalities operating in approximately 85 countries.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Schlumberger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Schlumberger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Schlumberger’s common stock is primarily listed on the NYSE, where it is traded under the symbol “SLB.” Schlumberger’s common stock is also listed on the Euronext Paris, London and SIX Swiss stock exchanges.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Schlumberger has principal executive offices in Paris, Houston, London and The Hague. Its principal executive offices in the United States are located at 5599 San Felipe, 17th Floor, Houston, Texas 77056, and its telephone number is (713) 513-2000.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Holdings Corporation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Formed in 2010, Schlumberger US is a Delaware corporation and is an indirect wholly-owned subsidiary of Schlumberger. Schlumberger US is the parent company of Schlumberger’s U.S. subsidiaries that conduct Schlumberger’s U.S.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US’s executive offices are located at 300 Schlumberger Drive, Sugar Land, Texas 77478, and its telephone number is (713) 513-2000.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Rain Merger Sub LLC</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Merger Sub is a Delaware limited liability company and a direct wholly-owned subsidiary of Schlumberger US. Merger Sub was formed solely for the purpose of participating in the merger and has conducted no activities other than in connection with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proxy statement/prospectus is being provided to the stockholders of Cameron as part of a solicitation of proxies by the Cameron board of directors for use at the special meeting to be held at the time and place specified below, and at any adjournment or postponement thereof. This proxy statement/prospectus provides stockholders of Cameron with the information they need to know to be able to vote or instruct their vote to be cast at the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special meeting will be held at Cameron’s corporate headquarters, 1333 West Loop South, Suite 1700, Houston, Texas 77027, on Thursday, December 17, 2015 at 10:00 a.m. local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special meeting, Cameron stockholders will be asked to consider and vote on:</w:t>
      </w:r>
    </w:p>
    <w:p>
      <w:pPr>
        <w:spacing w:after="0" w:line="13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a proposal to adopt the merger agreement;</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a proposal to approve, by non-binding, advisory vote, the compensation that may become payable to Cameron’s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connection with the merger;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a proposal to approve the adjournment of the special meeting, if necessary, to solicit additional proxies if there are not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votes to approve the proposal to adopt the merger agreement at the time of the special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Proposal No. 1 is required for the completion of the merger.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Cameron Board</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After careful consideration, the Cameron board of directors has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adoption of the merger agreement be submitted to a vote at a meeting of the Cameron stockholders; and recommended that the Cameron stockholders vote to adopt the merger agreement. </w:t>
      </w:r>
      <w:r>
        <w:rPr>
          <w:rFonts w:ascii="Arial" w:cs="Arial" w:eastAsia="Arial" w:hAnsi="Arial"/>
          <w:sz w:val="16"/>
          <w:szCs w:val="16"/>
          <w:b w:val="1"/>
          <w:bCs w:val="1"/>
          <w:color w:val="auto"/>
        </w:rPr>
        <w:t>ACCORDINGLY, THE CAMERON BOARD OF DIRECTORS UNANIMOUSLY RECOMMENDS A VOTE “FOR” THE PROPOSAL</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b w:val="1"/>
          <w:bCs w:val="1"/>
          <w:color w:val="auto"/>
        </w:rPr>
        <w:t>TO ADOPT THE MERGER AGREEMENT, A VOTE “FOR” THE ADVISORY PROPOSAL CONCERNING THE MERGER-RELATED COMPENSATION ARRANGEMENTS FOR CAMERON’S NAMED EXECUTIVE OFFICERS AND A VOTE “FOR” THE PROPOSAL TO ADJOURN THE SPECIAL MEETING, IF NECESSARY, TO SOLICIT ADDITIONAL PROXIES.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Cameron board of directors has fixed the close of business on November 16, 2015 as the record date for determination of Cameron stockholders entitled to receive notice of, and to vote at, the special meeting or any adjournments or postponements thereof. Only holders of record of issued and outstanding Cameron common stock at the close of business on the record date are entitled to receive notice of, and to vote at, the special meeting or any adjournments or postponements thereof.</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At the close of business on the record date, there were approximately [—] shares of Cameron common stock issued and outstanding and entitled to vote at the special meeting. Cameron stockholders are entitled to one vote for each share of Cameron common stock they owned as of the close of business on the record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Cameron’s Directors and Executive Officers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At the close of business on November 10, 2015, the most recent practicable date prior to the date of this proxy statement/prospectus, directors and executive officers of Cameron were expected to be entitled to vote approximately 2,883,636 shares of Cameron common stock, or approximately 1.5% of the shares of Cameron common stock outstanding on that date. We currently expect that Cameron’s directors and executive officers will vote their shares in favor of each of the proposals to be considered at the special meeting, although none of them has entered into any agreement obligating them to do so.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 majority of the shares of Cameron common stock issued and outstanding as of the close of business on the record date and entitled to vote, present in person or represented by proxy, at the special meeting will constitute a quorum for the special meeting. At any adjourned meeting at which a quorum shall be present, any business may be transacted that might have been transacted at the original meeting.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Abstentions are counted as present for purposes of determining whether a quorum is present. Shares represented by broker non-votes are not counted for purposes of determining whether a quorum is present unless the nominee has been instructed to vote on at least one of the proposals presented in this proxy statement/prospectus. A broker non-vote occurs when a nominee holds shares for a beneficial owner but cannot vote on a proposal because the nominee does not have the discretionary power to do so and has not received instructions from the beneficial owner. If you hold shares of Cameron common stock in “street name” and you provide your bank, broker, trust company or other nominee with instructions as to how to vote your shares or obtain a legal proxy from such bank, broker, trust company or other nominee to vote your shares in person at the special meeting, then your shares will be counted as part of the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Approval of the proposal to adopt the merger agreement requires the affirmative vote of the holders of a majority of the shares of Cameron common stock outstanding and entitled to vote thereon. Shares not present, and shares present and not voted, whether by broker non-vote, abstention or otherwise, will have the same effect as votes cast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Approval of the advisory compensation proposal and the approval of the proposal to adjourn the special meeting, if necessary, to solicit additional proxies each require the affirmative vote of the holders of a majority of the shares of Cameron common stock represented at the special meeting and entitled to vote on such proposal. Votes to abstain will have the same effect as votes cast “</w:t>
      </w:r>
      <w:r>
        <w:rPr>
          <w:rFonts w:ascii="Arial" w:cs="Arial" w:eastAsia="Arial" w:hAnsi="Arial"/>
          <w:sz w:val="16"/>
          <w:szCs w:val="16"/>
          <w:b w:val="1"/>
          <w:bCs w:val="1"/>
          <w:color w:val="auto"/>
        </w:rPr>
        <w:t>AGAINST</w:t>
      </w:r>
      <w:r>
        <w:rPr>
          <w:rFonts w:ascii="Arial" w:cs="Arial" w:eastAsia="Arial" w:hAnsi="Arial"/>
          <w:sz w:val="16"/>
          <w:szCs w:val="16"/>
          <w:color w:val="auto"/>
        </w:rPr>
        <w:t>” the advisory proposal concerning merger-related compensation arrangements for Cameron’s named executive officers or the proposal to adjourn the special meeting, if necessary, to solicit additional proxies. Shares not present and broker non-votes will have no effect on the advisory proposal concerning merger-related compensation arrangements for Cameron’s named executive officers, assuming a quorum is present, or the proposal to adjourn the special meeting, if necessary, to solicit additional proxies.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 Broker Non-Votes and Abstentions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accordance with the rules of the NYSE, brokers, banks, trust companies and other nominees who hold shares of Cameron common stock in “street name” for their customers but do not have discretionary authority to vote the shares may not exercise their voting discretion with respect to the proposal to adopt the merger agreement. Accordingly, if brokers, banks, trust companies or other nominees do not receive specific voting instructions from the beneficial owner of such shares, they may not vote such shares with respect to the proposal to adopt the merger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fail to vote, fail to instruct your broker, bank, trust company or other nominee to vote, or mark your proxy or voting instructions to abstain, it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you fail to vote or fail to instruct your broker, bank, trust company or other nominee to vote, it will have no effect on the advisory proposal concerning merger-related compensation arrangements for Cameron’s named executive officers, assuming a quorum is present, or the proposal to adjourn the special meeting, if necessary, to solicit additional proxies. If you mark your proxy or voting instructions to abstain it will have the same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advisory proposal concerning merger-related compensation arrangements for Cameron’s named executive officers and the proposal to adjourn the special meeting, if necessary, to solicit additional proxies.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Registered stockholders may vote in person at the special meeting or by proxy, in one of three ways: (1) through the Internet by logging onto the website indicated on the enclosed proxy card and following the prompts using the Control Number located on the proxy card; (2) by telephone (within the United States, US territories and Canada) using the toll-free telephone number listed on the enclosed proxy card; or (3) by completing, signing, dating and returning the enclosed proxy card in the postage-paid envelope provided. If your shares are held in the name of a bank, broker, trust company or other nominee, follow the instructions you receive from your nominee on how to vote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 Person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government-issued picture identification will be required to enter the special meeting. If you are the representative of a corporate or institutional 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When you provide your proxy, the shares of Cameron common stock represented by the proxy will be voted in accordance with your instructions. If you sign your proxy card without giving instructions, you will have granted authority to the named proxies solicited by Cameron, which we refer to as named proxies, to vote “</w:t>
      </w:r>
      <w:r>
        <w:rPr>
          <w:rFonts w:ascii="Arial" w:cs="Arial" w:eastAsia="Arial" w:hAnsi="Arial"/>
          <w:sz w:val="18"/>
          <w:szCs w:val="18"/>
          <w:b w:val="1"/>
          <w:bCs w:val="1"/>
          <w:color w:val="auto"/>
        </w:rPr>
        <w:t>FOR</w:t>
      </w:r>
      <w:r>
        <w:rPr>
          <w:rFonts w:ascii="Arial" w:cs="Arial" w:eastAsia="Arial" w:hAnsi="Arial"/>
          <w:sz w:val="18"/>
          <w:szCs w:val="18"/>
          <w:color w:val="auto"/>
        </w:rPr>
        <w:t>” each of the proposal to adopt the merger agreement, the advisory proposal concerning merger-related compensation arrangements for Cameron’s named executive officers and the proposal to adjourn the special meeting, if necessary, to solicit additional proxies. In all cases, the delivery of a signed proxy card shall confer authority upon the named proxies to vote your shares in accordance with their judgment on any other matters properly presented at the special meeting, except that any proxy that is marked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 will not be voted “</w:t>
      </w:r>
      <w:r>
        <w:rPr>
          <w:rFonts w:ascii="Arial" w:cs="Arial" w:eastAsia="Arial" w:hAnsi="Arial"/>
          <w:sz w:val="18"/>
          <w:szCs w:val="18"/>
          <w:b w:val="1"/>
          <w:bCs w:val="1"/>
          <w:color w:val="auto"/>
        </w:rPr>
        <w:t>FOR</w:t>
      </w:r>
      <w:r>
        <w:rPr>
          <w:rFonts w:ascii="Arial" w:cs="Arial" w:eastAsia="Arial" w:hAnsi="Arial"/>
          <w:sz w:val="18"/>
          <w:szCs w:val="18"/>
          <w:color w:val="auto"/>
        </w:rPr>
        <w:t>” any proposal to adjourn the special meeting. The Cameron board of directors currently knows of no other business that will be presented for consideration at the special meeting.</w:t>
      </w:r>
    </w:p>
    <w:p>
      <w:pPr>
        <w:spacing w:after="0" w:line="18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YOUR VOTE IS IMPORTANT. ACCORDINGLY, PLEASE SUBMIT YOUR PROXY PROMPTLY BY TELEPHONE, BY INTERNET OR BY MAIL, WHETHER OR NOT YOU PLAN TO ATTEND THE SPECIAL MEETING IN PERSON.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the Cameron and OneSubsea Retirement Savings Plans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Shares of common stock held in our Retirement Savings Plans are held of record and are voted by the trustee of the Retirement Savings Plans at the direction of Retirement Savings Plan participants. Participants in the Retirement Savings Plans will be provided with a full paper set of proxy materials. Participants 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Retirement Savings Plans may direct the trustee of the plans as to how to vote shares allocated to their Retirement Savings Plan accounts. If you do not provide voting instructions, the trustee will vote shares allocated to your plan account in the same proportion as those votes cast by plan participants submitting voting instructions considered as a group.</w:t>
      </w:r>
    </w:p>
    <w:p>
      <w:pPr>
        <w:spacing w:after="0" w:line="17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The cutoff date for voting for participants in the Retirement Savings Plans is December 15, 2015. Stock owned in these plans may NOT be voted in person at the special meeting as the trustee of the plan votes the plan shares two business days prior to the special meeting, after receiving voting instructions from the plan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at any time prior to a vote at the special meeting by:</w:t>
      </w:r>
    </w:p>
    <w:p>
      <w:pPr>
        <w:spacing w:after="0" w:line="131"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notifying Cameron’s Corporate Secretary in writing;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signing and returning a proxy card with a later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subsequently voting by Internet or telephone;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attending the special meeting and revoking the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 attendance at the special meeting will not by itself revoke your proxy.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77027</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Please note that if your shares are held in the name of a broker, bank, trust company or other nominee, you may change your voting instructions by submitting new voting instructions to your broker, bank, trust company or other nominee in accordance with its established procedures. If your shares are held in the name of a broker, bank, trust company or other nominee and you decide to change your vote by attending the special meeting and voting in person, your vote in person at the special meeting will not be effective unless you have obtained and present a “legal proxy” executed in your favor from the record holder (your broker, bank, trust company or other nominee).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Cameron has hired a third party, Computershare Trust Company, N.A., to serve as the inspector of election for the special meeting. The inspector of election will, among other matters, determine the number of shares represented at the special meeting to confirm the existence of a quorum and tabulate votes cast.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Directors, present and former officers and other employees of Cameron may solicit proxies by telephone, facsimile or mail, or by meetings with stockholders or their representatives. Cameron will reimburse brokers, banks or other custodians, nominees and fiduciaries for their charges and expenses in forwarding proxy material to beneficial owners. Cameron has retained D.F. King &amp; Co., Inc. to assist with the solicitation of proxies for the special meeting for a fee not to exceed $12,500, plus reimbursement for out-of-pocket expenses. All expenses of solicitation of proxies will be borne by Cameron.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special meeting may adjourn to reconvene at the same or some other place. Under the Cameron bylaws, if a quorum is not present or represented at the special meeting, the stockholders entitled to vote thereat, present in person or represented by proxy, have the authority to adjourn the special meeting, without notice other than announcement at the special meeting. At the adjourned special meeting, Cameron may transact any business which might have been transacted at the original special meeting. If the adjournment is for more than thirty days, or if after the adjournment a new record date is fixed for the adjourned special meeting, notice of the adjourned special meeting shall be given to each stockholder of record entitled to vote at the special meeting.</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1—Adoption of the Merger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on the Cameron proxy card)</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proxy statement/prospectus is being furnished to you as a stockholder of Cameron as part of the solicitation of proxies by the Cameron board of directors for use at the special meeting to consider and vote upon a proposal to adopt the merger agreement, which is attached as Annex A to this proxy statement/prospectus.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merger cannot be completed without the approval of the proposal to adopt the merger agreement by the affirmative vote of the holders of a majority of the shares of Cameron common stock outstanding and entitled to vote on the matter at the special meeting. If you do not vote, the effect will be the same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7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The Cameron board of directors, after careful consideration, has (1) approved and declared advisable the merger agreement, the merger and all of the other transactions contemplated by the merger agreement and (2) declared that it is in the best interests of Cameron and its stockholders that Cameron enter into the merger agreement and consummate the merger and all of the other transactions contemplated by the merger agreement.</w:t>
      </w:r>
    </w:p>
    <w:p>
      <w:pPr>
        <w:spacing w:after="0" w:line="180"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The Cameron board of directors accordingly unanimously recommends that Cameron stockholders vote “FOR” the proposal to adopt the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2—Advisory (Non-Binding) Vote on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 on the Cameron proxy card)</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Dodd-Frank Wall Street Reform and Consumer Protection Act, enacted in July 2010, requires that Cameron provide stockholders with the opportunity to cast a non-binding, advisory vote on the compensation that may become payable to Cameron’s named executive officers in connection with the merger, as disclosed in this proxy statement/prospectus, including as described in “The Merger—Interests of Cameron’s Directors and Executive Officers in the Merger.” This vote is commonly referred to as a “golden parachute say on pay” vote. This non-binding, advisory proposal relates only to already existing contractual obligations of Cameron that may result in a payment to Cameron’s named executive officers in connection with, or following, the consummation of the merger, and does not relate to any new compensation or other arrangements between Cameron’s named executive officers and Schlumberger. Further, this proposal does not relate to any compensation arrangement that may become applicable to Cameron’s directors or executive officers who are not named executive officers.</w:t>
      </w:r>
    </w:p>
    <w:p>
      <w:pPr>
        <w:spacing w:after="0" w:line="19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an advisory vote, this proposal is not binding upon Cameron or the Cameron board of directors, and approval of this proposal is not a condition to completion of the merger. The vote on executive compensation payable in connection with the merger is a vote separate and apart from the vote to adopt the merger agreement. Accordingly, you may vote to adopt the merger agreement and vote not to approve the advisory proposal concerning the merger-related compensation for Cameron’s named executive officers and vice versa. Because the vote is advisory in nature only, it will not be binding on Cameron. To the extent that Cameron is contractually obligated to pay the compensation, such compensation will be payable, subject only to the conditions applicable thereto, if the merger is consummated and regardless of the outcome of the advisory vote. These payments are a part of Cameron’s comprehensive executive compensation program and are intended to align Cameron’s named executive officers’ interests with yours as stockholders by ensuring their continued retention and commitment during critical events such as the merger, which may create significant personal uncertainty for them.</w:t>
      </w:r>
    </w:p>
    <w:p>
      <w:pPr>
        <w:spacing w:after="0" w:line="162" w:lineRule="exact"/>
        <w:rPr>
          <w:sz w:val="20"/>
          <w:szCs w:val="20"/>
          <w:color w:val="auto"/>
        </w:rPr>
      </w:pPr>
    </w:p>
    <w:p>
      <w:pPr>
        <w:jc w:val="both"/>
        <w:ind w:right="1000" w:firstLine="456"/>
        <w:spacing w:after="0" w:line="266" w:lineRule="auto"/>
        <w:rPr>
          <w:sz w:val="20"/>
          <w:szCs w:val="20"/>
          <w:color w:val="auto"/>
        </w:rPr>
      </w:pPr>
      <w:r>
        <w:rPr>
          <w:rFonts w:ascii="Arial" w:cs="Arial" w:eastAsia="Arial" w:hAnsi="Arial"/>
          <w:sz w:val="18"/>
          <w:szCs w:val="18"/>
          <w:b w:val="1"/>
          <w:bCs w:val="1"/>
          <w:color w:val="auto"/>
        </w:rPr>
        <w:t>The Cameron board of directors unanimously recommends a vote “FOR” the approval on an advisory (non-binding) basis of the compensation that may become payable to Cameron’s named executive officers in connection with the merger, as disclosed in this proxy statement/prospectus.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160"/>
        <w:spacing w:after="0" w:line="378" w:lineRule="auto"/>
        <w:rPr>
          <w:sz w:val="20"/>
          <w:szCs w:val="20"/>
          <w:color w:val="auto"/>
        </w:rPr>
      </w:pPr>
      <w:r>
        <w:rPr>
          <w:rFonts w:ascii="Arial" w:cs="Arial" w:eastAsia="Arial" w:hAnsi="Arial"/>
          <w:sz w:val="18"/>
          <w:szCs w:val="18"/>
          <w:b w:val="1"/>
          <w:bCs w:val="1"/>
          <w:color w:val="auto"/>
        </w:rPr>
        <w:t xml:space="preserve">Proposal No. 3—Possible Adjournment to Solicit Additional Proxies, if Necessary </w:t>
      </w:r>
      <w:r>
        <w:rPr>
          <w:rFonts w:ascii="Arial" w:cs="Arial" w:eastAsia="Arial" w:hAnsi="Arial"/>
          <w:sz w:val="18"/>
          <w:szCs w:val="18"/>
          <w:color w:val="auto"/>
        </w:rPr>
        <w:t>(Item 3 on the Cameron proxy card)</w:t>
      </w:r>
    </w:p>
    <w:p>
      <w:pPr>
        <w:ind w:right="120" w:firstLine="456"/>
        <w:spacing w:after="0" w:line="264" w:lineRule="auto"/>
        <w:rPr>
          <w:sz w:val="20"/>
          <w:szCs w:val="20"/>
          <w:color w:val="auto"/>
        </w:rPr>
      </w:pPr>
      <w:r>
        <w:rPr>
          <w:rFonts w:ascii="Arial" w:cs="Arial" w:eastAsia="Arial" w:hAnsi="Arial"/>
          <w:sz w:val="18"/>
          <w:szCs w:val="18"/>
          <w:color w:val="auto"/>
        </w:rPr>
        <w:t>The special meeting may be adjourned to another time and place to permit further solicitation of proxies, if necessary, to obtain additional votes to approve the proposal to adopt the merger agreement. Cameron currently does not intend to propose adjournment of the special meeting if there are sufficient votes to approve the proposal to adopt the merger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Cameron is asking you to authorize the holder of any proxy solicited by Cameron’s board of directors to vote in favor of any adjournment of the special meeting, if necessary, to solicit additional proxies if there are not sufficient votes to approve the proposal to adopt the merger agreement at the time of the special meeting.</w:t>
      </w:r>
    </w:p>
    <w:p>
      <w:pPr>
        <w:spacing w:after="0" w:line="177"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The Cameron board of directors unanimously recommends that you vote “FOR” any adjournment of the special meeting, if necessary, to solicit additional proxies if there are not sufficient votes to approve the proposal to adopt the merger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Cameron and Schlumberger both periodically review and assess their respective industry and strategic alternatives available to enhance stockholder value. As leading companies in their respective lines of business, Cameron and Schlumberger are generally familiar with each other’s businesses and have, from time to time, discussed and engaged in both commercial and strategic transactions with each other. In addition, representatives of Cameron and Schlumberger meet regularly at committee meetings of, and otherwise with respect to the operation of, OneSubsea, a joint venture which Cameron and Schlumberger formed in 2013 to manufacture and develop products, systems and services for the subsea oil and gas market. The frequent interaction between representatives of Cameron and Schlumberger in connection with the OneSubsea joint venture has increased the familiarity of Cameron and Schlumberger with each other’s businesses, operations and management teams.</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November 2014, Schlumberger indicated to Cameron that it would be interested in making a strategic equity investment in Cameron. After consideration of Schlumberger’s proposal and following consultation with members of the Cameron board of directors, Cameron management advised Schlumberger that Cameron would not be interested in such a strategic equity investment. Schlumberger did not pursue its proposal further and there were no further material discussions between Cameron and Schlumberger regarding Schlumberger’s equity investment proposal.</w:t>
      </w:r>
    </w:p>
    <w:p>
      <w:pPr>
        <w:spacing w:after="0" w:line="17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April 16, 2015, Schlumberger management made a presentation to the Schlumberger board of directors regarding the possibility of a business combination with Cameron and the potential synergies that might be realized. The finance committee of the Schlumberger board of directors, which had previously reviewed the proposed transaction, provided its recommendation to the board; after discussion the Schlumberger board of directors authorized Schlumberger management to approach Cameron.</w:t>
      </w:r>
    </w:p>
    <w:p>
      <w:pPr>
        <w:spacing w:after="0" w:line="18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April 29, 2015, Mr. Paal Kibsgaard, the Chairman and Chief Executive Officer of Schlumberger, met with Mr. Jack Moore, the Chairman and Chief Executive Officer of Cameron, after attending a committee meeting for the OneSubsea joint venture. At that meeting, Mr. Kibsgaard informed Mr. Moore that Schlumberger was interested in acquiring Cameron and that Mr. Kibsgaard would be sending Mr. Moore a letter outlining Schlumberger’s formal offer.</w:t>
      </w:r>
    </w:p>
    <w:p>
      <w:pPr>
        <w:ind w:right="80"/>
        <w:spacing w:after="0" w:line="254" w:lineRule="auto"/>
        <w:rPr>
          <w:sz w:val="20"/>
          <w:szCs w:val="20"/>
          <w:color w:val="auto"/>
        </w:rPr>
      </w:pPr>
      <w:r>
        <w:rPr>
          <w:rFonts w:ascii="Arial" w:cs="Arial" w:eastAsia="Arial" w:hAnsi="Arial"/>
          <w:sz w:val="18"/>
          <w:szCs w:val="18"/>
          <w:color w:val="auto"/>
        </w:rPr>
        <w:t>Mr. Kibsgaard discussed with Mr. Moore Schlumberger’s rationale for the proposed transaction and the benefits he expected such a transaction would offer both Cameron and Schlumberger and their respective stockholders, but he did not discuss how Schlumberger valued Cameron or any other terms of the proposed transaction. Mr. Moore informed Mr. Kibsgaard that he would review any offer with the Cameron board of directors and the Cameron management team.</w:t>
      </w:r>
    </w:p>
    <w:p>
      <w:pPr>
        <w:spacing w:after="0" w:line="1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30, 2015, Mr. Kibsgaard sent a letter to Mr. Moore in which Schlumberger proposed to acquire Cameron for $68.00 per share of Cameron common stock, comprised of 50% cash and 50% shares of Schlumberger. Schlumberger’s April 30 proposal represented a premium of approximately 24% to the last close of Cameron common stock prior to the letter. Based on the $94.61 closing price of Schlumberger common stock on April 30, 2015, the proposal implied an exchange ratio of approximately 0.359 shares of Schlumberger common stock plus $34.00 in cash per share of Cameron common stock as of April 30, 2015. Based upon Schlumberger’s proposal, upon completion of the merger, Cameron stockholders would own approximately 5% of the combined company. On April 30, 2015, the West Texas Intermediate (WTI) spot price of oil as quoted on the New York Mercantile Exchange (NYMEX) was $59.63 per barrel.</w:t>
      </w:r>
    </w:p>
    <w:p>
      <w:pPr>
        <w:spacing w:after="0" w:line="18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May 1, 2015, the Cameron board of directors met to discuss Schlumberger’s April 30 proposal to acquire Cameron. Members of Cameron management, representatives of Credit Suisse, a long-time financial advisor to Cameron, and representatives of Cravath, Swaine &amp; Moore LLP, which is referred to as Cravath in this proxy statement/prospectus, Cameron’s legal advisor, also attended this meeting. Mr. Moore informed the Cameron board of directors that while Schlumberger’s proposal would be discussed in more detail at its regularly scheduled board of directors meeting on May 7–8, he wanted to provide the Cameron board of directors with an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overview of Schlumberger’s April 30 letter, a copy of which had been distributed to the members of the board of directors in advance of the meeting, and his discussions with Mr. Kibsgaard regarding Schlumberger’s proposal. The Cameron board of directors, with the assistance of members of Cameron management and representatives of Credit Suisse and Cravath, discussed, among other things, the terms of Schlumberger’s proposal, the strategic and industrial logic of such a transaction, the value and form of consideration being offered by Schlumberger, the recent stock price performance of both Cameron and Schlumberger, the state of the oil and gas markets and the likelihood that a transaction could be completed.</w:t>
      </w:r>
    </w:p>
    <w:p>
      <w:pPr>
        <w:spacing w:after="0" w:line="173"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Following this discussion, the Cameron board of directors determined that while it understood the industrial logic of a potential business combination with Schlumberger and would be open to considering such a transaction, the value proposed by Schlumberger in its April 30 letter was insufficient. The Cameron board of directors also decided to discuss the possibility of entering into discussions with Schlumberger at its regularly scheduled meeting on May 7–8, 2015. The Cameron board of directors instructed Mr. Moore to contact Mr. Kibsgaard to convey the response of the Cameron board of directors.</w:t>
      </w:r>
    </w:p>
    <w:p>
      <w:pPr>
        <w:spacing w:after="0" w:line="154"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Following the meeting of the Cameron board of directors, on the evening of May 1, 2015, Mr. Moore informed Mr. Kibsgaard that the Cameron board of directors had met to discuss Schlumberger’s proposed transaction as set forth in Mr. Kibsgaard’s April 30 letter and that while the Cameron board of directors understood the industrial logic of a combination of Cameron and Schlumberger, the Cameron board of directors viewed the value offered by Schlumberger to Cameron’s stockholders as not being sufficient to warrant engaging in further discussions.</w:t>
      </w:r>
    </w:p>
    <w:p>
      <w:pPr>
        <w:spacing w:after="0" w:line="17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May 5, 2015, Mr. Kibsgaard called and sent a letter to Mr. Moore to inform him that he was pleased that the Cameron board of directors understood the industrial logic of the proposed transaction and that Schlumberger could consider increasing the value of its proposal if it were provided the opportunity to engage in limited due diligence and to engage in discussions with Cameron’s management providing a more in-depth review of Cameron’s businesses.</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May 7–8, 2015, at a regularly scheduled meeting of the Cameron board of directors, the Cameron board of directors continued its discussion of Schlumberger’s proposed acquisition of Cameron. Members of Cameron’s management and representatives of Credit Suisse and Cravath also attended the meeting. As he had done at the prior Cameron board of directors meeting, Mr. Moore reviewed with the Cameron board of directors the terms of Schlumberger’s offer. Mr. Moore also updated the board of directors on his discussions with Mr. Kibsgaard following the prior meeting of the Cameron board of directors. Representatives of Cravath provided a review of the fiduciary duties of the Cameron board of directors in considering the proposed transaction. The representatives of Cravath also reviewed with the Cameron board of directors certain key terms of the OneSubsea joint venture. Mr. Charles Sledge, the Chief Financial Officer of Cameron, reviewed with the Cameron board of directors the updated set of five-year projections that he and the rest of senior management had prepared for purposes of evaluating the potential transaction (which are referred to in this proxy statement/prospectus as the Company Forecasts—May (see the section entitled “The Merger—Financial Forecasts”)). On May 7, 2015, the WTI spot price of oil as quoted on the NYMEX was $58.94 per barrel.</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Also at the meeting, representatives of Credit Suisse reviewed financial information regarding Cameron, Schlumberger and the financial terms of the proposed transaction.</w:t>
      </w:r>
    </w:p>
    <w:p>
      <w:pPr>
        <w:spacing w:after="0" w:line="17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Cameron board of directors discussed the financial terms of Schlumberger’s proposal, the likelihood that the transaction could be successfully completed and potential responses to the proposal. The Cameron board of directors considered alternatives to a business combination transaction, including continuing its existing OneSubsea joint venture business with Schlumberger as part of the execution of Cameron’s strategic plan as a standalone company. The Cameron board of directors also considered whether there might be other potential acquirors that would have the financial capability and willingness to meet or exceed the value of the Schlumberger proposal and concluded that while that was an unlikely outcome, it was important to allow for such an opportunity to emerge if Cameron were to ultimately reach an agreement with Schlumberger.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Following discussion, the Cameron board of directors decided that Cameron should provide additional information to Schlumberger to assist Schlumberger with its analysis of Cameron so that Schlumberger could determine whether it would improve its proposal and directed Cameron management to proceed in that regard. The Cameron board of directors also instructed Mr. Moore to communicate to Schlumberger that it believed that the value Schlumberger placed on Cameron was insufficient, and that Cameron expected Schlumberger to be able to improve its offer upon receiving additional information regarding Cameron’s business and operations, including Cameron’s financial forecasts.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May 14, 2015, Mr. Moore and Mr. Kibsgaard agreed to schedule a meeting between members of senior management of Cameron and Schlumberger so that Cameron could provide Schlumberger with additional information regarding Cameron’s business and operations. In preparation for the meeting, Cameron management, in consultation with certain members of the Cameron board of directors, developed a set of financial forecasts to be provided to Schlumberger, which were based on the Company Forecasts—May, modified to reflect more optimistic but still realistic assumptions regarding Cameron’s future results and market conditions in the oil and gas industry, including more optimistic assumptions regarding the pace of recovery in drilling activity levels and capital spending by oil and gas production companies (such modified forecasts are referred to in this proxy statement/prospectus as the Transaction Forecasts (see the section entitled “The Merger—Financial Forecasts”)).</w:t>
      </w:r>
    </w:p>
    <w:p>
      <w:pPr>
        <w:spacing w:after="0" w:line="17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On May 21, 2015, Mr. Sledge and Mr. Simon Ayat, the Chief Financial Officer of Schlumberger, met for lunch. Among the topics discussed at that lunch meeting was the proposed transaction. Mr. Ayat explained Schlumberger’s rationale for the proposed transaction and for the financial terms of the Schlumberger proposal. Mr. Sledge reiterated that the value Schlumberger had placed on Cameron was insufficient.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discussions of a potential transaction, Cameron and Schlumberger entered into a confidentiality agreement dated June 11, 2015.</w:t>
      </w:r>
    </w:p>
    <w:p>
      <w:pPr>
        <w:spacing w:after="0" w:line="24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16, 2015, Mr. Sledge and Mr. R. Scott Rowe, the Chief Operating Officer of Cameron, gave a presentation regarding Cameron’s business and operations, which included the Transaction Forecasts, to representatives of Schlumberger. On June 16, 2015, the WTI spot price of oil as quoted on the NYMEX was $59.97 per barrel.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the conclusion of this presentation, a representative of Schlumberger informed the representatives of Cameron management that any improvement in the Schlumberger proposal would require the approval of the Schlumberger board of directors and that the possibility of such an improvement would be discussed at the Schlumberger board of directors’ regularly scheduled meeting in mid-July.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17, 2015, Mr. Moore provided an update to the Cameron board of directors regarding the June 16 meeting with Schlumberger.</w:t>
      </w:r>
    </w:p>
    <w:p>
      <w:pPr>
        <w:spacing w:after="0" w:line="225"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Cameron and Credit Suisse entered into an engagement letter dated as of June 18, 2015, pursuant to which Cameron engaged Credit Suisse as its financial advisor in connection with a potential transaction involving Cameron, including a potential acquisition by or merger with Schlumberger or its affiliates.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June 30, 2015, Mr. Sledge and Mr. Ayat met for lunch. At that lunch meeting, Mr. Ayat and Mr. Sledge discussed follow up questions Mr. Ayat had regarding the June 16 presentation.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July 15, 2015, the Schlumberger board of directors held a regularly scheduled quarterly meeting at which Schlumberger management provided an update on the proposed transaction with Cameron. After discussion, the Schlumberger board of directors confirmed their interest in pursuing a transaction with Cameron and directed Schlumberger management to continue negotiations.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July 29, 2015, Mr. Moore and Mr. Kibsgaard met to discuss the potential transaction. Mr. Kibsgaard reported that the Schlumberger board of directors continued to believe that a combination of the two companies was highly compelling and in the best interests of the stockholders of both companies but noted difficulties in the oil and gas industry that made it difficult for Schlumberger to improve its proposal. Mr. Kibsgaard inquired whether Mr. Moore was able to give an indication as to a value at which Cameron would agree to a transaction. Mr. Moore declined to provide a value and indicated that he would discuss any proposal received from Schlumberger with the Cameron board of directors. On July 29, 2015, the WTI spot price of oil as quoted on the NYMEX was $48.79 per barrel.</w:t>
      </w:r>
    </w:p>
    <w:p>
      <w:pPr>
        <w:spacing w:after="0" w:line="193"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On August 4, 2015, Cameron received a letter from Schlumberger in which Schlumberger reaffirmed its proposal to acquire Cameron for $68.00 per share of Cameron common stock, comprised of 50% cash and 50% shares of Schlumberger. Schlumberger’s letter stated that its August 4 proposal represented a greater premium than that contained in Schlumberger’s April 30 proposal based on the last closing price of Cameron’s common stock prior to each proposal, due to changes in each company’s respective trading price since Schlumberger’s initial proposal on April 30, 2015. Schlumberger’s August 4 proposal represented a premium of approximately 38% to the last close of Cameron’s common stock prior to the letter. Schlumberger’s August 4 letter also suggested that the parties meet in person on August 14 and 15 for a negotiation of all key commercial terms. Based on the $82.27 closing price of Schlumberger common stock on August 4, 2015, the proposal implied an exchange ratio of approximately 0.413 shares of Schlumberger common stock plus $34.00 in cash per share of Cameron common stock as of August 4, 2015. Due to the decline in the price of Schlumberger’s common stock since Schlumberger submitted its initial proposal on April 30, 2015, the August 4 proposal represented an increase of approximately 15% in the number of shares of Schlumberger common stock to be issued per share of Cameron common stock as compared to the April 30 proposal. Based upon Schlumberger’s revised proposal, upon completion of the merger, Cameron stockholders would own approximately 6% of the combined company. On August 4, 2015, the WTI spot price of oil as quoted on the NYMEX was $45.74 per barrel.</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an email exchange on August 5, 2015, Mr. Kibsgaard informed Mr. Moore that Schlumberger’s proposal set forth in its August 4 letter would expire at 8:00 p.m. Central time on August 13, 2015.</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At meetings on August 12 and 13, 2015, the Cameron board of directors, with the assistance of members of Cameron management and representatives of Credit Suisse and Cravath, reviewed Schlumberger’s August 4 proposal and developments in Cameron’s business and the oil and gas industry, including that since May 6, 2015, the WTI price of oil had declined by approximately 29% and the PHLX Oil Services Sector Index had declined by approximately 18%, in each case as of August 11, 2015. Mr. Sledge reviewed with the Cameron board of directors an updated set of five-year projections prepared by Cameron’s management based on the Company Forecasts—May, modified to reflect then recent developments in the oil and gas industry, including the decline in oil prices and the expected resulting decline in capital spending by oil and gas production companies (which are referred to in this proxy statement/prospectus as the Company Forecasts—August (see the section entitled “The Merger—Financial Forecasts”)). On August 12, 2015, the WTI spot price of oil as quoted on the NYMEX was $43.30 per barrel.</w:t>
      </w:r>
    </w:p>
    <w:p>
      <w:pPr>
        <w:spacing w:after="0" w:line="17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Following discussion, the Cameron board of directors concluded that, in light of Cameron’s prospects at the time and the trading multiples of each company’s shares relative to their historical levels, the financial terms proposed by Schlumberger were not acceptable. The Cameron board of directors instructed Mr. Moore to accept Schlumberger’s request to meet in person on August 14, 2015 and to communicate to Schlumberger that Schlumberger would need to increase the value of its proposal in order for the Cameron board of directors to be willing to consider proceeding with the proposed transaction.</w:t>
      </w:r>
    </w:p>
    <w:p>
      <w:pPr>
        <w:spacing w:after="0" w:line="15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August 14, 2015, representatives of Cameron management and Schlumberger management met to discuss the potential business combination. In the course of these discussions, Mr. Sledge communicated that the Cameron board of directors believed that Schlumberger was undervaluing Cameron and that as a result, the consideration being offered by Schlumberger was not sufficient. Later that day and following the meeting,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Kibsgaard sent a letter to Mr. Moore in which Schlumberger set forth a revised offer whereby the consideration to be paid by Schlumberger would be a premium of approximately 40% to the volume weighted average price of Cameron’s common stock for the 20 trading day period ended August 21, 2015, with an increase in the stock component of the consideration from 50% to 80%.</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August 15, 2015, the Cameron board of directors, with the assistance of members of Cameron management and representatives of Credit Suisse and Cravath, met to review Schlumberger’s revised proposal. Mr. Moore provided the Cameron board of directors with an update on the discussions that had taken place the previous day between representatives of Cameron management and Schlumberger management. Following discussion, the Cameron board of directors decided to reject Schlumberger’s proposal, and Mr. Moore sent Mr. Kibsgaard a letter to that effect.</w:t>
      </w:r>
    </w:p>
    <w:p>
      <w:pPr>
        <w:spacing w:after="0" w:line="17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August 17, 2015, Mr. Kibsgaard sent a letter to Mr. Moore in which Schlumberger reiterated its rationale for the proposed transaction. In the letter Schlumberger acknowledged that Cameron had rejected its proposal but indicated that Schlumberger was still open to further discussions.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August 18, 2015, following consultation with other members of Cameron management and members of the Cameron board of directors, Mr. Moore contacted Mr. Kibsgaard to request a meeting. Mr. Moore and Mr. Kibsgaard met later that day. Mr. Moore indicated that if Schlumberger were to make a proposal at a valuation above $72.00 per share of Cameron common stock, subject to discussing any such proposal with the Cameron board of directors, he expected that Cameron and Schlumberger should be able to come to an agreement on valuation. After discussion, they agreed that Mr. Sledge should meet with Mr. Ayat to discuss valuation.</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August 19, 2015, Mr. Sledge and Mr. Ayat met to discuss valuation. Following that meeting, Schlumberger communicated a revised proposal of $72.20 per share of Cameron common stock, comprised of 20% cash and 80% shares of Schlumberger. Schlumberger’s revised proposal represented a premium of approximately 52% to the close of Cameron common stock on August 19, 2015. Based on the $80.67 closing price of Schlumberger common stock on August 19, 2015, the proposal implied an exchange ratio of approximately 0.716 shares of Schlumberger common stock plus $14.44 in cash per share of Cameron common stock as of August 19, 2015. Based upon Schlumberger’s revised proposal, upon completion of the merger, Cameron stockholders would own approximately 10% of the combined company. On August 19, 2015, the WTI spot price of oil as quoted on the NYMEX was $40.80 per barrel.</w:t>
      </w:r>
    </w:p>
    <w:p>
      <w:pPr>
        <w:spacing w:after="0" w:line="16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Cameron board of directors met again on August 19, 2015 and, with the assistance of members of Cameron management and representatives of Credit Suisse and Cravath, reviewed the revised Schlumberger proposal. Mr. Moore provided the Cameron board of directors with an update of discussions between Cameron and Schlumberger. Following the Cameron board of directors’ discussion of Schlumberger’s revised proposal, the Cameron board of directors authorized Cameron management to indicate to Schlumberger that Cameron would be willing to proceed with the proposed transaction, and authorized management and Cameron’s legal and financial advisors to proceed with finalizing the terms of the transaction, with the objective of announcing the transaction on the morning of Monday, August 24, 2015. Later that evening, Baker Botts L.L.P., which is referred to as Baker Botts in this proxy statement/prospectus, Schlumberger’s legal advisor, delivered a draft merger agreement to Cravath. Over the next few days, Cravath, Baker Botts and members of Cameron’s and Schlumberger’s respective management teams negotiated the terms of the merger agreement, while Schlumberger, Cameron, and their respective advisors continued their due diligence efforts.</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 August 20, 2015, the U.S. stock markets began to experience a severe decline, causing significant changes in the trading prices of both Cameron and Schlumberger common stock.</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August 21, 2015, Mr. Sledge met with Mr. Ayat. At that meeting, Mr. Ayat indicated to Mr. Sledge that, as a result of recent market volatility Schlumberger had determined that it was not willing to proceed on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previously discussed timetable. Mr. Sledge suggested to Mr. Ayat that, in order to be able to announce the transaction on the morning of Monday, August 24, 2015, Cameron and Schlumberger consider, in light of the stock market fluctuations which had affected the trading prices of Cameron common stock and Schlumberger common stock, the cash portion of the consideration payable per Cameron common share in the transaction be fixed at $14.44 in cash and the stock portion of the consideration payable per share of Cameron common stock in the transaction be fixed at the exchange ratio implied by Schlumberger’s August 19 proposal (which proposal was the basis on which Cameron had agreed to proceed with the proposed transaction) based on the market prices of Cameron common stock and Schlumberger common stock at the time of that proposal, which was 0.716 shares of Schlumberger common stock per share of Cameron common stock. The Cameron board of directors met later that day, along with members of Cameron management and representatives of Credit Suisse and Cravath, to receive an update as to the status of the transaction and market developments.</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Cameron board of directors met again on August 23, 2015, along with members of Cameron management and representatives of Credit Suisse and Cravath, to receive an update on the ongoing negotiations. At this meeting, representatives of Cravath presented the material terms of the merger agreement being negotiated. The Cameron board of directors instructed Cameron management and its advisors to continue negotiating to finalize the terms of the merger agreement. Cameron and Schlumberger continued their due diligence efforts, while Cameron management and Schlumberger management, along with Cravath and Baker Botts, continued to finalize the terms of the merger agreement.</w:t>
      </w:r>
    </w:p>
    <w:p>
      <w:pPr>
        <w:spacing w:after="0" w:line="173"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On August 24, 2015, Mr. Ayat proposed to Mr. Sledge that Cameron and Schlumberger proceed with the transaction on the terms suggested at their August 21st meeting. Mr. Ayat also stated that Schlumberger wanted to finalize the terms of the merger agreement and announce the transaction on the morning of Wednesday, August 26, 2015. Mr. Sledge attempted to negotiate with Mr. Ayat; however, Mr. Ayat responded that this was Schlumberger’s best and final offer. Mr. Sledge informed Mr. Ayat that he would discuss this proposal with the Cameron board of directors.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Later in the evening on August 24, 2015, the Cameron board of directors met to discuss the status of discussions with Schlumberger. Members of Cameron management and representatives of Credit Suisse and Cravath were also in attendance at the request of the Cameron board of directors. Mr. Moore provided an update to the Cameron board of directors on discussions with Schlumberger, including the discussions between Mr. Ayat and Mr. Sledge prior to the Cameron board of directors meeting. Mr. Moore also indicated to the Cameron board of directors that due to recent developments affecting the oil and gas industry, including the increased volatility and uncertainty regarding future oil and gas prices, he had concerns that the Company Forecasts—August would be more difficult to achieve than Cameron management believed at the time the Company Forecasts—August were prepared. The Cameron board of directors discussed the revised Schlumberger proposal, including the financial aspects of the proposal. Credit Suisse reviewed with the Cameron board of directors financial information regarding Cameron and Schlumberger and financial aspects of the proposed transaction. Cravath updated the Cameron board of directors on the negotiation of the terms of the merger agreement and discussed the key open issues with the members of the Cameron board of directors. After discussion, the Cameron board of directors determined to proceed with the proposed transaction based on the Schlumberger proposal and instructed management and its advisors to continue to finalize the terms of the merger agreement.</w:t>
      </w:r>
    </w:p>
    <w:p>
      <w:pPr>
        <w:spacing w:after="0" w:line="18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Over August 24–25, 2015, representatives of Cameron and Schlumberger and Cravath and Baker Botts continued to finalize the remaining open items in the merger agreement.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25, 2015, the Cameron board of directors met, along with members of Cameron management and representatives of Credit Suisse and Cravath, to consider the terms of the proposed transaction. Based upon the consideration set forth in the merger agreement, upon completion of the merger, Cameron stockholders would own approximately 10% of the combined company. The implied consideration as set forth in the merger agreement represented a premium of approximately 56% to the close of Cameron common stock on August 25, 2015. On August 25, 2015, the WTI spot price of oil as quoted on the NYMEX was $39.31 per barrel.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Cravath again reviewed with the Cameron board of directors its fiduciary duties. Cravath then reviewed the terms of the proposed merger agreement that had not been finalized at the August 24, 2015 meeting of the Cameron board of directors, including the provisions relating to the allocation of regulatory risks.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a result of the concerns expressed by Mr. Moore regarding Cameron’s ability to achieve the Company Forecasts—August, in advance of the August 25 board of directors meeting, Cameron’s management performed a sensitivity analysis on the Company Forecasts—August to reflect Cameron management’s views with respect to the potential adverse financial implications of developments affecting the oil and gas industry at that time, including the increased volatility and uncertainty regarding future oil and gas prices (see the section entitled “The Merger—Financial Forecasts”). This analysis was reviewed with the Cameron board of directors at the August 25 board of directors meeting.</w:t>
      </w:r>
    </w:p>
    <w:p>
      <w:pPr>
        <w:spacing w:after="0" w:line="173"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Credit Suisse then reviewed and discussed its financial analyses with respect to Cameron and the proposed merger. Thereafter, at the request of the Cameron board of directors,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Following discussion, the Cameron board of directors then determined, by unanimous vote, for the reasons detailed in “—Recommendation of the Cameron Board; Cameron’s Reasons for the Merger,” that the proposed merger agreement, the proposed merger, and the other agreements and transactions contemplated by the proposed merger agreement are fair to and in the best interests of Cameron and its stockholders, and approved and declared advisable the proposed merger agreement and the transactions contemplated by the proposed merger agreement, including the proposed merger.</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24, 2015, the Schlumberger board of directors convened a special telephonic meeting to discuss the status of discussions with Cameron and consider the terms of the proposed transaction. Mr. Ayat reviewed with the Schlumberger board of directors the financial terms of the transaction. In various email exchanges on August 25, 2015, the Schlumberger board of directors and Mr. Kibsgaard further discussed the financial parameters of the proposed transaction. Following these exchanges, the Schlumberger board of directors unanimously approved the proposed merger agreement, the proposed merger and the other agreements and transactions contemplated by the proposed merger agreement, and instructed Schlumberger management to proceed with the transaction.</w:t>
      </w:r>
    </w:p>
    <w:p>
      <w:pPr>
        <w:spacing w:after="0" w:line="193"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Later in the day on August 25, 2015, the merger agreement was executed by Cameron, Schlumberger US, Merger Sub and Schlumberger. Early in the day on August 26, 2015, Cameron and Schlumberger issued a joint press release announcing the merger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Cameron’s Reasons for the Merger; Recommendation of the Cameron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Cameron board of directors, at a meeting held on August 25, 2015, unanimously:</w:t>
      </w:r>
    </w:p>
    <w:p>
      <w:pPr>
        <w:spacing w:after="0" w:line="131"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approved and declared advisable the merger agreement, the merger and all of the other transactions contemplated by the merger agreement;</w:t>
      </w:r>
    </w:p>
    <w:p>
      <w:pPr>
        <w:spacing w:after="0" w:line="153"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declared that it is in the best interests of Cameron and its stockholders to enter into the merger agreement and consummate the merger and all of the other transactions contemplated by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directed that adoption of the merger agreement be submitted to a vote at a meeting of the Cameron stockholders;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recommended that the Cameron stockholders vote to adopt the merger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Accordingly, the Cameron board of directors unanimously recommends a vote “FOR” the proposal to adopt the merger agreement and a vote “FOR” all other proposals.</w:t>
      </w:r>
    </w:p>
    <w:p>
      <w:pPr>
        <w:spacing w:after="0" w:line="166"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evaluating the proposed merger, the Cameron board of directors consulted with and received the advice of Cameron’s outside legal and financial advisors, held discussions with Cameron’s management and considered a number of factors that it believed supported its decision to enter into the merger agreement. These factors included, but were not limited to, the following:</w:t>
      </w:r>
    </w:p>
    <w:p>
      <w:pPr>
        <w:spacing w:after="0" w:line="87" w:lineRule="exact"/>
        <w:rPr>
          <w:sz w:val="20"/>
          <w:szCs w:val="20"/>
          <w:color w:val="auto"/>
        </w:rPr>
      </w:pPr>
    </w:p>
    <w:p>
      <w:pPr>
        <w:jc w:val="both"/>
        <w:ind w:left="900" w:right="10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per share merger consideration of $14.44 in cash and 0.716 Schlumberger shares valued at $72.52 per share of Cameron common stock as of August 25, 2015, representing a 56.3% premium to Cameron’s closing stock price of $42.47 on August 25, 2015 and a 37.0% premium over the 20-day volume weighted average price of Cameron stock as of August 25, 2015;</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per share merger consideration representing a valuation of Cameron at a multiple of approximately 10.2 times Cameron’s forecasted EBITDA for fiscal year 2016;</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Cameron board of directors’ understanding of the business operations, financial conditions, earnings and prospects of Cameron, including the prospects of Cameron on a standalone basis, including the Cameron board of directors’ views of market competition and the challenges and opportunities facing the oil and gas industry (including recent volatility in oil prices and potentially decreased demand for oil and natural gas due to weakening global economic growth) and the risks that Cameron would face given those challenges if it continued to operate on a standalone basis;</w:t>
      </w:r>
    </w:p>
    <w:p>
      <w:pPr>
        <w:spacing w:after="0" w:line="93"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financial analyses reviewed and discussed with the Cameron board of directors by representatives of Credit Suisse as well as the oral opinion of Credit Suisse rendered to the Cameron board of directors on August 25, 2015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59" w:lineRule="exact"/>
        <w:rPr>
          <w:rFonts w:ascii="Arial" w:cs="Arial" w:eastAsia="Arial" w:hAnsi="Arial"/>
          <w:sz w:val="16"/>
          <w:szCs w:val="16"/>
          <w:color w:val="auto"/>
        </w:rPr>
      </w:pPr>
    </w:p>
    <w:p>
      <w:pPr>
        <w:ind w:left="900" w:right="120" w:hanging="446"/>
        <w:spacing w:after="0" w:line="276"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fact that the per share merger consideration to be paid to Cameron stockholders consisted of a high Schlumberger common stock component and that Cameron stockholders immediately prior to the merger would own approximately 10% of the equity interests of Schlumberger immediately following the completion of the merger, which would give former Cameron stockholders the opportunity to participate in future earnings and growth of Schlumberger and future appreciation in the value of Schlumberger’s common stock following the merger should they determine to retain the Schlumberger common stock they would receive in the merger;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Cameron board of directors’ review of Schlumberger’s business operations, financial condition, earnings and prospects;</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financial profile of a combined Cameron and Schlumberger relative to that of Cameron as a standalone company, with a more diversified revenue base, both with respect to product/service offerings and geography, and a greater free cash flow as well as the synergies anticipated to be achievable in connection with the merger and the anticipated market capitalization, liquidity and capital structure of the combined company;</w:t>
      </w:r>
    </w:p>
    <w:p>
      <w:pPr>
        <w:spacing w:after="0" w:line="52" w:lineRule="exact"/>
        <w:rPr>
          <w:rFonts w:ascii="Arial" w:cs="Arial" w:eastAsia="Arial" w:hAnsi="Arial"/>
          <w:sz w:val="16"/>
          <w:szCs w:val="16"/>
          <w:color w:val="auto"/>
        </w:rPr>
      </w:pPr>
    </w:p>
    <w:p>
      <w:pPr>
        <w:jc w:val="both"/>
        <w:ind w:left="900" w:right="16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fact that the cash portion of the per share merger consideration to be paid to Cameron stockholders provided certainty of value, and that the market for Schlumberger common stock would allow Cameron stockholders the choice to either retain or dispose of the stock portion of the per share merger consideration;</w:t>
      </w:r>
    </w:p>
    <w:p>
      <w:pPr>
        <w:spacing w:after="0" w:line="8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which offers Cameron stockholders the opportunity to benefit from any increase in the trading price of Schlumberger common stock before the closing of the merger;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likelihood that the proposed merger would be consummated based on, among other things: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absence of a financing condition in the merger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likelihood and anticipated timing of consummating the merger in light of the scope of the conditions to closing;</w:t>
      </w:r>
    </w:p>
    <w:p>
      <w:pPr>
        <w:spacing w:after="0" w:line="130" w:lineRule="exact"/>
        <w:rPr>
          <w:rFonts w:ascii="Arial" w:cs="Arial" w:eastAsia="Arial" w:hAnsi="Arial"/>
          <w:sz w:val="18"/>
          <w:szCs w:val="18"/>
          <w:color w:val="auto"/>
        </w:rPr>
      </w:pPr>
    </w:p>
    <w:p>
      <w:pPr>
        <w:jc w:val="both"/>
        <w:ind w:left="1460" w:right="580" w:hanging="547"/>
        <w:spacing w:after="0" w:line="342" w:lineRule="auto"/>
        <w:tabs>
          <w:tab w:leader="none" w:pos="14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level of the commitments by the parties to obtain applicable regulatory approvals, which in the view of the Cameron board of directors after considering the advice of counsel, made it highly likely that the merger once announced would be completed; and</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that Cameron is entitled to enforce specifically the terms of the merger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other terms of the merger agreement, including:</w:t>
      </w:r>
    </w:p>
    <w:p>
      <w:pPr>
        <w:spacing w:after="0" w:line="130" w:lineRule="exact"/>
        <w:rPr>
          <w:rFonts w:ascii="Arial" w:cs="Arial" w:eastAsia="Arial" w:hAnsi="Arial"/>
          <w:sz w:val="18"/>
          <w:szCs w:val="18"/>
          <w:color w:val="auto"/>
        </w:rPr>
      </w:pPr>
    </w:p>
    <w:p>
      <w:pPr>
        <w:ind w:left="1460" w:right="120" w:hanging="547"/>
        <w:spacing w:after="0" w:line="264" w:lineRule="auto"/>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Cameron’s ability, at any time prior to obtaining the Cameron stockholder approval and under certain circumstances, to consider and respond to an unsolicited acquisition proposal, to furnish non-public information to the person making such a proposal and to engage in discussions or negotiations with the person making such a proposal;</w:t>
      </w:r>
    </w:p>
    <w:p>
      <w:pPr>
        <w:spacing w:after="0" w:line="86" w:lineRule="exact"/>
        <w:rPr>
          <w:rFonts w:ascii="Arial" w:cs="Arial" w:eastAsia="Arial" w:hAnsi="Arial"/>
          <w:sz w:val="18"/>
          <w:szCs w:val="18"/>
          <w:color w:val="auto"/>
        </w:rPr>
      </w:pPr>
    </w:p>
    <w:p>
      <w:pPr>
        <w:ind w:left="1460" w:right="320" w:hanging="547"/>
        <w:spacing w:after="0" w:line="264" w:lineRule="auto"/>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Cameron board of directors’ ability, under certain circumstances, to withhold, withdraw, modify or qualify the Cameron board of directors’ recommendation to Cameron stockholders that they vote in favor of the adoption of the merger agreement or to approve, endorse or recommend an acquisition proposal;</w:t>
      </w:r>
    </w:p>
    <w:p>
      <w:pPr>
        <w:spacing w:after="0" w:line="86" w:lineRule="exact"/>
        <w:rPr>
          <w:rFonts w:ascii="Arial" w:cs="Arial" w:eastAsia="Arial" w:hAnsi="Arial"/>
          <w:sz w:val="18"/>
          <w:szCs w:val="18"/>
          <w:color w:val="auto"/>
        </w:rPr>
      </w:pPr>
    </w:p>
    <w:p>
      <w:pPr>
        <w:ind w:left="1460" w:hanging="547"/>
        <w:spacing w:after="0" w:line="264" w:lineRule="auto"/>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Cameron’s ability, under certain circumstances, to terminate the merger agreement in order to enter into any agreement, understanding or arrangement providing for a superior proposal, provided that Cameron concurrently with such termination pays to Schlumberger US a termination fee of $321 million; and</w:t>
      </w:r>
    </w:p>
    <w:p>
      <w:pPr>
        <w:spacing w:after="0" w:line="86" w:lineRule="exact"/>
        <w:rPr>
          <w:rFonts w:ascii="Arial" w:cs="Arial" w:eastAsia="Arial" w:hAnsi="Arial"/>
          <w:sz w:val="18"/>
          <w:szCs w:val="18"/>
          <w:color w:val="auto"/>
        </w:rPr>
      </w:pPr>
    </w:p>
    <w:p>
      <w:pPr>
        <w:ind w:left="1460" w:right="160" w:hanging="547"/>
        <w:spacing w:after="0" w:line="264" w:lineRule="auto"/>
        <w:tabs>
          <w:tab w:leader="none" w:pos="1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availability of appraisal rights under the DGCL to Cameron stockholders who comply with all of the required procedures under the DGCL, which allows such holders to seek appraisal of the fair value of their shares of Cameron common stock as determined by the Delaware Court of Chancery;</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there were other potential parties that might have an interest in, and be financially capable of, engaging in a strategic transaction with Cameron at a value higher than Schlumberger’s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fact that merger is not subject to approval by Schlumberger stockholders; and</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risk that pursuing other potential alternatives, including continuing to operate on a standalone basis, could have resulted in the loss of an opportunity to consummate a transaction with Schlumberger.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the course of its deliberations, the Cameron board of directors also considered a variety of risks and other countervailing factors related to entering into the merger agreement, the merger and the other transaction contemplated thereby, including but not limited to:</w:t>
      </w:r>
    </w:p>
    <w:p>
      <w:pPr>
        <w:spacing w:after="0" w:line="76"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possibility that the merger may be delayed or not occur at all, due to a failure of certain conditions;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risk that regulatory agencies may not approve the merger or may impose terms and conditions on their approvals that would either materially impair the business operations of the combined company or adversely impact the ability of the combined company to realize the synergies that are expected to occur in connection with the merger;</w:t>
      </w:r>
    </w:p>
    <w:p>
      <w:pPr>
        <w:spacing w:after="0" w:line="86" w:lineRule="exact"/>
        <w:rPr>
          <w:rFonts w:ascii="Arial" w:cs="Arial" w:eastAsia="Arial" w:hAnsi="Arial"/>
          <w:sz w:val="18"/>
          <w:szCs w:val="18"/>
          <w:color w:val="auto"/>
        </w:rPr>
      </w:pPr>
    </w:p>
    <w:p>
      <w:pPr>
        <w:jc w:val="both"/>
        <w:ind w:left="900" w:right="160" w:hanging="446"/>
        <w:spacing w:after="0" w:line="286"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risks and costs to Cameron if the merger is delayed or does not occur at all, including the potential negative impact on Cameron’s ability to retain key employees, the diversion of Cameron management and employee attention and the potential disruptive effects on Cameron’s day-to-day operations and Cameron’s relationships with third parties, including its customers and suppliers;</w:t>
      </w:r>
    </w:p>
    <w:p>
      <w:pPr>
        <w:spacing w:after="0" w:line="70" w:lineRule="exact"/>
        <w:rPr>
          <w:rFonts w:ascii="Arial" w:cs="Arial" w:eastAsia="Arial" w:hAnsi="Arial"/>
          <w:sz w:val="17"/>
          <w:szCs w:val="17"/>
          <w:color w:val="auto"/>
        </w:rPr>
      </w:pPr>
    </w:p>
    <w:p>
      <w:pPr>
        <w:ind w:left="900" w:right="44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restrictions on the conduct of Cameron’s business prior to the consummation of the merger, which may delay or prevent Cameron from undertaking business opportunities that may arise or other actions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would otherwise take with respect to the operations of Cameron pending consummation of the merger;</w:t>
      </w:r>
    </w:p>
    <w:p>
      <w:pPr>
        <w:spacing w:after="0" w:line="131" w:lineRule="exact"/>
        <w:rPr>
          <w:sz w:val="20"/>
          <w:szCs w:val="20"/>
          <w:color w:val="auto"/>
        </w:rPr>
      </w:pPr>
    </w:p>
    <w:p>
      <w:pPr>
        <w:ind w:left="900" w:right="100" w:hanging="446"/>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challenges inherent in the combination of two businesses of the size and complexity of Cameron and Schlumberger, including potential risks associated with achieving anticipated synergies and successfully integrating Cameron’s business, operations and workforce with those of Schlumberger;</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meaning Cameron stockholders cannot be sure at the time they vote on the merger of the market value of the merger consideration they will receive, and the possibility that Cameron stockholders could be adversely affected by a decrease in the market price of Schlumberger common stock before the closing of the merger;</w:t>
      </w:r>
    </w:p>
    <w:p>
      <w:pPr>
        <w:spacing w:after="0" w:line="92"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risk of incurring substantial expenses related to the merger, including in connection with any litigation resulting from the announcement or pendency of the merger;</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possibility that the expense reimbursement that Schlumberger US would be required to pay under the merger agreement upon termination of the merger agreement under certain circumstances would be insufficient to compensate Cameron for its costs incurred in connection with the merger agreement;</w:t>
      </w:r>
    </w:p>
    <w:p>
      <w:pPr>
        <w:spacing w:after="0" w:line="8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provisions of the merger agreement that restrict Cameron’s ability to solicit or participate in discussions or negotiations regarding alternative acquisition proposals, subject to specified exceptions, and that require Cameron to give Schlumberger the opportunity to propose revisions to the terms of the transactions contemplated by the merger agreement prior to Cameron being able to terminate the merger agreement to accept a superior proposal;</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possibility that, if the merger is not consummated, under certain circumstances, Cameron may be required to reimburse Schlumberger and Schlumberger US for up to $10 million of their expenses or pay to Schlumberger US a termination fee of $321 million, as more fully described in the section entitled “The Merger Agreement—Termination, Amendment and Waiver,” which could discourage other third parties from making an alternative acquisition proposal with respect to Cameron, but which the Cameron board of directors believed would not be a meaningful deterrent;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fact that Cameron negotiated solely with Schlumberger rather than conducting a public or private “auction” or sales process of Cameron; and</w:t>
      </w:r>
    </w:p>
    <w:p>
      <w:pPr>
        <w:spacing w:after="0" w:line="15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that the transaction, including the stock portion of the per share merger consideration, would be taxable to Cameron’s stockholders that are U.S. holders for U.S. federal income tax purposes.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Cameron board of directors was aware of and considered the interests of its directors and executive officers that are different from, or in addition to, the interests of Cameron stockholders generally, including the treatment of Cameron stock options and other equity awards held by such directors and executive officers in the merger described in the section entitled “The Merger—Interests of Cameron’s Directors and Executive Officers in the Merger” and Schlumberger’s agreement to indemnify Cameron directors and officers against certain claims and liabilities.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foregoing discussion of the information and factors that the Cameron board of directors considered is not intended to be exhaustive, but rather is meant to include the material factors that the Cameron board of directors considered. The Cameron board of directors collectively reached the conclusion to approve the merger agreement, the merger and all of the other transactions contemplated by the merger agreement in light of the various factors described above and other factors that the members of the Cameron board of directors believed were appropriate. In view of the complexity and wide variety of factors, both positive and negative, that the Cameron board of directors considered in connection with its evaluation of the merger, the Cameron board of directors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unfavorable to the ultimate determination of the Cameron board of directors. Rather, in considering the various factors, individual members of the Cameron board of directors considered all of these factors as a whole and concluded, based on the totality of information presented to them and the investigation conducted by them, that, on balance, the positive factors outweighed the negative factors and that they supported a determination to approve the merger agreement, declare its advisability and recommend that the Cameron stockholders vote to adopt the merger agreement. In considering the factors discussed above, individual directors may have given different weights to different factors and the factors are not presented in any order of priority.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Reasons for the Merger</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Schlumberger believes the merger will create sustainable long-term value for its stockholders. Key factors considered by Schlumberger include the following:</w:t>
      </w:r>
    </w:p>
    <w:p>
      <w:pPr>
        <w:spacing w:after="0" w:line="76" w:lineRule="exact"/>
        <w:rPr>
          <w:sz w:val="20"/>
          <w:szCs w:val="20"/>
          <w:color w:val="auto"/>
        </w:rPr>
      </w:pPr>
    </w:p>
    <w:p>
      <w:pPr>
        <w:ind w:left="900" w:right="680" w:hanging="446"/>
        <w:spacing w:after="0" w:line="34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Schlumberger’s belief that combining its deep reservoir knowledge with Cameron’s wellhead and surface technology, further enabled by instrumentation, software and automation, will launch a new era of complete drilling and production system performance;</w:t>
      </w:r>
    </w:p>
    <w:p>
      <w:pPr>
        <w:spacing w:after="0" w:line="2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Schlumberger’s expectation that the transaction will combine two complementary technology portfolios into a “pore-to-pipeline” products and services offering to the global oil and gas industry, which, on a pro forma basis, would have had 2014 revenues of $59 billion;</w:t>
      </w:r>
    </w:p>
    <w:p>
      <w:pPr>
        <w:spacing w:after="0" w:line="51"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Schlumberger’s expectation that the merger will result in incremental pretax synergies of approximately $300 million and $600 million in the first year and the second year after closing, respectively, with a growing component of revenue synergies expected in the second year and beyond;</w:t>
      </w:r>
    </w:p>
    <w:p>
      <w:pPr>
        <w:spacing w:after="0" w:line="29" w:lineRule="exact"/>
        <w:rPr>
          <w:rFonts w:ascii="Arial" w:cs="Arial" w:eastAsia="Arial" w:hAnsi="Arial"/>
          <w:sz w:val="16"/>
          <w:szCs w:val="16"/>
          <w:color w:val="auto"/>
        </w:rPr>
      </w:pPr>
    </w:p>
    <w:p>
      <w:pPr>
        <w:ind w:left="900" w:right="500" w:hanging="446"/>
        <w:spacing w:after="0" w:line="308"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Schlumberger’s expectation that the transaction will result in the achievement of significant efficiency gains through lower operating costs, streamlined supply chains, and improved manufacturing processes while leveraging the Schlumberger transformation platform;</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Schlumberger’s expectation that the merger will be accretive to earnings per share by the end of the first year after closing; and</w:t>
      </w:r>
    </w:p>
    <w:p>
      <w:pPr>
        <w:spacing w:after="0" w:line="130" w:lineRule="exact"/>
        <w:rPr>
          <w:rFonts w:ascii="Arial" w:cs="Arial" w:eastAsia="Arial" w:hAnsi="Arial"/>
          <w:sz w:val="18"/>
          <w:szCs w:val="18"/>
          <w:color w:val="auto"/>
        </w:rPr>
      </w:pPr>
    </w:p>
    <w:p>
      <w:pPr>
        <w:jc w:val="both"/>
        <w:ind w:left="900" w:right="300" w:hanging="446"/>
        <w:spacing w:after="0" w:line="31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Schlumberger’s belief that the next industry technical breakthrough will be achieved through integration of Schlumberger’s reservoir and well technologies with Cameron’s leadership in surface, drilling, processing and flow control technologies, generating value for customers through expanded technical capabilities, improved efficiency and closer commercial alignment to lower cost per barrel and raise recovery.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Cameron’s Financial Advisor</w:t>
      </w:r>
    </w:p>
    <w:p>
      <w:pPr>
        <w:spacing w:after="0" w:line="121"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On August 25, 2015,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Credit Suisse’s opinion was directed to the Cameron board of directors, and only addressed, as of August 25, 2015, the fairness, from a financial point of view, to the holders of Cameron common stock of the merger consideration to be received by such holders in the merger pursuant to the merger agreement and did not address any other aspect or implication of the merger. The summary of Credit Suisse’s opinion in this proxy statement/prospectus is qualified in its entirety by reference to the full text of its written opinion, which is included as Annex C to this proxy statement/prospectus and sets forth the procedures followed, assumptions made, qualifications and limitations on the review undertaken and other matters considered by Credit Suisse in preparing its opinion. However, neither Credit Suisse’s written opinion nor the summary of its opinion and the related analyses set forth in this proxy statement/prospectus is intended to be, and they do not constitute, advice or a recommendation to any stockholder as to how such holder should vote or act on any matter relating to the proposed merger.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Credit Suisse:</w:t>
      </w:r>
    </w:p>
    <w:p>
      <w:pPr>
        <w:spacing w:after="0" w:line="131"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the merger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Cameron and Schlumberger;</w:t>
      </w:r>
    </w:p>
    <w:p>
      <w:pPr>
        <w:spacing w:after="0" w:line="130" w:lineRule="exact"/>
        <w:rPr>
          <w:rFonts w:ascii="Arial" w:cs="Arial" w:eastAsia="Arial" w:hAnsi="Arial"/>
          <w:sz w:val="18"/>
          <w:szCs w:val="18"/>
          <w:color w:val="auto"/>
        </w:rPr>
      </w:pPr>
    </w:p>
    <w:p>
      <w:pPr>
        <w:ind w:left="900" w:right="480" w:hanging="446"/>
        <w:spacing w:after="0" w:line="342"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reviewed certain other information relating to Cameron and Schlumberger, including the Company Forecasts—August and certain publicly available research analyst estimates with respect to future financial performance of Schlumberger (the “Schlumberger Street Estimates”);</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received guidance from management of Cameron regarding the potential adverse financial implications of recent developments affecting the oil and gas industry, including the increased volatility and uncertainty regarding future oil and gas prices;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spoke with the managements of Cameron and Schlumberger regarding the business prospects of Cameron and Schlumberger, respectively;</w:t>
      </w:r>
    </w:p>
    <w:p>
      <w:pPr>
        <w:spacing w:after="0" w:line="153" w:lineRule="exact"/>
        <w:rPr>
          <w:rFonts w:ascii="Arial" w:cs="Arial" w:eastAsia="Arial" w:hAnsi="Arial"/>
          <w:sz w:val="16"/>
          <w:szCs w:val="16"/>
          <w:color w:val="auto"/>
        </w:rPr>
      </w:pPr>
    </w:p>
    <w:p>
      <w:pPr>
        <w:ind w:left="900" w:right="140" w:hanging="446"/>
        <w:spacing w:after="0" w:line="342"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considered certain financial and stock market data of Cameron and Schlumberger, and compared that data with similar data for other companies with publicly traded equity securities in businesses Credit Suisse deemed similar to those of Cameron and Schlumberger, respectively;</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business combinations and other transactions which had been effected or announced; and</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considered such other information, financial studies, analyses and investigations and financial, economic and market criteria which Credit Suisse deemed relevant.</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its review Credit Suisse did not independently verify any of the foregoing information, and Credit Suisse assumed and relied upon such information being complete and accurate in all respects. Credit Suisse was advised by Cameron management that recent developments affecting the oil and gas industry, including the increased volatility and uncertainty regarding future oil and gas prices, had raised concerns that the Company Forecasts— August would be more difficult to achieve than Cameron management believed at the time the Company Forecasts—August were prepared. Nevertheless, although such developments and the resulting uncertainty made Cameron’s future financial performance difficult to predict, management of Cameron advised Credit Suisse and Credit Suisse assumed that the Company Forecasts—August continued to reflect the best currently available estimates and judgments of the management of Cameron as to the future financial performance of Cameron. With respect to the Schlumberger Street Estimates that Credit Suisse used and relied upon for purposes of its analyses and opinion, management of Schlumberger advised Credit Suisse and Credit Suisse assumed that such Schlumberger Street Estimates were reasonable estimates as to the future financial performance of Schlumberger. At the direction of management of Cameron, Credit Suisse assumed that the Company Forecasts—August and the Schlumberger Street Estimates were a reasonable basis on which to evaluate Cameron, Schlumberger and the merger and Credit Suisse used and relied upon such forecasts and estimates for purposes of its analyses and opinion. Credit Suisse expressed no view or opinion with respect to the Company Forecasts—August or the Schlumberger Street Estimates or the assumptions upon which they were based.</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Credit Suisse also assumed, with Cameron’s consent, that, in the course of obtaining any regulatory or third party consents, approvals or agreements in connection with the merger, no delay, limitation, restriction or condition would be imposed that would have an adverse effect on Cameron, Schlumberger or the contemplated benefits of the merger. With Cameron’s consent, Credit Suisse also assumed that the merger would be consummated in compliance with all applicable laws and regulations and in accordance with the terms of the merger agreement, without waiver, modification or amendment of any term, condition or agreement thereof that was material to Credit Suisse’s analyses or opinion. Credit Suisse did not investigate or otherwise evaluate, and its opinion did not address, the potential effects of the merger on the federal, state or other taxes or tax rates payable by Cameron, Schlumberger or their respective security holders and, with Cameron’s consent, Credit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Suisse assumed, that Cameron and Schlumberger would not incur any gain or loss as a result of the merger and that, except as would not be material to its analyses or opinion, such taxes and tax rates would not be adversely affected by or after giving effect to the merger. In addition, Credit Suisse was not requested to make, and did not make, an independent evaluation or appraisal of the assets or liabilities (contingent or otherwise) of Cameron or Schlumberger, nor was Credit Suisse furnished with any such evaluations or appraisals.</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Credit Suisse’s opinion addressed only the fairness, from a financial point of view, to the holders of Cameron common stock of the merger consideration to be received by such holders in the merger pursuant to the merger agreement and did not address any other aspect or implication (financial or otherwise) of the merger or any agreement, arrangement or understanding entered into in connection therewith or otherwise, including, without limitation, the form and structure of the merger and the merger consideration or the fairness of the amount or nature of, or any other aspect relating to, any compensation or consideration to be received by or otherwise payable to any officers, directors, employees, security holders or affiliates of any party to the merger, or class of such persons, relative to the merger consideration or otherwise. Furthermore, Credit Suisse did not express any advice or opinion regarding matters that require legal, regulatory, accounting, insurance, tax, environmental, executive compensation or other similar professional advice. Credit Suisse assumed that Cameron had obtained or would obtain such advice or opinions from the appropriate professional sources. The issuance of Credit Suisse’s opinion was approved by Credit Suisse’s authorized internal committee.</w:t>
      </w:r>
    </w:p>
    <w:p>
      <w:pPr>
        <w:spacing w:after="0" w:line="18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Credit Suisse’s opinion was necessarily based upon information made available to Credit Suisse as of the date of its opinion and financial, economic, market and other conditions as they existed and could be evaluated on the date of its opinion. Credit Suisse did not undertake, and is under no obligation, to update, revise, reaffirm or withdraw its opinion, or otherwise comment on or consider events occurring or coming to its attention after the date of its opinion. In addition, as the Cameron board of directors was aware, the financial projections and estimates that Credit Suisse reviewed relating to the future financial performance of Cameron and Schlumberger reflected certain assumptions regarding the oil and gas industry and the future commodity prices associated with the oil and gas industry that were subject to significant uncertainty and volatility and that, if different than assumed, could have a material impact on its analyses and opinion. Credit Suisse’s opinion did not address the relative merits of the merger as compared to alternative transactions or strategies that might have been available to Cameron, nor did it address the underlying business decision of the Cameron board of directors or Cameron to proceed with or effect the merger. Credit Suisse did not express any opinion as to what the value of shares of Schlumberger common stock actually would be when issued pursuant to the merger or the price or range of prices at which shares of Schlumberger common stock or Cameron common stock may be purchased or sold at any time. Credit Suisse was not requested to, and did not, solicit third party indications of interest in acquiring all or any part of Cameron.</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Credit Suisse’s opinion was for the information of the Cameron board of directors in connection with its consideration of the merger and did not constitute a recommendation to the Cameron board of directors with respect to the merger or advice or a recommendation to any holder of Cameron common stock as to how such holder should vote or act on any matter relating to the proposed merger.</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preparing its opinion to the Cameron board of directors, Credit Suisse performed a variety of analyses, including those described below. The summary of Credit Suisse’s financial analyses is not a complete description of the analyses underlying Credit Suisse’s opinion. The preparation of such an opinion is a complex process involving various quantitative and qualitative judgments and determinations with respect to the financial, comparative and other analytic methods employed and the adaptation and application of those methods to the unique facts and circumstances presented. As a consequence, neither Credit Suisse’s opinion nor the analyses underlying its opinion are readily susceptible to partial analysis or summary description. Credit Suisse arrived at its opinion based on the results of all analyses undertaken by it and assessed as a whole and did not draw, in isolation, conclusions from or with regard to any individual analysis, analytic method or factor. Accordingly, Credit Suisse believes that its analyses must be considered as a whole and that selecting portions of its analyses, analytic methods and factors, without considering all analyses and factors or the narrative description of the analyses, could create a misleading or incomplete view of the processes underlying its analyses and opinion.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In performing its analyses, Credit Suisse considered business, economic, industry and market conditions, financial and otherwise, and other matters as they existed on, and could be evaluated as of, the date of its opinion. No company, business or transaction used in Credit Suisse’s analyses for comparative purposes is identical to Cameron or the proposed merger. While the results of each analysis were taken into account in reaching its overall conclusion with respect to fairness, Credit Suisse did not make separate or quantifiable judgments regarding individual analyses. The implied valuation reference ranges indicated by Credit Suisse’s analyses are illustrative and not necessarily indicative of actual values nor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Cameron’s control and the control of Credit Suisse. Much of the information used in, and accordingly the results of, Credit Suisse’s analyses are inherently subject to substantial uncertainty.</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Credit Suisse’s opinion and analyses were provided to the Cameron board of directors (in its capacity as such) in connection with its consideration of the proposed merger and were among many factors considered by the Cameron board of directors in evaluating the proposed merger. Neither Credit Suisse’s opinion nor its analyses were determinative of the merger consideration or of the views of the Cameron board of directors with respect to the proposed merger.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is a summary of the material financial analyses performed in connection with Credit Suisse’s opinion rendered to the Cameron board of directors on August 25, 2015.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Credit Suisse’s analyses.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its analyses, Credit Suisse reviewed a number of financial metrics including:</w:t>
      </w:r>
    </w:p>
    <w:p>
      <w:pPr>
        <w:spacing w:after="0" w:line="127" w:lineRule="exact"/>
        <w:rPr>
          <w:sz w:val="20"/>
          <w:szCs w:val="20"/>
          <w:color w:val="auto"/>
        </w:rPr>
      </w:pPr>
    </w:p>
    <w:p>
      <w:pPr>
        <w:ind w:left="900" w:right="380" w:hanging="446"/>
        <w:spacing w:after="0" w:line="314"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Enterprise Value</w:t>
      </w:r>
      <w:r>
        <w:rPr>
          <w:rFonts w:ascii="Arial" w:cs="Arial" w:eastAsia="Arial" w:hAnsi="Arial"/>
          <w:sz w:val="16"/>
          <w:szCs w:val="16"/>
          <w:color w:val="auto"/>
        </w:rPr>
        <w:t>—generally the value as of a specified date of the relevant company’s outstanding equity securities (taking into account its</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other outstanding convertible securities) plus the value as of such date of its corporate adjustments (the value of its outstanding indebtedness, non-controlling interests, preferred stock and capital lease obligations less the amount of cash on its balance sheet).</w:t>
      </w:r>
    </w:p>
    <w:p>
      <w:pPr>
        <w:spacing w:after="0" w:line="47" w:lineRule="exact"/>
        <w:rPr>
          <w:rFonts w:ascii="Arial" w:cs="Arial" w:eastAsia="Arial" w:hAnsi="Arial"/>
          <w:sz w:val="16"/>
          <w:szCs w:val="16"/>
          <w:color w:val="auto"/>
        </w:rPr>
      </w:pPr>
    </w:p>
    <w:p>
      <w:pPr>
        <w:ind w:left="900" w:right="320" w:hanging="446"/>
        <w:spacing w:after="0" w:line="282"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—generally the amount of the relevant company’s earnings before interest, taxes, depreciation and amortization for a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166"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For purposes of its analyses and opinion, Credit Suisse calculated an implied value of the merger consideration of $66.36 per share of Cameron common stock, which was based on the merger consideration to be received per share of Cameron common stock of $14.44 in cash and 0.716 of a share of Schlumberger common stock, with a share of Schlumberger common stock valued based on the closing market price of a share of Schlumberger common stock of $72.52 on August 25, 2015, the last trading day prior to the execution of the merger agreement. Credit Suisse compared the implied value of the merger consideration to the valuation reference ranges implied by each of the financial analyses with respect to Cameron described below.</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Selected Companies Analyses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Credit Suisse considered certain financial data for Cameron and selected companies with publicly traded equity securities Credit Suisse deemed relevant. The selected companies were selected because they were deemed to be similar to Cameron in one or more respects, including the nature of their business, size, diversification and financial performance. Unless the context indicates otherwise, share prices for the selected companies used in the selected companies analysis described below were as of August 25, 2015. The estimates of Cameron’s future financial performance for the calendar years ending December 31, 2015, 2016 and 2017 used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selected companies analysis described below were based on the Company Forecasts—August. Estimates of the future financial performance of the selected companies listed below for the calendar years ending December 31, 2015, 2016 and 2017 were based on publicly available research analyst estimates for those companies.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data reviewed included:</w:t>
      </w:r>
    </w:p>
    <w:p>
      <w:pPr>
        <w:spacing w:after="0" w:line="131"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2015, or “CY 2015E EBITDA”;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2016, or “CY 2016E EBITDA”;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2017, or “CY 2017E EBITDA.”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selected companies and corresponding multiples were: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ENTERPRISE VALUE</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08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CY 2015E</w:t>
            </w:r>
          </w:p>
        </w:tc>
        <w:tc>
          <w:tcPr>
            <w:tcW w:w="580" w:type="dxa"/>
            <w:vAlign w:val="bottom"/>
          </w:tcPr>
          <w:p>
            <w:pPr>
              <w:spacing w:after="0"/>
              <w:rPr>
                <w:sz w:val="10"/>
                <w:szCs w:val="10"/>
                <w:color w:val="auto"/>
              </w:rPr>
            </w:pPr>
          </w:p>
        </w:tc>
        <w:tc>
          <w:tcPr>
            <w:tcW w:w="1400" w:type="dxa"/>
            <w:vAlign w:val="bottom"/>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CY 2016E</w:t>
            </w:r>
          </w:p>
        </w:tc>
        <w:tc>
          <w:tcPr>
            <w:tcW w:w="620" w:type="dxa"/>
            <w:vAlign w:val="bottom"/>
          </w:tcPr>
          <w:p>
            <w:pPr>
              <w:spacing w:after="0" w:line="119" w:lineRule="exact"/>
              <w:rPr>
                <w:sz w:val="20"/>
                <w:szCs w:val="20"/>
                <w:color w:val="auto"/>
              </w:rPr>
            </w:pPr>
            <w:r>
              <w:rPr>
                <w:rFonts w:ascii="Arial" w:cs="Arial" w:eastAsia="Arial" w:hAnsi="Arial"/>
                <w:sz w:val="13"/>
                <w:szCs w:val="13"/>
                <w:b w:val="1"/>
                <w:bCs w:val="1"/>
                <w:color w:val="auto"/>
              </w:rPr>
              <w:t>CY 2017E</w:t>
            </w:r>
          </w:p>
        </w:tc>
        <w:tc>
          <w:tcPr>
            <w:tcW w:w="100" w:type="dxa"/>
            <w:vAlign w:val="bottom"/>
          </w:tcPr>
          <w:p>
            <w:pPr>
              <w:spacing w:after="0"/>
              <w:rPr>
                <w:sz w:val="10"/>
                <w:szCs w:val="10"/>
                <w:color w:val="auto"/>
              </w:rPr>
            </w:pPr>
          </w:p>
        </w:tc>
      </w:tr>
      <w:tr>
        <w:trPr>
          <w:trHeight w:val="171"/>
        </w:trPr>
        <w:tc>
          <w:tcPr>
            <w:tcW w:w="60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EBITDA</w:t>
            </w:r>
          </w:p>
        </w:tc>
        <w:tc>
          <w:tcPr>
            <w:tcW w:w="58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EBITDA</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National Oilwell Varco, Inc.</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6.5x</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7.7x</w:t>
            </w:r>
          </w:p>
        </w:tc>
        <w:tc>
          <w:tcPr>
            <w:tcW w:w="7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2"/>
              </w:rPr>
              <w:t>6.8x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FMC Technologies,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7.1x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8.0x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7.7x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Flowserve Corporation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7.7x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Oceaneering International,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6.7x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6.2x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Dril-Quip,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8.2x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Oil States International,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7.0x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7.6x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5.5x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Forum Energy Technologies,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6.5x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Aker Solutions ASA</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4.6x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4.5x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Circor International,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7.4x</w:t>
            </w:r>
          </w:p>
        </w:tc>
      </w:tr>
    </w:tbl>
    <w:p>
      <w:pPr>
        <w:spacing w:after="0" w:line="2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Taking into account the results of the selected companies analysis, Credit Suisse applied multiple ranges of 7.0x to 8.0x to Cameron’s CY 2015E EBITDA, 7.0x to 8.0x to Cameron’s CY 2016E EBITDA and 6.5x to 7.5x to Cameron’s CY 2017E EBITDA. The selected companies analysis indicated an implied valuation reference range of $41.51 to $49.30 per share of Cameron common stock, as compared to the implied value of the merger consideration of $66.36 per share of Cameron common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Credit Suisse also performed a discounted cash flow analysis of Cameron by calculating the estimated net present value of the projected after-tax, unlevered free cash flow of Cameron based on the Company Forecasts—August. Credit Suisse applied a range of terminal value multiples of 7.5x to 9.0x to Cameron’s estimated FY 2019E EBITDA and discount rates ranging from 9.0% to 12.0%. The discounted cash flow analysis of Cameron based on the Company Forecasts—August indicated an implied valuation reference range of $59.90 to $76.79 per share of Cameron common stock, as compared to the implied value of the merger consideration of $66.36 per share of Cameron common stock. Credit Suisse also performed a sensitivity discounted cash flow analysis, applying the same range of terminal value multiples and discount rates, taking into account Cameron management’s views with respect to the potential adverse implications of recent developments affecting the oil and gas industry, including increased volatility and uncertainty regarding future oil and gas prices, on Cameron’s estimated future revenue and EBITDA. The sensitivity discounted cash flow analysis of Cameron based on the Company Forecasts —August and taking into account such views of Cameron management indicated an implied valuation reference range of $53.49 to $68.55 per share of Cameron common stock, as compared to the implied value of the merger consideration of $66.36 per share of Cameron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Selected Transactions Analysis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Credit Suisse also considered the financial terms of certain business combinations and other transactions Credit Suisse deemed relevant. The selected transactions were selected because the target companies were oilfield services companies deemed to be similar to Cameron in one or more respects, including the nature of their business, size, diversification and financial performance. The financial data reviewed included the implied Enterprise Value (based on the consideration proposed to be paid in the selected transactions as of the date of announcement) as a multiple of EBITDA for the last twelve months prior to the announcement of the relevant transaction for which information was publicly available, or “LTM EBITDA.” The selected transactions and corresponding multiples were:</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Date</w:t>
            </w: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Enterprise</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Acquiror</w:t>
            </w:r>
          </w:p>
        </w:tc>
        <w:tc>
          <w:tcPr>
            <w:tcW w:w="440" w:type="dxa"/>
            <w:vAlign w:val="bottom"/>
          </w:tcPr>
          <w:p>
            <w:pPr>
              <w:spacing w:after="0"/>
              <w:rPr>
                <w:sz w:val="12"/>
                <w:szCs w:val="12"/>
                <w:color w:val="auto"/>
              </w:rPr>
            </w:pPr>
          </w:p>
        </w:tc>
        <w:tc>
          <w:tcPr>
            <w:tcW w:w="454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Target</w:t>
            </w: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Value /LTM</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8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Announced</w:t>
            </w:r>
          </w:p>
        </w:tc>
        <w:tc>
          <w:tcPr>
            <w:tcW w:w="22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8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shd w:val="clear" w:color="auto" w:fill="CCEEFF"/>
          </w:tcPr>
          <w:p>
            <w:pPr>
              <w:spacing w:after="0"/>
              <w:rPr>
                <w:sz w:val="12"/>
                <w:szCs w:val="12"/>
                <w:color w:val="auto"/>
              </w:rPr>
            </w:pPr>
          </w:p>
        </w:tc>
        <w:tc>
          <w:tcPr>
            <w:tcW w:w="138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6"/>
                <w:szCs w:val="16"/>
                <w:color w:val="auto"/>
              </w:rPr>
              <w:t>Large Cap</w:t>
            </w:r>
          </w:p>
        </w:tc>
        <w:tc>
          <w:tcPr>
            <w:tcW w:w="2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gridSpan w:val="2"/>
          </w:tcPr>
          <w:p>
            <w:pPr>
              <w:spacing w:after="0"/>
              <w:rPr>
                <w:sz w:val="18"/>
                <w:szCs w:val="18"/>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8"/>
                <w:szCs w:val="18"/>
                <w:color w:val="auto"/>
              </w:rPr>
              <w:t>11/2014</w:t>
            </w:r>
          </w:p>
        </w:tc>
        <w:tc>
          <w:tcPr>
            <w:tcW w:w="2240" w:type="dxa"/>
            <w:vAlign w:val="bottom"/>
          </w:tcPr>
          <w:p>
            <w:pPr>
              <w:spacing w:after="0"/>
              <w:rPr>
                <w:sz w:val="20"/>
                <w:szCs w:val="20"/>
                <w:color w:val="auto"/>
              </w:rPr>
            </w:pPr>
            <w:r>
              <w:rPr>
                <w:rFonts w:ascii="Arial" w:cs="Arial" w:eastAsia="Arial" w:hAnsi="Arial"/>
                <w:sz w:val="18"/>
                <w:szCs w:val="18"/>
                <w:color w:val="auto"/>
              </w:rPr>
              <w:t>Halliburton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Baker Hughes Incorporated</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9/2014</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Siemens AG</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Dresser-Rand Group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2/2010</w:t>
            </w:r>
          </w:p>
        </w:tc>
        <w:tc>
          <w:tcPr>
            <w:tcW w:w="2240" w:type="dxa"/>
            <w:vAlign w:val="bottom"/>
          </w:tcPr>
          <w:p>
            <w:pPr>
              <w:spacing w:after="0"/>
              <w:rPr>
                <w:sz w:val="20"/>
                <w:szCs w:val="20"/>
                <w:color w:val="auto"/>
              </w:rPr>
            </w:pPr>
            <w:r>
              <w:rPr>
                <w:rFonts w:ascii="Arial" w:cs="Arial" w:eastAsia="Arial" w:hAnsi="Arial"/>
                <w:sz w:val="18"/>
                <w:szCs w:val="18"/>
                <w:color w:val="auto"/>
              </w:rPr>
              <w:t>Schlumberger Limited</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Smith International</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8/2009</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Baker Hughes Incorporated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BJ Services Company</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12/2007</w:t>
            </w:r>
          </w:p>
        </w:tc>
        <w:tc>
          <w:tcPr>
            <w:tcW w:w="2240" w:type="dxa"/>
            <w:vAlign w:val="bottom"/>
          </w:tcPr>
          <w:p>
            <w:pPr>
              <w:spacing w:after="0"/>
              <w:rPr>
                <w:sz w:val="20"/>
                <w:szCs w:val="20"/>
                <w:color w:val="auto"/>
              </w:rPr>
            </w:pPr>
            <w:r>
              <w:rPr>
                <w:rFonts w:ascii="Arial" w:cs="Arial" w:eastAsia="Arial" w:hAnsi="Arial"/>
                <w:sz w:val="18"/>
                <w:szCs w:val="18"/>
                <w:color w:val="auto"/>
              </w:rPr>
              <w:t>National Oilwell Varco, Inc.</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Grant Prideco,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5/1998</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Baker Hughes Incorporated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Western Atlas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9.9x</w:t>
            </w:r>
          </w:p>
        </w:tc>
        <w:tc>
          <w:tcPr>
            <w:tcW w:w="0" w:type="dxa"/>
            <w:vAlign w:val="bottom"/>
          </w:tcPr>
          <w:p>
            <w:pPr>
              <w:spacing w:after="0"/>
              <w:rPr>
                <w:sz w:val="1"/>
                <w:szCs w:val="1"/>
                <w:color w:val="auto"/>
              </w:rPr>
            </w:pPr>
          </w:p>
        </w:tc>
      </w:tr>
      <w:tr>
        <w:trPr>
          <w:trHeight w:val="230"/>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2/1998</w:t>
            </w:r>
          </w:p>
        </w:tc>
        <w:tc>
          <w:tcPr>
            <w:tcW w:w="2240" w:type="dxa"/>
            <w:vAlign w:val="bottom"/>
          </w:tcPr>
          <w:p>
            <w:pPr>
              <w:spacing w:after="0"/>
              <w:rPr>
                <w:sz w:val="20"/>
                <w:szCs w:val="20"/>
                <w:color w:val="auto"/>
              </w:rPr>
            </w:pPr>
            <w:r>
              <w:rPr>
                <w:rFonts w:ascii="Arial" w:cs="Arial" w:eastAsia="Arial" w:hAnsi="Arial"/>
                <w:sz w:val="18"/>
                <w:szCs w:val="18"/>
                <w:color w:val="auto"/>
              </w:rPr>
              <w:t>Halliburton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Dresser Industries,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9.5x</w:t>
            </w: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520" w:type="dxa"/>
            <w:vAlign w:val="bottom"/>
            <w:gridSpan w:val="6"/>
            <w:shd w:val="clear" w:color="auto" w:fill="CCEEFF"/>
          </w:tcPr>
          <w:p>
            <w:pPr>
              <w:ind w:left="140"/>
              <w:spacing w:after="0" w:line="176" w:lineRule="exact"/>
              <w:rPr>
                <w:sz w:val="20"/>
                <w:szCs w:val="20"/>
                <w:color w:val="auto"/>
              </w:rPr>
            </w:pPr>
            <w:r>
              <w:rPr>
                <w:rFonts w:ascii="Arial" w:cs="Arial" w:eastAsia="Arial" w:hAnsi="Arial"/>
                <w:sz w:val="18"/>
                <w:szCs w:val="18"/>
                <w:color w:val="auto"/>
              </w:rPr>
              <w:t>Equipment</w:t>
            </w:r>
          </w:p>
        </w:tc>
        <w:tc>
          <w:tcPr>
            <w:tcW w:w="2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380" w:type="dxa"/>
            <w:vAlign w:val="bottom"/>
            <w:gridSpan w:val="5"/>
          </w:tcPr>
          <w:p>
            <w:pPr>
              <w:jc w:val="right"/>
              <w:ind w:right="520"/>
              <w:spacing w:after="0"/>
              <w:rPr>
                <w:sz w:val="20"/>
                <w:szCs w:val="20"/>
                <w:color w:val="auto"/>
              </w:rPr>
            </w:pPr>
            <w:r>
              <w:rPr>
                <w:rFonts w:ascii="Arial" w:cs="Arial" w:eastAsia="Arial" w:hAnsi="Arial"/>
                <w:sz w:val="18"/>
                <w:szCs w:val="18"/>
                <w:color w:val="auto"/>
              </w:rPr>
              <w:t>4/2013</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Lufkin Industries,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8/2012</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National Oilwell Varco, Inc.</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Robbins &amp; Myers,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2/2011</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John Wood Group Plc’s well-support business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12/2010</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Wellstream Holdings PLC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10/2010</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Dresser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2/2007</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Tenaris SA</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Hydril Company LP</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8/2004</w:t>
            </w:r>
          </w:p>
        </w:tc>
        <w:tc>
          <w:tcPr>
            <w:tcW w:w="2240" w:type="dxa"/>
            <w:vAlign w:val="bottom"/>
          </w:tcPr>
          <w:p>
            <w:pPr>
              <w:spacing w:after="0"/>
              <w:rPr>
                <w:sz w:val="20"/>
                <w:szCs w:val="20"/>
                <w:color w:val="auto"/>
              </w:rPr>
            </w:pPr>
            <w:r>
              <w:rPr>
                <w:rFonts w:ascii="Arial" w:cs="Arial" w:eastAsia="Arial" w:hAnsi="Arial"/>
                <w:sz w:val="18"/>
                <w:szCs w:val="18"/>
                <w:color w:val="auto"/>
              </w:rPr>
              <w:t>National-Oilwell, Inc.</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Varco International,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6/1998</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Schlumberger Limited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Camco International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Insufficient information publicly available with respect to Dresser, Inc. to calculate this multiple.</w:t>
      </w:r>
    </w:p>
    <w:p>
      <w:pPr>
        <w:spacing w:after="0" w:line="22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Taking into account the results of the selected transactions analysis, Credit Suisse applied a multiple range of 8.0x to 10.0x to Cameron’s LTM EBITDA as of June 30, 2015. The selected transactions analysis indicated an implied valuation reference range of $60.30 to $77.68 per share of Cameron common stock, as compared to the implied value of the merger consideration of $66.36 per share of Cameron common stock.</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Credit Suisse acted as financial advisor to Cameron in connection with the merger and will receive a transaction fee of $32 million for its services upon the consummation of the merger. Credit Suisse also became entitled to receive a fee of $5 million upon the rendering of its opinion which is creditable (to the extent paid) against the transaction fee. In addition, Cameron agreed to reimburse certain of Credit Suisse’s expenses and to indemnify Credit Suisse and certain related parties for certain liabilities and other items arising out of or related to Credit Suisse’s engagement.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Credit Suisse and its affiliates have in the past provided other financial advice and services to Cameron, Schlumberger and/or their respective affiliates for which Credit Suisse and its affiliates have received compensation including having acted as joint bookrunning lead managing underwriter of public offerings of debt securities by Cameron in December 2013 and June 2014 and having acted as financial advisor to Cameron in connection with the formation of the OneSubsea joint venture that closed in June 2013, for which services Credit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Suisse and its affiliates received aggregate fees, discounts and commissions of approximately $12 million. Credit Suisse did not receive any investment banking fees from Schlumberger during the preceding four years. Credit Suisse is currently a lender to Cameron, and Credit Suisse and its affiliates may in the future provide other financial advice and services to Cameron, Schlumberger and/or their respective affiliates for which Credit Suisse and its affiliates would expect to receive compensation. Credit Suisse is a full service securities firm engaged in securities trading and brokerage activities as well as providing investment banking and other financial services. In the ordinary course of business, Credit Suisse and its affiliates may acquire, hold or sell, for its and its affiliates’ own accounts and the accounts of customers, any currency or commodity that may be involved in the merger and equity, debt and other securities and financial instruments (including bank loans and other obligations) of Cameron, Schlumberger and any other company that may be involved in the merger, as well as provide investment banking and other financial services to such companies and their affiliates.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Forecasts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Cameron does not, as a matter of course, publicly disclose forecasts as to future performance, earnings or other results due to the unpredictability of the underlying assumptions and estimates. However, Cameron has included below certain information that was furnished to Schlumberger, the Cameron board of directors and Cameron’s financial advisor in connection with discussions concerning the proposed merger.</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estimates of Cameron’s future financial performance set forth below entitled “Company Forecasts—May” were prepared in May 2015 by Cameron’s management for use by Cameron’s board of directors and Cameron’s financial advisor based on management’s reasonable best estimates and assumptions with respect to Cameron’s future financial performance at the time such estimates were prepared and speak only as of that time. Cameron’s management furnished the Company Forecasts—May to the Cameron board of directors and Cameron’s financial advisor. The estimates of Cameron’s future financial performance set forth below entitled “Transaction Forecasts” were prepared in June 2015 by Cameron’s management for use by Schlumberger in connection with the potential transaction based on the Company Forecasts—May, but modified to reflect more optimistic, but still realistic, assumptions regarding Cameron’s future results and market conditions in the oil and gas industry, including more optimistic assumptions regarding the pace of recovery in drilling activity levels and capital spending by oil and gas production companies. Cameron’s management furnished the Transaction Forecasts to Schlumberger in connection with Schlumberger’s evaluation of a potential transaction and the negotiations between Cameron and Schlumberger concerning the proposed merger. The estimates of Cameron’s future financial performance set forth below entitled “Company Forecasts—August” were prepared in August 2015 by Cameron’s management for use by Cameron’s board of directors and Cameron’s financial advisor based on the Company Forecasts—May, but updated to reflect recent developments in the oil and gas industry as of such date, including the decline in oil prices and the expected resulting decline in capital spending by oil and gas production companies. Cameron’s management furnished the Company Forecasts—August to the Cameron board of directors and Cameron’s financial advisor. Based on instructions from Cameron’s management, Credit Suisse relied on the Company Forecasts—August for its analysis for purposes of its opinion. These financial forecasts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A summary of this information is presented below.</w:t>
      </w:r>
    </w:p>
    <w:p>
      <w:pPr>
        <w:spacing w:after="0" w:line="17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While the financial forecasts were prepared in good faith, no assurance can be made regarding future events. The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Cameron and Schlumberger operate, and the risks and uncertainties described under “Risk Factors” and “Cautionary Statement Regarding Forward-Looking Statements,” all of which are difficult to predict and many of which are outside the control of Cameron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Schlumberger and will be beyond the control of the combined company. Holders of Cameron common stock are urged to review Cameron’s SEC filings for a description of risk factors with respect to Cameron’s business and Schlumberger’s SEC filings for a description of risk factors with respect to Schlumberger’s business, as well as, in each case, the section of this proxy statement/prospectus entitled “Risk Factors.” There can be no assurance that the underlying assumptions will prove to be accurate or that the projected results will be realized, and actual results likely will differ, and may differ materially, from those reflected in the financial forecasts, whether or not the merger is completed. The inclusion in this proxy statement/prospectus of the financial forecasts below should not be regarded as an indication that Cameron, Schlumberger, their respective boards of directors or Cameron’s financial advisor considered, or now considers, these forecasts to be a reliable predictor of future results. The financial forecasts are not fact and should not be relied upon as being necessarily indicative of future results, and readers of this proxy statement/prospectus are cautioned not to place undue reliance on this information. The financial forecasts assume that Cameron would continue to operate as stand-alone company and do not reflect any impact of the proposed merger.</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financial forecasts include certain non-GAAP financial measures. Non-GAAP financial measures should not be considered in isolation from, or as a substitute for, financial information presented in compliance with GAAP, and non-GAAP financial measures as used by Cameron may not be comparable to similarly titled amounts used by other companies. The footnotes to the tables below provide certain supplemental information with respect to the calculation of these non-GAAP financial measures. All of the financial forecasts summarized in this section were prepared by the management of Cameron. Neither Ernst &amp; Young LLP (Cameron’s independent registered public accounting firm) nor any other independent registered public accounting firm has examined, compiled or otherwise performed any procedures with respect to the prospective financial information contained in these financial forecasts and, accordingly, neither Ernst &amp; Young LLP nor any other independent registered public accounting firm has expressed any opinion or given any other form of assurance with respect thereto and no independent registered public accounting firm assumes any responsibility for the prospective financial information. The Ernst &amp; Young LLP reports either incorporated by reference or included in this proxy statement/prospectus relate to the historical financial information of Cameron. Such reports do not extend to the financial forecasts and should not be read to do so.</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By including in this proxy statement/prospectus the financial forecasts below, none of Cameron, Schlumberger or any of their respective representatives has made or makes any representation to any person regarding the ultimate performance of Cameron compared to the information contained in the financial forecasts. Further, the inclusion of the financial forecasts in this proxy statement/prospectus does not constitute an admission or representation by Cameron or Schlumberger that this information is material. The financial forecasts summarized in this section reflected the estimates and judgments available to the management of Cameron at the time they were prepared and, except for the preparation of the Company Forecasts—August which were based on the Company Forecasts—May as described above, have not been updated to reflect any changes since the dates such financial forecasts were prepared. Neither Cameron, Schlumberger, nor, after completion of the merger, the combined company undertakes any obligation, except as required by law, to update or otherwise revise the financial forecasts to reflect circumstances existing since their preparation or to reflect the occurrence of unanticipated events, even in the event that any or all of the underlying assumptions are shown to be in error, or to reflect changes in general economic or industry conditions.</w:t>
      </w:r>
    </w:p>
    <w:p>
      <w:pPr>
        <w:spacing w:after="0" w:line="16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summary of the financial forecasts is not included in this proxy statement/prospectus in order to induce any stockholder to vote in favor of the proposal to adopt the merger agreement or any of the other proposals to be voted on at the Cameron special meeting, but because the financial forecasts were made available to the Cameron board of directors, Cameron’s financial advisor and, with respect to the Transaction Forecasts, Schlumberger.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Forecasts—May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2015E</w:t>
            </w:r>
          </w:p>
        </w:tc>
        <w:tc>
          <w:tcPr>
            <w:tcW w:w="8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2016E</w:t>
            </w:r>
          </w:p>
        </w:tc>
        <w:tc>
          <w:tcPr>
            <w:tcW w:w="11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2017E</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7"/>
              </w:rPr>
              <w:t>$8,860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$8,339</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$8,615</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1,420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1,448</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1,730</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1,966</w:t>
            </w:r>
          </w:p>
        </w:tc>
        <w:tc>
          <w:tcPr>
            <w:tcW w:w="80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317</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297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 Forecasts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2015E</w:t>
            </w:r>
          </w:p>
        </w:tc>
        <w:tc>
          <w:tcPr>
            <w:tcW w:w="8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2016E</w:t>
            </w: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2017E</w:t>
            </w: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$8,860</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$9,073</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$9,424</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3440" w:type="dxa"/>
            <w:vAlign w:val="bottom"/>
            <w:gridSpan w:val="2"/>
          </w:tcPr>
          <w:p>
            <w:pPr>
              <w:jc w:val="right"/>
              <w:ind w:right="148"/>
              <w:spacing w:after="0"/>
              <w:rPr>
                <w:sz w:val="20"/>
                <w:szCs w:val="20"/>
                <w:color w:val="auto"/>
              </w:rPr>
            </w:pPr>
            <w:r>
              <w:rPr>
                <w:rFonts w:ascii="Arial" w:cs="Arial" w:eastAsia="Arial" w:hAnsi="Arial"/>
                <w:sz w:val="18"/>
                <w:szCs w:val="18"/>
                <w:color w:val="auto"/>
              </w:rPr>
              <w:t>1,420</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1,675</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1,964</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2,352</w:t>
            </w:r>
          </w:p>
        </w:tc>
        <w:tc>
          <w:tcPr>
            <w:tcW w:w="80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355</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317</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330</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Forecasts—August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2015E</w:t>
            </w:r>
          </w:p>
        </w:tc>
        <w:tc>
          <w:tcPr>
            <w:tcW w:w="8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2016E</w:t>
            </w:r>
          </w:p>
        </w:tc>
        <w:tc>
          <w:tcPr>
            <w:tcW w:w="11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2017E</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7"/>
              </w:rPr>
              <w:t>$8,860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$8,339</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$8,787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$9,733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1,420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1,448</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1,747</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1,953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317</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302</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bl>
    <w:p>
      <w:pPr>
        <w:spacing w:after="0" w:line="20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following table presents projected unlevered free cash flows for Cameron (defined as earnings before interest and taxes, less cash taxes, plus depreciation and amortization, less capital expenditures, less increase in working capital, and less 40% of OneSubsea’s cash flows) as arithmetically derived by Credit Suisse based on the Company Forecasts—August prepared and provided to Credit Suisse by Cameron’s management.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Fiscal Year Ending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0" w:type="dxa"/>
            <w:vAlign w:val="bottom"/>
          </w:tcPr>
          <w:p>
            <w:pPr>
              <w:spacing w:after="0"/>
              <w:rPr>
                <w:sz w:val="10"/>
                <w:szCs w:val="10"/>
                <w:color w:val="auto"/>
              </w:rPr>
            </w:pPr>
          </w:p>
        </w:tc>
        <w:tc>
          <w:tcPr>
            <w:tcW w:w="660" w:type="dxa"/>
            <w:vAlign w:val="bottom"/>
          </w:tcPr>
          <w:p>
            <w:pPr>
              <w:jc w:val="center"/>
              <w:ind w:right="145"/>
              <w:spacing w:after="0" w:line="119" w:lineRule="exact"/>
              <w:rPr>
                <w:sz w:val="20"/>
                <w:szCs w:val="20"/>
                <w:color w:val="auto"/>
              </w:rPr>
            </w:pPr>
            <w:r>
              <w:rPr>
                <w:rFonts w:ascii="Arial" w:cs="Arial" w:eastAsia="Arial" w:hAnsi="Arial"/>
                <w:sz w:val="13"/>
                <w:szCs w:val="13"/>
                <w:b w:val="1"/>
                <w:bCs w:val="1"/>
                <w:color w:val="auto"/>
                <w:w w:val="93"/>
              </w:rPr>
              <w:t>Second</w:t>
            </w: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66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8"/>
              </w:rPr>
              <w:t>Half</w:t>
            </w:r>
          </w:p>
        </w:tc>
        <w:tc>
          <w:tcPr>
            <w:tcW w:w="84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8"/>
              </w:rPr>
              <w:t>2016E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2017E</w:t>
            </w:r>
          </w:p>
        </w:tc>
        <w:tc>
          <w:tcPr>
            <w:tcW w:w="8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2018E</w:t>
            </w:r>
          </w:p>
        </w:tc>
        <w:tc>
          <w:tcPr>
            <w:tcW w:w="80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3"/>
              </w:rPr>
              <w:t>2019E</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660" w:type="dxa"/>
            <w:vAlign w:val="bottom"/>
          </w:tcPr>
          <w:p>
            <w:pPr>
              <w:jc w:val="right"/>
              <w:ind w:right="205"/>
              <w:spacing w:after="0"/>
              <w:rPr>
                <w:sz w:val="20"/>
                <w:szCs w:val="20"/>
                <w:color w:val="auto"/>
              </w:rPr>
            </w:pPr>
            <w:r>
              <w:rPr>
                <w:rFonts w:ascii="Arial" w:cs="Arial" w:eastAsia="Arial" w:hAnsi="Arial"/>
                <w:sz w:val="14"/>
                <w:szCs w:val="14"/>
                <w:b w:val="1"/>
                <w:bCs w:val="1"/>
                <w:color w:val="auto"/>
              </w:rPr>
              <w:t>2015</w:t>
            </w: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8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 . . . . . . . . . .</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w w:val="97"/>
              </w:rPr>
              <w:t>$ 425</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$1,249</w:t>
            </w:r>
          </w:p>
        </w:tc>
        <w:tc>
          <w:tcPr>
            <w:tcW w:w="11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$1,131</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Sensitivity Analysis of Company Forecasts—August</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As described in “—Background of the Merger,” Cameron’s management performed a sensitivity analysis on the Company Forecasts—August to reflect Cameron management’s views with respect to the potential adverse financial implications of developments affecting the oil and gas industry at the time the parties entered into the merger agreement, including the increased volatility and uncertainty regarding future oil and gas prices. These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sensitized amounts were provided to the Cameron board of directors and Cameron’s financial advisor. These sensitized amounts are set forth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Fiscal Year Ending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8"/>
              </w:rPr>
              <w:t>2015E</w:t>
            </w:r>
          </w:p>
        </w:tc>
        <w:tc>
          <w:tcPr>
            <w:tcW w:w="9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2016E</w:t>
            </w:r>
          </w:p>
        </w:tc>
        <w:tc>
          <w:tcPr>
            <w:tcW w:w="11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2017E</w:t>
            </w: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2018E</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 in billions)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9"/>
              </w:rPr>
              <w:t>$ 8.9</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$ 7.9</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$ 8.2</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$ 8.9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$ 9.5</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680" w:type="dxa"/>
            <w:vAlign w:val="bottom"/>
          </w:tcPr>
          <w:p>
            <w:pPr>
              <w:jc w:val="right"/>
              <w:ind w:right="216"/>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1.3</w:t>
            </w:r>
          </w:p>
        </w:tc>
        <w:tc>
          <w:tcPr>
            <w:tcW w:w="1180" w:type="dxa"/>
            <w:vAlign w:val="bottom"/>
          </w:tcPr>
          <w:p>
            <w:pPr>
              <w:jc w:val="right"/>
              <w:ind w:right="319"/>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1.7</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80" w:right="120" w:hanging="572"/>
        <w:spacing w:after="0" w:line="264"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expense and other costs (“EBITDA”) is a non-GAAP financial measure and should not be considered as an alternative to operating income or net income as a measure of operating performance or cash flows or as a measure of liquidity. EBITDA does not include the impact of any (i) synergies or (ii) costs related to the merger.</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following table presents projected unlevered free cash flows for Cameron (defined as earnings before interest and taxes, less cash taxes, plus depreciation and amortization, less capital expenditures, less increase in working capital, and less 40% of OneSubsea’s cash flows) as arithmetically derived by Credit Suisse based on the Sensitivity Analysis of Company Forecasts—August prepared and provided to Credit Suisse by Cameron’s management.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Fiscal Year Ending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0" w:type="dxa"/>
            <w:vAlign w:val="bottom"/>
          </w:tcPr>
          <w:p>
            <w:pPr>
              <w:spacing w:after="0"/>
              <w:rPr>
                <w:sz w:val="10"/>
                <w:szCs w:val="10"/>
                <w:color w:val="auto"/>
              </w:rPr>
            </w:pPr>
          </w:p>
        </w:tc>
        <w:tc>
          <w:tcPr>
            <w:tcW w:w="660" w:type="dxa"/>
            <w:vAlign w:val="bottom"/>
          </w:tcPr>
          <w:p>
            <w:pPr>
              <w:jc w:val="center"/>
              <w:ind w:right="145"/>
              <w:spacing w:after="0" w:line="119" w:lineRule="exact"/>
              <w:rPr>
                <w:sz w:val="20"/>
                <w:szCs w:val="20"/>
                <w:color w:val="auto"/>
              </w:rPr>
            </w:pPr>
            <w:r>
              <w:rPr>
                <w:rFonts w:ascii="Arial" w:cs="Arial" w:eastAsia="Arial" w:hAnsi="Arial"/>
                <w:sz w:val="13"/>
                <w:szCs w:val="13"/>
                <w:b w:val="1"/>
                <w:bCs w:val="1"/>
                <w:color w:val="auto"/>
                <w:w w:val="93"/>
              </w:rPr>
              <w:t>Second</w:t>
            </w: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66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8"/>
              </w:rPr>
              <w:t>Half</w:t>
            </w:r>
          </w:p>
        </w:tc>
        <w:tc>
          <w:tcPr>
            <w:tcW w:w="84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8"/>
              </w:rPr>
              <w:t>2016E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2017E</w:t>
            </w:r>
          </w:p>
        </w:tc>
        <w:tc>
          <w:tcPr>
            <w:tcW w:w="8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2018E</w:t>
            </w:r>
          </w:p>
        </w:tc>
        <w:tc>
          <w:tcPr>
            <w:tcW w:w="80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3"/>
              </w:rPr>
              <w:t>2019E</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660" w:type="dxa"/>
            <w:vAlign w:val="bottom"/>
          </w:tcPr>
          <w:p>
            <w:pPr>
              <w:jc w:val="right"/>
              <w:ind w:right="205"/>
              <w:spacing w:after="0"/>
              <w:rPr>
                <w:sz w:val="20"/>
                <w:szCs w:val="20"/>
                <w:color w:val="auto"/>
              </w:rPr>
            </w:pPr>
            <w:r>
              <w:rPr>
                <w:rFonts w:ascii="Arial" w:cs="Arial" w:eastAsia="Arial" w:hAnsi="Arial"/>
                <w:sz w:val="14"/>
                <w:szCs w:val="14"/>
                <w:b w:val="1"/>
                <w:bCs w:val="1"/>
                <w:color w:val="auto"/>
              </w:rPr>
              <w:t>2015</w:t>
            </w:r>
          </w:p>
        </w:tc>
        <w:tc>
          <w:tcPr>
            <w:tcW w:w="8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8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8"/>
                <w:szCs w:val="18"/>
                <w:color w:val="auto"/>
                <w:w w:val="97"/>
              </w:rPr>
              <w:t>$ 425</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$1,159</w:t>
            </w:r>
          </w:p>
        </w:tc>
        <w:tc>
          <w:tcPr>
            <w:tcW w:w="11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$1,026</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Cameron’s Directors and Executive Officers in the Merger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general treatment of Cameron equity awards is described under the section entitled “The Merger Agreement—Treatment of Equity Awards” below. The table below sets forth the estimated values of the unvested deferred stock units held by non-employee directors, which are subject to “single-trigger” accelerated vesting at the effective time. The values were calculated by assuming that the effective time occurred on November 1, 2015, which is the assumed date of the effectiveness of the merger, solely for purposes of this disclosure, and that the price per share of Cameron common stock was $65.10, which equals the average closing price per share of Cameron common stock over the five business day period following the first public announcement of the merger on August 26, 2015 and is the assumed price solely for purposes of this disclosure.</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Director</w:t>
            </w:r>
          </w:p>
        </w:tc>
        <w:tc>
          <w:tcPr>
            <w:tcW w:w="2140" w:type="dxa"/>
            <w:vAlign w:val="bottom"/>
            <w:vMerge w:val="restart"/>
          </w:tcPr>
          <w:p>
            <w:pPr>
              <w:spacing w:after="0"/>
              <w:rPr>
                <w:sz w:val="14"/>
                <w:szCs w:val="14"/>
                <w:color w:val="auto"/>
              </w:rPr>
            </w:pPr>
          </w:p>
        </w:tc>
        <w:tc>
          <w:tcPr>
            <w:tcW w:w="51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Deferred Stock Unit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3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Acceleration ($)</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 Paulett Eberhart</w:t>
            </w:r>
          </w:p>
        </w:tc>
        <w:tc>
          <w:tcPr>
            <w:tcW w:w="37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228,566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Peter J. Fluor</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Foshee</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James T. Hackett</w:t>
            </w:r>
            <w:r>
              <w:rPr>
                <w:rFonts w:ascii="Arial" w:cs="Arial" w:eastAsia="Arial" w:hAnsi="Arial"/>
                <w:sz w:val="15"/>
                <w:szCs w:val="15"/>
                <w:color w:val="auto"/>
              </w:rPr>
              <w:t>(1)</w:t>
            </w:r>
          </w:p>
        </w:tc>
        <w:tc>
          <w:tcPr>
            <w:tcW w:w="376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Rodolfo Landim</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Jack B. Moore</w:t>
            </w:r>
            <w:r>
              <w:rPr>
                <w:rFonts w:ascii="Arial" w:cs="Arial" w:eastAsia="Arial" w:hAnsi="Arial"/>
                <w:sz w:val="15"/>
                <w:szCs w:val="15"/>
                <w:color w:val="auto"/>
              </w:rPr>
              <w:t>(2)</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170,106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Patrick</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Timothy J. Probert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Erik Reinhardsen</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Brent J. Smolik</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W. Wilkinson</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jc w:val="right"/>
              <w:ind w:right="2372"/>
              <w:spacing w:after="0"/>
              <w:rPr>
                <w:sz w:val="20"/>
                <w:szCs w:val="20"/>
                <w:color w:val="auto"/>
              </w:rPr>
            </w:pPr>
            <w:r>
              <w:rPr>
                <w:rFonts w:ascii="Arial" w:cs="Arial" w:eastAsia="Arial" w:hAnsi="Arial"/>
                <w:sz w:val="18"/>
                <w:szCs w:val="18"/>
                <w:color w:val="auto"/>
              </w:rPr>
              <w:t>63</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00" w:hanging="452"/>
        <w:spacing w:after="0" w:line="258"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Mr. Hackett is currently serving as an Advisory Director while pursuing a theology degree at Harvard Divinity School. As a result, Mr. Hackett did not receive an award of deferred stock units in 2015.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Mr. Moore became the non-executive Chairman of the Board on October 5, 2015 and received a prorated award of deferred stock units for 2015.</w:t>
      </w:r>
    </w:p>
    <w:p>
      <w:pPr>
        <w:spacing w:after="0" w:line="32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Cameron’s current or former executive officers for purposes of the discussion below are: R. Scott Rowe, President and Chief Executive Officer; Charles M. Sledge, Senior Vice President and Chief Financial Officer; William C. Lemmer, Senior Vice President and General Counsel; Gary Halverson, Senior Vice President (Mr. Halverson ceased to serve as an executive officer prior to the signing of the merger agreement); Steven P. Geiger, Senior Vice President and Chief Administrative Officer; Douglas E. Meikle, Vice President and President—Valves and Measurement Systems; Stefan Radwanski, Vice President and President—Surface Systems; Steven Roll, Vice President and President—Process Systems; Hunter Jones, Vice President and President—Drilling Systems; and Dennis S. Baldwin, Vice President, Controller and Chief Accounting Officer.</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Jack B. Moore retired from the role of Chief Executive Officer on October 5, 2015. In connection with his retirement, Mr. Moore’s then-existing equity awards and other benefits will be treated in accordance with certain retirement provisions of the applicable plans and he will not receive any severance or enhanced benefits as an executive in connection with the merger. As a result, unless specifically noted, Mr. Moore has been omitted from the discussion and tables below.</w:t>
      </w:r>
    </w:p>
    <w:p>
      <w:pPr>
        <w:spacing w:after="0" w:line="18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Certain key Cameron employees (including Messrs. Sledge, Lemmer, Geiger and Baldwin) are expected to provide transitional services to Schlumberger and Cameron following the effective time to assist in the post-closing integration process. These employees are referred to as “transitional employees” in the discussion below.</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Treatment of Equity Awards</w:t>
      </w:r>
      <w:r>
        <w:rPr>
          <w:rFonts w:ascii="Arial" w:cs="Arial" w:eastAsia="Arial" w:hAnsi="Arial"/>
          <w:sz w:val="17"/>
          <w:szCs w:val="17"/>
          <w:color w:val="auto"/>
        </w:rPr>
        <w:t>. The general treatment of Cameron equity awards is described under the section entitled “The Merger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of Equity Awards” below. As of November 1, 2015, Cameron’s current or former executive officers (including Mr. Moore) held performance shares, which are subject to “single-trigger” accelerated vesting at the effective time (consistent with the treatment of performance shares held by employees generally), with an aggregate estimated value of $29,302,031, but with delivery of shares deferred as set forth in the original award agreement until the earlier of the end of the original performance period or termination of employment. The performance shares outstanding at the effective time will vest based on the methodology described under the section entitled “The Merger Agreement—Treatment of Equity Awards” below for current or former executive officers other than Messrs. Sledge and Lemmer. At the effective time, outstanding performance shares held by Messrs. Sledge and Lemmer will vest based on maximum performance levels for all performance periods under the terms of the change in control agreements applicable to them. Stock options and restricted stock units granted prior to September 1, 2015 are generally subject to “double-trigger” accelerated vesting upon a termination without “cause” or a resignation for “standard good reason.” Transitional employees will be treated as incurring a qualifying termination as of the effective time and, therefore, stock options and restricted stock units granted prior to September 1, 2015 and held by them as of the effective time will become fully vested as of the effective time.</w:t>
      </w:r>
    </w:p>
    <w:p>
      <w:pPr>
        <w:spacing w:after="0" w:line="18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For purposes of Cameron equity awards to be made from and after September 1, 2015, other than awards made to Mr. Rowe and transitional employees, the awards will immediately vest upon a termination following the consummation of the transaction either without cause or resignation for “modified good reason.” For transitional employees, accelerated vesting will be limited to a termination without cause and, for the first six months following the effective time, a resignation for modified good reason and, following such period, a resignation as a result of standard good reason. Standard good reason generally means, among other things, (1) a material change in the executive’s status, title or position or the assignment of duties inconsistent with the executive’s status, title or position, (2) a reduction in base salary or discontinuance of any benefit plan in which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executive participates or (3) the relocation of the executive’s principal place of employment to a location 25 miles further from the executive’s principal place of residence. “Cause” generally means (1) gross negligence of willful misconduct in the performance of any executive’s duties, (2) willful refusal to perform the executive’s duties, (3) breach of any material policy or code of conduct, (4) engaging in conduct that is materially injurious to the employer,</w:t>
      </w:r>
    </w:p>
    <w:p>
      <w:pPr>
        <w:ind w:right="100" w:firstLine="8"/>
        <w:spacing w:after="0" w:line="252"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conviction of a felony or misdemeanor involving moral turpitude or (6) engaging in acts of dishonesty or impropriety that impair the executive’s effectiveness in his or her position. For purposes of equity grants from and after September 1, 2015, “Modified good reason” means (1) a major demotion or major reduction in job responsibilities, which for the avoidance of doubt, will not include changes in duties or reporting responsibilities resulting from Cameron ceasing to be a separate publicly traded company or becoming an indirect subsidiary of Schlumberger, (2) a major decrease in aggregate compensation opportunities for a fiscal year or (3) the relocation of an employee’s principal place of employment to a location 50 miles further from the employee’s principal residence.</w:t>
      </w:r>
    </w:p>
    <w:p>
      <w:pPr>
        <w:spacing w:after="0" w:line="194"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Awards made to Mr. Rowe from and after September 1, 2015 will be subject to Cameron’s normal vesting schedule and will fully vest upon any termination following the consummation of the transaction. Option awards that are accelerated under any of the instances described above will remain exercisable for their full 10-year term.</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November 1, 2015, Cameron’s executive officers (including Mr. Moore) held stock options and restricted stock units with an estimated value of $22,934,940.</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Severance Arrangements</w:t>
      </w:r>
      <w:r>
        <w:rPr>
          <w:rFonts w:ascii="Arial" w:cs="Arial" w:eastAsia="Arial" w:hAnsi="Arial"/>
          <w:sz w:val="18"/>
          <w:szCs w:val="18"/>
          <w:color w:val="auto"/>
        </w:rPr>
        <w:t>. Each of Cameron’s executive officers is party to an individual change in control agreement. These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are intended to provide for continuity of management focus in the event of a change in control. Cameron also maintains an Executive Severance Plan providing benefits to executives upon certain involuntary terminations of employment.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change in control agreements, upon a termination without “cause” or a resignation for “good reason” during the period beginning on August 25, 2015 and ending on August 25, 2017 (or one year following the closing, if later), each executive officer would be entitled to a cash payment equal to the “applicable multiplier” (as described below) multiplied by (1) the executive’s base salary and (2) the greater of (A) the executive’s target bonus for the year of termination or (B) the highest bonus received over the preceding three-year period. In addition, each of Cameron’s executive officers is entitled to receive a payment equal to the product of the applicable multiplier and Cameron’s average cost of providing welfare benefits and perquisites to such executive officer over the three-year period preceding the executive’s termination of employment. Messrs. Geiger, Meikle, Roll and Baldwin also would be entitled to a cash payment equal to any unvested portion of Cameron’s contributions to their accounts under the Retirement Savings Plan or Deferred Compensation Plan. Finally, executive officers who entered into change in control agreements prior to 2010, including Messrs. Sledge and Lemmer, are entitled to a tax reimbursement payment in the event any payments or benefits received in connection with a change in control are subject to Section 280G or 4999 of the Code. The applicable multiplier is 3X for Messrs. Rowe, Sledge and Lemmer, 2X for the other executive officers except Mr. Baldwin and 1X for Mr. Baldwin. Transitional employees will become vested in their cash severance as of the effective time. Assuming that each of the executive officers was terminated without cause or resigned for good reason as of the effective time, which, for purposes of this disclosure is assumed to be November 1, 2015, the estimated aggregate cash severance that such executive officers would be entitled to receive is $24,429,740.</w:t>
      </w:r>
    </w:p>
    <w:p>
      <w:pPr>
        <w:spacing w:after="0" w:line="17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the change in control agreements, “Cause” generally means, among other things, (1) conviction of a felony involving moral turpitude or (2) willful refusal to perform the executive’s duties that is materially and demonstrably injurious to the employer. “Good reason” generally means (1) a change in the executive’s status, title or position or the assignment of duties inconsistent with the executive’s status, title or position, (2) a reduction in base salary or discontinuance of any benefit plan in which the executive participates or (3) the relocation of the executive’s principal place of employment to a location 25 miles further from the executive’s principal place of residence.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Cameron’s Executive Severance Plan, upon a termination without cause, “Tier 1”, “Tier 2” and “Tier 3” executives (which categories include the executive officers) would be entitled to a payment or payments equal to 2X, 1.5X and 1X base salary, respectively, and the cost of COBRA welfare benefit continuation for a 12-month period following termination. Executives are also entitled to outplacement services for a period of up to 12 months following termination. Benefits under the Executive Severance Plan are reduced by the benefits paid or payable under any other severance arrangement or contract to prevent duplication of benefits.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Further Actions</w:t>
      </w:r>
      <w:r>
        <w:rPr>
          <w:rFonts w:ascii="Arial" w:cs="Arial" w:eastAsia="Arial" w:hAnsi="Arial"/>
          <w:sz w:val="17"/>
          <w:szCs w:val="17"/>
          <w:color w:val="auto"/>
        </w:rPr>
        <w:t>. Schlumberger and Cameron have agreed that Cameron may grant retention bonuses and other awards or payments to employees in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amount not to exceed $50 million to be allocated to key Cameron employees, including executive officers, by Cameron in consultation with Schlumberger. Awards would be payable in cash subject to the terms and conditions agreed upon by Schlumberger and Cameron. Retention payments of approximately $1.95 million have been allocated to certain executive officers (none of whom is a named executive officer) as of the date of this proxy statement/prospectus. Cameron may grant ordinary course incentive compensation awards prior to the effective time, subject to such terms and conditions as are more fully described in the section entitled “The Merger Agreement—Certain Additional Agreements—Employee Matters.” Additionally, Schlumberger may enter into employment arrangements with certain members of Cameron senior management with respect to continuing roles with Schlumberger for periods following the effective time, including compensation arrangements for such roles, however, no such employment or compensation arrangements have been concluded as of this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Merger-Related Compensation for Cameron’s Named Executive Officers</w:t>
      </w:r>
    </w:p>
    <w:p>
      <w:pPr>
        <w:spacing w:after="0" w:line="121"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The table below sets forth for each of Cameron’s named executive officers estimates of the amounts of compensation that are based on or otherwise relate to the merger and that will or may become payable to the named executive officer either immediately at the effective time (</w:t>
      </w:r>
      <w:r>
        <w:rPr>
          <w:rFonts w:ascii="Arial" w:cs="Arial" w:eastAsia="Arial" w:hAnsi="Arial"/>
          <w:sz w:val="17"/>
          <w:szCs w:val="17"/>
          <w:i w:val="1"/>
          <w:iCs w:val="1"/>
          <w:color w:val="auto"/>
        </w:rPr>
        <w:t>i.e.</w:t>
      </w:r>
      <w:r>
        <w:rPr>
          <w:rFonts w:ascii="Arial" w:cs="Arial" w:eastAsia="Arial" w:hAnsi="Arial"/>
          <w:sz w:val="17"/>
          <w:szCs w:val="17"/>
          <w:color w:val="auto"/>
        </w:rPr>
        <w:t>, on a “single-trigger” basis) or on a qualifying termination of employment following, or prior to and in connection with, the merger (</w:t>
      </w:r>
      <w:r>
        <w:rPr>
          <w:rFonts w:ascii="Arial" w:cs="Arial" w:eastAsia="Arial" w:hAnsi="Arial"/>
          <w:sz w:val="17"/>
          <w:szCs w:val="17"/>
          <w:i w:val="1"/>
          <w:iCs w:val="1"/>
          <w:color w:val="auto"/>
        </w:rPr>
        <w:t>i.e.</w:t>
      </w:r>
      <w:r>
        <w:rPr>
          <w:rFonts w:ascii="Arial" w:cs="Arial" w:eastAsia="Arial" w:hAnsi="Arial"/>
          <w:sz w:val="17"/>
          <w:szCs w:val="17"/>
          <w:color w:val="auto"/>
        </w:rPr>
        <w:t>, on a “double-trigger” basis). Cameron’s stockholders are being asked to approve, on a non-binding, advisory basis, such compensation for these named executive officers. Because the vote to approve such compensation is advisory only, it will not be binding on either Cameron or Schlumberger. Accordingly, if the proposal to adopt the merger agreement is approved by Cameron’s stockholders and the merger is completed, the compensation will be payable regardless of the outcome of the vote to approve such compensation, subject only to the conditions applicable thereto, which are described in the footnotes to the table below and above under “Interests of Cameron’s Directors and Executive Officers in the Merger.”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potential payments in the table below are based on the following assumptions:</w:t>
      </w:r>
    </w:p>
    <w:p>
      <w:pPr>
        <w:spacing w:after="0" w:line="131" w:lineRule="exact"/>
        <w:rPr>
          <w:sz w:val="20"/>
          <w:szCs w:val="20"/>
          <w:color w:val="auto"/>
        </w:rPr>
      </w:pPr>
    </w:p>
    <w:p>
      <w:pPr>
        <w:jc w:val="both"/>
        <w:ind w:left="900" w:right="18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relevant price per share of Cameron common stock is $65.10, which equals the average closing price of a share of Cameron common stock over the five business day period following the first public announcement of the merger on August 26, 2015 and is the assumed price solely for purposes of this disclosure;</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effective time of the merger is November 1, 2015, which is the assumed date of the effectiveness of the merger solely for purposes of this golden parachute compensation disclosure;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named executive officers of Cameron are terminated without “cause” or resign for “good reason,” in either case immediately following the assumed effective time of the merger on November 1, 2015.</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amounts shown are estimates of amounts that would be payable to the named executive officers based on multiple assumptions that may or may not actually occur, including the assumptions described above. Some of the assumptions are based on information not currently available and, as a result, the actual amounts received by a named executive officer may differ materially from the amounts shown in the following table.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footnotes and discussion describe single and double-trigger benefits for the named executive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Golden Parachute Compensation</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Cash ($)</w:t>
            </w:r>
            <w:r>
              <w:rPr>
                <w:rFonts w:ascii="Arial" w:cs="Arial" w:eastAsia="Arial" w:hAnsi="Arial"/>
                <w:sz w:val="12"/>
                <w:szCs w:val="12"/>
                <w:b w:val="1"/>
                <w:bCs w:val="1"/>
                <w:color w:val="auto"/>
              </w:rPr>
              <w:t>(2)</w:t>
            </w:r>
          </w:p>
        </w:tc>
        <w:tc>
          <w:tcPr>
            <w:tcW w:w="13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(3)</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 Scott Rowe</w:t>
            </w:r>
          </w:p>
        </w:tc>
        <w:tc>
          <w:tcPr>
            <w:tcW w:w="224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6,694,726</w:t>
            </w:r>
          </w:p>
        </w:tc>
        <w:tc>
          <w:tcPr>
            <w:tcW w:w="130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8,997,968</w:t>
            </w:r>
          </w:p>
        </w:tc>
        <w:tc>
          <w:tcPr>
            <w:tcW w:w="156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15,692,694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Charles M. Sledge</w:t>
            </w:r>
          </w:p>
        </w:tc>
        <w:tc>
          <w:tcPr>
            <w:tcW w:w="2240" w:type="dxa"/>
            <w:vAlign w:val="bottom"/>
          </w:tcPr>
          <w:p>
            <w:pPr>
              <w:ind w:left="1260"/>
              <w:spacing w:after="0"/>
              <w:rPr>
                <w:sz w:val="20"/>
                <w:szCs w:val="20"/>
                <w:color w:val="auto"/>
              </w:rPr>
            </w:pPr>
            <w:r>
              <w:rPr>
                <w:rFonts w:ascii="Arial" w:cs="Arial" w:eastAsia="Arial" w:hAnsi="Arial"/>
                <w:sz w:val="18"/>
                <w:szCs w:val="18"/>
                <w:color w:val="auto"/>
              </w:rPr>
              <w:t>4,124,448</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8,997,476</w:t>
            </w:r>
          </w:p>
        </w:tc>
        <w:tc>
          <w:tcPr>
            <w:tcW w:w="1560" w:type="dxa"/>
            <w:vAlign w:val="bottom"/>
          </w:tcPr>
          <w:p>
            <w:pPr>
              <w:jc w:val="right"/>
              <w:ind w:right="219"/>
              <w:spacing w:after="0"/>
              <w:rPr>
                <w:sz w:val="20"/>
                <w:szCs w:val="20"/>
                <w:color w:val="auto"/>
              </w:rPr>
            </w:pPr>
            <w:r>
              <w:rPr>
                <w:rFonts w:ascii="Arial" w:cs="Arial" w:eastAsia="Arial" w:hAnsi="Arial"/>
                <w:sz w:val="18"/>
                <w:szCs w:val="18"/>
                <w:color w:val="auto"/>
              </w:rPr>
              <w:t>5,021,984</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18,143,908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Senior Vice President and</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William C. Lemmer</w:t>
            </w:r>
          </w:p>
        </w:tc>
        <w:tc>
          <w:tcPr>
            <w:tcW w:w="224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3,259,536</w:t>
            </w:r>
          </w:p>
        </w:tc>
        <w:tc>
          <w:tcPr>
            <w:tcW w:w="130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6,992,579</w:t>
            </w:r>
          </w:p>
        </w:tc>
        <w:tc>
          <w:tcPr>
            <w:tcW w:w="156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10,252,115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and</w:t>
            </w:r>
          </w:p>
        </w:tc>
        <w:tc>
          <w:tcPr>
            <w:tcW w:w="2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2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88"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Mr. Moore retired from the role of Chief Executive Officer on October 5, 2015. In connection with his retirement, Mr. Moore’s then-existing equity awards and other benefits will be treated in accordance with certain retirement provisions of the applicable plans and he will not receive any severance or enhanced benefits as an executive in connection with the merger. As a result, Mr. Moore has been omitted from the table above. In addition,</w:t>
      </w:r>
    </w:p>
    <w:p>
      <w:pPr>
        <w:ind w:left="460" w:right="540"/>
        <w:spacing w:after="0" w:line="265" w:lineRule="auto"/>
        <w:rPr>
          <w:rFonts w:ascii="Arial" w:cs="Arial" w:eastAsia="Arial" w:hAnsi="Arial"/>
          <w:sz w:val="16"/>
          <w:szCs w:val="16"/>
          <w:color w:val="auto"/>
        </w:rPr>
      </w:pPr>
      <w:r>
        <w:rPr>
          <w:rFonts w:ascii="Arial" w:cs="Arial" w:eastAsia="Arial" w:hAnsi="Arial"/>
          <w:sz w:val="17"/>
          <w:szCs w:val="17"/>
          <w:color w:val="auto"/>
        </w:rPr>
        <w:t>Mr. Halverson was a named executive officer of Cameron for the period ended December 31, 2014, but has since entered into an agreement with Cameron covering his services through his planned retirement in 2016 and is no longer serving as an executive officer.</w:t>
      </w:r>
    </w:p>
    <w:p>
      <w:pPr>
        <w:ind w:left="460" w:right="120" w:hanging="452"/>
        <w:spacing w:after="0" w:line="281"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amounts reflect both single and double-trigger payments. The cash severance that each named executive officer would be entitled to in connection with the merger is described above under “Interests of Cameron’s Directors and Executive Officers in the Merger—Executive Officers—Severance Arrangements.” For Messrs. Rowe and Halverson, such amounts will be paid upon a qualifying termination following the effective time.</w:t>
      </w:r>
    </w:p>
    <w:p>
      <w:pPr>
        <w:spacing w:after="0" w:line="2"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Mr. Halverson’s severance benefit would be $2,014,746. These amounts are considered double-trigger payments. For Messrs. Sledge and Lemmer, who are transitional employees, the severance amounts will become vested as of the effective time. These amounts are considered single-trigger payments.</w:t>
      </w:r>
    </w:p>
    <w:p>
      <w:pPr>
        <w:spacing w:after="0" w:line="1" w:lineRule="exact"/>
        <w:rPr>
          <w:rFonts w:ascii="Arial" w:cs="Arial" w:eastAsia="Arial" w:hAnsi="Arial"/>
          <w:sz w:val="16"/>
          <w:szCs w:val="16"/>
          <w:color w:val="auto"/>
        </w:rPr>
      </w:pPr>
    </w:p>
    <w:p>
      <w:pPr>
        <w:ind w:left="460" w:hanging="452"/>
        <w:spacing w:after="0" w:line="284"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amounts reflect both single- and double-trigger payments. Estimated double-trigger payments reflect the unvested portion of stock options granted in 2013, 2014 and 2015, restricted stock units granted in 2012, 2013, 2014 and 2015, for which vesting would accelerate upon a qualifying termination following the effective time, and single-trigger payments generally reflect performance share awards granted in 2013, 2014 and 2015 (assuming, except in the case of Messrs. Sledge and Lemmer, target level performance), for which vesting would accelerate upon the effective time. Please see the section entitled “The Merger Agreement—Treatment of Equity Awards” for a description of the treatment of outstanding stock-based awards in connection with the merger. In the case of Messrs. Sledge and Lemmer, performance share awards are deemed to vest assuming maximum performance levels for all performance periods, consistent with the terms of the change in control agreements applicable to them. Additionally, for Messrs. Sledge and Lemmer, who are transitional employees, equity awards will become fully vested as of the effective time and are considered single-trigger payments. As of November 1, 2015, Mr. Halverson held unvested stock options, restricted stock units and performance share awards valued at $236,697, $642,146 and $1,877,679, respectively. As noted above, Mr. Moore’s equity awards outstanding as of the date of his retirement will be treated in accordance with certain retirement provisions of the relevant plans and award agreements. Consistent with all other employees, Mr. Moore’s outstanding performance share awards (valued at $9,374,270) will vest as of the effective time and continued vesting of his stock options and restricted stock units will be unaffected by the transaction. The actual amounts that would be received by the named executive officers may be higher or lower than the estimated amounts shown above. The estimated amounts are based on the assumptions detailed above with respect to the price per share of Cameron common stock of $65.10 and the effective time of the merger of November 1, 2015.</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Details of the single-trigger and double-trigger payments that would be received in connection with outstanding unvested equity awards are shown in the following supplementary table: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22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Stock Options ($)</w:t>
            </w:r>
          </w:p>
        </w:tc>
        <w:tc>
          <w:tcPr>
            <w:tcW w:w="2220" w:type="dxa"/>
            <w:vAlign w:val="bottom"/>
            <w:gridSpan w:val="2"/>
          </w:tcPr>
          <w:p>
            <w:pPr>
              <w:jc w:val="right"/>
              <w:ind w:right="777"/>
              <w:spacing w:after="0"/>
              <w:rPr>
                <w:sz w:val="20"/>
                <w:szCs w:val="20"/>
                <w:color w:val="auto"/>
              </w:rPr>
            </w:pPr>
            <w:r>
              <w:rPr>
                <w:rFonts w:ascii="Arial" w:cs="Arial" w:eastAsia="Arial" w:hAnsi="Arial"/>
                <w:sz w:val="14"/>
                <w:szCs w:val="14"/>
                <w:b w:val="1"/>
                <w:bCs w:val="1"/>
                <w:color w:val="auto"/>
              </w:rPr>
              <w:t>RSUs ($)</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jc w:val="right"/>
              <w:ind w:right="239"/>
              <w:spacing w:after="0" w:line="158" w:lineRule="exact"/>
              <w:rPr>
                <w:sz w:val="20"/>
                <w:szCs w:val="20"/>
                <w:color w:val="auto"/>
              </w:rPr>
            </w:pPr>
            <w:r>
              <w:rPr>
                <w:rFonts w:ascii="Arial" w:cs="Arial" w:eastAsia="Arial" w:hAnsi="Arial"/>
                <w:sz w:val="14"/>
                <w:szCs w:val="14"/>
                <w:b w:val="1"/>
                <w:bCs w:val="1"/>
                <w:color w:val="auto"/>
              </w:rPr>
              <w:t>Single-</w:t>
            </w:r>
          </w:p>
        </w:tc>
        <w:tc>
          <w:tcPr>
            <w:tcW w:w="98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Double-</w:t>
            </w:r>
          </w:p>
        </w:tc>
        <w:tc>
          <w:tcPr>
            <w:tcW w:w="1120" w:type="dxa"/>
            <w:vAlign w:val="bottom"/>
          </w:tcPr>
          <w:p>
            <w:pPr>
              <w:jc w:val="right"/>
              <w:ind w:right="319"/>
              <w:spacing w:after="0" w:line="158" w:lineRule="exact"/>
              <w:rPr>
                <w:sz w:val="20"/>
                <w:szCs w:val="20"/>
                <w:color w:val="auto"/>
              </w:rPr>
            </w:pPr>
            <w:r>
              <w:rPr>
                <w:rFonts w:ascii="Arial" w:cs="Arial" w:eastAsia="Arial" w:hAnsi="Arial"/>
                <w:sz w:val="14"/>
                <w:szCs w:val="14"/>
                <w:b w:val="1"/>
                <w:bCs w:val="1"/>
                <w:color w:val="auto"/>
              </w:rPr>
              <w:t>Single-</w:t>
            </w: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Double-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 Awards ($)</w:t>
            </w: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2240" w:type="dxa"/>
            <w:vAlign w:val="bottom"/>
          </w:tcPr>
          <w:p>
            <w:pPr>
              <w:jc w:val="right"/>
              <w:ind w:right="239"/>
              <w:spacing w:after="0"/>
              <w:rPr>
                <w:sz w:val="20"/>
                <w:szCs w:val="20"/>
                <w:color w:val="auto"/>
              </w:rPr>
            </w:pPr>
            <w:r>
              <w:rPr>
                <w:rFonts w:ascii="Arial" w:cs="Arial" w:eastAsia="Arial" w:hAnsi="Arial"/>
                <w:sz w:val="14"/>
                <w:szCs w:val="14"/>
                <w:b w:val="1"/>
                <w:bCs w:val="1"/>
                <w:color w:val="auto"/>
              </w:rPr>
              <w:t>trigger</w:t>
            </w: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trigger</w:t>
            </w:r>
          </w:p>
        </w:tc>
        <w:tc>
          <w:tcPr>
            <w:tcW w:w="1120" w:type="dxa"/>
            <w:vAlign w:val="bottom"/>
          </w:tcPr>
          <w:p>
            <w:pPr>
              <w:jc w:val="right"/>
              <w:ind w:right="319"/>
              <w:spacing w:after="0"/>
              <w:rPr>
                <w:sz w:val="20"/>
                <w:szCs w:val="20"/>
                <w:color w:val="auto"/>
              </w:rPr>
            </w:pPr>
            <w:r>
              <w:rPr>
                <w:rFonts w:ascii="Arial" w:cs="Arial" w:eastAsia="Arial" w:hAnsi="Arial"/>
                <w:sz w:val="14"/>
                <w:szCs w:val="14"/>
                <w:b w:val="1"/>
                <w:bCs w:val="1"/>
                <w:color w:val="auto"/>
              </w:rPr>
              <w:t>trigger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trigger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(single-trigger)</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 Scott Rowe</w:t>
            </w:r>
          </w:p>
        </w:tc>
        <w:tc>
          <w:tcPr>
            <w:tcW w:w="22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347,350</w:t>
            </w: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5,965,243</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2,685,375</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8,997,968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Charles M. Sledge</w:t>
            </w:r>
          </w:p>
        </w:tc>
        <w:tc>
          <w:tcPr>
            <w:tcW w:w="2240" w:type="dxa"/>
            <w:vAlign w:val="bottom"/>
          </w:tcPr>
          <w:p>
            <w:pPr>
              <w:jc w:val="right"/>
              <w:ind w:right="119"/>
              <w:spacing w:after="0"/>
              <w:rPr>
                <w:sz w:val="20"/>
                <w:szCs w:val="20"/>
                <w:color w:val="auto"/>
              </w:rPr>
            </w:pPr>
            <w:r>
              <w:rPr>
                <w:rFonts w:ascii="Arial" w:cs="Arial" w:eastAsia="Arial" w:hAnsi="Arial"/>
                <w:sz w:val="18"/>
                <w:szCs w:val="18"/>
                <w:color w:val="auto"/>
              </w:rPr>
              <w:t>313,721</w:t>
            </w: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2,544,434</w:t>
            </w:r>
          </w:p>
        </w:tc>
        <w:tc>
          <w:tcPr>
            <w:tcW w:w="1100" w:type="dxa"/>
            <w:vAlign w:val="bottom"/>
          </w:tcPr>
          <w:p>
            <w:pPr>
              <w:ind w:left="6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9"/>
              <w:spacing w:after="0"/>
              <w:rPr>
                <w:sz w:val="20"/>
                <w:szCs w:val="20"/>
                <w:color w:val="auto"/>
              </w:rPr>
            </w:pPr>
            <w:r>
              <w:rPr>
                <w:rFonts w:ascii="Arial" w:cs="Arial" w:eastAsia="Arial" w:hAnsi="Arial"/>
                <w:sz w:val="18"/>
                <w:szCs w:val="18"/>
                <w:color w:val="auto"/>
              </w:rPr>
              <w:t>6,139,321</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8,997,476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William C. Lemmer</w:t>
            </w:r>
          </w:p>
        </w:tc>
        <w:tc>
          <w:tcPr>
            <w:tcW w:w="22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246,071</w:t>
            </w:r>
          </w:p>
        </w:tc>
        <w:tc>
          <w:tcPr>
            <w:tcW w:w="9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1,977,022</w:t>
            </w:r>
          </w:p>
        </w:tc>
        <w:tc>
          <w:tcPr>
            <w:tcW w:w="1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4,769,486</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6,992,579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55"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amounts in this column reflect the reimbursement that the named executive officers would be contractually entitled to receive for any excise tax imposed on them under Section 4999 of the Internal Revenue Code in connection with the single-trigger and double-trigger payments and benefits that they received in connection with the merger (including, for example, accelerated vesting of equity awards and the termination-related payments and benefits described above). For a description of the contractual tax reimbursements, please see the section entitled “Interests of Cameron’s Directors and Executive Officers in the Merger—Executive Officers—Severance Arrangements.” The named executive officers are also eligible to receive certain retention bonuses and other awards or payments as more fully described in the section entitled “Interests of Cameron’s Directors and Executive Officers in the Merger—Executive Officers—Further Actions.”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connection with the merger, record holders of Cameron common stock who do not vote in favor of the proposal to adopt the merger agreement are entitled to appraisal rights under Section 262 of the DGCL, provided they fully comply with and follow the procedures and satisfy all of the conditions set forth in Section 262 of the DGCL. For more information regarding appraisal rights, see “The Merger—Appraisal Rights.” In addition, a copy of Section 262 of the DGCL is attached as Annex B to this proxy statement/prospectus. Failure to comply with Section 262 of the DGCL will result in your waiver of, or inability to exercise, appraisal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Schlumberger Stock and Delisting and Deregistration of Cameron Stock</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Schlumberger will apply to have the shares of its common stock to be issued and delivered in the merger approved for listing on the NYSE, where Schlumberger common stock is currently traded. If the merger is completed, shares of Cameron common stock will no longer be listed on the NYSE, and will be deregistered under the Exchange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Schlumberger Common Stock Received in the Merger</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Shares of Schlumberger common stock issued and delivered in the merger will not be subject to any restrictions on transfer arising under the Securities Act or the Exchange Act, except for shares of Schlumberger common stock issued and delivered to any Cameron stockholder who may be deemed to be an “affiliate” of Schlumberger after the completion of the merger. This proxy statement/prospectus does not cover resales of Schlumberger common stock received by any person upon the completion of the merger, and no person is authorized to make any use of this proxy statement/prospectus in connection with any resale.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merger will be accounted for as an acquisition of a business. Schlumberger will record net tangible and identifiable intangible assets acquired and liabilities assumed from Cameron at their respective fair values at the date of the completion of the merger. Any excess of the purchase price, over the fair value of the identifiable net assets of Cameron, will be recorded as goodwill.</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financial condition and results of operations of Schlumberger after completion of the merger will reflect Cameron’s balances and results after completion of the transaction but will not be restated retroactively to reflect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historical financial condition or results of operations of Cameron. Schlumberger’s earnings following the completion of the merger will reflect acquisition accounting adjustments, including the effect of changes in the carrying value for assets and liabilities on depreciation and amortization expense. Goodwill will not be amortized but will be tested for impairment at least annually, and all assets including goodwill will be tested for impairment when certain indicators are present. If, in the future, Schlumberger determines that tangible or intangible assets (including goodwill) are impaired, Schlumberger would record an impairment charge at that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following is a discussion of the material U.S. federal income tax consequences to Holders (as defined below) of (1) the exchange of their Cameron common stock for Schlumberger common stock and cash in the merger and (2) the ownership and disposition of Schlumberger common stock received in the merger. This discussion is based on the Internal Revenue Code of 1986, as amended, which we refer to as the Code, existing and proposed Treasury regulations promulgated under the Code, judicial decisions, published rulings, administrative pronouncements, and all other applicable authorities, all as in effect on the date of this proxy statement/prospectus and all of which are subject to change, possibly with retroactive effect. This discussion does not address any aspects of state, local, or non-U.S. laws or federal laws other than those relating to U.S. federal income taxation, is not a complete analysis or description of all of the possible tax consequences of the merger or of the ownership or disposition of shares of Schlumberger common stock, and does not address all tax considerations that may be relevant to a Holder in light of such Holder’s particular circumstances. This discussion addresses only Holders that own their shares of Cameron common stock and will own their shares of Schlumberger common stock as capital assets within the meaning of Section 1221 of the Code (generally, property held for investment purposes). This discussion does not address all aspects of U.S. federal income taxation that may be relevant to a Holder in light of such Holder’s particular circumstances, including any tax consequences arising under the unearned income Medicare contribution tax pursuant to the Health Care and Education Reconciliation Act of 2010, or to a Holder that is subject to special treatment under U.S. federal income tax law, including, for example:</w:t>
      </w:r>
    </w:p>
    <w:p>
      <w:pPr>
        <w:spacing w:after="0" w:line="93"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person holding shares as part of a straddle, hedge, constructive sale, integrated transaction, or conversion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S corporation or other pass-through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broker-dealer or trader in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trader in securities who has elected the mark-to-market method of accounting for its securities;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person that, at any time after the merger, owns, actually and/or constructively, 10% or more of the total combined voting power of all classes of stock entitled to vote of Schlumberger;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person who received Cameron common stock through the exercise of employee stock options, through a tax qualified retirement plan, or otherwise as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any beneficial owner of Cameron common stock or, after the completion of the merger,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 that, for U.S. federal income tax purposes, is:</w:t>
      </w:r>
    </w:p>
    <w:p>
      <w:pPr>
        <w:spacing w:after="0" w:line="116"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individual citizen or resident alien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any state thereof, or the District of Columbia;</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has the authority to control all substantial decisions of the trust or (2) it has a valid election in place under applicable Treasury regulations to be treated as a U.S. person.</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“Non-U.S. Holder” is any beneficial owner of Cameron common stock or, after the completion of the merger, Schlumberger common stock that, for U.S. federal income tax purposes, is an individual, corporation, estate, or trust that is not a U.S. 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“Holder” means a U.S. Holder, a Non-U.S. Holder, or both, as the context may require.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Cameron common stock or Schlumberger common stock, the tax treatment of a partner in that partnership generally will depend on the status of the partner and the activities of the partnership. If you are a partner in a partnership that holds Cameron common stock or Schlumberger common stock, you are urged to consult your tax advisor regarding the U.S. federal income tax consequences to you of the merger and the ownership and disposition of Schlumberger common stock received in the merger.</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HOLDERS OF CAMERON COMMON STOCK ARE URGED TO CONSULT THEIR TAX ADVISORS REGARDING THE PARTICULAR FEDERAL, STATE, LOCAL, AND NON-U.S. TAX CONSEQUENCES TO THEM OF THE MERGER AND THE OWNERSHIP AND DISPOSITION OF SCHLUMBERGER COMMON STOCK RECEIVED IN THE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exchange of Cameron common stock for Schlumberger common stock and cash in the merger will be a taxable transaction for U.S. federal income tax purposes. Therefore, a U.S. Holder will recognize capital gain or loss equal to the difference, if any, between (1) the sum of the fair market value of Schlumberger common stock and cash received by such Holder in the merger, including any cash received in lieu of fractional shares of Cameron common stock, and (2) the U.S. Holder’s adjusted tax basis in its Cameron common stock. A U.S. Holder’s adjusted tax basis in its Cameron common stock will generally equal the Holder’s purchase price for such stock.</w:t>
      </w:r>
    </w:p>
    <w:p>
      <w:pPr>
        <w:spacing w:after="0" w:line="1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Capital gains of a non-corporate U.S. Holder will be eligible for the preferential U.S. federal income tax rates applicable to long-term capital gains if the U.S. Holder has held its Cameron common stock for more than one year as of the date of the merger. The deductibility of capital losses is subject to limitations. If a U.S. Holder acquired different blocks of shares of Cameron common stock at different times or different prices, the U.S. Holder must determine its tax basis and holding period separately for each block of Cameron common stock.</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 U.S. Holder’s aggregate tax basis in Schlumberger common stock received in the merger will equal the fair market value of such stock as of the date of the merger. A U.S. Holder’s holding period in Schlumberger common stock received in the merger will begin the day after the merger.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generally will not be subject to U.S. federal income tax on any gain recognized on the exchange of Cameron common stock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 and cash in the merger unless:</w:t>
      </w:r>
    </w:p>
    <w:p>
      <w:pPr>
        <w:spacing w:after="0" w:line="116" w:lineRule="exact"/>
        <w:rPr>
          <w:sz w:val="20"/>
          <w:szCs w:val="20"/>
          <w:color w:val="auto"/>
        </w:rPr>
      </w:pPr>
    </w:p>
    <w:p>
      <w:pPr>
        <w:ind w:left="900" w:right="44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U.S. permanent establishment of the Non-U.S. Holder);</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during the taxable year that includes the merger and certain other conditions are satisfied; or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Cameron is or has been a United States real property holding corporation, which we refer to as a USRPHC, at any relevant time within the shorter of the five-year period preceding the merger or the Non-U.S. Holder’s holding period, and the Non-U.S. Holder holds, or has held at any time during such period, more than 5% of the Cameron common stock.</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the Non-U.S. Holder’s gain is described in the first bullet, then the Non-U.S. Holder will generally be subject to U.S. federal income tax under the rules described above as if it were a U.S. Holder of Cameron common stock and, in the case of a foreign corporation, may be subject to an additional “branch profits tax” at a 30% rate (or such lower rate as may be specified by an applicable income tax treaty).</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Regarding the third bullet, Cameron does not believe that it is or has been a USRPHC within the past five years.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Schlumberger common stock and cash received by a U.S. Holder or a Non-U.S. Holder in the merger, under certain circumstances, may be subject to information reporting and backup withholding, unless such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Disposition of Schlumberger Common Stock Received in the Merger</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is a discussion of the U.S. federal income tax consequences of the ownership and disposition by U.S. Holders and Non-U.S. Holders of Schlumberger common stock received in the merger.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Subject to the discussion below under “—Passive Foreign Investment Company Considerations,” distributions, if any, made with respect to shares of Schlumberger common stock will constitute dividends for U.S. federal income tax purposes to the extent of Schlumberger’s current-year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non-corporate U.S. Holders will be subject to U.S. federal income taxation at reduced rates with respect to “qualified dividends.” Dividends paid by Schlumberger on shares of Schlumberger common stock will be treated as “qualified dividends” as long as (1) the Schlumberger common stock is readily tradable on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NYSE and (2) Schlumberger was not, in its taxable year prior to the year in which the dividend is paid, and is not, in its taxable year in which the dividend is paid, a passive foreign investment company, which we refer to as a PFIC. As described below, Schlumberger believes that it has not been a PFIC in any prior year, will not be a PFIC for the taxable year in which the merger occurs, and will not become a PFIC in the future.</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 distribution exceeds Schlumberger’s current-year and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Schlumberger common stock exceeds one year.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Taxable Disposition of Schlumberger Common Stock</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will generally recognize capital gain or loss on any sale or other taxable disposition of Schlumberger common stock in an amount equal to the difference, if any, between the amount realized on such disposition and the U.S. Holder’s adjusted tax basis in such stock. Capital gains of a non-corporate U.S. Holder will be eligible for the preferential U.S. federal income tax rates applicable to long-term capital gains if the U.S. Holder has held its Schlumberger common stock for more than one year as of the date of the disposition. The deductibility of capital losses is subject to limitations.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general, a foreign corporation such as Schlumberger will be classified as a PFIC for any taxable year in which either (1) 75% or more of its gross income is passive income (generally, dividends, interest, gains from the sale or exchange of investment property, and certain rents and royalties) or (2) at least 50% of the average value of its assets consists of assets that produce, or that are held for the production of, passive income. For purposes of applying these tests, the foreign corporation is deemed to own its proportionate share of the assets of, and to receive directly its proportionate share of the income of, any other corporation in which the foreign corporation owns, directly or indirectly, at least 25% of the value of the stock.</w:t>
      </w:r>
    </w:p>
    <w:p>
      <w:pPr>
        <w:spacing w:after="0" w:line="15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Schlumberger were classified as a PFIC, then U.S. Holders could be subject to various adverse consequences with respect to the ownership and disposition of Schlumberger common stock unless the U.S. Holders make certain elections. These adverse consequences include taxation of gain on a sale or other disposition of Schlumberger common stock and taxation of certain distributions (which may include distributions that would otherwise be treated as “qualified dividends”) at the maximum ordinary income rates and the imposition of an interest charge on such gain and distributions.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Schlumberger believes that it has not been a PFIC in any prior taxable year, will not be a PFIC in the taxable year in which the merger occurs, and will not become a PFIC in the future. However, because the tests for determining PFIC status are applied annually, and it is difficult to accurately predict future income and assets relevant to this determination, there can be no assurance that Schlumberger will not become a PFIC. U.S. Holders are urged to consult their tax advisors regarding the application of the PFIC rules to their investment in Schlumberger common stock, including the availability of certain shareholder elections.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Specified Foreign Financial Assets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Individual U.S. Holders that own “specified foreign financial assets” with an aggregate value in excess of $50,000 are generally required to file an information statement along with their tax returns, currently on IRS Form 8938, with respect to such assets. “Specified foreign financial assets” include any financial accounts held at a foreign financial institution, as well as securities issued by a foreign issuer (which would include Schlumberger common stock) that are not held in accounts maintained by financial institutions. Higher reporting thresholds apply to certain individuals living abroad and to certain married individuals. Treasury regulations have been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proposed that, if finalized, would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U.S. Holders are urged to consult their tax advisors concerning the application of these rules to their investment in Schlumberger common stock.</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 Non-U.S. Holder generally will not be subject to U.S. federal income tax or withholding on dividends in respect of Schlumberger common stock. However, if such dividends are effectively connected with the Non-U.S. Holder’s conduct of a trade or business in the United States (and, if an income tax treaty applies, is attributable to a U.S. permanent establishment of the Non-U.S. Holder), then the Non-U.S. Holder will generally be subject to U.S. federal income tax under the rules described above as if it were a U.S. Holder of Schlumberger common stock and, in the case of a foreign corporation, may be subject to an additional “branch profits tax” at a 30% rate (or such lower rate as may be specified by an applicable income tax treaty).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Taxable Disposition of Schlumberger Common Stock</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Non-U.S. Holder generally will not be subject to U.S. federal income tax or withholding on any gain recognized on a sale or other taxable disposition of Schlumberger common stock unless:</w:t>
      </w:r>
    </w:p>
    <w:p>
      <w:pPr>
        <w:spacing w:after="0" w:line="76" w:lineRule="exact"/>
        <w:rPr>
          <w:sz w:val="20"/>
          <w:szCs w:val="20"/>
          <w:color w:val="auto"/>
        </w:rPr>
      </w:pPr>
    </w:p>
    <w:p>
      <w:pPr>
        <w:ind w:left="900" w:right="42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U.S. permanent establishment of the Non-U.S. Holder); or</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during the taxable year that includes the merger and certain other conditions are satisfied.</w:t>
      </w:r>
    </w:p>
    <w:p>
      <w:pPr>
        <w:spacing w:after="0" w:line="170"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If the Non-U.S. Holder’s gain is described in the first bullet, then the Non-U.S. Holder will generally be subject to U.S. federal income tax under the rules described above as if it were a U.S. Holder of Schlumberger common stock and, in the case of a foreign corporation, may be subject to an additional “branch profits tax” at a 30% rate (or such lower rate as may be specified by an applicable income tax treaty).</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Dividends paid with respect to shares of Schlumberger common stock and proceeds from a sale or other disposition of shares of Schlumberger common stock received in the United States or through certain U.S.-related financial intermediaries may be subject to information reporting and backup withholding unless the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Antitrust Approvals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merger is subject to review by the Antitrust Division under the HSR Act. Under the HSR Act, Schlumberger and Cameron are required to make premerger notification filings and to await the expiration or early termination of the statutory waiting period (and any extension of the waiting period) prior to completing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merger. On September 16, 2015, Schlumberger and Cameron each filed a Premerger Notification and Report Form with the Antitrust Division and the Federal Trade Commission, which we refer to as the FTC. On October 16, 2015, Schlumberger withdrew its filing and refiled on October 19, 2015 in order to provide the Antitrust Division and the FTC with an additional 30-day period to review the companies’ filings.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presence to require filings. As of the date of this proxy statement/prospectus, the parties have made, or are about to make, antitrust filings in the European Union and in certain other jurisdictions.</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Please see “The Merger Agreement—Certain Additional Agreements—Filings” for more information. If the merger has not occurred on or before the termination date due to the failure to obtain regulatory clearances, or if an order, decree or ruling permanently prohibits the merger, the merger agreement may be terminated.</w:t>
      </w:r>
    </w:p>
    <w:p>
      <w:pPr>
        <w:spacing w:after="0" w:line="165"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There can be no assurance that the merger will not be challenged on antitrust or competition grounds or, if a challenge is made, what the outcome would be. The Antitrust Division, the FTC,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laws, including, without limitation, by seeking to enjoin the effective time of the merger or permitting completion subject to regulatory concessions or conditions. Private parties may also seek to take legal action under antitrust or competition laws under certain circumstances.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Procedures</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merger may be subject to certain regulatory requirements of other municipal, state and federal, domestic or foreign, governmental agencies and authorities, including those relating to the offer and sale of securities. Schlumberger and Cameron are currently working to evaluate and comply in all material respects with these requirements, as appropriate, and do not currently anticipate that they will hinder, delay or restrict completion of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Unless the parties otherwise mutually agree, the closing of the merger will occur on the first business day, or, if Schlumberger so elects, on the third business day, after all the conditions to the closing of the merger are fulfilled or waived (other than those conditions that by their nature are to be fulfilled at the closing of the merger, but subject to the fulfillment or waiver of such conditions). Subject to the satisfaction or waiver of the conditions to the closing of the merger described in the section entitled “The Merger Agreement—Conditions to the Merger,” including the approval of the proposal to adopt the merger agreement by Cameron’s stockholders at the special meeting, it is anticipated that the merger will close in the first quarter of 2016. It is possible that factors outside the control of both companies could result in the merger being completed at a different time, or not at all.</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effective time will occur on the date a certificate of merger is filed with the Delaware Secretary of State, or at such later time as Schlumberger and Cameron designate in the certificate of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Subsequent to the announcement of the merger, Cameron, Cameron’s directors, Schlumberger US, Merger Sub and Schlumberger were named as defendants in four purported class action lawsuits relating to the proposed transaction that were filed in the Court of Chancery of the State of Delaware. These lawsuits were consolidated for all purposes under the caption </w:t>
      </w:r>
      <w:r>
        <w:rPr>
          <w:rFonts w:ascii="Arial" w:cs="Arial" w:eastAsia="Arial" w:hAnsi="Arial"/>
          <w:sz w:val="17"/>
          <w:szCs w:val="17"/>
          <w:i w:val="1"/>
          <w:iCs w:val="1"/>
          <w:color w:val="auto"/>
        </w:rPr>
        <w:t>In re Cameron International Corp. Stockholders Litigation</w:t>
      </w:r>
      <w:r>
        <w:rPr>
          <w:rFonts w:ascii="Arial" w:cs="Arial" w:eastAsia="Arial" w:hAnsi="Arial"/>
          <w:sz w:val="17"/>
          <w:szCs w:val="17"/>
          <w:color w:val="auto"/>
        </w:rPr>
        <w:t>, Case No. 11506-VCN, and a Consolidated Amended Class Action Complaint (the “Consolidated Complaint”) was filed. The Consolidated Complaint generally alleges that Cameron’s directors breached their fiduciary duties to Company stockholders by, among other things, agreeing to enter into the transaction for an allegedly unfair price and as the result of an allegedly unfair process. The Consolidated Complaint also alleges that Cameron, Schlumberger US, Merger Sub and Schlumberger aided and abetted the alleged breaches by Cameron’s directors. The Consolidated Complaint seeks various remedies, including enjoining the merger from being consummated, rescission of the merger to the extent already implemented and the plaintiffs’ costs and fees.</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October 30, 2015, plaintiffs in the consolidated class action moved to expedite discovery and to preliminarily enjoin the consummation of the merger. On November 6, 2015, following Cameron’s agreement to make certain supplemental disclosures, plaintiffs withdrew both their motion for expedited discovery and their motion for a preliminary injunction.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and Schlumberger expect similar lawsuits may be filed in the future.</w:t>
      </w:r>
    </w:p>
    <w:p>
      <w:pPr>
        <w:spacing w:after="0" w:line="225"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Cameron and Schlumberger believe that the lawsuits in which they are named are without merit and intend to defend the lawsuits vigorously. 75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describes the material provisions of the merger agreement but does not purport to describe all of the terms of the merger agreement. The provisions of the merger agreement are complicated and not easily summarized. The following summary may not contain all of the information about the merger agreement that is important to you and is qualified in its entirety by reference to the complete text of the merger agreement, which is attached as Annex A to this proxy statement/prospectus and incorporated into this proxy statement/prospectus by reference. Schlumberger and Cameron urge you to read the full text of the merger agreement before making any decisions regarding the merger, including approval of the proposal to adopt the merger agreement, because it is the legal document that governs the merger.</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Warranties and Covenants in the Merger Agreement Are Not Intended to Function or Be Relied on as Public Disclosures</w:t>
      </w:r>
    </w:p>
    <w:p>
      <w:pPr>
        <w:spacing w:after="0" w:line="13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reviewing the merger agreement, please remember that it is included to provide you with information regarding its terms and is not intended to provide any other factual information about Schlumberger or Cameron. The merger agreement contains representations and warranties by each of the parties to the merger agreement. These representations and warranties have been made solely for the benefit of the other parties to the merger agreement and:</w:t>
      </w:r>
    </w:p>
    <w:p>
      <w:pPr>
        <w:spacing w:after="0" w:line="52"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may be intended not as statements of fact, but rather as a way of allocating the risk to one of the parties if those statements prove to be inaccurate,</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225"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the foregoing reasons, the representations, warranties and covenants or any descriptions of those provisions should not be read alone or relied upon as characterizations of the actual state of facts or condition of Schlumberger, Cameron or any of their respective subsidiaries or affiliates. Instead, such provisions or descriptions should be read only in conjunction with the other information provided elsewhere in this document or incorporated by reference into this proxy statement/prospectus, as described in the section titled “Where You Can Find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merger agreement contemplates a merger whereby Merger Sub will be merged with and into Cameron, with Cameron continuing as the surviving corporation. Upon completion of the merger, Cameron will be a wholly-owned subsidiary of Schlumberger US and Cameron common stock will no longer be publicly traded. Upon effectiveness of the merger, each Cameron stockholder will have the right to receive the merger consideration as described below under “—Merger Consideration.”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Closing</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merger will become effective on the date a certificate of merger is filed with the Delaware Secretary of State, or at such later time as Schlumberger and Cameron designate in the certificate of merger.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agreement provides that, unless agreed otherwise, the closing of the merger will take place on the first business day or, if Schlumberger so elects, on the third business day, after all the conditions to the closing of the merger are fulfilled or waived in accordance with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merger agreement provides that at the effective time of the merger, each share of Cameron common stock issued and outstanding immediately prior to the effective time will be converted into the right to receive (1) 0.716 shares of Schlumberger common stock and (2) $14.44 in cash, without interest, together with any cash in lieu of fractional shares as described under “—Fractional Shares.” In this discussion, (A) the number of shares of Schlumberger common stock to be received for each share of Cameron common stock is referred to as the “exchange ratio,” (B) the amount of cash to be received for each share of Cameron common stock is referred to as the “per share cash amount” and (C) the Schlumberger common stock issuable based on the exchange ratio, the cash payable based on the per share cash amount and the cash payable in lieu of any fractional shares is referred to as the “merger consideration.”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fractional shares of Schlumberger common stock will be delivered to any holder of Cameron common stock upon completion of the merger. For each fractional share that would otherwise be delivered, Schlumberger will pay cash (without interest) in an amount equal to the fractional share multiplied by the closing price for a share of Schlumberger common stock on the NYSE Composite Transactions Tape on the business day immediately preceding the closing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At the effective time of the merger, all outstanding options to purchase shares of Cameron common stock, including any options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execution of the merger agreement, will be converted into options to purchase shares of Schlumberger common stock with the duration and terms of such converted options to remain generally the same as the original Cameron option. The number of shares of Schlumberger common stock subject to each option will be determined by multiplying the number of shares of Cameron common stock subject to the original Cameron option by the equity award exchange ratio, rounded down to the nearest whole share. The option exercise price per share of Schlumberger common stock will be equal to the option exercise price per share of Cameron common stock under the original Cameron option divided by the equity award exchange ratio, rounded up to the nearest whole cent. The term “equity award exchange ratio” means (1) the exchange ratio (0.716) plus (2) the quotient obtained by dividing $14.44 by the average of the volume weighted average price of a share of Schlumberger common stock as reported on the NYSE Composite Transactions Tape on each of the five consecutive trading days ending with the second complete trading day prior to the effective time of the merger.</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At the effective time of the merger, each outstanding award of restricted stock units granted by Cameron under any of its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restricted stock units granted following the execution of the merger agreement, will be converted into an award of restricted stock units that will be settled in Schlumberger common stock with substantially the same terms as the original Cameron award, including the vesting schedule and any conditions and restrictions on receipt. The number of shares of Schlumberger common stock subject to the converted restricted stock unit award will be determined by multiplying the number of shares of Cameron common stock subject to the original Cameron restricted stock unit award by the equity award exchange ratio, rounded to the nearest whole number of shares.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Deferred Stock Units</w:t>
      </w:r>
      <w:r>
        <w:rPr>
          <w:rFonts w:ascii="Arial" w:cs="Arial" w:eastAsia="Arial" w:hAnsi="Arial"/>
          <w:sz w:val="18"/>
          <w:szCs w:val="18"/>
          <w:color w:val="auto"/>
        </w:rPr>
        <w:t>. At the effective time of the merger, each outstanding award of deferred stock units granted by Cameron under any of its plans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canceled and converted into the right to receive the merger consideration based on the total number of shares of Cameron common stock subject to the outstanding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Performance Share Awards</w:t>
      </w:r>
      <w:r>
        <w:rPr>
          <w:rFonts w:ascii="Arial" w:cs="Arial" w:eastAsia="Arial" w:hAnsi="Arial"/>
          <w:sz w:val="18"/>
          <w:szCs w:val="18"/>
          <w:color w:val="auto"/>
        </w:rPr>
        <w:t>. At the effective time of the merger, each outstanding award of performance shares granted by Cameron under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plans will be converted into fully vested deferred stock units that will be settled in Schlumberger common stock on the same payment schedule as the original Cameron award. For purposes of determining the number of performance shares earned under the original Cameron performance share award, unless otherwise specified in an individual change in control agreement with an employee, (1) performance with respect to the total shareholder return metric will be determined based on total shareholder return as of the effective time and (2) performance with respect to the return on invested capital (ROIC) metric will be determined as follows: (A) for any completed performance year prior to the effective time, based on actual ROIC performance as certified by the Cameron compensation committee, (B) if the effective time occurs in 2015, based on actual ROIC through the effective time (or the most recent practicable date prior to the effective time) and a reasonable good faith estimate of ROIC performance for the remainder of 2015 and (C) target performance for any other performance year.</w:t>
      </w:r>
    </w:p>
    <w:p>
      <w:pPr>
        <w:spacing w:after="0" w:line="19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Converted Award Terms</w:t>
      </w:r>
      <w:r>
        <w:rPr>
          <w:rFonts w:ascii="Arial" w:cs="Arial" w:eastAsia="Arial" w:hAnsi="Arial"/>
          <w:sz w:val="18"/>
          <w:szCs w:val="18"/>
          <w:color w:val="auto"/>
        </w:rPr>
        <w:t>. Each converted equity award will, in accordance with its terms, be subject to further adjustment as appropriate to reflect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reclassification, recapitalization or other similar transaction of Schlumberger common stock. The compensation committee of the board of directors of Schlumberger will have authority and responsibility for the converted equity awards and each converted award is subject to administrative procedures consistent with those in effect under Schlumberger’s equity compensation plans. Each converted award will be provided with dividend equivalent rights to the extent provided to Schlumberger awards of a comparable type.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Stock Transfer Books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conversion of Cameron common stock into the right to receive the merger consideration will occur automatically at the effective time of the merger. Immediately before the effective time, Schlumberger will issue to Schlumberger US, by way of sale or as a contribution to the capital of Schlumberger US or a combination thereof, that number of shares of Schlumberger common stock that are to be delivered by Schlumberger US to Cameron stockholders pursuant to the merger agreement. Immediately thereafter, Schlumberger US will deposit with a commercial bank or trust company, as the exchange agent for the merger, the number of shares of Schlumberger common stock to be delivered pursuant to the merger agreement and an amount of cash representing the aggregate cash consideration payable pursuant to the merger agreement.</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Promptly after the effective time of the merger, Schlumberger US will cause the exchange agent to send to each holder of record of Cameron common stock at the effective time of the merger a letter of transmittal and instructions for effecting the exchange of Cameron common stock for the merger consideration the holder is entitled to receive under the merger agreement. Upon surrender of the certificates or book-entry shares for cancellation along with the executed letter of transmittal and other documents, a Cameron stockholder will receive some or all of the following: (1) one or more shares of Schlumberger common stock; (2) cash consideration in accordance with the per share cash amount; (3) cash in lieu of fractional shares of Schlumberger common stock; and (4) any unpaid dividends and distributions declared and paid in respect of Schlumberger common stock after completion of the merger.</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Six months after the effective time of the merger, Schlumberger US will be entitled to require the exchange agent to return any shares of Schlumberger common stock remaining in the exchange fund and any cash that remains unclaimed. Holders of Cameron common stock who have not exchanged their certificates or book-entry shares representing such stock prior to that time may thereafter look only to Schlumberger US to exchange their stock certificates or book-entry shares or to pay amounts to which they are entitled pursuant to the merger agreement. None of Schlumberger US, Merger Sub, Schlumberger, Cameron, the surviving corporation or the exchange agent will be liable to any holder of Cameron common stock certificates or book-entry shares for any merger consideration delivered to a public official pursuant to applicable abandoned property, escheat or similar laws.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If a certificate has been lost, stolen or destroyed, then, before a Cameron stockholder will be entitled to receive the merger consideration (or dividends or distributions with respect thereto), such holder will need to deliver an affidavit of that fact and, if reasonably required by Schlumberger, post a bond or surety (in such amount as Schlumberger may reasonably direct) as indemnity against any claim that may be made in respect of such lost certificate.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connection with the merger, record holders of Cameron common stock who do not vote in favor of the proposal to adopt the merger agreement and who otherwise fully comply with the applicable provisions of Section 262 of the DGCL will be entitled to exercise appraisal rights thereunder. Any shares of Cameron common stock held by a Cameron stockholder as of the record date who has not voted in favor of the proposal to adopt the merger agreement and who has demanded appraisal for such shares in accordance with the DGCL will not be converted into a right to receive the merger consideration, unless such holder fails to perfect or withdraws or otherwise loses the right to appraisal under the DGCL. If, after the effective time, such holder of Cameron common stock fails to perfect or withdraws or otherwise loses his, her or its appraisal rights, each such share will be treated as if it had been converted as of the effective time into a right to receive the merger consideration.</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merger agreement, Cameron must give Schlumberger (1) prompt notice of any written demands for appraisal, attempted withdrawals of such demands and any other instruments received by Cameron relating to stockholders’ rights of appraisal and (2) the opportunity to direct all negotiations and proceedings with respect to demands for appraisal under the DGCL. Cameron may not, except with the prior written consent of Schlumberger, voluntarily make any payment with respect to any demands for appraisal, settle or offer to settle any such demands or approve any withdrawal of any such demands.</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THE FULL TEXT OF WHICH IS ATTACHED TO THIS PROXY STATEMENT/PROSPECTUS AS ANNEX 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Schlumberger US, the surviving corporation and the exchange agent will be entitled to deduct and withhold from consideration payable to any Cameron stockholder the amounts that may be required to be withheld under any applicable tax law. Amounts withheld and paid over to a governmental entity will be treated for all purposes of the merger as having been paid to the stockholders from whom they were withheld.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merger agreement contains representations and warranties made by each of the parties regarding aspects of their respective businesses, financial condition and structure, as well as other facts pertinent to the merger. Cameron, on the one hand, and Schlumberger US, Merger Sub and Schlumberger, on the other hand, have made representations and warranties in the merger agreement with respect to the following subject matters:</w:t>
      </w:r>
    </w:p>
    <w:p>
      <w:pPr>
        <w:spacing w:after="0" w:line="71"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existence, good standing and qualification to conduct business;</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requisite power and authorization to enter into and carry out the obligations of the merger agreement and the enforceability of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any conflict or violation of organizational documents, third party agreements or laws as a result of the merger or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filings and reports with the SEC and financial information;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accuracy of information supplied for inclusion or incorporation in this proxy statement/prospectus;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a material adverse effect;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decrees or injunctions;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ownership of the other party or parties’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compliance with export controls and trade sanctions;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and other anticorruption and antibribery laws.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Cameron, on the one hand, and Schlumberger, on the other hand, have made additional representations and warranties in the merger agreement with respect to the following subject matters:</w:t>
      </w:r>
    </w:p>
    <w:p>
      <w:pPr>
        <w:spacing w:after="0" w:line="76"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compliance with the Sarbanes-Oxley Act of 2002 and the applicable listing and corporate governance rules and regulation of the NYSE;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internal accounting controls and disclosure controls and procedures.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Cameron has made additional representations and warranties to Schlumberger US and Schlumberger in the merger agreement with respect to the following subject matters:</w:t>
      </w:r>
    </w:p>
    <w:p>
      <w:pPr>
        <w:spacing w:after="0" w:line="76"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title to properties and absence of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fees payable to brokers, finders or investment banks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required stockholder approval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relationships with Cameron’s customers and suppliers;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inapplicability of anti-takeover laws or certain provisions in Cameron’s certificate of incorporation.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US and Merger Sub have made additional representations and warranties to Cameron in the merger agreement with respect to:</w:t>
      </w:r>
    </w:p>
    <w:p>
      <w:pPr>
        <w:spacing w:after="0" w:line="154"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status of Merger Sub; and</w:t>
      </w:r>
    </w:p>
    <w:p>
      <w:pPr>
        <w:spacing w:after="0" w:line="130" w:lineRule="exact"/>
        <w:rPr>
          <w:rFonts w:ascii="Arial" w:cs="Arial" w:eastAsia="Arial" w:hAnsi="Arial"/>
          <w:sz w:val="18"/>
          <w:szCs w:val="18"/>
          <w:color w:val="auto"/>
        </w:rPr>
      </w:pPr>
    </w:p>
    <w:p>
      <w:pPr>
        <w:ind w:left="5620" w:right="3180" w:hanging="5166"/>
        <w:spacing w:after="0" w:line="449" w:lineRule="auto"/>
        <w:tabs>
          <w:tab w:leader="none" w:pos="89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availability of sufficient funds with which to pay the cash portion of the merger consideration. 80</w:t>
      </w:r>
    </w:p>
    <w:p>
      <w:pPr>
        <w:sectPr>
          <w:pgSz w:w="11900" w:h="16838" w:orient="portrait"/>
          <w:cols w:equalWidth="0" w:num="1">
            <w:col w:w="11120"/>
          </w:cols>
          <w:pgMar w:left="24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Certain representations and warranties of Schlumberger US, Merger Sub, Schlumberger and Cameron are qualified as to materiality or as to “material adverse effect,” which when used with respect to Schlumberger US, Merger Sub, Schlumberger or Cameron means, as the case may be:</w:t>
      </w:r>
    </w:p>
    <w:p>
      <w:pPr>
        <w:spacing w:after="0" w:line="52" w:lineRule="exact"/>
        <w:rPr>
          <w:sz w:val="20"/>
          <w:szCs w:val="20"/>
          <w:color w:val="auto"/>
        </w:rPr>
      </w:pPr>
    </w:p>
    <w:p>
      <w:pPr>
        <w:ind w:left="900" w:right="4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material adverse effect on or material adverse change in the business, assets, liabilities, financial condition or results of operations of such party and its subsidiaries, taken as a whole, other than any effect or change relating to or resulting from:</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changes or conditions affecting the economy or financial markets in general, including changes in interest or exchange rates;*</w:t>
      </w:r>
    </w:p>
    <w:p>
      <w:pPr>
        <w:spacing w:after="0" w:line="142" w:lineRule="exact"/>
        <w:rPr>
          <w:rFonts w:ascii="Arial" w:cs="Arial" w:eastAsia="Arial" w:hAnsi="Arial"/>
          <w:sz w:val="17"/>
          <w:szCs w:val="17"/>
          <w:color w:val="auto"/>
        </w:rPr>
      </w:pPr>
    </w:p>
    <w:p>
      <w:pPr>
        <w:ind w:left="1460" w:right="560" w:hanging="547"/>
        <w:spacing w:after="0" w:line="277" w:lineRule="auto"/>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changes or conditions in the industries in which the party operates, including changes in or changes, effects, events or occurrences generally affecting the prices of oil, gas, natural gas, natural gas liquids or other commodities;*</w:t>
      </w:r>
    </w:p>
    <w:p>
      <w:pPr>
        <w:spacing w:after="0" w:line="75" w:lineRule="exact"/>
        <w:rPr>
          <w:rFonts w:ascii="Arial" w:cs="Arial" w:eastAsia="Arial" w:hAnsi="Arial"/>
          <w:sz w:val="18"/>
          <w:szCs w:val="18"/>
          <w:color w:val="auto"/>
        </w:rPr>
      </w:pPr>
    </w:p>
    <w:p>
      <w:pPr>
        <w:ind w:left="1460" w:right="100" w:hanging="547"/>
        <w:spacing w:after="0" w:line="264" w:lineRule="auto"/>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announcement or the existence of, or compliance with, or taking any action required or permitted by the merger agreement or the transactions contemplated by the merger agreement or any stockholder litigation against Cameron and/or its directors or officers relating to the transactions contemplated by the merger agreement;</w:t>
      </w:r>
    </w:p>
    <w:p>
      <w:pPr>
        <w:spacing w:after="0" w:line="86" w:lineRule="exact"/>
        <w:rPr>
          <w:rFonts w:ascii="Arial" w:cs="Arial" w:eastAsia="Arial" w:hAnsi="Arial"/>
          <w:sz w:val="18"/>
          <w:szCs w:val="18"/>
          <w:color w:val="auto"/>
        </w:rPr>
      </w:pPr>
    </w:p>
    <w:p>
      <w:pPr>
        <w:ind w:left="1460" w:right="240" w:hanging="547"/>
        <w:spacing w:after="0" w:line="277" w:lineRule="auto"/>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taking any action by such party at the written request of Schlumberger US, Merger Sub or Schlumberger, in the case of Cameron, or of Cameron, in the case of Schlumberger US, Merger Sub or Schlumberger;</w:t>
      </w:r>
    </w:p>
    <w:p>
      <w:pPr>
        <w:spacing w:after="0" w:line="75" w:lineRule="exact"/>
        <w:rPr>
          <w:rFonts w:ascii="Arial" w:cs="Arial" w:eastAsia="Arial" w:hAnsi="Arial"/>
          <w:sz w:val="18"/>
          <w:szCs w:val="18"/>
          <w:color w:val="auto"/>
        </w:rPr>
      </w:pPr>
    </w:p>
    <w:p>
      <w:pPr>
        <w:ind w:left="1460" w:right="560" w:hanging="547"/>
        <w:spacing w:after="0" w:line="277" w:lineRule="auto"/>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weather-related or other force majeure event or outbreak or escalation of hostilities or acts of war (whether or not declared) or terrorism;*</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changes in applicable law or in GAAP or in accounting standards, or any changes in the interpretation or enforcement of any of the foregoing, or any changes in general legal, regulatory or political conditions;*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change in such party’s credit ratings;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decline in the market price, or change in trading volume, of the capital stock of such party; or</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failure to meet any internal or public projections, forecasts, guidance, estimates, milestones, budgets or internal or published financial or operating predications of revenue, earnings, cash flow or cash position;</w:t>
      </w:r>
    </w:p>
    <w:p>
      <w:pPr>
        <w:spacing w:after="0" w:line="62" w:lineRule="exact"/>
        <w:rPr>
          <w:sz w:val="20"/>
          <w:szCs w:val="20"/>
          <w:color w:val="auto"/>
        </w:rPr>
      </w:pPr>
    </w:p>
    <w:p>
      <w:pPr>
        <w:jc w:val="both"/>
        <w:ind w:left="920" w:right="120"/>
        <w:spacing w:after="0" w:line="31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the four bullets marked with an asterisk above, to the extent the impact on the party in question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taken as a whole, is disproportionate to the impact on other similarly situated entities, the incrementally disproportionate impact or impacts may be taken into account in determining whether there has been, or would reasonably be expected to be, a material adverse effect; or</w:t>
      </w:r>
    </w:p>
    <w:p>
      <w:pPr>
        <w:spacing w:after="0" w:line="52" w:lineRule="exact"/>
        <w:rPr>
          <w:sz w:val="20"/>
          <w:szCs w:val="20"/>
          <w:color w:val="auto"/>
        </w:rPr>
      </w:pPr>
    </w:p>
    <w:p>
      <w:pPr>
        <w:ind w:left="900" w:right="40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material adverse effect on or material adverse change in the ability of the party to perform its obligations under the merger agreement or to consummate the merger and the other transactions contemplated by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12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Unless Schlumberger otherwise consents in writing (which consent may not be unreasonably withheld, conditioned or delayed), or as otherwise contemplated by the merger agreement or required by law, Cameron has agreed that, prior to the effective time of the merger, it will:</w:t>
      </w:r>
    </w:p>
    <w:p>
      <w:pPr>
        <w:spacing w:after="0" w:line="52"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conduct its business in the ordinary course;</w:t>
      </w:r>
    </w:p>
    <w:p>
      <w:pPr>
        <w:spacing w:after="0" w:line="130" w:lineRule="exact"/>
        <w:rPr>
          <w:rFonts w:ascii="Arial" w:cs="Arial" w:eastAsia="Arial" w:hAnsi="Arial"/>
          <w:sz w:val="18"/>
          <w:szCs w:val="18"/>
          <w:color w:val="auto"/>
        </w:rPr>
      </w:pPr>
    </w:p>
    <w:p>
      <w:pPr>
        <w:ind w:left="5620" w:right="5460" w:hanging="5166"/>
        <w:spacing w:after="0" w:line="536" w:lineRule="auto"/>
        <w:tabs>
          <w:tab w:leader="none" w:pos="89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use reasonable best efforts to preserve its business organization intact; 81</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0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use reasonable best efforts to maintain existing relationships and goodwill with governmental entities, customers, suppliers, distributors, creditors, lessors, employees and business associates;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use reasonable best efforts to keep available the services of present employees and agents.</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addition, the merger agreement places specific restrictions on the ability of Cameron and its subsidiaries to, unless Schlumberger otherwise consents in writing (which consent may not be unreasonably withheld, conditioned or delayed), or as otherwise contemplated by the merger agreement or required by law, among other things:</w:t>
      </w:r>
    </w:p>
    <w:p>
      <w:pPr>
        <w:spacing w:after="0" w:line="87"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merge or consolidate Cameron or any of its subsidiaries with any other person, except transactions among wholly-owned subsidiaries of Cameron that are not obligors or guarantors of third-party indebtedness or in connection with a permitted acquisition;</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issue, sell or pledge any shares of capital stock, options, warrants, convertible securities or any other equity interest, except pursuant to stock options and current employee benefit plans;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to the extent required under a benefit plan existing on August 25, 2015 or as required by law:</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increase the compensation (including bonus opportunities) or fringe benefits of any directors, executive officers or employees, except in the ordinary course of business to employees who are not party to change of control agreements;</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grant any severance or termination pay, other than nominal severance to terminated employees, except in the ordinary course of business consistent with past practice;</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make new equity awards to any director, officer or employee, except in the ordinary course of business consistent with past practice, which equity awards will provide that the consummation of the transactions contemplated by the merger agreement will not alone result in a change-in-control acceleration and are subject to additional restrictions as described in “The Merger Agreement—Certain Additional Agreements—Employee Matters”;</w:t>
      </w:r>
    </w:p>
    <w:p>
      <w:pPr>
        <w:spacing w:after="0" w:line="92" w:lineRule="exact"/>
        <w:rPr>
          <w:rFonts w:ascii="Arial" w:cs="Arial" w:eastAsia="Arial" w:hAnsi="Arial"/>
          <w:sz w:val="18"/>
          <w:szCs w:val="18"/>
          <w:color w:val="auto"/>
        </w:rPr>
      </w:pPr>
    </w:p>
    <w:p>
      <w:pPr>
        <w:ind w:left="1460" w:right="120" w:hanging="547"/>
        <w:spacing w:after="0" w:line="264"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enter into or amend any employment, consulting, change-in-control or severance agreement with any director, executive officer or employee, except as contemplated by the merger agreement or, except with respect to employees party to a change-in-control agreement or their direct reports, in the ordinary course of business;</w:t>
      </w:r>
    </w:p>
    <w:p>
      <w:pPr>
        <w:spacing w:after="0" w:line="86" w:lineRule="exact"/>
        <w:rPr>
          <w:rFonts w:ascii="Arial" w:cs="Arial" w:eastAsia="Arial" w:hAnsi="Arial"/>
          <w:sz w:val="18"/>
          <w:szCs w:val="18"/>
          <w:color w:val="auto"/>
        </w:rPr>
      </w:pPr>
    </w:p>
    <w:p>
      <w:pPr>
        <w:ind w:left="1460" w:right="700" w:hanging="547"/>
        <w:spacing w:after="0" w:line="277"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establish, adopt, enter into, freeze or amend in any material respect or terminate any benefit plan or take any action to accelerate entitlement to benefits under any benefit plan, except as contemplated by the merger agreement;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make any contribution to a benefit plan, except as required by law or in the ordinary course of business consistent with past practice;</w:t>
      </w:r>
    </w:p>
    <w:p>
      <w:pPr>
        <w:spacing w:after="0" w:line="153" w:lineRule="exact"/>
        <w:rPr>
          <w:rFonts w:ascii="Arial" w:cs="Arial" w:eastAsia="Arial" w:hAnsi="Arial"/>
          <w:sz w:val="16"/>
          <w:szCs w:val="16"/>
          <w:color w:val="auto"/>
        </w:rPr>
      </w:pPr>
    </w:p>
    <w:p>
      <w:pPr>
        <w:ind w:left="1460" w:right="40" w:hanging="547"/>
        <w:spacing w:after="0" w:line="308" w:lineRule="auto"/>
        <w:tabs>
          <w:tab w:leader="none" w:pos="14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make payments on performance-based awards in excess of the performance actually achieved, or amend or waive performance or vesting criteria or accelerate vesting, except as required under the applicable plan or contemplated by the merger agreement;</w:t>
      </w:r>
    </w:p>
    <w:p>
      <w:pPr>
        <w:spacing w:after="0" w:line="51" w:lineRule="exact"/>
        <w:rPr>
          <w:rFonts w:ascii="Arial" w:cs="Arial" w:eastAsia="Arial" w:hAnsi="Arial"/>
          <w:sz w:val="17"/>
          <w:szCs w:val="17"/>
          <w:color w:val="auto"/>
        </w:rPr>
      </w:pPr>
    </w:p>
    <w:p>
      <w:pPr>
        <w:ind w:left="1460" w:hanging="547"/>
        <w:spacing w:after="0" w:line="286" w:lineRule="auto"/>
        <w:tabs>
          <w:tab w:leader="none" w:pos="14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terminate any employee with a change-in-control agreement, other than for cause, or take any actions with respect to salary, compensation, benefits or other terms and conditions of employment that would result in the employee having “good reason” to terminate employment and collect severance payments and benefits pursuant to the employee’s change-in-control agreement;</w:t>
      </w:r>
    </w:p>
    <w:p>
      <w:pPr>
        <w:spacing w:after="0" w:line="70" w:lineRule="exact"/>
        <w:rPr>
          <w:rFonts w:ascii="Arial" w:cs="Arial" w:eastAsia="Arial" w:hAnsi="Arial"/>
          <w:sz w:val="17"/>
          <w:szCs w:val="17"/>
          <w:color w:val="auto"/>
        </w:rPr>
      </w:pPr>
    </w:p>
    <w:p>
      <w:pPr>
        <w:ind w:left="1460" w:hanging="547"/>
        <w:spacing w:after="0"/>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execute or amend a collective bargaining agreement except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or payment, except for certain intercompany distributions, pro rata dividends by any subsidiary of Cameron included in the Subsea segment of Cameron and dividends or distributions required under Cameron’s or its subsidiaries’ organizational documents;</w:t>
      </w:r>
    </w:p>
    <w:p>
      <w:pPr>
        <w:spacing w:after="0" w:line="86"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redeem, purchase or otherwise acquire any of Cameron’s or its subsidiaries’ stock, except for transactions pursuant to benefit plans and intercompany transactions;</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sell, encumber or dispose of any assets or properties having a value in excess of $25 million for one asset, or $100 million in the aggregate, except for sales of surplus or obsolete equipment, inventory sales and intercompany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acquire any business, entity or division for consideration in excess of $50 million for one acquisition or $100 million in the aggregate;</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a joint venture, partnership or similar arrangement or make a loan or other investment in any other person in excess of $20 million individually, or $50 million in the aggregate;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 than in the ordinary course of business, sell, transfer, license or modify any rights to any material intellectual property, or distribute, license or co-promote products or services licensed by Cameron or any of its subsidiaries;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 financial accounting policies or procedures, except as required by changes in GAAP or applicable law;</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required by applicable law, take specified actions with respect to tax matters if any such action would have an adverse effect on Cameron and its subsidiaries that is material;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settle or waive any material claim, litigation or controversy for amounts in excess of $10 million individually, or $30 million in the aggregate;</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incur any indebtedness except for (1) borrowings under Cameron’s existing credit facilities, (2) other debt not in excess of $100 million in the aggregate and (3) intercompany debt in the ordinary course of business;</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repurchase or repay any debt, except in the ordinary course of business, for mortgage indebtedness in accordance with its terms and for intercompany debt in the ordinary course of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mortgage or encumber any material asset or property, other than in the ordinary course of business;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for capital expenditures consistent in all material respects with the capital budget made available to Schlumberger, make any unbudgeted capital expenditures exceeding $25 million in the aggregate;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materially amend or terminate material contracts, except in the ordinary course of business consistent with past practice;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renew or extend any agreements restricting the ability to engage or compete in any line of business or geographic area;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adjust, reclassify, combine, split or subdivide, or redeem, purchase or otherwise acquire, directly or indirectly, any of Cameron’s capital stock or purchase any of Schlumberger’s capital stock;</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certain conditions to the merger or prevent, materially delay or materially impede the merger;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Cameron otherwise consents in writing (which consent may not be unreasonably withheld, conditioned or delayed), or as otherwise contemplated by the merger agreement or required by law, prior to the effective time of the merger, Schlumberger US, Merger Sub and Schlumberger have agreed to conduct their business in the ordinary course and the merger agreement places specific restrictions on the ability of Schlumberger US, Merger Sub, Schlumberger and their respective subsidiaries to, among other things:</w:t>
      </w:r>
    </w:p>
    <w:p>
      <w:pPr>
        <w:spacing w:after="0" w:line="92"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adopt any change in, or waive any provision of, Schlumberger’s organizational documents;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acquire any equity or assets where an antitrust filing would be required and would reasonably be expected to prevent or materially delay the consummation of the merger by the termination date;</w:t>
      </w:r>
    </w:p>
    <w:p>
      <w:pPr>
        <w:spacing w:after="0" w:line="75"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adjust, reclassify, split, combine, subdivide or redeem any shares of Schlumberger capital stock or adopt or implement a plan of complete or partial liquidation, dissolution, restructuring, recapitalization or other reorganization, except as would not disproportionately adversely affect a holder of Cameron common stock relative to a holder of Schlumberger common stock or delay or impede the merger;</w:t>
      </w:r>
    </w:p>
    <w:p>
      <w:pPr>
        <w:spacing w:after="0" w:line="70" w:lineRule="exact"/>
        <w:rPr>
          <w:rFonts w:ascii="Arial" w:cs="Arial" w:eastAsia="Arial" w:hAnsi="Arial"/>
          <w:sz w:val="17"/>
          <w:szCs w:val="17"/>
          <w:color w:val="auto"/>
        </w:rPr>
      </w:pPr>
    </w:p>
    <w:p>
      <w:pPr>
        <w:ind w:left="900" w:right="260" w:hanging="446"/>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except for (1) regular quarterly cash dividends with declaration, record and payment dates reasonably consistent with Schlumberger’s past practice or (2) dividends of equity interests or property for which an adjustment to the merger consideration has been effected;</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any condition to the transaction, or prevent, materially delay or materially impede the merger;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Agreements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Stockholders Meeting. </w:t>
      </w:r>
      <w:r>
        <w:rPr>
          <w:rFonts w:ascii="Arial" w:cs="Arial" w:eastAsia="Arial" w:hAnsi="Arial"/>
          <w:sz w:val="16"/>
          <w:szCs w:val="16"/>
          <w:color w:val="auto"/>
        </w:rPr>
        <w:t>Unless the merger agreement is earlier terminated, the Cameron board of directors must submit the merger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at the special meeting, even if it changes its recommendation with regard to the merger agreement. Once the special meeting has been called and noticed, Cameron will not be permitted to postpone or adjourn the special meeting without the consent of Schlumberger (which consent may not be unreasonably withheld or delayed), other than to the extent necessary (1) for the absence of a quorum or (2) to allow reasonable additional time for the filing and mailing of any supplemental or amended disclosure that the Cameron board of directors has determined to be necessary.</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No Solicitation; Recommendation. </w:t>
      </w:r>
      <w:r>
        <w:rPr>
          <w:rFonts w:ascii="Arial" w:cs="Arial" w:eastAsia="Arial" w:hAnsi="Arial"/>
          <w:sz w:val="18"/>
          <w:szCs w:val="18"/>
          <w:color w:val="auto"/>
        </w:rPr>
        <w:t>Cameron and its subsidiaries will not, and Cameron will use its reasonable best efforts to cause its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officers, directors, employees, investment bankers, consultants, attorneys, accountants, advisors, agents and other representatives not to, directly or indirectly:</w:t>
      </w:r>
    </w:p>
    <w:p>
      <w:pPr>
        <w:spacing w:after="0" w:line="87" w:lineRule="exact"/>
        <w:rPr>
          <w:sz w:val="20"/>
          <w:szCs w:val="20"/>
          <w:color w:val="auto"/>
        </w:rPr>
      </w:pPr>
    </w:p>
    <w:p>
      <w:pPr>
        <w:ind w:left="900" w:right="520" w:hanging="446"/>
        <w:spacing w:after="0" w:line="34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any acquisition proposal (as defined below) or any inquiry with respect to an acquisition proposal or engage in, continue or otherwise participate in discussions or negotiations with any person with respect thereto;</w:t>
      </w:r>
    </w:p>
    <w:p>
      <w:pPr>
        <w:spacing w:after="0" w:line="2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furnish any non-public information relating to Cameron or any of its subsidiaries or afford access to the properties, books or records of Cameron or any of its subsidiaries to any person that has made an acquisition proposal or, to the knowledge of Cameron, is considering making an acquisition proposal;</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execute or enter into any letter of intent, agreement in principle, merger agreement or other agreement relating to an acquisition proposal;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propose publicly or agree to do anything described in the preceding three bullets.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the event Cameron receives an acquisition proposal, or any request for nonpublic information relating to Cameron or any of its subsidiaries or for access to their properties, books or records by any person that has made or, to the knowledge of Cameron, would reasonably be expected to make, an acquisition proposal, Cameron will promptly (and in no event later than 24 hours after receipt of any acquisition proposal or request) notify Schlumberger of the identity of the person making the acquisition proposal or request and of its material terms and keep Schlumberger reasonably and promptly informed of the status and material terms of the acquisition proposal or request.</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term “acquisition proposal” means any bona fide written offer or proposal for, or any bona fide written indication of interest in, any (1) direct or indirect acquisition or purchase of any business or assets of Cameron or any of its subsidiaries that, individually or in the aggregate, constitutes 33% or more of the net revenues, net income or assets of Cameron and its subsidiaries, taken as a whole, (2) direct or indirect acquisition or purchase of 33% or more of any class of equity securities of Cameron, (3) tender offer or exchange offer that, if consummated, would result in any person beneficially owning 33% or more of any class of equity securities of Cameron, or (4)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Prior to Cameron’s stockholders approving the proposal to adopt the merger agreement, however, Cameron or its representatives may (1) contact any person making an acquisition proposal to clarify the terms and conditions thereof or to inform such person that any acquisition proposal made orally can only be considered if made in writing, (2) furnish information and access, but only in response to a written request, to any person making an acquisition proposal that was not solicited, initiated, knowingly encouraged or knowingly facilitated by Cameron or any of its subsidiaries, affiliates or representatives on or after August 25, 2015 and (3) participate in discussions and negotiate with such person concerning an unsolicited acquisition proposal, in the case of (2) and (3) if:</w:t>
      </w:r>
    </w:p>
    <w:p>
      <w:pPr>
        <w:spacing w:after="0" w:line="64" w:lineRule="exact"/>
        <w:rPr>
          <w:sz w:val="20"/>
          <w:szCs w:val="20"/>
          <w:color w:val="auto"/>
        </w:rPr>
      </w:pPr>
    </w:p>
    <w:p>
      <w:pPr>
        <w:ind w:left="900" w:right="56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Cameron has not breached the non-solicitation provisions of the merger agreement with respect to the acquisition proposal in any material respect;</w:t>
      </w:r>
    </w:p>
    <w:p>
      <w:pPr>
        <w:spacing w:after="0" w:line="75"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Cameron board of directors concludes in good faith (after receipt of advice of a financial advisor of nationally recognized reputation and outside legal counsel) that such acquisition proposal is reasonably likely to result in a superior proposal (as defined below); and</w:t>
      </w:r>
    </w:p>
    <w:p>
      <w:pPr>
        <w:spacing w:after="0" w:line="29" w:lineRule="exact"/>
        <w:rPr>
          <w:rFonts w:ascii="Arial" w:cs="Arial" w:eastAsia="Arial" w:hAnsi="Arial"/>
          <w:sz w:val="16"/>
          <w:szCs w:val="16"/>
          <w:color w:val="auto"/>
        </w:rPr>
      </w:pPr>
    </w:p>
    <w:p>
      <w:pPr>
        <w:ind w:left="900" w:right="80" w:hanging="446"/>
        <w:spacing w:after="0" w:line="30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Cameron receives from such person an executed confidentiality agreement the material provisions of which, as they relate to confidentiality, are in all material respects no less favorable in the aggregate to Cameron and no less restrictive in the aggregate to such person as those contained in the confidentiality agreement between Cameron and Schlumberger. Any such confidentiality agreement is not required to include explicit or implicit standstill restrictions or otherwise restrict the making of or amendment or modification to any acquisition proposal.</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Cameron board of directors may not effect a change in recommendation (as defined below) unless the change occurs before stockholder approval of the merger and only if:</w:t>
      </w:r>
    </w:p>
    <w:p>
      <w:pPr>
        <w:spacing w:after="0" w:line="76" w:lineRule="exact"/>
        <w:rPr>
          <w:sz w:val="20"/>
          <w:szCs w:val="20"/>
          <w:color w:val="auto"/>
        </w:rPr>
      </w:pPr>
    </w:p>
    <w:p>
      <w:pPr>
        <w:ind w:left="900" w:right="580" w:hanging="446"/>
        <w:spacing w:after="0" w:line="34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Cameron board of directors determines in good faith (after consultation with its outside legal counsel) that failure to make a change in recommendation would be inconsistent with the directors’ fiduciary duties to Cameron stockholders under applicable law;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before taking any such action, Cameron gives Schlumberger three business days’ written notice.</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term “superior proposal” means any bona fide written acquisition proposal for or in respect of at least a majority of the outstanding shares of Cameron common stock or all or substantially all of Cameron’s and its subsidiaries’ assets (1) on terms that the Cameron board of directors determines in its good faith judgment (after consultation with a financial advisor of nationally recognized reputation and outside legal counsel) are more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favorable to Cameron and its stockholders than the merger and (2) that constitutes a transaction that is reasonably likely to be consummated on the terms so proposed, taking into account all legal, financial, regulatory and other aspects of such proposal.</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“change in recommendation” would occur if the Cameron board of directors fails to make, withdraws, modifies or qualifies, or proposes publicly to withhold, withdraw, modify or qualify, in any manner adverse to Schlumberger or its affiliates, the merger, approval of the merger agreement or the Cameron board of directors’ recommendation to Cameron stockholders in favor of adoption of the merger agreement, or approves, endorses, or recommends, or publicly proposes to approve, endorse or recommend, any acquisition proposal.</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From and after the effective time of the merger, the surviving corporation will (1) indemnify each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Cameron or its subsidiaries against all expenses and liability reasonably incurred as a result of such person’s service to Cameron or its subsidiaries, to the fullest extent permitted by law, and (2) advance expenses incurred to the same extent.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or prior to the effective time of the merger, Cameron may purchase a tail directors’ and officers’ liability insurance policy for at least six years after the effective time of the merger. If Cameron does not purchase such a policy, then for a period of six years after the effective time of the merger, the surviving corporation will maintain directors’ and officers’ liability insurance policies with terms substantially no less advantageous to the indemnified parties than Cameron’s existing policies. The surviving corporation will not be required to spend more than 300% of what Cameron currently spends to maintain current insurance coverage.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Each of Schlumberger and Cameron has agreed to (and cause each of their respective subsidiaries to):</w:t>
      </w:r>
    </w:p>
    <w:p>
      <w:pPr>
        <w:spacing w:after="0" w:line="131" w:lineRule="exact"/>
        <w:rPr>
          <w:sz w:val="20"/>
          <w:szCs w:val="20"/>
          <w:color w:val="auto"/>
        </w:rPr>
      </w:pPr>
    </w:p>
    <w:p>
      <w:pPr>
        <w:ind w:left="900" w:right="12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make its respective required filings (and filings reasonably determined by Schlumberger after consultation with Cameron to be advisable) under the HSR Act, the EC Merger Regulation and any other competition laws as promptly as practicable;</w:t>
      </w:r>
    </w:p>
    <w:p>
      <w:pPr>
        <w:spacing w:after="0" w:line="75"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use its reasonable best efforts to cooperate with the other party to determine as promptly as practicable which filings are required (or reasonably determined by Schlumberger after consultation with Cameron to be advisable), to be made prior to the effective time of the merger with, and which consents, approvals, permits and authorizations are required to be obtained prior to the effective time of the merger from, any governmental entity, and to timely make such filings;</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promptly notify the other party of any communication concerning the merger agreement or the merger from any governmental entity and to consult with and permit the other party to review in advance any proposed communication concerning the merger agreement or the merger to any governmental entity;</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 participate or agree to participate in any meeting or substantive discussion with any governmental entity related to any filings or investigation concerning the merger agreement or the merger unless it consults with the other party in advance and invites the other party’s representatives to attend, unless prohibited by the governmental entity;</w:t>
      </w:r>
    </w:p>
    <w:p>
      <w:pPr>
        <w:spacing w:after="0" w:line="86"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promptly furnish to the other party draft copies prior to submission, with reasonable time to comment and consult, of all correspondence, filings and communications that it intends to submit to any governmental entity;</w:t>
      </w:r>
    </w:p>
    <w:p>
      <w:pPr>
        <w:spacing w:after="0" w:line="75" w:lineRule="exact"/>
        <w:rPr>
          <w:rFonts w:ascii="Arial" w:cs="Arial" w:eastAsia="Arial" w:hAnsi="Arial"/>
          <w:sz w:val="18"/>
          <w:szCs w:val="18"/>
          <w:color w:val="auto"/>
        </w:rPr>
      </w:pPr>
    </w:p>
    <w:p>
      <w:pPr>
        <w:ind w:left="900" w:right="760" w:hanging="446"/>
        <w:spacing w:after="0" w:line="342"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promptly furnish to the other party such necessary information and reasonable assistance as such other party may reasonably request in connection with its preparation of necessary filings, registrations or submissions of information to any governmental entity;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 filing.</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parties have also agreed that Schlumberger will be entitled to direct the antitrust defense of the transaction contemplated by the merger agreement or litigation by or negotiations with any governmental entity.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Schlumberger US, Merger Sub and Schlumberger are required to take all such action necessary to resolve any objections that an antitrust regulator may assert under regulatory laws, and to avoid or eliminate, and minimize the impact of, each impediment under regulatory laws that may be asserted by a governmental entity in order to enable the closing to occur as soon as reasonably possible (and in any event no later than the termination date). However, (1) none of Schlumberger US, Merger Sub, Schlumberger or Cameron or their respective subsidiaries is required to take, or cause to be taken, or agree to take, any action with respect to any of the assets, businesses or product lines of Cameron, Schlumberger, any of their subsidiaries, or any combination thereof, if such action (whether taken with respect to assets of Cameron and its subsidiaries or Schlumberger and its subsidiaries), individually or in the aggregate, would result in the divestiture, sale, hold separate, license or limitation on the conduct of business that, individually or taken together, would reasonably be expected to be material to Cameron and its subsidiaries, taken as a whole and (2) Schlumberger is not required to take or agree to take any action that would result in the divestiture, sale, hold separate, license or limitation of the conduct, in whole or in significant part, of OneSubsea. If the merger has not occurred on or before the termination date due to the failure to obtain regulatory clearances, or if an order, decree or ruling permanently prohibits the merger, the merger agreement may be terminated. Please see “The Merger Agreement—Termination, Amendment and Waiver” for more information.</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After the effective time of the merger, Schlumberger and its subsidiaries will honor all Cameron benefit plans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and agreements in accordance with their terms as in effect immediately prior to the effective time of the merger. For a period of one year following the effective time of the merger, Schlumberger will provide to each current and former employee of Cameron and its subsidiaries compensation and benefits that are no less favorable, in the aggregate, than the compensation and benefits provided to each such employee immediately prior to the effective time of the merger. For employees that are terminated for reasons other than cause prior to the second anniversary of the effective time of the merger, Schlumberger will provide severance benefits that are in accordance with the applicable severance plans and arrangements of Cameron in effect immediately prior to the effective time of the merger.</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purposes of vesting, eligibility to participate and benefit accrual (other than for purposes of benefit accrual under any defined benefit pension plan or eligibility under a program or retiree welfare plan sponsored by Schlumberger or its subsidiaries) under the employee benefit plans of Schlumberger and its subsidiaries, Cameron employees will be credited with their years of service with Cameron and its subsidiaries and predecessors prior to the effective time of the merger to the same extent the Cameron employee was entitled to such credited service prior to the effective time of the merger under the corresponding Cameron plans. Cameron employees will be eligible to participate in the employee benefit plans of Schlumberger and its subsidiaries for which they are otherwise made eligible and that are comparable to a Cameron benefit plan the employee participated in prior to the first effective time of the merger without any waiting time, and to the extent such employee benefit plans provide medical, dental, pharmaceutical and/or vision benefits, without any pre-existing condition exclusions or actively-at-work requirements, except to the extent such exclusion or requirement applied in the applicable Cameron plan. Cameron employees will receive credit for amounts paid under the Cameron medical plans in the year in which the merger occurs for satisfying deductibles, coinsurance and maximum out of pocket requirements under the surviving corporation’s plans.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Schlumberger and Cameron acknowledge that a change in control will occur for purposes of Cameron’s benefit plans at the time of the merger.</w:t>
      </w:r>
    </w:p>
    <w:p>
      <w:pPr>
        <w:spacing w:after="0" w:line="23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the effective time of the merger occurs in 2015, Cameron will pay short-term incentive bonuses for fiscal year 2015 immediately prior to the effective time of the merger based on (1) actual performance for each applicable performance metric as of the latest practicable date prior to the effective time of the merger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8"/>
        <w:spacing w:after="0" w:line="293" w:lineRule="auto"/>
        <w:tabs>
          <w:tab w:leader="none" w:pos="2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Cameron’s reasonable good faith estimate of expected performance for each applicable performance metric for the remainder of such performance period. In the event the effective time of the merger occurs in the first quarter of 2016, Schlumberger will pay short-term incentive bonuses for 2016 at the time Schlumberger pays bonuses in the ordinary course, with performance based on metrics established by Schlumberger and applicable to the full year. In the event the effective time of the merger occurs after the first quarter of 2016, Schlumberger will pay short-term incentive bonuses for 2016 at the time Schlumberger pays bonuses in the ordinary course, with the amount determined based on (A) a pro rata target bonus for the portion of the year prior to the effective time of the merger and (B) metrics established by Schlumberger for the portion of the year following the effective time of the merger.</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From and after September 2015, Cameron may make its ordinary course equity compensation awards in a manner consistent with past practices, except that employees who typically receive stock options as a form of annual long-term incentive award will receive 70% of the value of their long-term incentive awards in the form of time-based restricted stock units and 30% of the value of their long-term incentive awards in the form of stock options. All other Cameron employees that have traditionally received long-term equity incentive awards will receive time-based restricted stock units consistent with past practice.</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purposes of Cameron equity awards to be made from and after September 2015, other than awards made to Mr. Rowe and certain key employees identified as “transitional employees” (which includes Messrs. Lemmer and Sledge, as well as Cameron’s Chief Accounting Officer, Chief Administrative Officer, Corporate Secretary, Chief Compliance Officer and Treasurer), the awards will immediately vest upon a termination in connection with the transaction either without cause or resignation for “modified good reason.” For transitional employees, for the first six months following the effective time, accelerated vesting will be limited to a termination without cause or a resignation for modified good reason and, following such period, accelerated vesting will be available to the transitional employees on a resignation as a result of “standard good reason.” In addition, Cameron may make its long-term incentive awards to specified key employees, who are not named executive officers, with a two-year vesting schedule, rather than its customary three-year vesting schedule. For purposes of the post-signing equity grants, “Modified good reason” includes (1) a major demotion or major reduction in job responsibilities, which for the avoidance of doubt, will not include changes in duties or reporting responsibilities resulting from Cameron ceasing to be a separate publicly traded company or becoming an indirect subsidiary of Schlumberger, (2) a major decrease in aggregate compensation opportunities for a fiscal year or (3) the relocation of an employee’s principal place of employment to a location 50 miles further from the employee’s principal residence. “Standard good reason” will have the same meaning as good reason in Cameron’s standard form restricted stock unit agreement or stock option agreement, as applicable, or, in the case of certain executive officers with a change-in-control agreement, the definition of good reason in such agreement. For purposes of these awards, upon a resignation for modified good reason, then such executive officer will be subject to a one-year noncompetition clause in a form reasonably acceptable to Schlumberger and customary and appropriate for the industry in which Cameron and Schlumberger operate. Awards made to Mr. Rowe from and after September 2015 will be fully vested on any termination following the consummation of the transaction. Option awards that are accelerated as described above will remain exercisable for their full 10-year term.</w:t>
      </w:r>
    </w:p>
    <w:p>
      <w:pPr>
        <w:spacing w:after="0" w:line="39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Schlumberger and Cameron have agreed that Cameron may grant retention bonuses and other awards or payments to Cameron employees, including executive officers, in consultation with Schlumberger. Awards would be payable in cash subject to the terms and conditions agreed upon by Schlumberger and Cameron. The parties have agreed that the aggregate amount of such benefits will not exceed $50 million. Retention payments of approximately $1.95 million have been allocated to certain executive officers (none of whom is a named executive officer) as of the date of this proxy statement/prospectus.</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Schlumberger and Cameron have agreed to use their reasonable best efforts to take all actions and to assist and cooperate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merger as promptly as practicable, including the obtaining of authorizations, clearances, consents and approvals from governmental entities or third parties, the defending of lawsuits challenging the merger, and the execution and delivery of additional instruments necessary to consummate the merger.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will use its reasonable best efforts to cause the shares of Schlumberger common stock to be issued in the merger and</w:t>
      </w:r>
      <w:r>
        <w:rPr>
          <w:rFonts w:ascii="Arial" w:cs="Arial" w:eastAsia="Arial" w:hAnsi="Arial"/>
          <w:sz w:val="18"/>
          <w:szCs w:val="18"/>
          <w:i w:val="1"/>
          <w:iCs w:val="1"/>
          <w:color w:val="auto"/>
        </w:rPr>
        <w:t xml:space="preserve"> </w:t>
      </w:r>
      <w:r>
        <w:rPr>
          <w:rFonts w:ascii="Arial" w:cs="Arial" w:eastAsia="Arial" w:hAnsi="Arial"/>
          <w:sz w:val="18"/>
          <w:szCs w:val="18"/>
          <w:color w:val="auto"/>
        </w:rPr>
        <w:t>to be reserved for issuance upon the exercise or vesting, as applicable, of each converted equity award to be approved for listing on the NYSE, subject to official notice of issuance, prior to the effective time of the merger.</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Until the effective time of the merger, each party to the transaction has agreed to allow designated officers, attorneys, accountants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other party access to the records and files, correspondence, audits and properties, as well as to all information relating to commitments, contracts, titles and financial position, or otherwise pertaining to its business and affairs.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Publicity</w:t>
      </w:r>
      <w:r>
        <w:rPr>
          <w:rFonts w:ascii="Arial" w:cs="Arial" w:eastAsia="Arial" w:hAnsi="Arial"/>
          <w:sz w:val="18"/>
          <w:szCs w:val="18"/>
          <w:color w:val="auto"/>
        </w:rPr>
        <w:t>. Schlumberger and Cameron have agreed to consult with each other before issuing any press release or public statement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In addition, neither Schlumberger nor Cameron will issue any press release or otherwise make any public statement or disclosure concerning the other party or the other party’s business, financial condition or results of operations without the consent of the other party (not to be unreasonably withheld or delayed).</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Stockholder Litigation</w:t>
      </w:r>
      <w:r>
        <w:rPr>
          <w:rFonts w:ascii="Arial" w:cs="Arial" w:eastAsia="Arial" w:hAnsi="Arial"/>
          <w:sz w:val="17"/>
          <w:szCs w:val="17"/>
          <w:color w:val="auto"/>
        </w:rPr>
        <w:t>. Cameron has agreed to give Schlumberger the opportunity to participate in the defense or settlement of any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against Cameron and/or its directors or officers relating to the transactions contemplated by the merger agreement. Cameron has further agreed that it will not settle or offer to settle any litigation against Cameron or any of its directors or officers by any stockholder of Cameron relating to the merger without the prior written consent of Schlumberger (not to be unreasonably withheld, conditioned or delayed).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respective obligations of each party to effect the merger will be subject to the fulfillment of the following conditions on or prior to the closing date:</w:t>
      </w:r>
    </w:p>
    <w:p>
      <w:pPr>
        <w:spacing w:after="0" w:line="154"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by Cameron’s stockholders;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termination or expiration of any waiting period under the HSR Act and the issuance by the European Commission of a decision under the EC Merger Regulation declaring the merger compatible with the common market;</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expiration, lapse or termination of all applicable waiting or other time periods under antitrust laws in other specified jurisdictions, except as would not reasonably be expected to have a material adverse effect;</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is a part, and the absence of any stop order or proceeding seeking a stop order relating to such effectiveness;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Additional Conditions to the Obligations of Cameron</w:t>
      </w:r>
      <w:r>
        <w:rPr>
          <w:rFonts w:ascii="Arial" w:cs="Arial" w:eastAsia="Arial" w:hAnsi="Arial"/>
          <w:sz w:val="18"/>
          <w:szCs w:val="18"/>
          <w:color w:val="auto"/>
        </w:rPr>
        <w:t>. Unless waived by Cameron, the obligation of Cameron to effect the merger is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on or prior to the closing date of the following additional conditions:</w:t>
      </w:r>
    </w:p>
    <w:p>
      <w:pPr>
        <w:spacing w:after="0" w:line="76" w:lineRule="exact"/>
        <w:rPr>
          <w:sz w:val="20"/>
          <w:szCs w:val="20"/>
          <w:color w:val="auto"/>
        </w:rPr>
      </w:pPr>
    </w:p>
    <w:p>
      <w:pPr>
        <w:ind w:left="900" w:right="38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US, Merger Sub and Schlumberger of its respective covenants and agreements required to be performed by it under the merger agreement at or prior to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certain representations and warranties of Schlumberger US, Merger Sub and Schlumberger contained in the merger agreement being true and correct in all material respects, as of the date of the merger agreement and as of the closing date;</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other representations and warranties of Schlumberger US, Merger Sub and Schlumberger contained in the merger agreement being true and correct as of the date of the merger agreement and as of the closing date, except where the failure of such representations to be so true and correct has not had or would not reasonably be expected to have, individually or in the aggregate, a material adverse effect; and</w:t>
      </w:r>
    </w:p>
    <w:p>
      <w:pPr>
        <w:spacing w:after="0" w:line="70"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receipt by Cameron of a certificate signed on behalf of Schlumberger, executed on its behalf by an executive officer, certifying to the effect that the conditions specified in the preceding three bullets have been satisfied.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Additional Conditions to the Obligations of Schlumberger. </w:t>
      </w:r>
      <w:r>
        <w:rPr>
          <w:rFonts w:ascii="Arial" w:cs="Arial" w:eastAsia="Arial" w:hAnsi="Arial"/>
          <w:sz w:val="17"/>
          <w:szCs w:val="17"/>
          <w:color w:val="auto"/>
        </w:rPr>
        <w:t>Unless waived by Schlumberger, the obligations of Schlumberger US, Merger Sub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Schlumberger to effect the merger are subject to the satisfaction on or prior to the closing date of the following additional conditions:</w:t>
      </w:r>
    </w:p>
    <w:p>
      <w:pPr>
        <w:spacing w:after="0" w:line="116" w:lineRule="exact"/>
        <w:rPr>
          <w:sz w:val="20"/>
          <w:szCs w:val="20"/>
          <w:color w:val="auto"/>
        </w:rPr>
      </w:pPr>
    </w:p>
    <w:p>
      <w:pPr>
        <w:ind w:left="900" w:right="740" w:hanging="446"/>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performance in all material respects by Cameron of all of its covenants and agreements required to be performed by it under the merger agreement at or prior to the closing date;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certain representations and warranties of Cameron contained in the merger agreement being true and correct in all material respects, as of the date of the merger agreement and as of the closing date;</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representations and warranties of Cameron contained in the merger agreement being true and correct as of the date of the merger agreement and as of the closing date, except where the failure of such representations to be so true and correct has not had or would not reasonably be expected to have, individually or in the aggregate, a material adverse effect; and</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receipt by Schlumberger of a certificate of Cameron, executed on its behalf by an executive officer, certifying to the effect that the conditions specified in the preceding three bullets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at any time prior to the effective time of the merger, notwithstanding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Cameron’s stockholders (except as described below):</w:t>
      </w:r>
    </w:p>
    <w:p>
      <w:pPr>
        <w:spacing w:after="0" w:line="76"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mutual written agreement of Schlumberger US, Schlumberger and Cameron;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either Schlumberger or Cameron if:</w:t>
      </w:r>
    </w:p>
    <w:p>
      <w:pPr>
        <w:spacing w:after="0" w:line="130" w:lineRule="exact"/>
        <w:rPr>
          <w:rFonts w:ascii="Arial" w:cs="Arial" w:eastAsia="Arial" w:hAnsi="Arial"/>
          <w:sz w:val="18"/>
          <w:szCs w:val="18"/>
          <w:color w:val="auto"/>
        </w:rPr>
      </w:pPr>
    </w:p>
    <w:p>
      <w:pPr>
        <w:ind w:left="1460" w:hanging="547"/>
        <w:spacing w:after="0" w:line="279" w:lineRule="auto"/>
        <w:tabs>
          <w:tab w:leader="none" w:pos="14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merger has not occurred on or before the “termination date,” August 25, 2016, which termination date may, if certain other conditions are satisfied and at the option of either Schlumberger or Cameron, be extended to a date not later than November 25, 2016; however, neither party may terminate the merger agreement under this provision if that party’s breach of any provision of the merger agreement has been the cause of, or resulted in, the failure of the merger to occur on or before the termination date;</w:t>
      </w:r>
    </w:p>
    <w:p>
      <w:pPr>
        <w:spacing w:after="0" w:line="76" w:lineRule="exact"/>
        <w:rPr>
          <w:rFonts w:ascii="Arial" w:cs="Arial" w:eastAsia="Arial" w:hAnsi="Arial"/>
          <w:sz w:val="17"/>
          <w:szCs w:val="17"/>
          <w:color w:val="auto"/>
        </w:rPr>
      </w:pPr>
    </w:p>
    <w:p>
      <w:pPr>
        <w:ind w:left="1460" w:right="500" w:hanging="547"/>
        <w:spacing w:after="0" w:line="277" w:lineRule="auto"/>
        <w:tabs>
          <w:tab w:leader="none" w:pos="14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Cameron stockholders do not approve the proposal to adopt the merger agreement at the special meeting or any adjournment or postponement of the special meeting; or</w:t>
      </w:r>
    </w:p>
    <w:p>
      <w:pPr>
        <w:spacing w:after="0" w:line="75" w:lineRule="exact"/>
        <w:rPr>
          <w:rFonts w:ascii="Arial" w:cs="Arial" w:eastAsia="Arial" w:hAnsi="Arial"/>
          <w:sz w:val="18"/>
          <w:szCs w:val="18"/>
          <w:color w:val="auto"/>
        </w:rPr>
      </w:pPr>
    </w:p>
    <w:p>
      <w:pPr>
        <w:ind w:left="1460" w:right="1020" w:hanging="547"/>
        <w:spacing w:after="0" w:line="308" w:lineRule="auto"/>
        <w:tabs>
          <w:tab w:leader="none" w:pos="14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Cameron if:</w:t>
      </w:r>
    </w:p>
    <w:p>
      <w:pPr>
        <w:spacing w:after="0" w:line="130" w:lineRule="exact"/>
        <w:rPr>
          <w:rFonts w:ascii="Arial" w:cs="Arial" w:eastAsia="Arial" w:hAnsi="Arial"/>
          <w:sz w:val="18"/>
          <w:szCs w:val="18"/>
          <w:color w:val="auto"/>
        </w:rPr>
      </w:pPr>
    </w:p>
    <w:p>
      <w:pPr>
        <w:ind w:left="1460" w:right="340" w:hanging="547"/>
        <w:spacing w:after="0" w:line="277" w:lineRule="auto"/>
        <w:tabs>
          <w:tab w:leader="none" w:pos="14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Schlumberger US or Schlumberger is in breach of the merger agreement such that the conditions to the merger set forth in the merger agreement would not be satisfied and such breach is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77" w:lineRule="auto"/>
        <w:rPr>
          <w:sz w:val="20"/>
          <w:szCs w:val="20"/>
          <w:color w:val="auto"/>
        </w:rPr>
      </w:pPr>
      <w:r>
        <w:rPr>
          <w:rFonts w:ascii="Arial" w:cs="Arial" w:eastAsia="Arial" w:hAnsi="Arial"/>
          <w:sz w:val="18"/>
          <w:szCs w:val="18"/>
          <w:color w:val="auto"/>
        </w:rPr>
        <w:t xml:space="preserve">curable prior to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Cameron will have no right to terminate the merger agreement under this provision if Cameron is then similarly in breach of the merger agreement; or</w:t>
      </w:r>
    </w:p>
    <w:p>
      <w:pPr>
        <w:spacing w:after="0" w:line="76" w:lineRule="exact"/>
        <w:rPr>
          <w:sz w:val="20"/>
          <w:szCs w:val="20"/>
          <w:color w:val="auto"/>
        </w:rPr>
      </w:pPr>
    </w:p>
    <w:p>
      <w:pPr>
        <w:ind w:left="1460" w:right="140" w:hanging="547"/>
        <w:spacing w:after="0" w:line="257" w:lineRule="auto"/>
        <w:tabs>
          <w:tab w:leader="none" w:pos="14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Cameron has received an acquisition proposal that Cameron’s board of directors determines in good faith to be a superior proposal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(Cameron may not terminate the merger agreement pursuant to this provision following the approval of the proposal to adopt the merger agreement by Cameron’s stockholders);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130" w:lineRule="exact"/>
        <w:rPr>
          <w:rFonts w:ascii="Arial" w:cs="Arial" w:eastAsia="Arial" w:hAnsi="Arial"/>
          <w:sz w:val="18"/>
          <w:szCs w:val="18"/>
          <w:color w:val="auto"/>
        </w:rPr>
      </w:pPr>
    </w:p>
    <w:p>
      <w:pPr>
        <w:jc w:val="both"/>
        <w:ind w:left="1460" w:right="400" w:hanging="547"/>
        <w:spacing w:after="0" w:line="286" w:lineRule="auto"/>
        <w:tabs>
          <w:tab w:leader="none" w:pos="14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Cameron is in breach of the merger agreement such that the conditions to the merger set forth in the merger agreement would not be satisfied and such breach is not curable prior to the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Schlumberger will have no right to terminate the merger agreement under this provision if Schlumberger is then similarly in breach of the merger agreement; or</w:t>
      </w:r>
    </w:p>
    <w:p>
      <w:pPr>
        <w:spacing w:after="0" w:line="70" w:lineRule="exact"/>
        <w:rPr>
          <w:rFonts w:ascii="Arial" w:cs="Arial" w:eastAsia="Arial" w:hAnsi="Arial"/>
          <w:sz w:val="17"/>
          <w:szCs w:val="17"/>
          <w:color w:val="auto"/>
        </w:rPr>
      </w:pPr>
    </w:p>
    <w:p>
      <w:pPr>
        <w:ind w:left="1460" w:right="100" w:hanging="547"/>
        <w:spacing w:after="0" w:line="277" w:lineRule="auto"/>
        <w:tabs>
          <w:tab w:leader="none" w:pos="14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the merger to Cameron stockholders or withdraws, modifies or qualifies (or publicly proposes to do any of the foregoing) its recommendation.</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merger agreement provides for the payment of a termination fee by Cameron to Schlumberger US if the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in specified circumstances. Cameron will be obligated to pay Schlumberger US a $321 million termination fee (net of any expense reimbursement as described below) if:</w:t>
      </w:r>
    </w:p>
    <w:p>
      <w:pPr>
        <w:spacing w:after="0" w:line="87" w:lineRule="exact"/>
        <w:rPr>
          <w:sz w:val="20"/>
          <w:szCs w:val="20"/>
          <w:color w:val="auto"/>
        </w:rPr>
      </w:pPr>
    </w:p>
    <w:p>
      <w:pPr>
        <w:ind w:left="900" w:right="44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Cameron’s stockholder approval of the proposal to adopt the merger agreement is not obtained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53"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within one year after the date of termination, Cameron enters into a definitive agreement with respect to, or consummates, an acquisition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Cameron terminates the merger agreement in order to enter into an agreement providing for a superior proposal; or</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Schlumberger terminates the merger agreement because the Cameron board of directors fails to recommend its approval of the merger or withdraws, modifies or qualifies (or publicly proposes to do any of the foregoing) its recommendation.</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merger agreement provides that all expenses incurred by the parties will be borne by the party that has incurred such expenses; however, Cameron will be required to reimburse Schlumberger US and Schlumberger for their expenses of up to $10 million if:</w:t>
      </w:r>
    </w:p>
    <w:p>
      <w:pPr>
        <w:spacing w:after="0" w:line="76" w:lineRule="exact"/>
        <w:rPr>
          <w:sz w:val="20"/>
          <w:szCs w:val="20"/>
          <w:color w:val="auto"/>
        </w:rPr>
      </w:pPr>
    </w:p>
    <w:p>
      <w:pPr>
        <w:ind w:left="9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agreement is terminated because Cameron’s stockholders do not approve the proposal to adopt the merger agreement at the special meeting or any adjournment or postponement of the special meeting, and no termination fee is yet payable by Cameron,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merger agreement is terminated by Schlumberger because Cameron has willfully and materially breached the merger agreement.</w:t>
      </w:r>
    </w:p>
    <w:p>
      <w:pPr>
        <w:spacing w:after="0" w:line="23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If the merger agreement is terminated by Cameron because Schlumberger US or Schlumberger has willfully and materially breached the merger agreement, then Schlumberger US will reimburse Cameron for its expenses of up to $10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The parties have agreed in the merger agreement that irreparable damage, for which monetary relief, even if available, would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an adequate remedy, would occur in the event that any of the provisions of the merger agreement were not performed in accordance with its specific terms or were otherwise breached. The parties have agreed that they will be entitled to seek an injunction or injunctions to prevent breaches of the merger agreement and to enforce specifically the terms and provisions of the merger agreement without proof of damages. The parties have further agreed not to assert that a remedy of specific enforcement is unenforceable or contrary to law, and not to assert that a remedy of monetary damages would provide an adequate remedy or that there is otherwise an adequate remedy at law.</w:t>
      </w:r>
    </w:p>
    <w:p>
      <w:pPr>
        <w:spacing w:after="0" w:line="193"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in writing at any time by action of the parties’ respective boards of directors. However, if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to adopt the merger agreement has been approved by Cameron’s stockholders, then no amendment can be made that by law requires the further approval of stockholders without receipt of such further approval.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At any time prior to the effective time of the merger, each of Schlumberger and Cameron may:</w:t>
      </w:r>
    </w:p>
    <w:p>
      <w:pPr>
        <w:spacing w:after="0" w:line="131"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obligations of the other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waive compliance with any agreement or condition for the benefit of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unaudited pro forma condensed combined statements of income for the nine months ended September 30, 2015 and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combine the historical consolidated statements of income of Schlumberger and Cameron, giving effect to the merger as if it had occurred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2014. The unaudited pro forma condensed combined balance sheet as of September 30, 2015 combines the historical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of Schlumberger and Cameron, giving effect to the merger as if it had occurred on September 30, 2015. The historical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have been adjusted in the unaudited pro forma condensed combined financial statements to give effect to pro forma events that are</w:t>
      </w:r>
    </w:p>
    <w:p>
      <w:pPr>
        <w:spacing w:after="0" w:line="32" w:lineRule="exact"/>
        <w:rPr>
          <w:sz w:val="20"/>
          <w:szCs w:val="20"/>
          <w:color w:val="auto"/>
        </w:rPr>
      </w:pPr>
    </w:p>
    <w:p>
      <w:pPr>
        <w:ind w:right="100" w:firstLine="8"/>
        <w:spacing w:after="0" w:line="254" w:lineRule="auto"/>
        <w:tabs>
          <w:tab w:leader="none" w:pos="2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directly attributable to the merger, (2) factually supportable and (3) with respect to the statements of income, expected to have a continuing impact on the combined results. The unaudited pro forma condensed combined financial statements should be read in conjunction with the accompanying notes to the unaudited pro forma condensed combined financial statements. In addition, the unaudited pro forma condensed combined financial statements were based on and should be read in conjunction with the:</w:t>
      </w:r>
    </w:p>
    <w:p>
      <w:pPr>
        <w:spacing w:after="0" w:line="95" w:lineRule="exact"/>
        <w:rPr>
          <w:rFonts w:ascii="Arial" w:cs="Arial" w:eastAsia="Arial" w:hAnsi="Arial"/>
          <w:sz w:val="18"/>
          <w:szCs w:val="18"/>
          <w:color w:val="auto"/>
        </w:rPr>
      </w:pPr>
    </w:p>
    <w:p>
      <w:pPr>
        <w:ind w:left="900" w:right="600" w:hanging="325"/>
        <w:spacing w:after="0" w:line="264"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2014 and the related notes included in Schlumberger’s Annual Report on Form 10-K for the year ended December 31, 2014, which is incorporated by reference into this proxy statement/prospectus;</w:t>
      </w:r>
    </w:p>
    <w:p>
      <w:pPr>
        <w:spacing w:after="0" w:line="86" w:lineRule="exact"/>
        <w:rPr>
          <w:rFonts w:ascii="Arial" w:cs="Arial" w:eastAsia="Arial" w:hAnsi="Arial"/>
          <w:sz w:val="18"/>
          <w:szCs w:val="18"/>
          <w:color w:val="auto"/>
        </w:rPr>
      </w:pPr>
    </w:p>
    <w:p>
      <w:pPr>
        <w:ind w:left="900" w:right="120" w:hanging="325"/>
        <w:spacing w:after="0" w:line="342" w:lineRule="auto"/>
        <w:tabs>
          <w:tab w:leader="none" w:pos="9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separate historical financial statements of Cameron as of and for the year ended December 31, 2014 and the related notes included in Cameron’s Annual Report on Form 10-K for the year ended December 31, 2014, which is incorporated by reference into this proxy statement/prospectus;</w:t>
      </w:r>
    </w:p>
    <w:p>
      <w:pPr>
        <w:spacing w:after="0" w:line="29" w:lineRule="exact"/>
        <w:rPr>
          <w:rFonts w:ascii="Arial" w:cs="Arial" w:eastAsia="Arial" w:hAnsi="Arial"/>
          <w:sz w:val="16"/>
          <w:szCs w:val="16"/>
          <w:color w:val="auto"/>
        </w:rPr>
      </w:pPr>
    </w:p>
    <w:p>
      <w:pPr>
        <w:ind w:left="900" w:hanging="325"/>
        <w:spacing w:after="0" w:line="264"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nine months ended September 30, 2015 and the related notes included in Schlumberger’s Quarterly Report on Form 10-Q for the period ended September 30, 2015, which is incorporated by reference into this proxy statement/prospectus; and</w:t>
      </w:r>
    </w:p>
    <w:p>
      <w:pPr>
        <w:spacing w:after="0" w:line="86" w:lineRule="exact"/>
        <w:rPr>
          <w:rFonts w:ascii="Arial" w:cs="Arial" w:eastAsia="Arial" w:hAnsi="Arial"/>
          <w:sz w:val="18"/>
          <w:szCs w:val="18"/>
          <w:color w:val="auto"/>
        </w:rPr>
      </w:pPr>
    </w:p>
    <w:p>
      <w:pPr>
        <w:ind w:left="900" w:right="340" w:hanging="325"/>
        <w:spacing w:after="0" w:line="264"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separate historical financial statements of Cameron as of and for the nine months ended September 30, 2015 and the related notes included in Cameron’s Quarterly Report on Form 10-Q for the period ended September 30, 2015, which is incorporated by reference into this proxy statement/prospectus.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unaudited pro forma condensed combined financial statements have been presented for informational purposes only. Such pro forma information is not necessarily indicative of what the combined company’s financial position or results of operations actually would have been had the merger been completed as of the dates indicated. In addition, the unaudited pro forma condensed combined financial statements do not purport to project the future financial position or operating results of the combined company.</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unaudited pro forma condensed combined financial statements have been prepared using the acquisition method of accounting under U.S. generally accepted accounting principles, and the regulations of the SEC. All material transactions between Schlumberger and Cameron during the periods presented in the unaudited pro forma condensed combined financial statements have been eliminated. Schlumberger will be considered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these unaudited pro forma condensed combined financial statements.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66"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unaudited pro forma condensed combined financial statements do not reflect any cost savings, operating synergies or revenue enhancements that the combined company may achieve as a result of the merger, the costs to integrate the operations of Schlumberger and Cameron, or the costs necessary to achieve any such cost savings, operating synergies or revenue enhancements.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w w:val="96"/>
              </w:rPr>
              <w:t>Pro Forma</w:t>
            </w:r>
          </w:p>
        </w:tc>
        <w:tc>
          <w:tcPr>
            <w:tcW w:w="8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w w:val="93"/>
              </w:rPr>
              <w:t>Cameron</w:t>
            </w:r>
          </w:p>
        </w:tc>
        <w:tc>
          <w:tcPr>
            <w:tcW w:w="18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w w:val="90"/>
              </w:rPr>
              <w:t>Adjustments</w:t>
            </w:r>
          </w:p>
        </w:tc>
        <w:tc>
          <w:tcPr>
            <w:tcW w:w="8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2,772)</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(D)</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15,610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(1,796)</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(E)</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8,311</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(G)</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2,786</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(I)</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14,010</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(K)</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2,417</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Equity</w:t>
            </w: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(3,256)</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10,766</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(O)</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(3,987)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3,987</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42,515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(6,007)</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(M)</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700"/>
              <w:spacing w:after="0"/>
              <w:rPr>
                <w:sz w:val="20"/>
                <w:szCs w:val="20"/>
                <w:color w:val="auto"/>
              </w:rPr>
            </w:pPr>
            <w:r>
              <w:rPr>
                <w:rFonts w:ascii="Arial" w:cs="Arial" w:eastAsia="Arial" w:hAnsi="Arial"/>
                <w:sz w:val="18"/>
                <w:szCs w:val="18"/>
                <w:color w:val="auto"/>
              </w:rPr>
              <w:t>Schlumberger/Cameron stockholders’ equity</w:t>
            </w:r>
          </w:p>
        </w:tc>
        <w:tc>
          <w:tcPr>
            <w:tcW w:w="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340"/>
        <w:spacing w:after="0" w:line="263" w:lineRule="auto"/>
        <w:rPr>
          <w:sz w:val="20"/>
          <w:szCs w:val="20"/>
          <w:color w:val="auto"/>
        </w:rPr>
      </w:pPr>
      <w:r>
        <w:rPr>
          <w:rFonts w:ascii="Arial" w:cs="Arial" w:eastAsia="Arial" w:hAnsi="Arial"/>
          <w:sz w:val="18"/>
          <w:szCs w:val="18"/>
          <w:b w:val="1"/>
          <w:bCs w:val="1"/>
          <w:color w:val="auto"/>
        </w:rPr>
        <w:t>SCHLUMBERGER LIMITED AND SUBSIDIARIES UNAUDITED PRO FORMA CONDENSED COMBINED STATEMENT OF INCOME For the nine months ended September 30, 2015 (in millions, except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w w:val="96"/>
              </w:rPr>
              <w:t>Pro Forma</w:t>
            </w:r>
          </w:p>
        </w:tc>
        <w:tc>
          <w:tcPr>
            <w:tcW w:w="7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w w:val="93"/>
              </w:rPr>
              <w:t>Cameron</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Reclassifications</w:t>
            </w: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 xml:space="preserve">(AA)   </w:t>
            </w:r>
            <w:r>
              <w:rPr>
                <w:rFonts w:ascii="Arial" w:cs="Arial" w:eastAsia="Arial" w:hAnsi="Arial"/>
                <w:sz w:val="14"/>
                <w:szCs w:val="14"/>
                <w:color w:val="auto"/>
              </w:rPr>
              <w:t>Adjustments</w:t>
            </w:r>
          </w:p>
        </w:tc>
        <w:tc>
          <w:tcPr>
            <w:tcW w:w="7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Combined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$ 6,703</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34,434</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i w:val="1"/>
                <w:iCs w:val="1"/>
                <w:color w:val="auto"/>
              </w:rPr>
              <w:t>Interest and other income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(BB)</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22,028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4,987</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(CC)</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27,875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(DD)</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General &amp; administrative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436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&amp; administrative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Restructuring &amp; other</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658</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1,097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(FF)</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(178)</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(GG)</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(BB)</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i w:val="1"/>
                <w:iCs w:val="1"/>
                <w:color w:val="auto"/>
              </w:rPr>
              <w:t>Income from continuing operations attributable to</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vMerge w:val="continue"/>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3,088</w:t>
            </w:r>
          </w:p>
        </w:tc>
        <w:tc>
          <w:tcPr>
            <w:tcW w:w="280" w:type="dxa"/>
            <w:vAlign w:val="bottom"/>
            <w:vMerge w:val="restart"/>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55)</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76)</w:t>
            </w:r>
          </w:p>
        </w:tc>
        <w:tc>
          <w:tcPr>
            <w:tcW w:w="82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2,957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i w:val="1"/>
                <w:iCs w:val="1"/>
                <w:color w:val="auto"/>
              </w:rPr>
              <w:t>Schlumberger/Cameron</w:t>
            </w:r>
          </w:p>
        </w:tc>
        <w:tc>
          <w:tcPr>
            <w:tcW w:w="20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5"/>
              </w:rPr>
              <w:t>Income from continuing operations per share attributable</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 Schlumberger/Cameron:</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(0.29)</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(0.29)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1,407</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(HH)</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Arial" w:cs="Arial" w:eastAsia="Arial" w:hAnsi="Arial"/>
                <w:sz w:val="18"/>
                <w:szCs w:val="18"/>
                <w:color w:val="auto"/>
              </w:rPr>
              <w:t>Assuming dilution</w:t>
            </w: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1,415</w:t>
            </w: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w w:val="99"/>
              </w:rPr>
              <w:t>(HH)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2014</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Pro Forma</w:t>
            </w:r>
          </w:p>
        </w:tc>
        <w:tc>
          <w:tcPr>
            <w:tcW w:w="7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900" w:type="dxa"/>
            <w:vAlign w:val="bottom"/>
            <w:gridSpan w:val="3"/>
          </w:tcPr>
          <w:p>
            <w:pPr>
              <w:jc w:val="right"/>
              <w:ind w:right="340"/>
              <w:spacing w:after="0"/>
              <w:rPr>
                <w:sz w:val="20"/>
                <w:szCs w:val="20"/>
                <w:color w:val="auto"/>
              </w:rPr>
            </w:pPr>
            <w:r>
              <w:rPr>
                <w:rFonts w:ascii="Arial" w:cs="Arial" w:eastAsia="Arial" w:hAnsi="Arial"/>
                <w:sz w:val="14"/>
                <w:szCs w:val="14"/>
                <w:color w:val="auto"/>
                <w:w w:val="93"/>
              </w:rPr>
              <w:t>Cameron</w:t>
            </w:r>
          </w:p>
        </w:tc>
        <w:tc>
          <w:tcPr>
            <w:tcW w:w="1200" w:type="dxa"/>
            <w:vAlign w:val="bottom"/>
            <w:gridSpan w:val="2"/>
          </w:tcPr>
          <w:p>
            <w:pPr>
              <w:spacing w:after="0"/>
              <w:rPr>
                <w:sz w:val="20"/>
                <w:szCs w:val="20"/>
                <w:color w:val="auto"/>
              </w:rPr>
            </w:pPr>
            <w:r>
              <w:rPr>
                <w:rFonts w:ascii="Arial" w:cs="Arial" w:eastAsia="Arial" w:hAnsi="Arial"/>
                <w:sz w:val="14"/>
                <w:szCs w:val="14"/>
                <w:color w:val="auto"/>
              </w:rPr>
              <w:t>Reclassifications</w:t>
            </w: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 xml:space="preserve">(AA)   </w:t>
            </w:r>
            <w:r>
              <w:rPr>
                <w:rFonts w:ascii="Arial" w:cs="Arial" w:eastAsia="Arial" w:hAnsi="Arial"/>
                <w:sz w:val="14"/>
                <w:szCs w:val="14"/>
                <w:color w:val="auto"/>
              </w:rPr>
              <w:t>Adjustments</w:t>
            </w:r>
          </w:p>
        </w:tc>
        <w:tc>
          <w:tcPr>
            <w:tcW w:w="7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Combined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10,381</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58,961</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i w:val="1"/>
                <w:iCs w:val="1"/>
                <w:color w:val="auto"/>
              </w:rPr>
              <w:t>Interest and other income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(BB)</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37,398</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7,812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(CC)</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46,500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(EE)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General &amp; administrative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145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Impairments &amp; other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Selling &amp; administrative</w:t>
            </w:r>
          </w:p>
        </w:tc>
        <w:tc>
          <w:tcPr>
            <w:tcW w:w="2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1,287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(FF)</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9"/>
                <w:szCs w:val="19"/>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(GG)</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9"/>
                <w:szCs w:val="19"/>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(BB)</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Income from continuing operations attributable to</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5,643</w:t>
            </w:r>
          </w:p>
        </w:tc>
        <w:tc>
          <w:tcPr>
            <w:tcW w:w="3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785</w:t>
            </w:r>
          </w:p>
        </w:tc>
        <w:tc>
          <w:tcPr>
            <w:tcW w:w="120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tcPr>
          <w:p>
            <w:pPr>
              <w:jc w:val="right"/>
              <w:ind w:right="48"/>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141)</w:t>
            </w:r>
          </w:p>
        </w:tc>
        <w:tc>
          <w:tcPr>
            <w:tcW w:w="82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6,287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i w:val="1"/>
                <w:iCs w:val="1"/>
                <w:color w:val="auto"/>
              </w:rPr>
              <w:t>Schlumberger/Cameron</w:t>
            </w:r>
          </w:p>
        </w:tc>
        <w:tc>
          <w:tcPr>
            <w:tcW w:w="2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Income from continuing operations per share</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attributable to Schlumberger/Cameron:</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(HH)</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Arial" w:cs="Arial" w:eastAsia="Arial" w:hAnsi="Arial"/>
                <w:sz w:val="18"/>
                <w:szCs w:val="18"/>
                <w:color w:val="auto"/>
              </w:rPr>
              <w:t>Assuming dilution</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600" w:type="dxa"/>
            <w:vAlign w:val="bottom"/>
          </w:tcPr>
          <w:p>
            <w:pPr>
              <w:ind w:left="160"/>
              <w:spacing w:after="0"/>
              <w:rPr>
                <w:sz w:val="20"/>
                <w:szCs w:val="20"/>
                <w:color w:val="auto"/>
              </w:rPr>
            </w:pPr>
            <w:r>
              <w:rPr>
                <w:rFonts w:ascii="Arial" w:cs="Arial" w:eastAsia="Arial" w:hAnsi="Arial"/>
                <w:sz w:val="18"/>
                <w:szCs w:val="18"/>
                <w:b w:val="1"/>
                <w:bCs w:val="1"/>
                <w:color w:val="auto"/>
              </w:rPr>
              <w:t>(HH)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121"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On August 25, 2015, Schlumberger and Cameron entered into a merger agreement pursuant to which Cameron will become a wholly-owned subsidiary of Schlumberger, subject to the terms and conditions set forth in the merger agreement. At the effective time of the merger, each share of Cameron common stock issued and outstanding immediately prior to the effective time of the merger will be converted into the right to receive 0.716 shares of Schlumberger common stock and $14.44 in cash, with cash paid in lieu of fractional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900" w:right="80" w:hanging="325"/>
        <w:spacing w:after="0" w:line="273"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outstanding option to purchase Cameron common stock will be converted by adjusting the exercise price and number of shares subject to the option using the equity award exchange ratio described in the merger agreement into a stock option to acquire shares of Schlumberger common stock, and such options will continue to vest and become exercisable for Schlumberger common stock according to their original terms. The fair value of the adjusted options, whether vested or unvested, will be recorded as part of the purchase consideration transferred to the extent that pre-acquisition services have been rendered. The remainder of the fair value of the unvested options will be recorded as compensation expense over the future vesting period in the periods following the merger completion date.</w:t>
      </w:r>
    </w:p>
    <w:p>
      <w:pPr>
        <w:spacing w:after="0" w:line="83" w:lineRule="exact"/>
        <w:rPr>
          <w:rFonts w:ascii="Arial" w:cs="Arial" w:eastAsia="Arial" w:hAnsi="Arial"/>
          <w:sz w:val="17"/>
          <w:szCs w:val="17"/>
          <w:color w:val="auto"/>
        </w:rPr>
      </w:pPr>
    </w:p>
    <w:p>
      <w:pPr>
        <w:ind w:left="900" w:hanging="325"/>
        <w:spacing w:after="0" w:line="25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outstanding Cameron restricted stock unit will be converted, based upon the equity award exchange ratio described in the merger agreement, into a right to receive a restricted stock unit of Schlumberger common stock. The fair value of the adjusted restricted stock unit will be recorded as part of the purchase consideration transferred to the extent that pre-acquisition services have been rendered. The remainder of the fair value of the restricted stock units will be recorded as compensation expense over the future vesting period in the periods following the merger completion date.</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outstanding Cameron deferred stock unit award will be cancelled and converted into the right to receive 0.716 shares of Schlumberger common stock and $14.44 in cash, with cash paid in lieu of fractional shares.</w:t>
      </w:r>
    </w:p>
    <w:p>
      <w:pPr>
        <w:spacing w:after="0" w:line="75" w:lineRule="exact"/>
        <w:rPr>
          <w:rFonts w:ascii="Arial" w:cs="Arial" w:eastAsia="Arial" w:hAnsi="Arial"/>
          <w:sz w:val="18"/>
          <w:szCs w:val="18"/>
          <w:color w:val="auto"/>
        </w:rPr>
      </w:pPr>
    </w:p>
    <w:p>
      <w:pPr>
        <w:ind w:left="900" w:right="120" w:hanging="325"/>
        <w:spacing w:after="0" w:line="312"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Each outstanding Cameron performance share award will be evaluated pursuant to its performance criteria as adjusted in accordance with the merger agreement and converted, based upon the equity award exchange ratio described in the merger agreement, into a right to receive a vested Schlumberger deferred stock unit with a payment schedule as set forth in the original Cameron performance share award.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merger is reflected in the unaudited pro forma condensed combined financial statements pursuant to the acquisition method of accounting. Under the acquisition method, the total estimated purchase price as described in Note 3 will be measured at the closing date of the merger using the market price of Schlumberger common stock at that time plus the cash consideration. This may result in a merger consideration value that is different from that assumed for purposes of preparing these unaudited pro forma condensed combined financial statements. The assets and liabilities of Cameron have been measured at fair value based on various preliminary estimates using assumptions that Schlumberger management believes are reasonable utilizing information currently available. Use of different estimates and assumptions could yield materially different results. There are limitations on the type of information that can be exchanged between Schlumberger and Cameron at this time. As such until the merger is complete, Schlumberger will not have complete access to all relevant information.</w:t>
      </w:r>
    </w:p>
    <w:p>
      <w:pPr>
        <w:spacing w:after="0" w:line="19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process for estimating the fair values of identifiable intangible assets and certain tangible assets requires the use of significant estimates and assumptions, including estimating future cash flows. The excess of the purchase price over the estimated amounts of identifiable assets and liabilities of Cameron as of the effective date of the merger will be allocated to goodwill. The purchase price allocation is subject to finalization of Schlumberger’s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analysis of the fair value of the assets and liabilities of Cameron as of the effective date of the merger. Accordingly, the purchase price allocation in the unaudited pro forma condensed combined financial statements is preliminary and will be adjusted upon completion of the final analysis of the fair value of the assets and liabilities of Cameron. Such adjustments could be material.</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Cameron or the costs necessary to achieve any such cost savings, operating synergies or revenue enhancements.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Upon completion of the merger, Schlumberger will perform a detailed review of Cameron’s accounting policies. As a result of that review, Schlumberger may identify differences between the accounting policies of the two companies that, when conformed, could have a material impact on the consolidated financial statements of the combined company.</w:t>
      </w:r>
    </w:p>
    <w:p>
      <w:pPr>
        <w:spacing w:after="0" w:line="1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Certain reclassifications have been made to Cameron’s historical financial statements to conform to the presentation used in the unaudited pro forma condensed combined statement of income. Upon completion of the merger, further review of Cameron’s financial statements may result in additional revisions to Cameron’s historical presentation to conform to Schlumberger’s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Estimate of Consideration Expected to be Transferred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preliminary estimate of the consideration expected to be transferred to effect the acquisition of Cameron.</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(stated in millions, except exchange ratio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Equity consideration: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Number of shares of Cameron common stock outstanding as of September 30, 2015</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191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Number of Cameron deferred stock units and performance share awards outstanding as of September 30, 2015</w:t>
            </w: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Multiplied by the exchange ratio</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0.716</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Schlumberger shares of common stock to be issued in connection with the merger</w:t>
            </w: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Schlumberger common stock share price on November 9, 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77.91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Common stock equity consideration</w:t>
            </w:r>
          </w:p>
        </w:tc>
        <w:tc>
          <w:tcPr>
            <w:tcW w:w="5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Cash consideration:</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Number of shares of Cameron common stock outstanding as of September 30, 2015</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191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Number of Cameron deferred stock units and performance share awards outstanding as of September 30, 2015</w:t>
            </w: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per Cameron share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14.44</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5"/>
              </w:rPr>
              <w:t>Fair value of Schlumberger equivalent stock options and restricted stock units to be issued that relates to pre-merger services</w:t>
            </w:r>
            <w:r>
              <w:rPr>
                <w:rFonts w:ascii="Arial" w:cs="Arial" w:eastAsia="Arial" w:hAnsi="Arial"/>
                <w:sz w:val="15"/>
                <w:szCs w:val="15"/>
                <w:color w:val="auto"/>
                <w:w w:val="95"/>
              </w:rPr>
              <w:t>(a)</w:t>
            </w:r>
          </w:p>
        </w:tc>
        <w:tc>
          <w:tcPr>
            <w:tcW w:w="94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Estimate of consideration expected to be transferred</w:t>
            </w:r>
            <w:r>
              <w:rPr>
                <w:rFonts w:ascii="Arial" w:cs="Arial" w:eastAsia="Arial" w:hAnsi="Arial"/>
                <w:sz w:val="15"/>
                <w:szCs w:val="15"/>
                <w:color w:val="auto"/>
              </w:rPr>
              <w:t>(b)</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jc w:val="right"/>
              <w:ind w:right="391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8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452"/>
        <w:spacing w:after="0" w:line="264"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Generally accepted accounting principles require that the fair value of replacement stock option awards attributable to pre-merger services be included in the consideration transferred. The fair value of the Schlumberger equivalent stock options was estimated using the Black-Scholes valuation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$77.91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Post-conversion exercise price</w:t>
            </w:r>
          </w:p>
        </w:tc>
        <w:tc>
          <w:tcPr>
            <w:tcW w:w="2620" w:type="dxa"/>
            <w:vAlign w:val="bottom"/>
          </w:tcPr>
          <w:p>
            <w:pPr>
              <w:jc w:val="center"/>
              <w:ind w:left="1030"/>
              <w:spacing w:after="0"/>
              <w:rPr>
                <w:sz w:val="20"/>
                <w:szCs w:val="20"/>
                <w:color w:val="auto"/>
              </w:rPr>
            </w:pPr>
            <w:r>
              <w:rPr>
                <w:rFonts w:ascii="Arial" w:cs="Arial" w:eastAsia="Arial" w:hAnsi="Arial"/>
                <w:sz w:val="18"/>
                <w:szCs w:val="18"/>
                <w:color w:val="auto"/>
                <w:w w:val="90"/>
              </w:rPr>
              <w:t>$24.74 - $72.08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8"/>
              </w:rPr>
              <w:t>23%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ind w:left="1010"/>
              <w:spacing w:after="0"/>
              <w:rPr>
                <w:sz w:val="20"/>
                <w:szCs w:val="20"/>
                <w:color w:val="auto"/>
              </w:rPr>
            </w:pPr>
            <w:r>
              <w:rPr>
                <w:rFonts w:ascii="Arial" w:cs="Arial" w:eastAsia="Arial" w:hAnsi="Arial"/>
                <w:sz w:val="18"/>
                <w:szCs w:val="18"/>
                <w:color w:val="auto"/>
                <w:w w:val="93"/>
              </w:rPr>
              <w:t>2.65%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3"/>
              </w:rPr>
              <w:t>0.40%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term</w:t>
            </w:r>
          </w:p>
        </w:tc>
        <w:tc>
          <w:tcPr>
            <w:tcW w:w="2620" w:type="dxa"/>
            <w:vAlign w:val="bottom"/>
          </w:tcPr>
          <w:p>
            <w:pPr>
              <w:ind w:left="1600"/>
              <w:spacing w:after="0"/>
              <w:rPr>
                <w:sz w:val="20"/>
                <w:szCs w:val="20"/>
                <w:color w:val="auto"/>
              </w:rPr>
            </w:pPr>
            <w:r>
              <w:rPr>
                <w:rFonts w:ascii="Arial" w:cs="Arial" w:eastAsia="Arial" w:hAnsi="Arial"/>
                <w:sz w:val="18"/>
                <w:szCs w:val="18"/>
                <w:color w:val="auto"/>
              </w:rPr>
              <w:t>2 years</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Black-Scholes weighted average fair value per option</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$19.48</w:t>
            </w:r>
          </w:p>
        </w:tc>
      </w:tr>
    </w:tbl>
    <w:p>
      <w:pPr>
        <w:spacing w:after="0" w:line="229" w:lineRule="exact"/>
        <w:rPr>
          <w:sz w:val="20"/>
          <w:szCs w:val="20"/>
          <w:color w:val="auto"/>
        </w:rPr>
      </w:pPr>
    </w:p>
    <w:p>
      <w:pPr>
        <w:ind w:left="460" w:right="100" w:hanging="452"/>
        <w:spacing w:after="0" w:line="257"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estimated consideration expected to be transferred reflected in these unaudited pro forma condensed combined financial statements does not purport to represent what the actual consideration transferred will be when the merger is completed. The fair value of equity securities issued as part of the consideration transferred is required to be measured on the closing date of the merger at the then-current market price of Schlumberger common stock. This requirement will likely result in an equity component different from what has been assumed in these unaudited pro forma condensed combined financial statements, and that difference may be material.</w:t>
      </w:r>
    </w:p>
    <w:p>
      <w:pPr>
        <w:spacing w:after="0" w:line="80" w:lineRule="exact"/>
        <w:rPr>
          <w:rFonts w:ascii="Arial" w:cs="Arial" w:eastAsia="Arial" w:hAnsi="Arial"/>
          <w:sz w:val="18"/>
          <w:szCs w:val="18"/>
          <w:color w:val="auto"/>
        </w:rPr>
      </w:pPr>
    </w:p>
    <w:p>
      <w:pPr>
        <w:ind w:left="460" w:right="40"/>
        <w:spacing w:after="0" w:line="302" w:lineRule="auto"/>
        <w:rPr>
          <w:rFonts w:ascii="Arial" w:cs="Arial" w:eastAsia="Arial" w:hAnsi="Arial"/>
          <w:sz w:val="18"/>
          <w:szCs w:val="18"/>
          <w:color w:val="auto"/>
        </w:rPr>
      </w:pPr>
      <w:r>
        <w:rPr>
          <w:rFonts w:ascii="Arial" w:cs="Arial" w:eastAsia="Arial" w:hAnsi="Arial"/>
          <w:sz w:val="16"/>
          <w:szCs w:val="16"/>
          <w:color w:val="auto"/>
        </w:rPr>
        <w:t>Assuming a $1.00 change in the market price of Schlumberger’s common stock, the estimated consideration transferred would increase or decrease by approximately $140 million, which would be reflected in these unaudited pro forma condensed combined financial statements as an increase or decrease to goodwill. Furthermore, for every 10% change in the market price of Schlumberger’s common stock, the estimated consideration transferred would increase or decrease by approximately $1.1 billion, which would result in a corresponding increase or decrease in goodwill.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to be Acquired and Liabilities to be Assumed</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Schlumberger, reconciled to the estimate of consideration expected to be transferred: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September 30, 2015</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Cameron noncontrolling interest balance relating to OneSubsea</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Cameron historical goodwill</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Cameron historical intangible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Cameron historical deferred tax liabilities relating to 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Surviving postcombination noncontrolling interests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the value of inventory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Increase the value of fixed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6,760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Increase the carrying value of long-term debt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1"/>
              </w:rPr>
              <w:t>(2,432)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8,311</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adjustments</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Gain on investment in OneSubsea, net of tax</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Estimate of consideration expected to be transferred</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1410"/>
              <w:spacing w:after="0"/>
              <w:rPr>
                <w:sz w:val="20"/>
                <w:szCs w:val="20"/>
                <w:color w:val="auto"/>
              </w:rPr>
            </w:pPr>
            <w:r>
              <w:rPr>
                <w:rFonts w:ascii="Arial" w:cs="Arial" w:eastAsia="Arial" w:hAnsi="Arial"/>
                <w:sz w:val="18"/>
                <w:szCs w:val="18"/>
                <w:color w:val="auto"/>
              </w:rPr>
              <w:t>99</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a discussion of the adjustments made to Cameron’s assets and liabilities in connection with the preparation of these unaudited pro forma condensed combined financial statements.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The estimated adjustment to write up inventories to fair value is comprised of two components, approximately $210 million for inventories carried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first-in, first-out (FIFO) method and $70 million for inventories carried on the last-in, last-out (LIFO) method. With regard to the $210 million adjustment to FIFO inventories, cost of revenue will reflect this increased valuation as this inventory is sold. Accordingly, Schlumberger margins will be temporarily reduced in the initial periods subsequent to merger. With regard to the $70 million adjustment to LIFO inventories, such adjustment will only be reflected in cost of revenues when Schlumberger begins to liquidate this new LIFO layer. The impact of both of these inventory adjustments is not reflected in the unaudited pro forma condensed combined statement of income because they will not have a continuing impact.</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Fixed Assets: </w:t>
      </w:r>
      <w:r>
        <w:rPr>
          <w:rFonts w:ascii="Arial" w:cs="Arial" w:eastAsia="Arial" w:hAnsi="Arial"/>
          <w:sz w:val="18"/>
          <w:szCs w:val="18"/>
          <w:color w:val="auto"/>
        </w:rPr>
        <w:t>For purposes of these unaudited pro forma condensed combined financial statements, Schlumberger has estimated that the fair value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write-up fixed assets to fair value will approximate $96 million. This estimate of fair value is preliminary and subject to change once Schlumberger has sufficient information as to the specific types, nature, age, condition and location of Cameron’s fixed assets.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fair value of identifiable intangible assets is determined primarily using the “income approach,” which requires a forecast of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the assessment of the asset’s life cycle and various other factors. For purposes of these unaudited pro forma condensed combined financial statements, using certain high-level assumptions, the fair value of the identifiable intangible assets, their weighted average useful lives and the resulting amortization expense for the periods presented have been estimated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Weighted 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ind w:left="44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1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6"/>
              </w:rPr>
              <w:t>(in millions)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5"/>
              </w:rPr>
              <w:t>(in years)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 xml:space="preserve">Technology </w:t>
            </w:r>
            <w:r>
              <w:rPr>
                <w:rFonts w:ascii="Arial" w:cs="Arial" w:eastAsia="Arial" w:hAnsi="Arial"/>
                <w:sz w:val="18"/>
                <w:szCs w:val="18"/>
                <w:i w:val="1"/>
                <w:iCs w:val="1"/>
                <w:color w:val="auto"/>
              </w:rPr>
              <w:t>/</w:t>
            </w:r>
            <w:r>
              <w:rPr>
                <w:rFonts w:ascii="Arial" w:cs="Arial" w:eastAsia="Arial" w:hAnsi="Arial"/>
                <w:sz w:val="18"/>
                <w:szCs w:val="18"/>
                <w:color w:val="auto"/>
              </w:rPr>
              <w:t xml:space="preserve"> Technical Know-How</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Tradenames </w:t>
            </w:r>
            <w:r>
              <w:rPr>
                <w:rFonts w:ascii="Arial" w:cs="Arial" w:eastAsia="Arial" w:hAnsi="Arial"/>
                <w:sz w:val="18"/>
                <w:szCs w:val="18"/>
                <w:i w:val="1"/>
                <w:iCs w:val="1"/>
                <w:color w:val="auto"/>
              </w:rPr>
              <w:t>/</w:t>
            </w:r>
            <w:r>
              <w:rPr>
                <w:rFonts w:ascii="Arial" w:cs="Arial" w:eastAsia="Arial" w:hAnsi="Arial"/>
                <w:sz w:val="18"/>
                <w:szCs w:val="18"/>
                <w:color w:val="auto"/>
              </w:rPr>
              <w:t xml:space="preserve"> Trademarks</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preliminary estimates of fair value and estimated useful life will likely be different from the final acquisition accounting, and the difference could have a material impact on the accompanying unaudited pro forma condensed combined financial statements. A 10% change in the valuation of intangible assets would cause a corresponding increase or decrease in annual amortization expense of approximately $32 million, assuming an overall weighted average useful life of 21 years. Once Schlumberger has full access to the specifics of Cameron’s intangible assets, additional insight will be gained that could impact: (i) the estimated total value assigned to intangible assets and (ii) the estimated weighted average useful life of each category of intangible assets. The estimated intangible asset values and related useful lives could be impacted by a variety of factors that may become known to Schlumberger only upon access to the additional information and/or changes in such factors that may occur prior to the effective time of the merger.</w:t>
      </w:r>
    </w:p>
    <w:p>
      <w:pPr>
        <w:spacing w:after="0" w:line="1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The carrying value of Cameron’s long-term debt will be remeasured to its fair value as of the closing of the merger. The ultimate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long-term debt may vary significantly at the merger completion date based on market conditions at that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i w:val="1"/>
          <w:iCs w:val="1"/>
          <w:color w:val="auto"/>
        </w:rPr>
        <w:t xml:space="preserve">Deferred Tax Liabilities: </w:t>
      </w:r>
      <w:r>
        <w:rPr>
          <w:rFonts w:ascii="Arial" w:cs="Arial" w:eastAsia="Arial" w:hAnsi="Arial"/>
          <w:sz w:val="17"/>
          <w:szCs w:val="17"/>
          <w:color w:val="auto"/>
        </w:rPr>
        <w:t>As of the effective date of the merger, adjustments will be made for deferred taxes as part of the accounting for the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adjustments reflect the estimated deferred tax liability impact of the acquisition on the balance sheet, primarily relating to estimated fair value adjustments for acquired inventory, fixed assets, intangible assets and long-term debt. For purposes of these unaudited pro forma condensed combined financial statements, deferred taxes are provided at the 35% U.S. federal statutory income tax rate.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Gain On Investment In OneSubsea: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OneSubsea, a joint venture that manufactures and develops products, systems and services for the subsea oil and gas market. OneSubsea is 40% owned by Schlumberger and 60% owned by Cameron.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OneSubsea and will be impacted by transactional activity such as equity income and dividends, up until the date the merger is completed.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 expected to be transferred and the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identifiable assets acquired and liabilities assumed. Goodwill is not amortized, but rather is subject to impairment testing on at least an annual basis.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the basis difference between Cameron’s noncontrolling interest balance relating to OneSubsea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OneSubsea. This is a result of Schlumberger and Cameron each being required to apply different accounting in connection with the initial formation of OneSubsea, as required by generally accepted accounting principles.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135"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To reflect the cash portion of the merger consideration that is payable by Schlumberger to the stockholders of Cameron.</w:t>
      </w:r>
    </w:p>
    <w:p>
      <w:pPr>
        <w:spacing w:after="0" w:line="130" w:lineRule="exact"/>
        <w:rPr>
          <w:rFonts w:ascii="Arial" w:cs="Arial" w:eastAsia="Arial" w:hAnsi="Arial"/>
          <w:sz w:val="18"/>
          <w:szCs w:val="18"/>
          <w:b w:val="1"/>
          <w:bCs w:val="1"/>
          <w:color w:val="auto"/>
        </w:rPr>
      </w:pPr>
    </w:p>
    <w:p>
      <w:pPr>
        <w:jc w:val="both"/>
        <w:ind w:left="460" w:right="140" w:hanging="452"/>
        <w:spacing w:after="0" w:line="286" w:lineRule="auto"/>
        <w:tabs>
          <w:tab w:leader="none" w:pos="460"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To adjust acquired inventory to its estimated fair value. Schlumberger’s cost of revenue will reflect the increased valuation of Cameron’s inventory as the acquired inventory is sold. This adjustment does not have a continuing impact on the combined operating results and as such, it is not included in the unaudited pro forma condensed combined statement of income. See Note 4 for further details.</w:t>
      </w:r>
    </w:p>
    <w:p>
      <w:pPr>
        <w:spacing w:after="0" w:line="70" w:lineRule="exact"/>
        <w:rPr>
          <w:rFonts w:ascii="Arial" w:cs="Arial" w:eastAsia="Arial" w:hAnsi="Arial"/>
          <w:sz w:val="17"/>
          <w:szCs w:val="17"/>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To eliminate Schlumberger’s investment in OneSubsea.</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To adjust for the estimated differences between the carrying value and fair value of Cameron’s fixed assets. See Note 4 for further details.</w:t>
      </w:r>
    </w:p>
    <w:p>
      <w:pPr>
        <w:spacing w:after="0" w:line="142" w:lineRule="exact"/>
        <w:rPr>
          <w:rFonts w:ascii="Arial" w:cs="Arial" w:eastAsia="Arial" w:hAnsi="Arial"/>
          <w:sz w:val="17"/>
          <w:szCs w:val="17"/>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goodwill.</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intangible assets.</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record the estimated fair value of identifiable intangible assets. See Note 4 for further details.</w:t>
      </w:r>
    </w:p>
    <w:p>
      <w:pPr>
        <w:spacing w:after="0" w:line="13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Reflects an estimate of Schlumberger’s merger-related transaction costs, including advisory and legal fees as well as amounts relating to employee benefits such as change in control payments. These amounts will be expensed as incurred and are not reflected in the unaudited pro forma condensed combined statement of income because they will not have a continuing impact. No adjustment has been made for merger-related costs to be incurred by Cameron.</w:t>
      </w:r>
    </w:p>
    <w:p>
      <w:pPr>
        <w:spacing w:after="0" w:line="96" w:lineRule="exact"/>
        <w:rPr>
          <w:sz w:val="20"/>
          <w:szCs w:val="20"/>
          <w:color w:val="auto"/>
        </w:rPr>
      </w:pPr>
    </w:p>
    <w:p>
      <w:pPr>
        <w:ind w:left="5580" w:right="3080" w:hanging="5572"/>
        <w:spacing w:after="0" w:line="449" w:lineRule="auto"/>
        <w:tabs>
          <w:tab w:leader="none" w:pos="455"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Reflects an adjustment to increase the carrying value of Cameron’s long-term debt to its estimated fair value. 101</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Represents an adjustment to eliminate deferred tax liabilities associated with Cameron’s preacquisition intangible assets.</w:t>
      </w:r>
    </w:p>
    <w:p>
      <w:pPr>
        <w:spacing w:after="0" w:line="130" w:lineRule="exact"/>
        <w:rPr>
          <w:rFonts w:ascii="Arial" w:cs="Arial" w:eastAsia="Arial" w:hAnsi="Arial"/>
          <w:sz w:val="18"/>
          <w:szCs w:val="18"/>
          <w:b w:val="1"/>
          <w:bCs w:val="1"/>
          <w:color w:val="auto"/>
        </w:rPr>
      </w:pPr>
    </w:p>
    <w:p>
      <w:pPr>
        <w:ind w:left="460" w:right="60" w:hanging="452"/>
        <w:spacing w:after="0" w:line="277" w:lineRule="auto"/>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Represents the estimated deferred tax liability related to the fair value adjustments made to assets acquired and liabilities assumed, excluding goodwill, as calculated below:</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Establish deferred tax liabilities (assets) for the following:</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3160" w:type="dxa"/>
            <w:vAlign w:val="bottom"/>
            <w:gridSpan w:val="4"/>
          </w:tcPr>
          <w:p>
            <w:pPr>
              <w:ind w:left="1860"/>
              <w:spacing w:after="0"/>
              <w:rPr>
                <w:sz w:val="20"/>
                <w:szCs w:val="20"/>
                <w:color w:val="auto"/>
              </w:rPr>
            </w:pPr>
            <w:r>
              <w:rPr>
                <w:rFonts w:ascii="Arial" w:cs="Arial" w:eastAsia="Arial" w:hAnsi="Arial"/>
                <w:sz w:val="14"/>
                <w:szCs w:val="14"/>
                <w:i w:val="1"/>
                <w:iCs w:val="1"/>
                <w:color w:val="auto"/>
              </w:rPr>
              <w:t>(stated in millions)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w:t>
            </w: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Increase in the basis of inventory</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Increase in the basis of fixed assets</w:t>
            </w: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Increase in the basis of long-term debt</w:t>
            </w: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r>
      <w:tr>
        <w:trPr>
          <w:trHeight w:val="216"/>
        </w:trPr>
        <w:tc>
          <w:tcPr>
            <w:tcW w:w="4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 federal statutory tax rate</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4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64" w:lineRule="auto"/>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Represents the preliminary fair value adjustment associated with Schlumberger’s previously held equity interest in OneSubsea, resulting in an estimated after-tax gain of $215 million, net of deferred taxes of $15 million. Because this adjustment will not have a continuing impact, it is excluded from the unaudited pro forma condensed combined statement of income. See Note 4 for further details.</w:t>
      </w:r>
    </w:p>
    <w:p>
      <w:pPr>
        <w:spacing w:after="0" w:line="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Reflects adjustments to eliminate Cameron’s historical equity balances.</w:t>
      </w:r>
    </w:p>
    <w:p>
      <w:pPr>
        <w:spacing w:after="0" w:line="130" w:lineRule="exact"/>
        <w:rPr>
          <w:rFonts w:ascii="Arial" w:cs="Arial" w:eastAsia="Arial" w:hAnsi="Arial"/>
          <w:sz w:val="18"/>
          <w:szCs w:val="18"/>
          <w:b w:val="1"/>
          <w:bCs w:val="1"/>
          <w:color w:val="auto"/>
        </w:rPr>
      </w:pPr>
    </w:p>
    <w:p>
      <w:pPr>
        <w:ind w:left="460" w:right="120" w:hanging="452"/>
        <w:spacing w:after="0" w:line="277" w:lineRule="auto"/>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To record the fair value of the equity consideration to be issued, as well as the fair value of Schlumberger equivalent stock options and restricted stock units to be issued.</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To eliminate Cameron’s noncontrolling interest balance relating to the OneSubsea joint venture with Schlumberger.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Statements of Income</w:t>
      </w:r>
    </w:p>
    <w:p>
      <w:pPr>
        <w:spacing w:after="0" w:line="135"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Certain reclassifications have been made to Cameron’s historical statement of income to conform to Schlumberger’s presentation.</w:t>
      </w:r>
    </w:p>
    <w:p>
      <w:pPr>
        <w:spacing w:after="0" w:line="130" w:lineRule="exact"/>
        <w:rPr>
          <w:rFonts w:ascii="Arial" w:cs="Arial" w:eastAsia="Arial" w:hAnsi="Arial"/>
          <w:sz w:val="18"/>
          <w:szCs w:val="18"/>
          <w:b w:val="1"/>
          <w:bCs w:val="1"/>
          <w:color w:val="auto"/>
        </w:rPr>
      </w:pPr>
    </w:p>
    <w:p>
      <w:pPr>
        <w:ind w:left="580" w:right="20" w:hanging="572"/>
        <w:spacing w:after="0" w:line="302" w:lineRule="auto"/>
        <w:tabs>
          <w:tab w:leader="none" w:pos="58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Reflects the elimination of Schlumberger’s equity earnings (loss for the nine months ended September 30, 2015) relating to OneSubsea as well as Cameron’s noncontrolling interest in the net income of the venture, respectively. Schlumberger’s equity earnings/loss relating to its investment in OneSubsea is net of amortization expense relating to intangible assets, which were recorded in connection with its initial investment in OneSubsea, of $44 million and $33 million for the year ended December 31, 2014 and the nine months ended September 30, 2015, respectively.</w:t>
      </w:r>
    </w:p>
    <w:p>
      <w:pPr>
        <w:spacing w:after="0" w:line="59" w:lineRule="exact"/>
        <w:rPr>
          <w:rFonts w:ascii="Arial" w:cs="Arial" w:eastAsia="Arial" w:hAnsi="Arial"/>
          <w:sz w:val="16"/>
          <w:szCs w:val="16"/>
          <w:b w:val="1"/>
          <w:bCs w:val="1"/>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intangible asset amortization expense.</w:t>
      </w:r>
    </w:p>
    <w:p>
      <w:pPr>
        <w:spacing w:after="0" w:line="130" w:lineRule="exact"/>
        <w:rPr>
          <w:rFonts w:ascii="Arial" w:cs="Arial" w:eastAsia="Arial" w:hAnsi="Arial"/>
          <w:sz w:val="18"/>
          <w:szCs w:val="18"/>
          <w:b w:val="1"/>
          <w:bCs w:val="1"/>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130" w:lineRule="exact"/>
        <w:rPr>
          <w:rFonts w:ascii="Arial" w:cs="Arial" w:eastAsia="Arial" w:hAnsi="Arial"/>
          <w:sz w:val="18"/>
          <w:szCs w:val="18"/>
          <w:b w:val="1"/>
          <w:bCs w:val="1"/>
          <w:color w:val="auto"/>
        </w:rPr>
      </w:pPr>
    </w:p>
    <w:p>
      <w:pPr>
        <w:ind w:left="580" w:right="80" w:hanging="572"/>
        <w:spacing w:after="0" w:line="277" w:lineRule="auto"/>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Represents incremental depreciation expense associated with the estimated fair value adjustment related to Cameron’s fixed assets over the estimated remaining useful life of 12 years.</w:t>
      </w:r>
    </w:p>
    <w:p>
      <w:pPr>
        <w:spacing w:after="0" w:line="75" w:lineRule="exact"/>
        <w:rPr>
          <w:rFonts w:ascii="Arial" w:cs="Arial" w:eastAsia="Arial" w:hAnsi="Arial"/>
          <w:sz w:val="18"/>
          <w:szCs w:val="18"/>
          <w:b w:val="1"/>
          <w:bCs w:val="1"/>
          <w:color w:val="auto"/>
        </w:rPr>
      </w:pPr>
    </w:p>
    <w:p>
      <w:pPr>
        <w:ind w:left="580" w:right="420" w:hanging="572"/>
        <w:spacing w:after="0" w:line="277" w:lineRule="auto"/>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Represents the amortization associated with the fair value adjustment to increase Cameron’s fixed rate long-term debt over the weighted average remaining term of the obligations.</w:t>
      </w:r>
    </w:p>
    <w:p>
      <w:pPr>
        <w:spacing w:after="0" w:line="75" w:lineRule="exact"/>
        <w:rPr>
          <w:rFonts w:ascii="Arial" w:cs="Arial" w:eastAsia="Arial" w:hAnsi="Arial"/>
          <w:sz w:val="18"/>
          <w:szCs w:val="18"/>
          <w:b w:val="1"/>
          <w:bCs w:val="1"/>
          <w:color w:val="auto"/>
        </w:rPr>
      </w:pPr>
    </w:p>
    <w:p>
      <w:pPr>
        <w:ind w:left="580" w:right="220" w:hanging="572"/>
        <w:spacing w:after="0" w:line="286" w:lineRule="auto"/>
        <w:tabs>
          <w:tab w:leader="none" w:pos="580"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impact of the pro forma adjustments has been calculated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Elimination of Cameron’s historical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relating to fixed asset 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fair value adjustment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182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2014</w:t>
            </w:r>
          </w:p>
        </w:tc>
        <w:tc>
          <w:tcPr>
            <w:tcW w:w="1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60" w:space="720"/>
            <w:col w:w="4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Pro forma incremental expenses</w:t>
            </w:r>
          </w:p>
        </w:tc>
        <w:tc>
          <w:tcPr>
            <w:tcW w:w="1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240</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U.S. federal statutory tax rate</w:t>
            </w: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84</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Represents the adjusted weighted-average shares outstanding calculated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i w:val="1"/>
                <w:iCs w:val="1"/>
                <w:color w:val="auto"/>
              </w:rPr>
              <w:t>(stated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9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56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71"/>
        </w:trPr>
        <w:tc>
          <w:tcPr>
            <w:tcW w:w="7960" w:type="dxa"/>
            <w:vAlign w:val="bottom"/>
          </w:tcPr>
          <w:p>
            <w:pPr>
              <w:spacing w:after="0"/>
              <w:rPr>
                <w:sz w:val="14"/>
                <w:szCs w:val="14"/>
                <w:color w:val="auto"/>
              </w:rPr>
            </w:pPr>
          </w:p>
        </w:tc>
        <w:tc>
          <w:tcPr>
            <w:tcW w:w="1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December 31, 2014</w:t>
            </w: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September 30, 2015</w:t>
            </w:r>
          </w:p>
        </w:tc>
      </w:tr>
      <w:tr>
        <w:trPr>
          <w:trHeight w:val="123"/>
        </w:trPr>
        <w:tc>
          <w:tcPr>
            <w:tcW w:w="79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Assuming</w:t>
            </w:r>
          </w:p>
        </w:tc>
        <w:tc>
          <w:tcPr>
            <w:tcW w:w="4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Assuming</w:t>
            </w:r>
          </w:p>
        </w:tc>
        <w:tc>
          <w:tcPr>
            <w:tcW w:w="100" w:type="dxa"/>
            <w:vAlign w:val="bottom"/>
          </w:tcPr>
          <w:p>
            <w:pPr>
              <w:spacing w:after="0"/>
              <w:rPr>
                <w:sz w:val="10"/>
                <w:szCs w:val="10"/>
                <w:color w:val="auto"/>
              </w:rPr>
            </w:pPr>
          </w:p>
        </w:tc>
      </w:tr>
      <w:tr>
        <w:trPr>
          <w:trHeight w:val="167"/>
        </w:trPr>
        <w:tc>
          <w:tcPr>
            <w:tcW w:w="796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rPr>
              <w:t>Basic</w:t>
            </w: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color w:val="auto"/>
              </w:rPr>
              <w:t>Dilution</w:t>
            </w: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Basic</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Dilution</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weighted-average historical shares outstanding</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7"/>
        </w:trPr>
        <w:tc>
          <w:tcPr>
            <w:tcW w:w="7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1,432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dilutive effect of Cameron stock options and restricted stock units that will be converted into Schlumberger stock options and restricted stock units is not significant.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STOCKHOLDER RIGHTS</w:t>
      </w:r>
    </w:p>
    <w:p>
      <w:pPr>
        <w:spacing w:after="0" w:line="229"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As a result of the merger, holders of Cameron common stock will become stockholders of Schlumberger, and the rights of the former stockholders of Cameron will thereafter be governed by Schlumberger’s articles of incorporation and amended and restated by-laws and the Curaçao Civil Code, which we refer to in this discussion as Curaçao law. The rights of Cameron stockholders are currently governed by Cameron’s restated certificate of incorporation and bylaws and the General Corporation Law of the State of Delaware, which we refer to in this discussion as Delaware law.</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summarizes certain differences between the current rights of Cameron stockholders and the current rights of Schlumberger stockholders. These differences arise in part from the differences between Curaçao law and Delaware law. Additional differences arise from the differences between governing documents of the two companies.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it is impracticable to compare all of the aspects in which Curaçao law and Delaware law and Schlumberger’s and Cameron’s governing documents differ with respect to stockholder rights, the following discussion summarizes the material differences between them. This summary is not intended to be a complete statement of the rights of stockholders of the two companies or a complete description of the specific provisions referred to below. The summary is qualified in its entirety by reference to Curaçao law, Delaware law, Schlumberger’s articles of incorporation and amended and restated by-laws and Cameron’s restated certificate of incorporation and bylaws. You are encouraged to carefully read this entire proxy statement/prospectus, the relevant provisions of Curaçao law and Delaware law and the other documents to which Schlumberger and Cameron refer in this proxy statement/prospectus for a more complete understanding of the differences between the rights of a Schlumberger stockholder and the rights of a Cameron stockholder. Schlumberger and Cameron have filed with the Securities and Exchange Commission their respective governing documents referenced in this comparison of shareholder rights. To find out where copies of these documents can be obtained, see the section entitled “Where You Can Find More Information.”</w:t>
      </w:r>
    </w:p>
    <w:p>
      <w:pPr>
        <w:sectPr>
          <w:pgSz w:w="11900" w:h="16838" w:orient="portrait"/>
          <w:cols w:equalWidth="0" w:num="1">
            <w:col w:w="11400"/>
          </w:cols>
          <w:pgMar w:left="240" w:top="459" w:right="25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Authorized Stock</w:t>
            </w: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w w:val="92"/>
              </w:rPr>
              <w:t>The authorized capital stock of Cameron consists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of (a) 400,000,000 shares of Cameron common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 and (b) 10,000,000 shares of Cameron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preferred stock.</w:t>
            </w:r>
          </w:p>
        </w:tc>
        <w:tc>
          <w:tcPr>
            <w:tcW w:w="0" w:type="dxa"/>
            <w:vAlign w:val="bottom"/>
          </w:tcPr>
          <w:p>
            <w:pPr>
              <w:spacing w:after="0"/>
              <w:rPr>
                <w:sz w:val="1"/>
                <w:szCs w:val="1"/>
                <w:color w:val="auto"/>
              </w:rPr>
            </w:pPr>
          </w:p>
        </w:tc>
      </w:tr>
      <w:tr>
        <w:trPr>
          <w:trHeight w:val="310"/>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Cameron’s board of directors has the authority to</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issue shares of preferred stock in one or more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8"/>
              </w:rPr>
              <w:t>classes or series and to fix (a) the designation,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(b) voting powers, (c) the preferences and relative,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participating, optional or other special rights and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(d) the qualifications, limitations or restrictions of</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any series of preferred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725"/>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238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left="5" w:right="400"/>
        <w:spacing w:after="0" w:line="289" w:lineRule="auto"/>
        <w:rPr>
          <w:sz w:val="20"/>
          <w:szCs w:val="20"/>
          <w:color w:val="auto"/>
        </w:rPr>
      </w:pPr>
      <w:r>
        <w:rPr>
          <w:rFonts w:ascii="Arial" w:cs="Arial" w:eastAsia="Arial" w:hAnsi="Arial"/>
          <w:sz w:val="16"/>
          <w:szCs w:val="16"/>
          <w:color w:val="auto"/>
        </w:rPr>
        <w:t>Schlumberger may issue (a) 4,500,000,000 shares of Schlumberger common stock and</w:t>
      </w:r>
    </w:p>
    <w:p>
      <w:pPr>
        <w:spacing w:after="0" w:line="1" w:lineRule="exact"/>
        <w:rPr>
          <w:sz w:val="20"/>
          <w:szCs w:val="20"/>
          <w:color w:val="auto"/>
        </w:rPr>
      </w:pPr>
    </w:p>
    <w:p>
      <w:pPr>
        <w:ind w:left="5" w:right="600" w:hanging="5"/>
        <w:spacing w:after="0" w:line="261" w:lineRule="auto"/>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200,000,000 shares of Schlumberger preferred stock.</w:t>
      </w:r>
    </w:p>
    <w:p>
      <w:pPr>
        <w:spacing w:after="0" w:line="76" w:lineRule="exact"/>
        <w:rPr>
          <w:sz w:val="20"/>
          <w:szCs w:val="20"/>
          <w:color w:val="auto"/>
        </w:rPr>
      </w:pPr>
    </w:p>
    <w:p>
      <w:pPr>
        <w:ind w:left="5"/>
        <w:spacing w:after="0" w:line="287" w:lineRule="auto"/>
        <w:rPr>
          <w:sz w:val="20"/>
          <w:szCs w:val="20"/>
          <w:color w:val="auto"/>
        </w:rPr>
      </w:pPr>
      <w:r>
        <w:rPr>
          <w:rFonts w:ascii="Arial" w:cs="Arial" w:eastAsia="Arial" w:hAnsi="Arial"/>
          <w:sz w:val="16"/>
          <w:szCs w:val="16"/>
          <w:color w:val="auto"/>
        </w:rPr>
        <w:t>Schlumberger’s board of directors has the authority to issue shares of preferred stock in one or more series and to fix (a) the designations and number of shares, (b) the annual dividend rate on such series (subject to limitations on such rate set forth in Schlumberger’s articles of incorporation), (c) whether such dividends will be paid annually or in installments, (d) any rights of holders of such series to convert their shares into other series of Schlumberger capital stock, (e) any rights of Schlumberger to redeem such shares or of holders to</w:t>
      </w:r>
    </w:p>
    <w:p>
      <w:pPr>
        <w:sectPr>
          <w:pgSz w:w="11900" w:h="16838" w:orient="portrait"/>
          <w:cols w:equalWidth="0" w:num="2">
            <w:col w:w="7780" w:space="115"/>
            <w:col w:w="3505"/>
          </w:cols>
          <w:pgMar w:left="240" w:top="459" w:right="25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As of the date of this proxy statement/prospectus,</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there were no shares of Cameron preferred stock</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outstanding.</w:t>
      </w:r>
    </w:p>
    <w:p>
      <w:pPr>
        <w:spacing w:after="0" w:line="9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Cameron stockholders are entitled to one vote for</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each share of Cameron common stock they hold.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Stockholder Meetings</w:t>
      </w:r>
      <w:r>
        <w:rPr>
          <w:sz w:val="20"/>
          <w:szCs w:val="20"/>
          <w:color w:val="auto"/>
        </w:rPr>
        <w:tab/>
      </w:r>
      <w:r>
        <w:rPr>
          <w:rFonts w:ascii="Arial" w:cs="Arial" w:eastAsia="Arial" w:hAnsi="Arial"/>
          <w:sz w:val="16"/>
          <w:szCs w:val="16"/>
          <w:color w:val="auto"/>
        </w:rPr>
        <w:t>Cameron’s bylaws provide that the annual</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meetings of stockholders may be held at such</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place, on such date and at such time as the board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of directors designates and, pursuant to Delaware</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law, if an annual stockholder meeting is not held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within 13 months of the date of the last annual</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stockholder meeting, the Delaware Court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Chancery may order a meeting to be held upon</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application of any stockholder or director.</w:t>
      </w:r>
    </w:p>
    <w:p>
      <w:pPr>
        <w:spacing w:after="0" w:line="103"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and bylaws provide that special meetings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stockholders may be called only by the Chairman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 the board of directors, the President or a</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require Schlumberger to purchase such shares (and any sinking fund provisions) and (f) other terms that are not inconsistent with Schlumberger’s articles of incorporation and Curaçao law.</w:t>
      </w:r>
    </w:p>
    <w:p>
      <w:pPr>
        <w:spacing w:after="0" w:line="8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the date of this proxy statement/prospectus, there were no shares of Schlumberger preferred stock outstanding.</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holder of shares of Schlumberger common stock and each holder of shares of Schlumberger preferred stock (if issued and outstanding) is entitled to one vote for each share of common stock or for each share of preferred stock held.</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Schlumberger’s articles of incorporation and Curaçao law provide that all general meetings of Schlumberger stockholders must be held in Curaçao, and a general stockholder meeting is required to be held once a year under Curaçao law.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Schlumberger’s articles of incorporation and by-laws provide that special general meetings of Schlumberger stockholders may be called at any time upon the direction of the Chairman of the board of directors, the Vice Chairman of the board of directors,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w:t>
      </w:r>
    </w:p>
    <w:p>
      <w:pPr>
        <w:sectPr>
          <w:pgSz w:w="11900" w:h="16838" w:orient="portrait"/>
          <w:cols w:equalWidth="0" w:num="2">
            <w:col w:w="7700" w:space="200"/>
            <w:col w:w="35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tabs>
          <w:tab w:leader="none" w:pos="8600" w:val="left"/>
        </w:tabs>
        <w:rPr>
          <w:sz w:val="20"/>
          <w:szCs w:val="20"/>
          <w:color w:val="auto"/>
        </w:rPr>
      </w:pPr>
      <w:r>
        <w:rPr>
          <w:rFonts w:ascii="Arial" w:cs="Arial" w:eastAsia="Arial" w:hAnsi="Arial"/>
          <w:sz w:val="14"/>
          <w:szCs w:val="14"/>
          <w:b w:val="1"/>
          <w:bCs w:val="1"/>
          <w:color w:val="auto"/>
        </w:rPr>
        <w:t>Cameron Stockholder Rights</w:t>
      </w:r>
      <w:r>
        <w:rPr>
          <w:sz w:val="20"/>
          <w:szCs w:val="20"/>
          <w:color w:val="auto"/>
        </w:rPr>
        <w:tab/>
      </w:r>
      <w:r>
        <w:rPr>
          <w:rFonts w:ascii="Arial" w:cs="Arial" w:eastAsia="Arial" w:hAnsi="Arial"/>
          <w:sz w:val="12"/>
          <w:szCs w:val="12"/>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46310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having such meeting convened, or by one or</w:t>
      </w:r>
    </w:p>
    <w:p>
      <w:pPr>
        <w:spacing w:after="0" w:line="3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more holders of shares representing in the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aggregate a majority of shares then outstanding</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and, in certain circumstances if all of the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directors are prevented from or incapable of</w:t>
      </w:r>
    </w:p>
    <w:p>
      <w:pPr>
        <w:spacing w:after="0" w:line="21"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serving, by any person or persons holding in the</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aggregate at least 5% of the outstanding shares</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of Schlumberger common stock for the purpose</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of electing a board of directors.</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Stockholder Action by Written Consent</w:t>
      </w:r>
      <w:r>
        <w:rPr>
          <w:sz w:val="20"/>
          <w:szCs w:val="20"/>
          <w:color w:val="auto"/>
        </w:rPr>
        <w:tab/>
      </w:r>
      <w:r>
        <w:rPr>
          <w:rFonts w:ascii="Arial" w:cs="Arial" w:eastAsia="Arial" w:hAnsi="Arial"/>
          <w:sz w:val="16"/>
          <w:szCs w:val="16"/>
          <w:color w:val="auto"/>
        </w:rPr>
        <w:t>Cameron’s restated certificate of incorporation</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specifically denies stockholders the right to act by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written consent.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Curaçao law, stockholders may adopt resolutions in writing (by written consent) without a meeting, provided that all stockholders and all directors have agreed with this manner of adopting resolutions.</w:t>
      </w:r>
    </w:p>
    <w:p>
      <w:pPr>
        <w:spacing w:after="0" w:line="60" w:lineRule="exact"/>
        <w:rPr>
          <w:sz w:val="20"/>
          <w:szCs w:val="20"/>
          <w:color w:val="auto"/>
        </w:rPr>
      </w:pPr>
    </w:p>
    <w:p>
      <w:pPr>
        <w:sectPr>
          <w:pgSz w:w="11900" w:h="16838" w:orient="portrait"/>
          <w:cols w:equalWidth="0" w:num="2">
            <w:col w:w="7740" w:space="16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Under Cameron’s restated certificate of</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incorporation, Cameron’s entire board of directors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stands for reelection each year.</w:t>
      </w:r>
    </w:p>
    <w:p>
      <w:pPr>
        <w:spacing w:after="0" w:line="103"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Under Cameron’s bylaws, directors are elected by</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majority of votes cast by stockholders. In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contested elections, directors are elected by a</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plurality of the votes cast.</w:t>
      </w:r>
    </w:p>
    <w:p>
      <w:pPr>
        <w:spacing w:after="0" w:line="20" w:lineRule="exact"/>
        <w:rPr>
          <w:sz w:val="20"/>
          <w:szCs w:val="20"/>
          <w:color w:val="auto"/>
        </w:rPr>
      </w:pPr>
      <w:r>
        <w:rPr>
          <w:sz w:val="20"/>
          <w:szCs w:val="20"/>
          <w:color w:val="auto"/>
        </w:rPr>
        <w:br w:type="column"/>
      </w:r>
    </w:p>
    <w:p>
      <w:pPr>
        <w:jc w:val="both"/>
        <w:ind w:right="80"/>
        <w:spacing w:after="0" w:line="286" w:lineRule="auto"/>
        <w:rPr>
          <w:sz w:val="20"/>
          <w:szCs w:val="20"/>
          <w:color w:val="auto"/>
        </w:rPr>
      </w:pPr>
      <w:r>
        <w:rPr>
          <w:rFonts w:ascii="Arial" w:cs="Arial" w:eastAsia="Arial" w:hAnsi="Arial"/>
          <w:sz w:val="17"/>
          <w:szCs w:val="17"/>
          <w:color w:val="auto"/>
        </w:rPr>
        <w:t>Under Schlumberger’s articles of incorporation, Schlumberger’s entire board of directors stands for reelection each year.</w:t>
      </w:r>
    </w:p>
    <w:p>
      <w:pPr>
        <w:spacing w:after="0" w:line="5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Schlumberger’s articles of incorporation, directors are elected at a general meeting of stockholders by a majority of votes cast by stockholders entitled to vote, meaning that the number of votes cast “for” a director must exceed the number of votes cast “against” that director. In certain contested elections, directors are elected by a plurality of the votes cast.</w:t>
      </w:r>
    </w:p>
    <w:p>
      <w:pPr>
        <w:spacing w:after="0" w:line="54" w:lineRule="exact"/>
        <w:rPr>
          <w:sz w:val="20"/>
          <w:szCs w:val="20"/>
          <w:color w:val="auto"/>
        </w:rPr>
      </w:pPr>
    </w:p>
    <w:p>
      <w:pPr>
        <w:sectPr>
          <w:pgSz w:w="11900" w:h="16838" w:orient="portrait"/>
          <w:cols w:equalWidth="0" w:num="2">
            <w:col w:w="7740" w:space="16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number of directors on Cameron’s board of</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directors is set at between five and 15 by</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 exact number of directors is determined from</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time to time by resolution adopted by a majority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 the Cameron board of directors.</w:t>
      </w:r>
    </w:p>
    <w:p>
      <w:pPr>
        <w:spacing w:after="0" w:line="20" w:lineRule="exact"/>
        <w:rPr>
          <w:sz w:val="20"/>
          <w:szCs w:val="20"/>
          <w:color w:val="auto"/>
        </w:rPr>
      </w:pPr>
      <w:r>
        <w:rPr>
          <w:sz w:val="20"/>
          <w:szCs w:val="20"/>
          <w:color w:val="auto"/>
        </w:rPr>
        <w:br w:type="column"/>
      </w:r>
    </w:p>
    <w:p>
      <w:pPr>
        <w:ind w:right="160"/>
        <w:spacing w:after="0" w:line="297" w:lineRule="auto"/>
        <w:rPr>
          <w:sz w:val="20"/>
          <w:szCs w:val="20"/>
          <w:color w:val="auto"/>
        </w:rPr>
      </w:pPr>
      <w:r>
        <w:rPr>
          <w:rFonts w:ascii="Arial" w:cs="Arial" w:eastAsia="Arial" w:hAnsi="Arial"/>
          <w:sz w:val="16"/>
          <w:szCs w:val="16"/>
          <w:color w:val="auto"/>
        </w:rPr>
        <w:t>The number of directors on Schlumberger’s board of directors is set at between five and 24 by Schlumberger’s articles of incorporation, as fixed and elected by the general meeting of Schlumberger stockholders.</w:t>
      </w:r>
    </w:p>
    <w:p>
      <w:pPr>
        <w:spacing w:after="0" w:line="396" w:lineRule="exact"/>
        <w:rPr>
          <w:sz w:val="20"/>
          <w:szCs w:val="20"/>
          <w:color w:val="auto"/>
        </w:rPr>
      </w:pPr>
    </w:p>
    <w:p>
      <w:pPr>
        <w:sectPr>
          <w:pgSz w:w="11900" w:h="16838" w:orient="portrait"/>
          <w:cols w:equalWidth="0" w:num="2">
            <w:col w:w="7720" w:space="18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Cameron’s restated certificate of incorporation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provides that a director may be removed only for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ind w:right="320"/>
        <w:spacing w:after="0" w:line="342" w:lineRule="auto"/>
        <w:rPr>
          <w:sz w:val="20"/>
          <w:szCs w:val="20"/>
          <w:color w:val="auto"/>
        </w:rPr>
      </w:pPr>
      <w:r>
        <w:rPr>
          <w:rFonts w:ascii="Arial" w:cs="Arial" w:eastAsia="Arial" w:hAnsi="Arial"/>
          <w:sz w:val="16"/>
          <w:szCs w:val="16"/>
          <w:color w:val="auto"/>
        </w:rPr>
        <w:t>Schlumberger’s articles of incorporation and Curaçao law provide that a director may be</w:t>
      </w:r>
    </w:p>
    <w:p>
      <w:pPr>
        <w:sectPr>
          <w:pgSz w:w="11900" w:h="16838" w:orient="portrait"/>
          <w:cols w:equalWidth="0" w:num="2">
            <w:col w:w="7660" w:space="240"/>
            <w:col w:w="3520"/>
          </w:cols>
          <w:pgMar w:left="240" w:top="459" w:right="2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120" w:type="dxa"/>
        <w:tblCellMar>
          <w:top w:w="0" w:type="dxa"/>
          <w:left w:w="0" w:type="dxa"/>
          <w:bottom w:w="0" w:type="dxa"/>
          <w:right w:w="0" w:type="dxa"/>
        </w:tblCellMar>
      </w:tblPr>
      <w:tr>
        <w:trPr>
          <w:trHeight w:val="185"/>
        </w:trPr>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Schlumberger Stockholder Rights</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w w:val="93"/>
              </w:rPr>
              <w:t>cause by holders of a majority of the outstanding</w:t>
            </w: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dismissed at any general meeting of</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3"/>
              </w:rPr>
              <w:t>shares entitled to vote generally in the election of</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stockholders.</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directors.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6"/>
          <w:szCs w:val="16"/>
          <w:b w:val="1"/>
          <w:bCs w:val="1"/>
          <w:color w:val="auto"/>
        </w:rPr>
        <w:t>Vacancies on the Board of Directors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Under Cameron’s restated certificate of incorporation and bylaws, any vacancy on the board of directors may be filled by a majority of the directors then in office, even if less than a quorum, or by a sole remaining director, which director will hold office for a term expiring at the next succeeding annual meeting of stockholders and until his or her successor has been elected and qualified.</w:t>
      </w:r>
    </w:p>
    <w:p>
      <w:pPr>
        <w:spacing w:after="0" w:line="8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Cameron’s bylaws contain no citizenship requirements for directors.</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Under Schlumberger’s articles of incorporation, the board of directors generally has the authority to appoint directors to fill any vacancies on the board to hold office until the next general meeting of Schlumberger’s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Under Schlumberger’s by-laws, each quorum of the board of directors shall be constituted of a majority of non-U.S. citizens.</w:t>
      </w:r>
    </w:p>
    <w:p>
      <w:pPr>
        <w:spacing w:after="0" w:line="53" w:lineRule="exact"/>
        <w:rPr>
          <w:sz w:val="20"/>
          <w:szCs w:val="20"/>
          <w:color w:val="auto"/>
        </w:rPr>
      </w:pPr>
    </w:p>
    <w:p>
      <w:pPr>
        <w:sectPr>
          <w:pgSz w:w="11900" w:h="16838" w:orient="portrait"/>
          <w:cols w:equalWidth="0" w:num="3">
            <w:col w:w="3400" w:space="720"/>
            <w:col w:w="3640" w:space="140"/>
            <w:col w:w="3520"/>
          </w:cols>
          <w:pgMar w:left="240" w:top="459" w:right="23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Notice of Stockholder Proposals or Nominations of Director Candidates by Stockholders</w:t>
      </w:r>
    </w:p>
    <w:p>
      <w:pPr>
        <w:spacing w:after="0" w:line="20" w:lineRule="exact"/>
        <w:rPr>
          <w:sz w:val="20"/>
          <w:szCs w:val="20"/>
          <w:color w:val="auto"/>
        </w:rPr>
      </w:pPr>
      <w:r>
        <w:rPr>
          <w:sz w:val="20"/>
          <w:szCs w:val="20"/>
          <w:color w:val="auto"/>
        </w:rPr>
        <w:br w:type="column"/>
      </w:r>
    </w:p>
    <w:p>
      <w:pPr>
        <w:ind w:right="100"/>
        <w:spacing w:after="0" w:line="297" w:lineRule="auto"/>
        <w:rPr>
          <w:sz w:val="20"/>
          <w:szCs w:val="20"/>
          <w:color w:val="auto"/>
        </w:rPr>
      </w:pPr>
      <w:r>
        <w:rPr>
          <w:rFonts w:ascii="Arial" w:cs="Arial" w:eastAsia="Arial" w:hAnsi="Arial"/>
          <w:sz w:val="16"/>
          <w:szCs w:val="16"/>
          <w:color w:val="auto"/>
        </w:rPr>
        <w:t>Cameron’s bylaws generally permit stockholders to nominate director candidates or propose other proper business if the stockholder intending to make such nomination or proposal gives timely notice thereof in writing in proper form.</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 director nomination to be timely, Cameron’s bylaws require, subject to certain limited exceptions, that written notice of the nomination of a director candidate be received by Cameron’s Secretary not less than 60 days nor more than 90 days prior to the first anniversary of the previous year’s annual meeting.</w:t>
      </w:r>
    </w:p>
    <w:p>
      <w:pPr>
        <w:spacing w:after="0" w:line="7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proposals of any other proper business to be timely, Cameron’s bylaws require, subject to certain limited exceptions, that written notice of such other proper business be received by Cameron’s Secretary not less than 90 days nor more than 120 days prior to the first anniversary of the previous year’s annual meeting.</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None of Schlumberger’s articles of incorporation and by-laws, nor Curaçao law contain any specific provisions that govern the submission of director nominations or other proposals by stockholders. As described above, special general meetings of stockholders may be called by one or more Schlumberger stockholders representing at least 10% of the votes that can be cast on the topics they wish addressed at such meeting.</w:t>
      </w:r>
    </w:p>
    <w:p>
      <w:pPr>
        <w:sectPr>
          <w:pgSz w:w="11900" w:h="16838" w:orient="portrait"/>
          <w:cols w:equalWidth="0" w:num="3">
            <w:col w:w="3900" w:space="220"/>
            <w:col w:w="3620" w:space="160"/>
            <w:col w:w="3520"/>
          </w:cols>
          <w:pgMar w:left="240" w:top="459" w:right="239" w:bottom="1440" w:gutter="0" w:footer="0" w:header="0"/>
          <w:type w:val="continuous"/>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40"/>
          </w:cols>
          <w:pgMar w:left="240" w:top="459" w:right="31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Amendment of Governing Documents</w:t>
            </w: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Under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incorporation and bylaws, subject to certain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exceptions, an affirmative vote of the holders of at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least 80% of the outstanding voting stock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Cameron is necessary to amend the following</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provisions of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incorporation and bylaws: (1) provisions in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certificate of incorporation described under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“Special Vote Requirement for Certain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Combinations with Interested Shareholders,”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unless such change is recommended by 2/3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directors who would be “continuing directors”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under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incorporation and (2) provisions in the certificate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of incorporation and bylaws regarding the number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of directors, director elections, director removal,</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director vacancies, stockholder action by written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consent or special meetings of the stockholders.</w:t>
            </w:r>
          </w:p>
        </w:tc>
        <w:tc>
          <w:tcPr>
            <w:tcW w:w="0" w:type="dxa"/>
            <w:vAlign w:val="bottom"/>
          </w:tcPr>
          <w:p>
            <w:pPr>
              <w:spacing w:after="0"/>
              <w:rPr>
                <w:sz w:val="1"/>
                <w:szCs w:val="1"/>
                <w:color w:val="auto"/>
              </w:rPr>
            </w:pP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The approval of the board of directors and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approval of the holders of a majority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outstanding stock entitled to vote on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amendment is required to amend any certificate of</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incorporation provision not listed above.</w:t>
            </w:r>
          </w:p>
        </w:tc>
        <w:tc>
          <w:tcPr>
            <w:tcW w:w="0" w:type="dxa"/>
            <w:vAlign w:val="bottom"/>
          </w:tcPr>
          <w:p>
            <w:pPr>
              <w:spacing w:after="0"/>
              <w:rPr>
                <w:sz w:val="1"/>
                <w:szCs w:val="1"/>
                <w:color w:val="auto"/>
              </w:rPr>
            </w:pP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 approval of the holders of 2/3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outstanding voting stock or a majority of the board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of directors then in office is required to amend any</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Cameron bylaw provision not listed above.</w:t>
            </w:r>
          </w:p>
        </w:tc>
        <w:tc>
          <w:tcPr>
            <w:tcW w:w="0" w:type="dxa"/>
            <w:vAlign w:val="bottom"/>
          </w:tcPr>
          <w:p>
            <w:pPr>
              <w:spacing w:after="0"/>
              <w:rPr>
                <w:sz w:val="1"/>
                <w:szCs w:val="1"/>
                <w:color w:val="auto"/>
              </w:rPr>
            </w:pPr>
          </w:p>
        </w:tc>
      </w:tr>
      <w:tr>
        <w:trPr>
          <w:trHeight w:val="310"/>
        </w:trPr>
        <w:tc>
          <w:tcPr>
            <w:tcW w:w="4120" w:type="dxa"/>
            <w:vAlign w:val="bottom"/>
          </w:tcPr>
          <w:p>
            <w:pPr>
              <w:spacing w:after="0"/>
              <w:rPr>
                <w:sz w:val="20"/>
                <w:szCs w:val="20"/>
                <w:color w:val="auto"/>
              </w:rPr>
            </w:pPr>
            <w:r>
              <w:rPr>
                <w:rFonts w:ascii="Arial" w:cs="Arial" w:eastAsia="Arial" w:hAnsi="Arial"/>
                <w:sz w:val="18"/>
                <w:szCs w:val="18"/>
                <w:b w:val="1"/>
                <w:bCs w:val="1"/>
                <w:color w:val="auto"/>
              </w:rPr>
              <w:t>Financial Statements; Dividends</w:t>
            </w:r>
          </w:p>
        </w:tc>
        <w:tc>
          <w:tcPr>
            <w:tcW w:w="3660" w:type="dxa"/>
            <w:vAlign w:val="bottom"/>
          </w:tcPr>
          <w:p>
            <w:pPr>
              <w:spacing w:after="0"/>
              <w:rPr>
                <w:sz w:val="20"/>
                <w:szCs w:val="20"/>
                <w:color w:val="auto"/>
              </w:rPr>
            </w:pPr>
            <w:r>
              <w:rPr>
                <w:rFonts w:ascii="Arial" w:cs="Arial" w:eastAsia="Arial" w:hAnsi="Arial"/>
                <w:sz w:val="18"/>
                <w:szCs w:val="18"/>
                <w:color w:val="auto"/>
              </w:rPr>
              <w:t>Cameron is not required to present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its financial statements or proposed dividends to</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its stockholders for inspection or approval.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None of Schlumberger’s articles of incorporation and by-laws nor Curaçao law require a supermajority vote to approve the amendment of any specific provisions of such documents. The vote of a majority of the outstanding voting stock will suffice to approve an amendment to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Schlumberger’s by-laws may be amended only by the vote of a majority of the board of directors.</w:t>
      </w: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Curaçao law and Schlumberger’s articles of incorporation, Schlumberger is required to present annually its financial statements and proposed dividends to its stockholders for inspection and approval.</w:t>
      </w:r>
    </w:p>
    <w:p>
      <w:pPr>
        <w:spacing w:after="0" w:line="76" w:lineRule="exact"/>
        <w:rPr>
          <w:sz w:val="20"/>
          <w:szCs w:val="20"/>
          <w:color w:val="auto"/>
        </w:rPr>
      </w:pPr>
    </w:p>
    <w:p>
      <w:pPr>
        <w:sectPr>
          <w:pgSz w:w="11900" w:h="16838" w:orient="portrait"/>
          <w:cols w:equalWidth="0" w:num="2">
            <w:col w:w="7780" w:space="120"/>
            <w:col w:w="3440"/>
          </w:cols>
          <w:pgMar w:left="240" w:top="459" w:right="31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Change of Domicile</w:t>
      </w:r>
      <w:r>
        <w:rPr>
          <w:sz w:val="20"/>
          <w:szCs w:val="20"/>
          <w:color w:val="auto"/>
        </w:rPr>
        <w:tab/>
      </w:r>
      <w:r>
        <w:rPr>
          <w:rFonts w:ascii="Arial" w:cs="Arial" w:eastAsia="Arial" w:hAnsi="Arial"/>
          <w:sz w:val="16"/>
          <w:szCs w:val="16"/>
          <w:color w:val="auto"/>
        </w:rPr>
        <w:t>Under Delaware law, approval of all stockholders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is required in connection with a change in a</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Under Schlumberger’s articles of incorporation, Schlumberger’s board of directors may transfer its</w:t>
      </w:r>
    </w:p>
    <w:p>
      <w:pPr>
        <w:sectPr>
          <w:pgSz w:w="11900" w:h="16838" w:orient="portrait"/>
          <w:cols w:equalWidth="0" w:num="2">
            <w:col w:w="7700" w:space="200"/>
            <w:col w:w="3440"/>
          </w:cols>
          <w:pgMar w:left="240" w:top="459" w:right="319" w:bottom="1440" w:gutter="0" w:footer="0" w:header="0"/>
          <w:type w:val="continuous"/>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corporation’s domicile from Delaware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conversion of the corporation into a legal entity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under the laws of another jurisdiction.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corporate seat to another jurisdiction,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Curaçao Ordinance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Transfer of Domicile to Third Countries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Landsverordening Zetelverplaatsing Derde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Landen</w:t>
      </w:r>
      <w:r>
        <w:rPr>
          <w:rFonts w:ascii="Arial" w:cs="Arial" w:eastAsia="Arial" w:hAnsi="Arial"/>
          <w:sz w:val="18"/>
          <w:szCs w:val="18"/>
          <w:color w:val="auto"/>
        </w:rPr>
        <w:t>). Under Curaçao law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Schlumberger’s articles of 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may be converted into a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under the laws of another jurisdiction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extent allowed by applicable law.</w:t>
      </w:r>
    </w:p>
    <w:p>
      <w:pPr>
        <w:spacing w:after="0" w:line="99" w:lineRule="exact"/>
        <w:rPr>
          <w:sz w:val="20"/>
          <w:szCs w:val="20"/>
          <w:color w:val="auto"/>
        </w:rPr>
      </w:pPr>
    </w:p>
    <w:p>
      <w:pPr>
        <w:sectPr>
          <w:pgSz w:w="11900" w:h="16838" w:orient="portrait"/>
          <w:cols w:equalWidth="0" w:num="2">
            <w:col w:w="7560" w:space="340"/>
            <w:col w:w="35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Short-Form Merger; Buy-Out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Stockholder Approval Required for Mergers, Consolidations or Certain Dispositions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Under Delaware law, the owner or owners of at least 90% of a corporation’s outstanding equity may effect a “short-form” merger without the vote of the acquired corporation’s board of directors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Section 251 of the General Corporation Law of the State of Delaware, a merger, consolidation or sale of all or substantially all of a corporation’s assets must be approved by the board of directors and by a majority of the outstanding stock of the corporation entitled to vote thereon. However, no vote of stockholders of a constituent corporation surviving a merger is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Curaçao law. In order to effect a compulsory share transfer, the owner or owners of at least 90% of Schlumberger’s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Curaçao law, and in addition to other requirements under Curaçao law, a resolution to merge must be adopted by the general meetings of stockholders of the merging companies. The resolution to merge must be adopted in the same manner and by the same majority as a resolution to amend the articles of incorporation, unless the articles of incorporation provide for a</w:t>
      </w:r>
    </w:p>
    <w:p>
      <w:pPr>
        <w:sectPr>
          <w:pgSz w:w="11900" w:h="16838" w:orient="portrait"/>
          <w:cols w:equalWidth="0" w:num="3">
            <w:col w:w="3480" w:space="640"/>
            <w:col w:w="3640" w:space="140"/>
            <w:col w:w="3520"/>
          </w:cols>
          <w:pgMar w:left="240" w:top="45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-627380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wp:posOffset>
            </wp:positionV>
            <wp:extent cx="23241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required, unless the corporation provides otherwise in its certificate of incorporation, if: (1) the merger agreement does not amend the certificate of incorporation of the surviving corporation; (2) each share of stock of the surviving corporation outstanding before the merger is an identical outstanding or treasury share after the merger; and (3) either no shares of common stock of the surviving corporation are to be issued or delivered pursuant to the merger or, if such common stock will be issued or delivered, it will not increase the number of shares of common stock outstanding immediately before the merger by more than 20%.</w:t>
      </w:r>
    </w:p>
    <w:p>
      <w:pPr>
        <w:spacing w:after="0" w:line="2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Cameron’s restated certificate of incorporation, business combinations with a person who is a beneficial owner of 20% or more of the outstanding shares of Cameron common stock must be approved by the holders of at least 80% of the outstanding voting stock of Cameron, unless: (1) such business combination is expressly approved by 2/3 of the directors who would be “continuing directors” under Cameron’s restated certificate of incorporation or (2) both (a) the aggregate amount of consideration to be received in the business combination by holders of the common stock of Cameron, other than the related person involved in the business combination, is not less than the highest per share price paid by the related person in acquiring any of its holdings of Cameron common stock (all as determined by 2/3 of the “continuing directors”) and (b) a proxy statement is mailed at least 30 days prior to any vote on the business combination, to all</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different standard. Schlumberger’s articles of incorporation do not provide for a different standard.</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Unless otherwise provided by the articles of incorporation (Schlumberger’s articles of incorporation do not provide otherwise), and provided certain requirements under Curaçao law are met, a resolution to merge may also be adopted by the board of directors of the surviving company, in which case adoption of the resolution to merge by the general meeting of stockholders of the surviving company, as described above, is not required.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 not subject to such a provision.</w:t>
      </w:r>
    </w:p>
    <w:p>
      <w:pPr>
        <w:sectPr>
          <w:pgSz w:w="11900" w:h="16838" w:orient="portrait"/>
          <w:cols w:equalWidth="0" w:num="3">
            <w:col w:w="3740" w:space="380"/>
            <w:col w:w="3640" w:space="140"/>
            <w:col w:w="34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stockholders of Cameron for the purpose of</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soliciting stockholder approval of the business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combination.</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Additionally, Cameron is subject to the provisions</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of Section 203 of the General Corporation Law of</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the State of Delaware. Under Section 203,</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Cameron generally would be prohibited from</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engaging in any business combination with any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interested stockholder for a period of three years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following the time that the stockholder became an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interested stockholder unless:</w:t>
      </w:r>
    </w:p>
    <w:p>
      <w:pPr>
        <w:spacing w:after="0" w:line="116"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prior to this time, the Cameron board of</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directors approved either the business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combination or the transaction that resulted</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in the stockholder becoming an interested</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stockholder;</w:t>
      </w:r>
    </w:p>
    <w:p>
      <w:pPr>
        <w:spacing w:after="0" w:line="116"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upon consummation of the transaction that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resulted in the stockholder becoming an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interested stockholder, the interested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stockholder owned at least 85% of</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Cameron’s voting stock outstanding at the</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time the transaction commenced, excluding</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shares owned by persons who are directors</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 also officers, and by employee stock</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plans in which employee participants do not</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have the right to determine confidentially</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whether shares held subject to the plan will</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be tendered in a tender or exchange offer; or</w:t>
      </w:r>
    </w:p>
    <w:p>
      <w:pPr>
        <w:spacing w:after="0" w:line="139"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at or subsequent to such time, the business</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combination is approved by the Cameron</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board of directors and authorized at an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annual or special meeting of Cameron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stockholders, and not by written consent, by</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29845</wp:posOffset>
            </wp:positionV>
            <wp:extent cx="22383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2">
            <w:col w:w="7900" w:space="720"/>
            <w:col w:w="2080"/>
          </w:cols>
          <w:pgMar w:left="240" w:top="459" w:right="95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r>
      <w:tr>
        <w:trPr>
          <w:trHeight w:val="195"/>
        </w:trPr>
        <w:tc>
          <w:tcPr>
            <w:tcW w:w="41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affirmative vote of at least 66-2/3% of the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outstanding voting stock that is not owned by the</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Under Section 203, a “business combination”</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includes:</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  any merger or consolidation involving the</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6"/>
              </w:rPr>
              <w:t>corporation and the 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4"/>
              </w:rPr>
              <w:t>•  any sale, transfer, pledge or other disposition</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of 10% or more of a corporation’s assets</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involving the 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3"/>
              </w:rPr>
              <w:t>•  any transaction that results in the issuance or</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2"/>
              </w:rPr>
              <w:t>transfer by the corporation of any of its stock</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to the interested stockholder, subject to</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limited exceptions;</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4"/>
              </w:rPr>
              <w:t>•  any transaction involving the corporation that</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2"/>
              </w:rPr>
              <w:t>has the effect of increasing the proportionate</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89"/>
              </w:rPr>
              <w:t>share of the stock of any class or series of the</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corporation’s capital stock beneficially</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owned by the interested stockholder; or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9"/>
              </w:rPr>
              <w:t>•  the receipt by the interested stockholder of</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the benefit of any loans, advances,</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guarantees, pledges or other financial</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benefits provided by or through the</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 general, Section 203 defines an “interested</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stockholder” as any entity or person beneficially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owning 15% or more of the corporation’s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outstanding voting stock and any entity or person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affiliated with or controlling or controlled by such</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entity or person.</w:t>
            </w:r>
          </w:p>
        </w:tc>
      </w:tr>
      <w:tr>
        <w:trPr>
          <w:trHeight w:val="323"/>
        </w:trPr>
        <w:tc>
          <w:tcPr>
            <w:tcW w:w="4120" w:type="dxa"/>
            <w:vAlign w:val="bottom"/>
          </w:tcPr>
          <w:p>
            <w:pPr>
              <w:spacing w:after="0"/>
              <w:rPr>
                <w:sz w:val="20"/>
                <w:szCs w:val="20"/>
                <w:color w:val="auto"/>
              </w:rPr>
            </w:pPr>
            <w:r>
              <w:rPr>
                <w:rFonts w:ascii="Arial" w:cs="Arial" w:eastAsia="Arial" w:hAnsi="Arial"/>
                <w:sz w:val="18"/>
                <w:szCs w:val="18"/>
                <w:b w:val="1"/>
                <w:bCs w:val="1"/>
                <w:color w:val="auto"/>
              </w:rPr>
              <w:t>Appraisal Rights</w:t>
            </w:r>
          </w:p>
        </w:tc>
        <w:tc>
          <w:tcPr>
            <w:tcW w:w="3660" w:type="dxa"/>
            <w:vAlign w:val="bottom"/>
          </w:tcPr>
          <w:p>
            <w:pPr>
              <w:spacing w:after="0"/>
              <w:rPr>
                <w:sz w:val="20"/>
                <w:szCs w:val="20"/>
                <w:color w:val="auto"/>
              </w:rPr>
            </w:pPr>
            <w:r>
              <w:rPr>
                <w:rFonts w:ascii="Arial" w:cs="Arial" w:eastAsia="Arial" w:hAnsi="Arial"/>
                <w:sz w:val="18"/>
                <w:szCs w:val="18"/>
                <w:color w:val="auto"/>
              </w:rPr>
              <w:t>Under Delaware law, when a corporation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participates in certain mergers or consolidations, a</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stockholder of the corporation may, in various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circumstances, be entitled to the right of appraisal,</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by</w:t>
            </w:r>
          </w:p>
        </w:tc>
      </w:tr>
      <w:tr>
        <w:trPr>
          <w:trHeight w:val="365"/>
        </w:trPr>
        <w:tc>
          <w:tcPr>
            <w:tcW w:w="412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of Schlumberger common stock are not granted appraisal rights under Curaçao law.</w:t>
      </w:r>
    </w:p>
    <w:p>
      <w:pPr>
        <w:sectPr>
          <w:pgSz w:w="11900" w:h="16838" w:orient="portrait"/>
          <w:cols w:equalWidth="0" w:num="2">
            <w:col w:w="7780" w:space="120"/>
            <w:col w:w="3320"/>
          </w:cols>
          <w:pgMar w:left="240" w:top="459" w:right="439" w:bottom="1440" w:gutter="0" w:footer="0" w:header="0"/>
          <w:type w:val="continuous"/>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r>
      <w:tr>
        <w:trPr>
          <w:trHeight w:val="195"/>
        </w:trPr>
        <w:tc>
          <w:tcPr>
            <w:tcW w:w="41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w w:val="97"/>
              </w:rPr>
              <w:t>which the stockholder, after properly exercising</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such appraisal rights, will be entitled to receive in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7"/>
              </w:rPr>
              <w:t>cash the “fair value” of the shares held by such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2"/>
              </w:rPr>
              <w:t>stockholder as determined by the Delaware Court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Chancery, in lieu of the consideration that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would otherwise be received as a result of the</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merger.</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Under the General Corporation Law of the State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Delaware, appraisal is not available with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respect to shares that are listed on a national</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2"/>
              </w:rPr>
              <w:t>securities exchange or that are held by more than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2,000 stockholders of record. However, this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“market out” exception to appraisal does not apply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if the holders of such shares are required by the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terms of the merger to accept for such shares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anything other than shares of the surviving</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corporation, shares of any other corporation that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would satisfy the exception’s listing or liquidity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standards, cash in lieu of fractional shares or any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combination of the preceding forms of</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consideration.</w:t>
            </w:r>
          </w:p>
        </w:tc>
      </w:tr>
      <w:tr>
        <w:trPr>
          <w:trHeight w:val="319"/>
        </w:trPr>
        <w:tc>
          <w:tcPr>
            <w:tcW w:w="4120" w:type="dxa"/>
            <w:vAlign w:val="bottom"/>
          </w:tcPr>
          <w:p>
            <w:pPr>
              <w:spacing w:after="0"/>
              <w:rPr>
                <w:sz w:val="20"/>
                <w:szCs w:val="20"/>
                <w:color w:val="auto"/>
              </w:rPr>
            </w:pPr>
            <w:r>
              <w:rPr>
                <w:rFonts w:ascii="Arial" w:cs="Arial" w:eastAsia="Arial" w:hAnsi="Arial"/>
                <w:sz w:val="18"/>
                <w:szCs w:val="18"/>
                <w:b w:val="1"/>
                <w:bCs w:val="1"/>
                <w:color w:val="auto"/>
              </w:rPr>
              <w:t>Limitation of Liability and Indemnification of</w:t>
            </w:r>
          </w:p>
        </w:tc>
        <w:tc>
          <w:tcPr>
            <w:tcW w:w="3660" w:type="dxa"/>
            <w:vAlign w:val="bottom"/>
          </w:tcPr>
          <w:p>
            <w:pPr>
              <w:spacing w:after="0"/>
              <w:rPr>
                <w:sz w:val="20"/>
                <w:szCs w:val="20"/>
                <w:color w:val="auto"/>
              </w:rPr>
            </w:pPr>
            <w:r>
              <w:rPr>
                <w:rFonts w:ascii="Arial" w:cs="Arial" w:eastAsia="Arial" w:hAnsi="Arial"/>
                <w:sz w:val="18"/>
                <w:szCs w:val="18"/>
                <w:color w:val="auto"/>
                <w:w w:val="98"/>
              </w:rPr>
              <w:t>Cameron’s restated certificate of incorporation</w:t>
            </w:r>
          </w:p>
        </w:tc>
      </w:t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3660" w:type="dxa"/>
            <w:vAlign w:val="bottom"/>
          </w:tcPr>
          <w:p>
            <w:pPr>
              <w:spacing w:after="0"/>
              <w:rPr>
                <w:sz w:val="20"/>
                <w:szCs w:val="20"/>
                <w:color w:val="auto"/>
              </w:rPr>
            </w:pPr>
            <w:r>
              <w:rPr>
                <w:rFonts w:ascii="Arial" w:cs="Arial" w:eastAsia="Arial" w:hAnsi="Arial"/>
                <w:sz w:val="18"/>
                <w:szCs w:val="18"/>
                <w:color w:val="auto"/>
                <w:w w:val="95"/>
              </w:rPr>
              <w:t>provides that a director of Cameron shall not be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personally liable for monetary damages for breach</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a fiduciary duty except for liability:</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(a) for any breach of the director’s duty of loyalty</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 Cameron or its stockholders;</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 for acts or omissions not in good faith or</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which involve intentional misconduct or a</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knowing violation of law;</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 pursuant to Section 174 of the General</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Corporation Law of the State of Delaware (which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addresses unlawful payments of dividends, certain</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 purchases or redemptions); or</w:t>
            </w:r>
          </w:p>
        </w:tc>
      </w:tr>
      <w:tr>
        <w:trPr>
          <w:trHeight w:val="864"/>
        </w:trPr>
        <w:tc>
          <w:tcPr>
            <w:tcW w:w="412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Schlumberger’s articles of incorporation and by-laws provide that 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such person is or was a director or officer of Schlumberger or any subsidiary of Schlumberger is or was serving at the request of Schlumberger, if such person acted in good faith and in a manner such person reasonably believed to be in or not opposed to the best interests</w:t>
      </w:r>
    </w:p>
    <w:p>
      <w:pPr>
        <w:sectPr>
          <w:pgSz w:w="11900" w:h="16838" w:orient="portrait"/>
          <w:cols w:equalWidth="0" w:num="2">
            <w:col w:w="7780" w:space="120"/>
            <w:col w:w="3520"/>
          </w:cols>
          <w:pgMar w:left="240" w:top="459" w:right="239" w:bottom="1440" w:gutter="0" w:footer="0" w:header="0"/>
          <w:type w:val="continuous"/>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right="300" w:firstLine="7"/>
        <w:spacing w:after="0" w:line="339" w:lineRule="auto"/>
        <w:tabs>
          <w:tab w:leader="none" w:pos="437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and bylaws require Cameron to indemnify, to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fullest extent permitted by Delaware law, each</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person who is or was made a party or is threatened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to be made a party to or involved in any actual or</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threatened civil, criminal, administrative 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investigative action, suit or proceeding by reason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the fact that the person is or was an officer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director of Cameron or is or was serving at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request of Cameron as a director, officer,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employee, or agent of another enterprise.</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Delaware law enables a corporation to indemnify</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 director as provided for in Cameron’s bylaws.</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 may indemnify officers and directors in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an action by or in the right of Cameron under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same conditions, except that no indemnification is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permitted without judicial approval if the officer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or director is adjudged to be liable to Cameron.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The indemnification permitted under Cameron’s</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restated certificate of incorporation is not</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exclusive, and Cameron may purchase and</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maintain insurance on behalf of any person who is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or was a director, officer, employee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of Schlumberger, and, with respect to any criminal action or proceeding, had no reasonable cause to believe that such person’s conduct was unlawful.</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Curaçao law enables a corporation to indemnify a director as provided for in Schlumberger’s by-laws.</w:t>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of Schlumberger in an action in the right of the company to procure a judgment in Schlumberger’s favor under the same conditions,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indemnification permitted under Schlumberger’s by-laws is not exclusive, and Schlumberger may purchase and maintain insurance against liabilities, whether or not indemnification would be permitted by its by-laws.</w:t>
      </w:r>
    </w:p>
    <w:p>
      <w:pPr>
        <w:sectPr>
          <w:pgSz w:w="11900" w:h="16838" w:orient="portrait"/>
          <w:cols w:equalWidth="0" w:num="2">
            <w:col w:w="7780" w:space="120"/>
            <w:col w:w="35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or agent of Cameron, or is serving at the request</w:t>
      </w:r>
    </w:p>
    <w:p>
      <w:pPr>
        <w:spacing w:after="0" w:line="44"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Cameron as a director, officer, employee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agent of another enterprise against any liability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asserted against him and incurred by him in any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such capacity, or arising out of his status as such.</w:t>
      </w:r>
    </w:p>
    <w:p>
      <w:pPr>
        <w:spacing w:after="0" w:line="122"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6"/>
          <w:szCs w:val="16"/>
          <w:color w:val="auto"/>
        </w:rPr>
        <w:t>Cameron has no shareholder rights plan.</w:t>
      </w:r>
    </w:p>
    <w:p>
      <w:pPr>
        <w:spacing w:after="0" w:line="3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Schlumberger maintains liability insurance for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no shareholder rights plan.</w:t>
      </w:r>
    </w:p>
    <w:p>
      <w:pPr>
        <w:sectPr>
          <w:pgSz w:w="11900" w:h="16838" w:orient="portrait"/>
          <w:cols w:equalWidth="0" w:num="2">
            <w:col w:w="7660" w:space="240"/>
            <w:col w:w="33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 OF CAMERON STOCKHOLDERS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holder of Cameron common stock does not vote for the proposal to adopt the merger agreement at the special meeting, and makes a written demand for appraisal prior to the taking of the vote on the adoption of the merger agreement and otherwise complies with the applicable statutory procedure of Section 262 of the DGCL, which we refer to as Section 262, summarized herein, such holder may be entitled to appraisal rights under Section 262. In order to exercise and perfect appraisal rights, a record holder of shares of Cameron common stock must follow the steps summarized below properly and in a timely manner.</w:t>
      </w:r>
    </w:p>
    <w:p>
      <w:pPr>
        <w:spacing w:after="0" w:line="18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Section 262 of the DGCL is reprinted in its entirety as Annex B to this proxy statement/prospectus. Set forth below is a summary description of Section 262. The following summary describes the material aspects of Section 262 and the law relating to appraisal rights, and is qualified in its entirety by reference to Annex B. All references in Section 262 and this summary to “stockholder” are to the record holder of shares of Cameron common stock. Any holder of Cameron common stock who wishes to exercise appraisal rights, or who wishes to preserve such holder’s right to do so, should review the following discussion and Annex B carefully because failure to comply strictly with the procedures set forth in Section 262 will result in the loss of appraisal rights. The following summary does not constitute any legal or other advice nor does it constitute a recommendation that stockholders exercise their appraisal rights under Section 262.</w:t>
      </w:r>
    </w:p>
    <w:p>
      <w:pPr>
        <w:spacing w:after="0" w:line="17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DGCL, holders of Cameron common stock who follow the procedures set forth in Section 262 of the DGCL will be entitled, in lieu of receiving the merger consideration, to have the “fair value” of their shares at the effective time of the merger (exclusive of any element of value arising from the accomplishment or expectation of the merger) determined by the Delaware Court of Chancery and paid to them in cash together with a fair rate of interest, if any, to be paid on the amount determined to be the “fair value,” unless the Delaware Court of Chancery in its discretion determines otherwise for good cause shown, by complying with the provisions of Section 262.</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Under Section 262, when a merger agreement relating to a proposed merger is to be submitted for adoption at a meeting of stockholders, as in the case of the special meeting, the corporation, not less than 20 days prior to such meeting, must notify each of its stockholders who was a stockholder on the record date for notice of such meeting with respect to such shares for which appraisal rights are available that appraisal rights are so available, and must include in each such notice a copy of Section 262. This proxy statement/prospectus constitutes such notice to the holders of Cameron common stock and Section 262 is attached to this proxy statement/prospectus as Annex B and incorporated herein by reference. Any stockholder who wishes to exercise such appraisal rights or who wishes to preserve his or her right to do so should review the following discussion and Annex B carefully, because failure to timely and properly comply with the procedures specified will result in the loss of appraisal rights under the DGCL. Moreover, because of the complexity of the procedures for exercising the right to seek appraisal of shares of Cameron common stock, Cameron believes that if a stockholder considers exercising such rights, such stockholder should seek the advice of legal counsel.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record who desire to exercise their appraisal rights must satisfy all of the following conditions: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 stockholder who desires to exercise appraisal rights must (1) not vote in favor of the proposal to adopt the merger agreement, (2) deliver in the manner set forth below a written demand for appraisal of the stockholder’s shares of Cameron common stock to the Corporate Secretary of Cameron before the vote on the proposal to adopt the merger agreement at the special meeting at which the proposal to adopt the merger agreement will be submitted to Cameron stockholders and (3) continuously hold such stockholder’s shares of Cameron common stock through the effective time of the merger.</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a stockholder signs and returns a proxy card or submits a proxy via the Internet or telephone without abstaining or expressly directing that his, her or its shares of Cameron common stock be voted against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proposal to adopt the merger agreement, such stockholder will effectively waive his, her or its appraisal rights with respect to shares represented by the proxy because such shares will be voted in favor of the proposal to adopt the merger agreement. Accordingly, if a stockholder desires to exercise and perfect appraisal rights with respect to any of his, her or its shares of Cameron common stock, such stockholder must either (1) refrain from voting in person or executing and returning the enclosed proxy card, or submitting a proxy via the Internet or by telephone, in each case in favor of the proposal to adopt the merger agreement or (2) vote in person or check either the “against” or the “abstain” box next to the proposal on such card or by submitting a proxy via the Internet or by telephone in each case against the proposal or register in person an abstention with respect thereto. A vote or proxy against the proposal to adopt the merger agreement will not, in and of itself, constitute a demand for appraisal.</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demand for appraisal will be sufficient if it reasonably informs Cameron of the identity of the stockholder and that such stockholder intends thereby to demand appraisal of such stockholder’s shares of Cameron common stock. This written demand for appraisal must be separate from any proxy or vote abstaining from or voting against the proposal to adopt the merger agreement.</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Only a holder of record of Cameron common stock is entitled to assert appraisal rights for the shares of Cameron common stock registered in that holder’s name, and such holder must continue to hold such shares through the effective time of the merger. A demand for appraisal must be executed by or on behalf of the stockholder of record, fully and correctly, as the stockholder’s name appears on the certificates representing shares or, in the case of uncertificated shares, as the stockholder’s name appears on the stockholder register, and must state that such person intends thereby to demand appraisal of his, her or its shares. If the shares are owned of record in a fiduciary capacity, such as by a broker, bank, trustee, guardian, custodian or other nominee, such demand must be executed by the fiduciary in its capacity as such. If shares are owned of record by more than one person, as in a joint tenancy or tenancy in common, the demand must be executed by or on behalf of all joint owners. An authorized agent, including an agent of two or more joint owners, may execute the demand for appraisal on behalf of a stockholder of record; however, the agent must identify the record owner or owners and expressly disclose that, in executing the demand, the agent is acting as agent for such owner or owners. In addition, the stockholder must continuously hold the shares of record from the date of making the demand through the effective time of the merger since appraisal rights will be lost if the shares are transferred prior to the effective time of the merger.</w:t>
      </w:r>
    </w:p>
    <w:p>
      <w:pPr>
        <w:spacing w:after="0" w:line="18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record owner, such as a broker, bank, trust or other nominee who holds shares as a nominee for several beneficial owners, may exercise appraisal rights with respect to the shares of Cameron common stock held for one or more beneficial owners while not exercising such right with respect to the shares held for other beneficial owners. In such case, the written demand must set forth the number of shares as to which appraisal is sought. If the number of shares of Cameron common stock is not expressly stated, the demand will be presumed to cover all shares held in the name of the record owner.</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Beneficial owners who are not record owners and who intend to exercise appraisal rights should instruct the record owner to comply strictly with the statutory requirements with respect to the exercise of appraisal rights before the vote on the proposal to adopt the merger agreement at the special meeting. A holder of shares held in “street name” who desires appraisal rights with respect to those shares must take such actions as may be necessary to ensure that a timely and proper demand for appraisal is made by the record owner of the shares. Shares held through brokerage firms, banks and other financial institutions are frequently deposited with and held of record in the name of a nominee of a central security depositary, such as Cede &amp; Co., The Depository Trust Company’s nominee. </w:t>
      </w:r>
      <w:r>
        <w:rPr>
          <w:rFonts w:ascii="Arial" w:cs="Arial" w:eastAsia="Arial" w:hAnsi="Arial"/>
          <w:sz w:val="16"/>
          <w:szCs w:val="16"/>
          <w:b w:val="1"/>
          <w:bCs w:val="1"/>
          <w:color w:val="auto"/>
        </w:rPr>
        <w:t>Any holder of shares desiring appraisal rights with respect to such shares who held such shares through a brokerage firm, bank</w:t>
      </w:r>
      <w:r>
        <w:rPr>
          <w:rFonts w:ascii="Arial" w:cs="Arial" w:eastAsia="Arial" w:hAnsi="Arial"/>
          <w:sz w:val="16"/>
          <w:szCs w:val="16"/>
          <w:color w:val="auto"/>
        </w:rPr>
        <w:t xml:space="preserve"> </w:t>
      </w:r>
      <w:r>
        <w:rPr>
          <w:rFonts w:ascii="Arial" w:cs="Arial" w:eastAsia="Arial" w:hAnsi="Arial"/>
          <w:sz w:val="16"/>
          <w:szCs w:val="16"/>
          <w:b w:val="1"/>
          <w:bCs w:val="1"/>
          <w:color w:val="auto"/>
        </w:rPr>
        <w:t>or other financial institution is responsible for ensuring that the demand for appraisal is made by the record holder. The stockholder should instruct such firm, bank or institution that the demand for appraisal must be made by the record holder of the shares, which might be the nominee of a central security depositary if the shares have been so deposited. Holders of shares in “street name” who wish to exercise appraisal rights are urged to consult with their broker, bank, trust or other nominee to determine the appropriate procedures for the making of a demand for appraisal.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required by Section 262, a demand for appraisal must be in writing and must reasonably inform Cameron of the identity of the record holder (which might be a nominee as described above) and of such holder’s intention to seek appraisal of such shares.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All written demands for appraisal of shares of Cameron common stock must be mailed or delivered to Cameron’s Corporate Secretary at Cameron’s principal executive offices at 1333 West Loop South, Suite 1700, Houston, Texas 77027, Attention: Corporate Secretary, prior to the vote on the proposal to adopt the merger agreement.</w:t>
      </w:r>
    </w:p>
    <w:p>
      <w:pPr>
        <w:spacing w:after="0" w:line="18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written demand for appraisal should specify the stockholder’s name and mailing address, the number of shares owned, and that the stockholder is demanding appraisal of his, her or its shares. The written demand must be received by Cameron prior to the taking of the vote on the proposal to adopt the merger agreement at the special meeting. Neither voting (in person or by proxy) against, abstaining from voting on or failing to vote on the proposal to adopt the merger agreement will alone suffice to constitute a written demand for appraisal within the meaning of Section 262. In addition, the stockholder must not vote its shares of Cameron common stock in favor of the proposal to adopt the merger agreement. Because a proxy that does not contain voting instructions will, unless revoked, be voted in favor of the proposal to adopt the merger agreement, it will constitute a waiver of the stockholder’s right of appraisal and will nullify any previously delivered written demand for appraisal. Therefore, a stockholder who votes by proxy and who wishes to exercise appraisal rights must vote against the proposal to adopt the merger agreement or abstain from voting on the merger agreement.</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Within ten days after the effective time of the merger, Cameron, as the surviving corporation in the merger, will notify each Cameron stockholder who has properly asserted appraisal rights under Section 262 and has not voted for the proposal to adopt the merger agreement as of the effective date of the merger. Within 120 days after the effective time of the merger, but not thereafter, either the surviving corporation in the merger or any stockholder who has timely and properly demanded appraisal of such stockholder’s shares and who has complied with the requirements of Section 262 and is otherwise entitled to appraisal rights, or any beneficial owner for which a demand for appraisal has been properly made by the record holder, may commence an appraisal proceeding by filing a petition in the Delaware Court of Chancery, with a copy served on the surviving corporation in the case of a petition filed by a stockholder, demanding a determination of the fair value of the shares of Cameron common stock of all stockholders who have properly demanded appraisal.</w:t>
      </w:r>
    </w:p>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There is no present intent on the part of the surviving corporation to file an appraisal petition and stockholders seeking to exercise appraisal rights should not assume that the surviving corporation will file such a petition or that the surviving corporation will initiate any negotiations with respect to the fair value of such shares. Accordingly, stockholders who desire to have their shares appraised should initiate any petitions necessary for the perfection of their appraisal rights within the time periods and in the manner prescribed in Section 262. Within 120 days after the effective time of the merger, any stockholder who has theretofore complied with the applicable provisions of Section 262 will be entitled, upon written request, to receive from the surviving corporation a statement setting forth the aggregate number of shares of Cameron common stock not voting in favor of the proposal to adopt the merger agreement and with respect to which demands for appraisal were received by the surviving corporation and the number of holders of such shares. A person who is the beneficial owner of shares held in a voting trust or by a nominee on behalf of such person may, in such person’s own name, file a petition or request from the corporation the statement described in the previous sentence. Such statement must be mailed within 10 days after the written request therefor has been received by the surviving corporation, or within 10 days after the expiration of the period for delivery of demands for appraisal, whichever is later.</w:t>
      </w:r>
    </w:p>
    <w:p>
      <w:pPr>
        <w:spacing w:after="0" w:line="16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If a petition for an appraisal is timely filed and a copy thereof is served upon Cameron, as the surviving corporation, Cameron, as the surviving corporation, will then be obligated, within 20 days, to file with the Delaware Register in Chancery a duly verified list containing the names and addresses of all stockholders who have demanded an appraisal of their shares and with whom agreements as to the value of their shares have not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been reached. After notice to the stockholders as required by the Delaware Court of Chancery, the Delaware Court of Chancery is empowered to conduct a hearing on such petition to determine those stockholders who have complied with Section 262 and who have become entitled to appraisal rights thereunder. The Delaware Court of Chancery may require the stockholders who demanded appraisal rights and who hold stock certificates representing shares of Cameron common stock to submit their stock certificates to the Register in Chancery for notation thereon of the pendency of the appraisal proceeding; and if any stockholder fails to comply with such direction, the Delaware Court of Chancery may dismiss the proceedings as to such stockholder.</w:t>
      </w:r>
    </w:p>
    <w:p>
      <w:pPr>
        <w:spacing w:after="0" w:line="158"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 xml:space="preserve">If a petition for an appraisal is timely filed, after a hearing on such petition, the Delaware Court of Chancery will determine which stockholders are entitled to appraisal rights. Thereafter, the appraisal proceeding will be conducted in accordance with the rules of the Delaware Court of Chancery, including any rules specifically governing appraisal proceedings. Through such proceeding, the Delaware Court of Chancery will determine the fair value of the shares exclusive of any element of value arising from the accomplishment or expectation of the merger, together with interest, if any, to be paid upon the amount determined to be the fair value. Unless the Delaware Court of Chancery in its discretion determines otherwise for good cause shown, interest from the effective date of the merger through the date of payment of the judgment shall be compounded quarterly and shall accrue at 5% over the Federal Reserve discount rate (including any surcharges) as established from time to time during the period between the effective date of the merger and the date of payment of the judgment. In determining fair value, the Delaware Court of Chancery is required to take into account all relevant factors. In </w:t>
      </w:r>
      <w:r>
        <w:rPr>
          <w:rFonts w:ascii="Arial" w:cs="Arial" w:eastAsia="Arial" w:hAnsi="Arial"/>
          <w:sz w:val="17"/>
          <w:szCs w:val="17"/>
          <w:i w:val="1"/>
          <w:iCs w:val="1"/>
          <w:color w:val="auto"/>
        </w:rPr>
        <w:t>Weinberger v. UOP, Inc.</w:t>
      </w:r>
      <w:r>
        <w:rPr>
          <w:rFonts w:ascii="Arial" w:cs="Arial" w:eastAsia="Arial" w:hAnsi="Arial"/>
          <w:sz w:val="17"/>
          <w:szCs w:val="17"/>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in </w:t>
      </w:r>
      <w:r>
        <w:rPr>
          <w:rFonts w:ascii="Arial" w:cs="Arial" w:eastAsia="Arial" w:hAnsi="Arial"/>
          <w:sz w:val="17"/>
          <w:szCs w:val="17"/>
          <w:i w:val="1"/>
          <w:iCs w:val="1"/>
          <w:color w:val="auto"/>
        </w:rPr>
        <w:t xml:space="preserve">Weinberger </w:t>
      </w:r>
      <w:r>
        <w:rPr>
          <w:rFonts w:ascii="Arial" w:cs="Arial" w:eastAsia="Arial" w:hAnsi="Arial"/>
          <w:sz w:val="17"/>
          <w:szCs w:val="17"/>
          <w:color w:val="auto"/>
        </w:rPr>
        <w:t>that in making this determination of fair value the court must consider “market value, asset value, dividends, earnings prospects, the nature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enterprise and any other facts which were known or which could be ascertained as of the date of merger which throw any light on future prospects of the merged corporation.” The Delaware Supreme Court construed Section 262 to mean that “elements of future value, including the nature of the enterprise, which are known or susceptible of proof as of the date of the merger and not the product of speculation, may be considered.” However, in </w:t>
      </w:r>
      <w:r>
        <w:rPr>
          <w:rFonts w:ascii="Arial" w:cs="Arial" w:eastAsia="Arial" w:hAnsi="Arial"/>
          <w:sz w:val="17"/>
          <w:szCs w:val="17"/>
          <w:i w:val="1"/>
          <w:iCs w:val="1"/>
          <w:color w:val="auto"/>
        </w:rPr>
        <w:t>Weinberger</w:t>
      </w:r>
      <w:r>
        <w:rPr>
          <w:rFonts w:ascii="Arial" w:cs="Arial" w:eastAsia="Arial" w:hAnsi="Arial"/>
          <w:sz w:val="17"/>
          <w:szCs w:val="17"/>
          <w:color w:val="auto"/>
        </w:rPr>
        <w:t xml:space="preserve"> the Delaware Supreme Court noted that Section 262 provides that fair value is to be determined “exclusive of any element of value arising from the accomplishment or expectation of the merger.” In </w:t>
      </w:r>
      <w:r>
        <w:rPr>
          <w:rFonts w:ascii="Arial" w:cs="Arial" w:eastAsia="Arial" w:hAnsi="Arial"/>
          <w:sz w:val="17"/>
          <w:szCs w:val="17"/>
          <w:i w:val="1"/>
          <w:iCs w:val="1"/>
          <w:color w:val="auto"/>
        </w:rPr>
        <w:t>Cede &amp; Co. v. Technicolor, Inc.</w:t>
      </w:r>
      <w:r>
        <w:rPr>
          <w:rFonts w:ascii="Arial" w:cs="Arial" w:eastAsia="Arial" w:hAnsi="Arial"/>
          <w:sz w:val="17"/>
          <w:szCs w:val="17"/>
          <w:color w:val="auto"/>
        </w:rPr>
        <w:t>, the Delaware Supreme Court stated that such exclusion is a “narrow exclusion [that] does not encompass known elements of value,” but which rather applies only to the speculative elements of value arising from such accomplishment or expectation. In addition, the Delaware courts have decided that the statutory appraisal remedy, depending on factual circumstances, may or may not be a dissenter’s exclusive remedy.</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Stockholders considering seeking appraisal should bear in mind that the fair value of their shares of Cameron common stock as determined under Section 262 could be more than, the same as, or less than the merger consideration they are entitled to receive pursuant to the merger agreement if they do not seek appraisal of their shares, and that opinions of investment banking firms as to the fairness from a financial point of view of the consideration payable in a transaction are not opinions as to, and do not address, fair value under Section 262. Although Cameron believes that the merger consideration is fair, no representation is made as to the outcome of the appraisal of fair value as determined by the Delaware Court of Chancery, and stockholders should recognize that such an appraisal could result in a determination of a value higher or lower than, or the same as, the merger consideration. Neither Schlumberger nor Cameron anticipates offering more than the applicable merger consideration to any Cameron stockholder exercising appraisal rights, and reserve the right to assert, in any appraisal proceeding, that for purposes of Section 262, the “fair value” of a share of Cameron common stock is less than the applicable merger consideration.</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Delaware Court of Chancery will direct the payment of the fair value of the shares of Cameron common stock for which appraisal rights have been properly exercised and perfected, together with interest, if any, by Cameron, as the surviving corporation, to the stockholders entitled thereto. The Delaware Court of Chancery will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determine the amount of interest, if any, to be paid on the amounts to be received by persons whose shares of Cameron common stock have been appraised. The cost of the appraisal proceeding may be determined by the Delaware Court of Chancery and charged upon the parties as the Delaware Court of Chancery deems equitable in the circumstances. However, costs do not include attorneys’ and expert witness fees and expenses. Each dissenting stockholder is responsible for his or her attorneys’ and expert witness fees although upon application of a stockholder seeking appraisal rights, the Delaware Court of Chancery may order that all or a portion of the expenses incurred by such stockholder in connection with the appraisal proceeding, including, without limitation, reasonable attorneys’ fees and the fees and expenses of experts, be charged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against the value of all shares entitled to appraisal. In the absence of such a determination of assessment, each party bears its own expenses.</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Any stockholder who has duly demanded and perfected appraisal in compliance with Section 262 will not, after the effective time of the merger, be entitled to vote for any purpose any shares subject to such demand or to receive payment of dividends or other distributions on such shares, except for dividends or distributions payable to stockholders of record at a date prior to the effective time of the merger.</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At any time within 60 days after the effective time of the merger, any stockholder who has demanded appraisal and who has not commenced an appraisal proceeding or joined that proceeding as a named party, shall have the right to withdraw such stockholder’s demand for appraisal and to accept the cash and Schlumberger common stock to which the stockholder is entitled pursuant to the merger agreement by delivering to the surviving corporation a written withdrawal of such stockholder’s demand for appraisal. After this period, the stockholder may withdraw such stockholder’s demand for appraisal only with the consent of the surviving corporation. If no petition for appraisal is filed with the Delaware Court of Chancery within 120 days after the effective time of the merger, a stockholder’s rights to appraisal shall cease and such stockholder shall be entitled only to receive the merger consideration as provided for in the merger agreement as if such stockholder had not demanded appraisal of the shares of Cameron common stock. Inasmuch as the parties to the merger agreement have no obligation to file such a petition, and have no present intention to do so, any stockholder who desires that such petition be filed is advised to file it on a timely basis. No appraisal proceeding in the Delaware Court of Chancery shall be dismissed as to any stockholders without the approval of the Delaware Court of Chancery, and that approval may be conditioned upon such terms as the Delaware Court of Chancery deems just. However, the preceding sentence will not affect the right of any stockholder who has not commenced an appraisal proceeding or joined the proceeding as a named party to withdraw such stockholder’s demand for appraisal and to accept the terms offered upon the merger within 60 days after the effective time of the merger. If the surviving corporation in the merger does not approve a request to withdraw a demand for appraisal when that approval is required, or, except with respect to any stockholder who withdraws such stockholder’s right to appraisal in accordance with the first sentence of this paragraph, if the Delaware Court of Chancery does not approve the dismissal of an appraisal proceeding, the stockholder will be entitled to receive only the appraised value determined in any such appraisal proceeding, which value could be less than, equal to or more than the consideration being offered pursuant to the merger agreement.</w:t>
      </w:r>
    </w:p>
    <w:p>
      <w:pPr>
        <w:spacing w:after="0" w:line="178"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Stockholders who properly demand appraisal of their shares of Cameron common stock under Section 262 and fail to perfect, or effectively withdraw or lose, their right to appraisal as provided in the DGCL, will have their shares of Cameron common stock converted into the right to receive the merger consideration pursuant to the merger agreement. Stockholders will fail to perfect, or effectively lose or withdraw, their right to appraisal if, among other things, no petition is filed within 120 days after the effective date of the merger. In addition, a stockholder may withdraw his or her demand for appraisal in accordance with Section 262 and accept the merger consideration offered pursuant to the merger agreement as described above.</w:t>
      </w:r>
    </w:p>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If a holder of Cameron common stock desires to exercise appraisal rights in accordance with Section 262, such stockholder must not vote in favor of the proposal to adopt the merger agreement and must strictly comply with the procedures set forth in Section 262. Failure to comply with all of the procedures set forth in Section 262 will result in the loss of a stockholder’s statutory appraisal rights. In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view of the complexity of Section 262, stockholders who wish to dissent from the merger and pursue appraisal rights should consult their legal advisors.</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is a brief summary of Section 262 that sets forth the procedures for demanding appraisal rights. This summary, however, is not a complete statement of all applicable requirements and is qualified in its entirety by reference to Section 262, a copy of the text of which is attached as Annex B to this proxy statement/prospectus. To the extent there are any inconsistencies between the foregoing summary and Section 262, Section 262 will govern.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SCHLUMBERGER CAPITAL STOCK</w:t>
      </w:r>
    </w:p>
    <w:p>
      <w:pPr>
        <w:spacing w:after="0" w:line="2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description of Schlumberger’s share capital is a summary. This summary is not complete and is subject to the complete text of Schlumberger’s articles of incorporation and amended and restated by-laws. Schlumberger’s articles of incorporation and amended and restated by-laws are exhibits to Schlumberger’s Annual Report on Form 10-K for the year ended December 31, 2014 and Current Report on Form 8-K filed on May 14, 2015, respectively, and are incorporated in this proxy statement/prospectus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Schlumberger may issue an aggregate of 4,500,000,000 shares of common stock, par value $0.01 per share. As of November 10, 2015, 1,434,212,164 shares of Schlumberger common stock were issued, of which 1,258,333,144 shares were outstanding and 175,879,020 shares were held by Schlumberger as treasury stock.</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Schlumberger may also issue an aggregate of 200,000,000 shares of preferred stock, par value $0.01 per share, which may be issued in one or more separate series. Under Schlumberger’s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Schlumberger preferred stock have been issued as of the date of this proxy statement/prospectus.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All outstanding shares of Schlumberger common stock (</w:t>
      </w:r>
      <w:r>
        <w:rPr>
          <w:rFonts w:ascii="Arial" w:cs="Arial" w:eastAsia="Arial" w:hAnsi="Arial"/>
          <w:sz w:val="17"/>
          <w:szCs w:val="17"/>
          <w:i w:val="1"/>
          <w:iCs w:val="1"/>
          <w:color w:val="auto"/>
        </w:rPr>
        <w:t>i.e.</w:t>
      </w:r>
      <w:r>
        <w:rPr>
          <w:rFonts w:ascii="Arial" w:cs="Arial" w:eastAsia="Arial" w:hAnsi="Arial"/>
          <w:sz w:val="17"/>
          <w:szCs w:val="17"/>
          <w:color w:val="auto"/>
        </w:rPr>
        <w:t>, shares not held by Schlumberger as treasury stock) are entitled to participate equally and receive dividends that may be paid out of available profits of the preceding fiscal year or years or distributions out of retained earnings reserves or contributed surplus capital reserves. All accumulated and unpaid dividends payable on preferred stock (if issued and outstanding) must be paid prior to the payment of any dividends on Schlumberger common stock. The amount of dividends payable with respect to any fiscal year is determined by Schlumberger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w:t>
      </w:r>
      <w:r>
        <w:rPr>
          <w:rFonts w:ascii="Arial" w:cs="Arial" w:eastAsia="Arial" w:hAnsi="Arial"/>
          <w:sz w:val="17"/>
          <w:szCs w:val="17"/>
          <w:i w:val="1"/>
          <w:iCs w:val="1"/>
          <w:color w:val="auto"/>
        </w:rPr>
        <w:t>i.e.</w:t>
      </w:r>
      <w:r>
        <w:rPr>
          <w:rFonts w:ascii="Arial" w:cs="Arial" w:eastAsia="Arial" w:hAnsi="Arial"/>
          <w:sz w:val="17"/>
          <w:szCs w:val="17"/>
          <w:color w:val="auto"/>
        </w:rPr>
        <w:t>, Schlumberger’s net asset value) at least equals the nominal capital (</w:t>
      </w:r>
      <w:r>
        <w:rPr>
          <w:rFonts w:ascii="Arial" w:cs="Arial" w:eastAsia="Arial" w:hAnsi="Arial"/>
          <w:sz w:val="17"/>
          <w:szCs w:val="17"/>
          <w:i w:val="1"/>
          <w:iCs w:val="1"/>
          <w:color w:val="auto"/>
        </w:rPr>
        <w:t>i.e.</w:t>
      </w:r>
      <w:r>
        <w:rPr>
          <w:rFonts w:ascii="Arial" w:cs="Arial" w:eastAsia="Arial" w:hAnsi="Arial"/>
          <w:sz w:val="17"/>
          <w:szCs w:val="17"/>
          <w:color w:val="auto"/>
        </w:rPr>
        <w:t>, the aggregate par value of Schlumberger’s outstanding shares) and as a result of the distribution will not fall below the nominal capital.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shares of Schlumberger common stock and each holder of Schlumberger preferred shares (if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is entitled to one vote for each share registered in that holder’s name. Voting rights may be exercised in person or by proxy.</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No action may be taken at any general meeting of Schlumberger stockholders unless a quorum consisting of the holders of at least one-half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abstentions) at any meeting at which a quorum is present (subject to the quorum exception described above).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action to amend Schlumberger’s articles of incorporation or to dissolve Schlumberger can be taken, however, unless such action is approved by the holders of at least a majority of the shares outstanding and entitled to vote. In addition, holders of Schlumberger preferred stock (if issued and outstanding) would have additional rights to vote as a class on certain amendments to Schlumberger’s articles of incorporation that would adversely affect the preferred stock.</w:t>
      </w:r>
    </w:p>
    <w:p>
      <w:pPr>
        <w:spacing w:after="0" w:line="18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Schlumberger’s articles of incorporation this requirement does not apply to a reorganization or rearrangement of Schlumberger or any of Schlumberger’s subsidiaries or any of its assets in any transaction that does not result in any diminution of the beneficial interest of Schlumberger stockholders in Schlumberger’s assets.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Schlumberger’s articles of incorporation, Schlumberger’s board of directors may move its corporate seat to, or convert Schlumberger into a legal entity under the laws of, another jurisdiction, and may change Schlumberger’s corporate domicile from Curaçao to another jurisdiction to the extent allowed by applicable law. In certain cases, stockholder approval of such action may not be required under applicable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Shares of Schlumberger common stock do not carry any preferential, preemptive or conversion rights, and there are no redemption provisions with respect to the Schlumberger common stock. Shares of Schlumberger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Upon delivery pursuant to the terms of the merger agreement, the shares of Schlumberger common stock deliverable to holders of Cameron common stock will be fully paid and nonassessable.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Schlumberger Common Stock</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Schlumberger may for its own account purchase shares of Schlumberger common stock so long as one share of Schlumberger common stock remains outstanding and Schlumberger’s equity before and after such a purchase at least equals its nominal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Directors are elected at a general meeting of stockholders by a majority of votes cast by stockholders entitled to vote; </w:t>
      </w:r>
      <w:r>
        <w:rPr>
          <w:rFonts w:ascii="Arial" w:cs="Arial" w:eastAsia="Arial" w:hAnsi="Arial"/>
          <w:sz w:val="17"/>
          <w:szCs w:val="17"/>
          <w:i w:val="1"/>
          <w:iCs w:val="1"/>
          <w:color w:val="auto"/>
        </w:rPr>
        <w:t>provided</w:t>
      </w:r>
      <w:r>
        <w:rPr>
          <w:rFonts w:ascii="Arial" w:cs="Arial" w:eastAsia="Arial" w:hAnsi="Arial"/>
          <w:sz w:val="17"/>
          <w:szCs w:val="17"/>
          <w:color w:val="auto"/>
        </w:rPr>
        <w:t>, that if, as of a date that is five business days in advance of the date Schlumberger files its definitive proxy statement with the SEC, the number of nominees exceeds the number of directors to be elected, a number of directors not exceeding the authorized number of directors will be elected by a plurality of the voting power of the shares represented in person or by proxy at any such meeting and entitled to vote on the election of directors. A majority of the votes cast means that the number of votes cast “for” a director must exceed the number of votes cast “against” that director. The number of directors constituting the whole board of directors may not be less than five nor more than 24, as fixed and elected by the general meeting of Schlumberger stockholders. Schlumberger’s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Under Curaçao law, stockholders may adopt resolutions in writing (by written consent) without a meeting, provided that all stockholders and all directors have agreed with this manner of adopting resolutions.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at least 90% of Schlumberger’s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Schlumberger common stock is listed for trading on the NYSE, Euronext Paris, London and SIX Swiss stock exchanges. The transfer agent and registrar for Schlumberger common stock is Computershare Trust Company, N.A., Canton, Massachusetts.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table shows, as of November 10, 2015, certain information about stock ownership of all persons known to Cameron to own of record or beneficially more than 5% of Cameron’s outstanding common stock. This information is based upon information furnished to Cameron by these persons and statements filed with the SEC. The number and percentage of shares beneficially owned is determined under SEC rules, and the information is not necessarily indicative of beneficial ownership for any other purpose. Unless otherwise indicated in the footnotes, each person has sole voting and investment power (or shares such powers with his or her spouse) with respect to the shares shown as beneficially owned.</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80" w:type="dxa"/>
            <w:vAlign w:val="bottom"/>
            <w:gridSpan w:val="3"/>
          </w:tcPr>
          <w:p>
            <w:pPr>
              <w:jc w:val="right"/>
              <w:ind w:right="543"/>
              <w:spacing w:after="0"/>
              <w:rPr>
                <w:sz w:val="20"/>
                <w:szCs w:val="20"/>
                <w:color w:val="auto"/>
              </w:rPr>
            </w:pPr>
            <w:r>
              <w:rPr>
                <w:rFonts w:ascii="Arial" w:cs="Arial" w:eastAsia="Arial" w:hAnsi="Arial"/>
                <w:sz w:val="14"/>
                <w:szCs w:val="14"/>
                <w:b w:val="1"/>
                <w:bCs w:val="1"/>
                <w:color w:val="auto"/>
              </w:rPr>
              <w:t>Amount and Nature of</w:t>
            </w: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1"/>
        </w:trPr>
        <w:tc>
          <w:tcPr>
            <w:tcW w:w="4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jc w:val="right"/>
              <w:ind w:right="563"/>
              <w:spacing w:after="0"/>
              <w:rPr>
                <w:sz w:val="20"/>
                <w:szCs w:val="20"/>
                <w:color w:val="auto"/>
              </w:rPr>
            </w:pPr>
            <w:r>
              <w:rPr>
                <w:rFonts w:ascii="Arial" w:cs="Arial" w:eastAsia="Arial" w:hAnsi="Arial"/>
                <w:sz w:val="14"/>
                <w:szCs w:val="14"/>
                <w:b w:val="1"/>
                <w:bCs w:val="1"/>
                <w:color w:val="auto"/>
                <w:w w:val="94"/>
              </w:rPr>
              <w:t>Beneficial Ownership</w:t>
            </w:r>
          </w:p>
        </w:tc>
        <w:tc>
          <w:tcPr>
            <w:tcW w:w="4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100" w:type="dxa"/>
            <w:vAlign w:val="bottom"/>
            <w:vMerge w:val="restart"/>
            <w:shd w:val="clear" w:color="auto" w:fill="CCEEFF"/>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jc w:val="right"/>
              <w:ind w:right="343"/>
              <w:spacing w:after="0"/>
              <w:rPr>
                <w:sz w:val="20"/>
                <w:szCs w:val="20"/>
                <w:color w:val="auto"/>
              </w:rPr>
            </w:pPr>
            <w:r>
              <w:rPr>
                <w:rFonts w:ascii="Arial" w:cs="Arial" w:eastAsia="Arial" w:hAnsi="Arial"/>
                <w:sz w:val="15"/>
                <w:szCs w:val="15"/>
                <w:color w:val="auto"/>
                <w:w w:val="87"/>
              </w:rPr>
              <w:t>(1)</w:t>
            </w: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21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13,305,022</w:t>
            </w:r>
          </w:p>
        </w:tc>
        <w:tc>
          <w:tcPr>
            <w:tcW w:w="6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Vanguard Blvd</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Malvern, PA 19355</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5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2880" w:type="dxa"/>
            <w:vAlign w:val="bottom"/>
            <w:gridSpan w:val="3"/>
          </w:tcPr>
          <w:p>
            <w:pPr>
              <w:jc w:val="right"/>
              <w:ind w:right="343"/>
              <w:spacing w:after="0"/>
              <w:rPr>
                <w:sz w:val="20"/>
                <w:szCs w:val="20"/>
                <w:color w:val="auto"/>
              </w:rPr>
            </w:pPr>
            <w:r>
              <w:rPr>
                <w:rFonts w:ascii="Arial" w:cs="Arial" w:eastAsia="Arial" w:hAnsi="Arial"/>
                <w:sz w:val="18"/>
                <w:szCs w:val="18"/>
                <w:color w:val="auto"/>
              </w:rPr>
              <w:t>13,174,254</w:t>
            </w:r>
            <w:r>
              <w:rPr>
                <w:rFonts w:ascii="Arial" w:cs="Arial" w:eastAsia="Arial" w:hAnsi="Arial"/>
                <w:sz w:val="15"/>
                <w:szCs w:val="15"/>
                <w:color w:val="auto"/>
              </w:rPr>
              <w:t>(2)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40 East 52nd Street</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New York, New York 10022</w:t>
            </w: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8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Corporation</w:t>
            </w:r>
          </w:p>
        </w:tc>
        <w:tc>
          <w:tcPr>
            <w:tcW w:w="288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10,243,890</w:t>
            </w:r>
            <w:r>
              <w:rPr>
                <w:rFonts w:ascii="Arial" w:cs="Arial" w:eastAsia="Arial" w:hAnsi="Arial"/>
                <w:sz w:val="15"/>
                <w:szCs w:val="15"/>
                <w:color w:val="auto"/>
              </w:rPr>
              <w:t>(3)</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Lincoln Street</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Boston, Massachusetts 02111</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84"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Based upon the statement on Schedule 13G filed with the SEC by The Vanguard Group, Inc. on February 10, 2015, Vanguard had sole voting power over 352,380 shares of Cameron common stock, sole dispositive power over 12,968,461 shares of Cameron common stock, and shared dispositive power over 336,561 shares of Cameron common stock. According to that filing, Vanguard Fiduciary Trust Company, a wholly-owned subsidiary of Vanguard, is the beneficial owner of 271,861 shares or 0.13% of Cameron’s outstanding common stock as a result of its serving as investment manager of collective trust accounts. Vanguard Investments Australia, Ltd., a wholly-owned subsidiary of Vanguard, is the beneficial owner of 145,219 shares or 0.07% of Cameron common stock as a result of its serving as investment manager of Australian investment offerings.</w:t>
      </w:r>
    </w:p>
    <w:p>
      <w:pPr>
        <w:spacing w:after="0" w:line="4" w:lineRule="exact"/>
        <w:rPr>
          <w:rFonts w:ascii="Arial" w:cs="Arial" w:eastAsia="Arial" w:hAnsi="Arial"/>
          <w:sz w:val="16"/>
          <w:szCs w:val="16"/>
          <w:color w:val="auto"/>
        </w:rPr>
      </w:pPr>
    </w:p>
    <w:p>
      <w:pPr>
        <w:ind w:left="460" w:right="180" w:hanging="452"/>
        <w:spacing w:after="0" w:line="265" w:lineRule="auto"/>
        <w:tabs>
          <w:tab w:leader="none" w:pos="4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Based upon the statement on Schedule 13G filed with the SEC by BlackRock Inc. on February 9, 2015, BlackRock had sole voting power over 11,215,995 shares of Cameron common stock and sole dispositive power over 13,174,254 shares of Cameron common stock. According to the filing, various persons have the right to receive or the power to direct the receipt of dividends from, or the proceeds from the sale of the Cameron common stock, but no one person’s interest is more than five percent of the total outstanding shares of Cameron common stock.</w:t>
      </w:r>
    </w:p>
    <w:p>
      <w:pPr>
        <w:ind w:left="460" w:right="80" w:hanging="452"/>
        <w:spacing w:after="0" w:line="261"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by State Street Corporation on February 11, 2015, State Street had shared voting power and shared dispositive power over 10,243,890 shares of Cameron common stock.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following table shows the number of shares of Cameron common stock beneficially owned as of November 10, 2015 by each director, the executive officers named in the summary compensation table included in the proxy statement for the 2015 annual meeting of Cameron’s stockholders, and all directors and executive officers as a group.</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5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Amount and Nature of</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25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4"/>
              </w:rPr>
              <w:t>Beneficial Ownership</w:t>
            </w:r>
            <w:r>
              <w:rPr>
                <w:rFonts w:ascii="Arial" w:cs="Arial" w:eastAsia="Arial" w:hAnsi="Arial"/>
                <w:sz w:val="12"/>
                <w:szCs w:val="12"/>
                <w:b w:val="1"/>
                <w:bCs w:val="1"/>
                <w:color w:val="auto"/>
                <w:w w:val="94"/>
              </w:rPr>
              <w:t>(1)</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 Paulett Eberhart</w:t>
            </w:r>
          </w:p>
        </w:tc>
        <w:tc>
          <w:tcPr>
            <w:tcW w:w="55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Peter J. Fluor</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78,867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Foshee</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41,973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James T. Hackett</w:t>
            </w:r>
            <w:r>
              <w:rPr>
                <w:rFonts w:ascii="Arial" w:cs="Arial" w:eastAsia="Arial" w:hAnsi="Arial"/>
                <w:sz w:val="15"/>
                <w:szCs w:val="15"/>
                <w:color w:val="auto"/>
              </w:rPr>
              <w:t>(2)</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11,719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Rodolfo Landim</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18,060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Jack B. Moore</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1,116,420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Patrick</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66,867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Timothy J. Probert</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4,823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Erik Reinhardsen</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36,669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 Scott Rowe</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234,700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J. Smolik</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6,524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Bruce W. Wilkinson</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45,209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Sledge</w:t>
            </w:r>
            <w:r>
              <w:rPr>
                <w:rFonts w:ascii="Arial" w:cs="Arial" w:eastAsia="Arial" w:hAnsi="Arial"/>
                <w:sz w:val="15"/>
                <w:szCs w:val="15"/>
                <w:color w:val="auto"/>
              </w:rPr>
              <w:t>(3)</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420,882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Gary M. Halverson</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210,858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Lemmer</w:t>
            </w:r>
            <w:r>
              <w:rPr>
                <w:rFonts w:ascii="Arial" w:cs="Arial" w:eastAsia="Arial" w:hAnsi="Arial"/>
                <w:sz w:val="15"/>
                <w:szCs w:val="15"/>
                <w:color w:val="auto"/>
              </w:rPr>
              <w:t>(3)</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300,278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 as a group (21 persons, including those named</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above)</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2,883,636</w:t>
            </w: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60" w:hanging="452"/>
        <w:spacing w:after="0" w:line="281" w:lineRule="auto"/>
        <w:tabs>
          <w:tab w:leader="none" w:pos="4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amounts reported include shares of Cameron common stock that could be acquired within 60 days of November 10, 2015 through the exercise of stock options as follows: Mr. Moore: 829,067 shares; Mr. Rowe: 106,475 shares; Mr. Sledge: 270,768 shares; Mr. Halverson: 133,195 shares;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Lemmer: 204,793 shares; and all directors and executive officers as a group: 1,687,798 shares.</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Mr. Hackett became an Advisory Director on May 8,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Includes shares held in Cameron’s Retirement Savings Plan as of November 10, 2015.</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80"/>
          </w:cols>
          <w:pgMar w:left="240" w:top="459" w:right="3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merger is completed, Cameron does not expect to hold a 2016 annual meeting of stockholders.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If the merger is not completed, Cameron will hold a 2016 annual meeting of stockholders. To be considered for inclusion in the proxy statement for the 2016 annual meeting of Cameron stockholders, if any, stockholder proposals must be submitted to Cameron in writing and received by Cameron’s Corporate Secretary at Cameron’s principal executive offices on or before November 27, 2015 in accordance with the requirements of Rule 14a-8 of the Exchange Act.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under Cameron’s bylaws, in order for a stockholder director nomination to be timely for the 2016 annual meeting of Cameron stockholders, written notice of the nomination must be received by Cameron between February 8, 2016 and March 9, 2016. In order for a stockholder proposal of any other proper business to be timely for the 2016 annual meeting of Cameron stockholders, written notice of the proposal must be received by Cameron between January 9, 2016 and February 8, 2016. However, if the 2016 annual meeting of Cameron stockholders is not held within 30 days before or after May 8, 2016, then notice of stockholder director nominations or other proposals of proper business must be received by Cameron not later than the 10th day following the day on which notice of the date of the 2016 annual meeting of Cameron stockholders was mailed to stockholders or public disclosure of the date of the 2016 annual meeting of Cameron stockholders was made, whichever first occurs.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Schlumberger’s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7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consolidated financial statements of Cameron International Corporation appearing in Cameron International Corporation’s Annual Report (Form 10-K) for the year ended December 31, 2014 (including the schedule appearing therein), and the effectiveness of Cameron International Corporation’s internal control over financial reporting as of December 31, 2014, have been audited by Ernst &amp; Young LLP, an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right="340" w:firstLine="456"/>
        <w:spacing w:after="0" w:line="285" w:lineRule="auto"/>
        <w:rPr>
          <w:sz w:val="20"/>
          <w:szCs w:val="20"/>
          <w:color w:val="auto"/>
        </w:rPr>
      </w:pPr>
      <w:r>
        <w:rPr>
          <w:rFonts w:ascii="Arial" w:cs="Arial" w:eastAsia="Arial" w:hAnsi="Arial"/>
          <w:sz w:val="16"/>
          <w:szCs w:val="16"/>
          <w:color w:val="auto"/>
        </w:rPr>
        <w:t>As allowed under SEC rules, Cameron is delivering only one copy of this proxy statement/prospectus to multiple stockholders sharing an address unless it has received contrary instructions from one or more of the stockholders. This practice is known as “householding.” Upon written or oral request, Cameron will promptly deliver a separate copy of this proxy statement/prospectus to any stockholder at a shared address to which a single copy of the document was delivered. If you are a stockholder and would like to request an additional copy of this proxy statement/prospectus now or with respect to future mailings (or to request to receive only one copy of this proxy statement/prospectus if you are currently receiving multiple copies), please call</w:t>
      </w:r>
    </w:p>
    <w:p>
      <w:pPr>
        <w:spacing w:after="0" w:line="2" w:lineRule="exact"/>
        <w:rPr>
          <w:sz w:val="20"/>
          <w:szCs w:val="20"/>
          <w:color w:val="auto"/>
        </w:rPr>
      </w:pPr>
    </w:p>
    <w:p>
      <w:pPr>
        <w:ind w:left="440" w:hanging="432"/>
        <w:spacing w:after="0"/>
        <w:tabs>
          <w:tab w:leader="none" w:pos="4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513-3300 or write to Cameron International Corporation, Attn: Corporate Secretary, 1333 West Loop South, Suite 1700, Houston, Texas 77027.</w:t>
      </w:r>
    </w:p>
    <w:p>
      <w:pPr>
        <w:spacing w:after="0" w:line="154"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validity of the Schlumberger common stock offered hereby will be passed upon for Schlumberger by STvB Advocaten (Curaçao) N.V., its Curaçao local counsel.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 of the date of this proxy statement/prospectus, the Cameron board of directors does not expect a vote to be taken on any matters at the Cameron special meeting other than as described in this proxy statement/prospectus. A properly executed proxy gives the persons named as proxies on the proxy card authority to vote in their discretion with respect to any other matters that properly come before the applicable special meeting.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Schlumberger has filed a registration statement on Form S-4 to register with the SEC the shares of Schlumberger common stock to be delivered to Cameron stockholders in connection with the merger. This proxy statement/prospectus is a part of that registration statement and constitutes a prospectus of Schlumberger in addition to being a proxy statement of Cameron for the special meeting. The registration statement, including the attached exhibits and schedules, contains additional relevant information about Schlumberger and its common stock. The rules and regulations of the SEC allow Schlumberger and Cameron to omit certain information included in the registration statement from this proxy statement/prospectus.</w:t>
      </w:r>
    </w:p>
    <w:p>
      <w:pPr>
        <w:spacing w:after="0" w:line="17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Schlumberger and Cameron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web site that has reports, proxy statements and other information about Schlumberger and Cameron. The address of that site is http://www.sec.gov. The reports and other information filed by Schlumberger and Cameron with the SEC are also available free of charge at their respective internet web sites, which are http://www.slb.com and http://www.c-a-m.com. Information on these internet web sites is not part of or incorporated by reference into this proxy statement/prospectus.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Schlumberger and Cameron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Schlumberger and Cameron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Schlumberger and Cameron and their respective financial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(File No. 1-04601)</w:t>
      </w:r>
    </w:p>
    <w:p>
      <w:pPr>
        <w:spacing w:after="0" w:line="135" w:lineRule="exact"/>
        <w:rPr>
          <w:sz w:val="20"/>
          <w:szCs w:val="20"/>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2015, June 30, 2015 and September 30, 2015;</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8, 2015, April 20, 2015, May 14, 2015, June 16, 2015, August 26, 2015 (two reports), September 9, 2015 and September 16, 2015;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(File No. 1-13884)</w:t>
      </w:r>
    </w:p>
    <w:p>
      <w:pPr>
        <w:spacing w:after="0" w:line="135" w:lineRule="exact"/>
        <w:rPr>
          <w:sz w:val="20"/>
          <w:szCs w:val="20"/>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2015, June 30, 2015 and September 30, 2015;</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 2015, January 5, 2015, February 25, 2015, May 11, 2015, May 20, 2015, June 4, 2015, August 24, 2015, August 26, 2015 (two reports) and October 30, 2015;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description of Cameron’s common stock, par value $.01 per share, contained in Cameron’s Registration Statement on Form 8-A filed with the SEC on July 27, 1995.</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Schlumberger has supplied all information contained in or incorporated by reference into this proxy statement/prospectus relating to Schlumberger, as well as all pro forma financial information, and Cameron has supplied all such information relating to Cameron.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Documents incorporated by reference are available from Schlumberger or Cameron,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375-3535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513-3300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would like to request documents, please do so by December 10, 2015 in order to receive them before the special meeting.</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to vote on the merger agreement. Neither Schlumberger nor Cameron has authorized anyone to provide you with information that is different from what is contained in this proxy statement/prospectus.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proxy statement/prospectus is dated [—], 2015. You should not assume that the information in it is accurate as of any date other than that date, and neither its mailing to stockholders nor the issuance of Schlumberger common stock in the merger shall create any implication to the contrary. You should not assume that the information incorporated by reference into this proxy statement/prospectus is accurate as of any date other than the date of such incorporated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2030095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RAIN MERGER SUB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7360" w:type="dxa"/>
            <w:vAlign w:val="bottom"/>
          </w:tcPr>
          <w:p>
            <w:pPr>
              <w:ind w:left="2860"/>
              <w:spacing w:after="0"/>
              <w:rPr>
                <w:sz w:val="20"/>
                <w:szCs w:val="20"/>
                <w:color w:val="auto"/>
              </w:rPr>
            </w:pPr>
            <w:r>
              <w:rPr>
                <w:rFonts w:ascii="Arial" w:cs="Arial" w:eastAsia="Arial" w:hAnsi="Arial"/>
                <w:sz w:val="18"/>
                <w:szCs w:val="18"/>
                <w:color w:val="auto"/>
              </w:rPr>
              <w:t>TABLE OF CONTENTS</w:t>
            </w:r>
          </w:p>
        </w:tc>
        <w:tc>
          <w:tcPr>
            <w:tcW w:w="2020" w:type="dxa"/>
            <w:vAlign w:val="bottom"/>
          </w:tcPr>
          <w:p>
            <w:pPr>
              <w:spacing w:after="0"/>
              <w:rPr>
                <w:sz w:val="20"/>
                <w:szCs w:val="20"/>
                <w:color w:val="auto"/>
              </w:rPr>
            </w:pPr>
          </w:p>
        </w:tc>
      </w:tr>
      <w:tr>
        <w:trPr>
          <w:trHeight w:val="377"/>
        </w:trPr>
        <w:tc>
          <w:tcPr>
            <w:tcW w:w="19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Article 1 THE MERGER</w:t>
            </w:r>
          </w:p>
        </w:tc>
        <w:tc>
          <w:tcPr>
            <w:tcW w:w="7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w:t>
            </w:r>
          </w:p>
        </w:tc>
        <w:tc>
          <w:tcPr>
            <w:tcW w:w="7360" w:type="dxa"/>
            <w:vAlign w:val="bottom"/>
          </w:tcPr>
          <w:p>
            <w:pPr>
              <w:ind w:left="100"/>
              <w:spacing w:after="0"/>
              <w:rPr>
                <w:sz w:val="20"/>
                <w:szCs w:val="20"/>
                <w:color w:val="auto"/>
              </w:rPr>
            </w:pPr>
            <w:r>
              <w:rPr>
                <w:rFonts w:ascii="Arial" w:cs="Arial" w:eastAsia="Arial" w:hAnsi="Arial"/>
                <w:sz w:val="18"/>
                <w:szCs w:val="18"/>
                <w:color w:val="auto"/>
              </w:rPr>
              <w:t>The Merger</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w:t>
            </w:r>
          </w:p>
        </w:tc>
        <w:tc>
          <w:tcPr>
            <w:tcW w:w="7360" w:type="dxa"/>
            <w:vAlign w:val="bottom"/>
          </w:tcPr>
          <w:p>
            <w:pPr>
              <w:ind w:left="100"/>
              <w:spacing w:after="0"/>
              <w:rPr>
                <w:sz w:val="20"/>
                <w:szCs w:val="20"/>
                <w:color w:val="auto"/>
              </w:rPr>
            </w:pPr>
            <w:r>
              <w:rPr>
                <w:rFonts w:ascii="Arial" w:cs="Arial" w:eastAsia="Arial" w:hAnsi="Arial"/>
                <w:sz w:val="18"/>
                <w:szCs w:val="18"/>
                <w:color w:val="auto"/>
              </w:rPr>
              <w:t>The Closing</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w:t>
            </w:r>
          </w:p>
        </w:tc>
        <w:tc>
          <w:tcPr>
            <w:tcW w:w="7360" w:type="dxa"/>
            <w:vAlign w:val="bottom"/>
          </w:tcPr>
          <w:p>
            <w:pPr>
              <w:ind w:left="100"/>
              <w:spacing w:after="0"/>
              <w:rPr>
                <w:sz w:val="20"/>
                <w:szCs w:val="20"/>
                <w:color w:val="auto"/>
              </w:rPr>
            </w:pPr>
            <w:r>
              <w:rPr>
                <w:rFonts w:ascii="Arial" w:cs="Arial" w:eastAsia="Arial" w:hAnsi="Arial"/>
                <w:sz w:val="18"/>
                <w:szCs w:val="18"/>
                <w:color w:val="auto"/>
              </w:rPr>
              <w:t>Effective Time</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w:t>
            </w:r>
          </w:p>
        </w:tc>
        <w:tc>
          <w:tcPr>
            <w:tcW w:w="7360" w:type="dxa"/>
            <w:vAlign w:val="bottom"/>
          </w:tcPr>
          <w:p>
            <w:pPr>
              <w:ind w:left="100"/>
              <w:spacing w:after="0"/>
              <w:rPr>
                <w:sz w:val="20"/>
                <w:szCs w:val="20"/>
                <w:color w:val="auto"/>
              </w:rPr>
            </w:pPr>
            <w:r>
              <w:rPr>
                <w:rFonts w:ascii="Arial" w:cs="Arial" w:eastAsia="Arial" w:hAnsi="Arial"/>
                <w:sz w:val="18"/>
                <w:szCs w:val="18"/>
                <w:color w:val="auto"/>
              </w:rPr>
              <w:t>Certificate of Incorporation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2.2</w:t>
            </w:r>
          </w:p>
        </w:tc>
        <w:tc>
          <w:tcPr>
            <w:tcW w:w="7360" w:type="dxa"/>
            <w:vAlign w:val="bottom"/>
          </w:tcPr>
          <w:p>
            <w:pPr>
              <w:ind w:left="100"/>
              <w:spacing w:after="0"/>
              <w:rPr>
                <w:sz w:val="20"/>
                <w:szCs w:val="20"/>
                <w:color w:val="auto"/>
              </w:rPr>
            </w:pPr>
            <w:r>
              <w:rPr>
                <w:rFonts w:ascii="Arial" w:cs="Arial" w:eastAsia="Arial" w:hAnsi="Arial"/>
                <w:sz w:val="18"/>
                <w:szCs w:val="18"/>
                <w:color w:val="auto"/>
              </w:rPr>
              <w:t>Bylaws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w:t>
            </w:r>
          </w:p>
        </w:tc>
        <w:tc>
          <w:tcPr>
            <w:tcW w:w="7360" w:type="dxa"/>
            <w:vAlign w:val="bottom"/>
          </w:tcPr>
          <w:p>
            <w:pPr>
              <w:ind w:left="100"/>
              <w:spacing w:after="0"/>
              <w:rPr>
                <w:sz w:val="20"/>
                <w:szCs w:val="20"/>
                <w:color w:val="auto"/>
              </w:rPr>
            </w:pPr>
            <w:r>
              <w:rPr>
                <w:rFonts w:ascii="Arial" w:cs="Arial" w:eastAsia="Arial" w:hAnsi="Arial"/>
                <w:sz w:val="18"/>
                <w:szCs w:val="18"/>
                <w:color w:val="auto"/>
              </w:rPr>
              <w:t>Board of Directors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3.2</w:t>
            </w:r>
          </w:p>
        </w:tc>
        <w:tc>
          <w:tcPr>
            <w:tcW w:w="7360" w:type="dxa"/>
            <w:vAlign w:val="bottom"/>
          </w:tcPr>
          <w:p>
            <w:pPr>
              <w:ind w:left="100"/>
              <w:spacing w:after="0"/>
              <w:rPr>
                <w:sz w:val="20"/>
                <w:szCs w:val="20"/>
                <w:color w:val="auto"/>
              </w:rPr>
            </w:pPr>
            <w:r>
              <w:rPr>
                <w:rFonts w:ascii="Arial" w:cs="Arial" w:eastAsia="Arial" w:hAnsi="Arial"/>
                <w:sz w:val="18"/>
                <w:szCs w:val="18"/>
                <w:color w:val="auto"/>
              </w:rPr>
              <w:t>Officers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4 CONVERSION OF CAMERON COMMON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4.1</w:t>
            </w:r>
          </w:p>
        </w:tc>
        <w:tc>
          <w:tcPr>
            <w:tcW w:w="7360" w:type="dxa"/>
            <w:vAlign w:val="bottom"/>
          </w:tcPr>
          <w:p>
            <w:pPr>
              <w:ind w:left="100"/>
              <w:spacing w:after="0"/>
              <w:rPr>
                <w:sz w:val="20"/>
                <w:szCs w:val="20"/>
                <w:color w:val="auto"/>
              </w:rPr>
            </w:pPr>
            <w:r>
              <w:rPr>
                <w:rFonts w:ascii="Arial" w:cs="Arial" w:eastAsia="Arial" w:hAnsi="Arial"/>
                <w:sz w:val="18"/>
                <w:szCs w:val="18"/>
                <w:color w:val="auto"/>
              </w:rPr>
              <w:t>Conversion of Equity Interests of Cameron and Merger Sub</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4.2</w:t>
            </w:r>
          </w:p>
        </w:tc>
        <w:tc>
          <w:tcPr>
            <w:tcW w:w="7360" w:type="dxa"/>
            <w:vAlign w:val="bottom"/>
          </w:tcPr>
          <w:p>
            <w:pPr>
              <w:ind w:left="100"/>
              <w:spacing w:after="0"/>
              <w:rPr>
                <w:sz w:val="20"/>
                <w:szCs w:val="20"/>
                <w:color w:val="auto"/>
              </w:rPr>
            </w:pPr>
            <w:r>
              <w:rPr>
                <w:rFonts w:ascii="Arial" w:cs="Arial" w:eastAsia="Arial" w:hAnsi="Arial"/>
                <w:sz w:val="18"/>
                <w:szCs w:val="18"/>
                <w:color w:val="auto"/>
              </w:rPr>
              <w:t>Exchange of Shares</w:t>
            </w:r>
          </w:p>
        </w:tc>
        <w:tc>
          <w:tcPr>
            <w:tcW w:w="202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4.3</w:t>
            </w:r>
          </w:p>
        </w:tc>
        <w:tc>
          <w:tcPr>
            <w:tcW w:w="7360" w:type="dxa"/>
            <w:vAlign w:val="bottom"/>
          </w:tcPr>
          <w:p>
            <w:pPr>
              <w:ind w:left="100"/>
              <w:spacing w:after="0"/>
              <w:rPr>
                <w:sz w:val="20"/>
                <w:szCs w:val="20"/>
                <w:color w:val="auto"/>
              </w:rPr>
            </w:pPr>
            <w:r>
              <w:rPr>
                <w:rFonts w:ascii="Arial" w:cs="Arial" w:eastAsia="Arial" w:hAnsi="Arial"/>
                <w:sz w:val="18"/>
                <w:szCs w:val="18"/>
                <w:color w:val="auto"/>
              </w:rPr>
              <w:t>Certain Adjustments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4.4</w:t>
            </w:r>
          </w:p>
        </w:tc>
        <w:tc>
          <w:tcPr>
            <w:tcW w:w="7360" w:type="dxa"/>
            <w:vAlign w:val="bottom"/>
          </w:tcPr>
          <w:p>
            <w:pPr>
              <w:ind w:left="100"/>
              <w:spacing w:after="0"/>
              <w:rPr>
                <w:sz w:val="20"/>
                <w:szCs w:val="20"/>
                <w:color w:val="auto"/>
              </w:rPr>
            </w:pPr>
            <w:r>
              <w:rPr>
                <w:rFonts w:ascii="Arial" w:cs="Arial" w:eastAsia="Arial" w:hAnsi="Arial"/>
                <w:sz w:val="18"/>
                <w:szCs w:val="18"/>
                <w:color w:val="auto"/>
              </w:rPr>
              <w:t>Appraisal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CAMERON</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w:t>
            </w:r>
          </w:p>
        </w:tc>
        <w:tc>
          <w:tcPr>
            <w:tcW w:w="7360" w:type="dxa"/>
            <w:vAlign w:val="bottom"/>
          </w:tcPr>
          <w:p>
            <w:pPr>
              <w:ind w:left="100"/>
              <w:spacing w:after="0"/>
              <w:rPr>
                <w:sz w:val="20"/>
                <w:szCs w:val="20"/>
                <w:color w:val="auto"/>
              </w:rPr>
            </w:pPr>
            <w:r>
              <w:rPr>
                <w:rFonts w:ascii="Arial" w:cs="Arial" w:eastAsia="Arial" w:hAnsi="Arial"/>
                <w:sz w:val="18"/>
                <w:szCs w:val="18"/>
                <w:color w:val="auto"/>
              </w:rPr>
              <w:t>Organization; Good Standing and Qualification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w:t>
            </w:r>
          </w:p>
        </w:tc>
        <w:tc>
          <w:tcPr>
            <w:tcW w:w="7360" w:type="dxa"/>
            <w:vAlign w:val="bottom"/>
          </w:tcPr>
          <w:p>
            <w:pPr>
              <w:ind w:left="100"/>
              <w:spacing w:after="0"/>
              <w:rPr>
                <w:sz w:val="20"/>
                <w:szCs w:val="20"/>
                <w:color w:val="auto"/>
              </w:rPr>
            </w:pPr>
            <w:r>
              <w:rPr>
                <w:rFonts w:ascii="Arial" w:cs="Arial" w:eastAsia="Arial" w:hAnsi="Arial"/>
                <w:sz w:val="18"/>
                <w:szCs w:val="18"/>
                <w:color w:val="auto"/>
              </w:rPr>
              <w:t>Authorization, Validity, Enforceability and Fairness</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5.3</w:t>
            </w:r>
          </w:p>
        </w:tc>
        <w:tc>
          <w:tcPr>
            <w:tcW w:w="736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5.4</w:t>
            </w:r>
          </w:p>
        </w:tc>
        <w:tc>
          <w:tcPr>
            <w:tcW w:w="7360" w:type="dxa"/>
            <w:vAlign w:val="bottom"/>
          </w:tcPr>
          <w:p>
            <w:pPr>
              <w:ind w:left="100"/>
              <w:spacing w:after="0"/>
              <w:rPr>
                <w:sz w:val="20"/>
                <w:szCs w:val="20"/>
                <w:color w:val="auto"/>
              </w:rPr>
            </w:pPr>
            <w:r>
              <w:rPr>
                <w:rFonts w:ascii="Arial" w:cs="Arial" w:eastAsia="Arial" w:hAnsi="Arial"/>
                <w:sz w:val="18"/>
                <w:szCs w:val="18"/>
                <w:color w:val="auto"/>
              </w:rPr>
              <w:t>Compliance with Laws; Permits</w:t>
            </w:r>
          </w:p>
        </w:tc>
        <w:tc>
          <w:tcPr>
            <w:tcW w:w="202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5.5</w:t>
            </w:r>
          </w:p>
        </w:tc>
        <w:tc>
          <w:tcPr>
            <w:tcW w:w="7360" w:type="dxa"/>
            <w:vAlign w:val="bottom"/>
          </w:tcPr>
          <w:p>
            <w:pPr>
              <w:ind w:left="100"/>
              <w:spacing w:after="0"/>
              <w:rPr>
                <w:sz w:val="20"/>
                <w:szCs w:val="20"/>
                <w:color w:val="auto"/>
              </w:rPr>
            </w:pPr>
            <w:r>
              <w:rPr>
                <w:rFonts w:ascii="Arial" w:cs="Arial" w:eastAsia="Arial" w:hAnsi="Arial"/>
                <w:sz w:val="18"/>
                <w:szCs w:val="18"/>
                <w:color w:val="auto"/>
              </w:rPr>
              <w:t>No Conflict</w:t>
            </w:r>
          </w:p>
        </w:tc>
        <w:tc>
          <w:tcPr>
            <w:tcW w:w="202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5.6</w:t>
            </w:r>
          </w:p>
        </w:tc>
        <w:tc>
          <w:tcPr>
            <w:tcW w:w="7360" w:type="dxa"/>
            <w:vAlign w:val="bottom"/>
          </w:tcPr>
          <w:p>
            <w:pPr>
              <w:ind w:left="100"/>
              <w:spacing w:after="0"/>
              <w:rPr>
                <w:sz w:val="20"/>
                <w:szCs w:val="20"/>
                <w:color w:val="auto"/>
              </w:rPr>
            </w:pPr>
            <w:r>
              <w:rPr>
                <w:rFonts w:ascii="Arial" w:cs="Arial" w:eastAsia="Arial" w:hAnsi="Arial"/>
                <w:sz w:val="18"/>
                <w:szCs w:val="18"/>
                <w:color w:val="auto"/>
              </w:rPr>
              <w:t>SEC Documents; 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5.7</w:t>
            </w:r>
          </w:p>
        </w:tc>
        <w:tc>
          <w:tcPr>
            <w:tcW w:w="73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202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5.8</w:t>
            </w:r>
          </w:p>
        </w:tc>
        <w:tc>
          <w:tcPr>
            <w:tcW w:w="7360" w:type="dxa"/>
            <w:vAlign w:val="bottom"/>
          </w:tcPr>
          <w:p>
            <w:pPr>
              <w:ind w:left="100"/>
              <w:spacing w:after="0"/>
              <w:rPr>
                <w:sz w:val="20"/>
                <w:szCs w:val="20"/>
                <w:color w:val="auto"/>
              </w:rPr>
            </w:pPr>
            <w:r>
              <w:rPr>
                <w:rFonts w:ascii="Arial" w:cs="Arial" w:eastAsia="Arial" w:hAnsi="Arial"/>
                <w:sz w:val="18"/>
                <w:szCs w:val="18"/>
                <w:color w:val="auto"/>
              </w:rPr>
              <w:t>Information Supplied</w:t>
            </w:r>
          </w:p>
        </w:tc>
        <w:tc>
          <w:tcPr>
            <w:tcW w:w="202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5.9</w:t>
            </w:r>
          </w:p>
        </w:tc>
        <w:tc>
          <w:tcPr>
            <w:tcW w:w="73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5.10</w:t>
            </w:r>
          </w:p>
        </w:tc>
        <w:tc>
          <w:tcPr>
            <w:tcW w:w="7360" w:type="dxa"/>
            <w:vAlign w:val="bottom"/>
          </w:tcPr>
          <w:p>
            <w:pPr>
              <w:ind w:left="100"/>
              <w:spacing w:after="0"/>
              <w:rPr>
                <w:sz w:val="20"/>
                <w:szCs w:val="20"/>
                <w:color w:val="auto"/>
              </w:rPr>
            </w:pPr>
            <w:r>
              <w:rPr>
                <w:rFonts w:ascii="Arial" w:cs="Arial" w:eastAsia="Arial" w:hAnsi="Arial"/>
                <w:sz w:val="18"/>
                <w:szCs w:val="18"/>
                <w:color w:val="auto"/>
              </w:rPr>
              <w:t>Absence of Certain Changes</w:t>
            </w:r>
          </w:p>
        </w:tc>
        <w:tc>
          <w:tcPr>
            <w:tcW w:w="20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5.11</w:t>
            </w:r>
          </w:p>
        </w:tc>
        <w:tc>
          <w:tcPr>
            <w:tcW w:w="7360" w:type="dxa"/>
            <w:vAlign w:val="bottom"/>
          </w:tcPr>
          <w:p>
            <w:pPr>
              <w:ind w:left="100"/>
              <w:spacing w:after="0"/>
              <w:rPr>
                <w:sz w:val="20"/>
                <w:szCs w:val="20"/>
                <w:color w:val="auto"/>
              </w:rPr>
            </w:pPr>
            <w:r>
              <w:rPr>
                <w:rFonts w:ascii="Arial" w:cs="Arial" w:eastAsia="Arial" w:hAnsi="Arial"/>
                <w:sz w:val="18"/>
                <w:szCs w:val="18"/>
                <w:color w:val="auto"/>
              </w:rPr>
              <w:t>Taxes</w:t>
            </w:r>
          </w:p>
        </w:tc>
        <w:tc>
          <w:tcPr>
            <w:tcW w:w="20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5.12</w:t>
            </w:r>
          </w:p>
        </w:tc>
        <w:tc>
          <w:tcPr>
            <w:tcW w:w="7360" w:type="dxa"/>
            <w:vAlign w:val="bottom"/>
          </w:tcPr>
          <w:p>
            <w:pPr>
              <w:ind w:left="100"/>
              <w:spacing w:after="0"/>
              <w:rPr>
                <w:sz w:val="20"/>
                <w:szCs w:val="20"/>
                <w:color w:val="auto"/>
              </w:rPr>
            </w:pPr>
            <w:r>
              <w:rPr>
                <w:rFonts w:ascii="Arial" w:cs="Arial" w:eastAsia="Arial" w:hAnsi="Arial"/>
                <w:sz w:val="18"/>
                <w:szCs w:val="18"/>
                <w:color w:val="auto"/>
              </w:rPr>
              <w:t>Employee Benefit Plans</w:t>
            </w:r>
          </w:p>
        </w:tc>
        <w:tc>
          <w:tcPr>
            <w:tcW w:w="202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5.13</w:t>
            </w:r>
          </w:p>
        </w:tc>
        <w:tc>
          <w:tcPr>
            <w:tcW w:w="7360" w:type="dxa"/>
            <w:vAlign w:val="bottom"/>
          </w:tcPr>
          <w:p>
            <w:pPr>
              <w:ind w:left="100"/>
              <w:spacing w:after="0"/>
              <w:rPr>
                <w:sz w:val="20"/>
                <w:szCs w:val="20"/>
                <w:color w:val="auto"/>
              </w:rPr>
            </w:pPr>
            <w:r>
              <w:rPr>
                <w:rFonts w:ascii="Arial" w:cs="Arial" w:eastAsia="Arial" w:hAnsi="Arial"/>
                <w:sz w:val="18"/>
                <w:szCs w:val="18"/>
                <w:color w:val="auto"/>
              </w:rPr>
              <w:t>Labor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5.14</w:t>
            </w:r>
          </w:p>
        </w:tc>
        <w:tc>
          <w:tcPr>
            <w:tcW w:w="736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20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5.15</w:t>
            </w:r>
          </w:p>
        </w:tc>
        <w:tc>
          <w:tcPr>
            <w:tcW w:w="736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5.16</w:t>
            </w:r>
          </w:p>
        </w:tc>
        <w:tc>
          <w:tcPr>
            <w:tcW w:w="73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5.17</w:t>
            </w:r>
          </w:p>
        </w:tc>
        <w:tc>
          <w:tcPr>
            <w:tcW w:w="7360" w:type="dxa"/>
            <w:vAlign w:val="bottom"/>
          </w:tcPr>
          <w:p>
            <w:pPr>
              <w:ind w:left="100"/>
              <w:spacing w:after="0"/>
              <w:rPr>
                <w:sz w:val="20"/>
                <w:szCs w:val="20"/>
                <w:color w:val="auto"/>
              </w:rPr>
            </w:pPr>
            <w:r>
              <w:rPr>
                <w:rFonts w:ascii="Arial" w:cs="Arial" w:eastAsia="Arial" w:hAnsi="Arial"/>
                <w:sz w:val="18"/>
                <w:szCs w:val="18"/>
                <w:color w:val="auto"/>
              </w:rPr>
              <w:t>Decrees, Etc.</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5.18</w:t>
            </w:r>
          </w:p>
        </w:tc>
        <w:tc>
          <w:tcPr>
            <w:tcW w:w="73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5.19</w:t>
            </w:r>
          </w:p>
        </w:tc>
        <w:tc>
          <w:tcPr>
            <w:tcW w:w="7360" w:type="dxa"/>
            <w:vAlign w:val="bottom"/>
          </w:tcPr>
          <w:p>
            <w:pPr>
              <w:ind w:left="100"/>
              <w:spacing w:after="0"/>
              <w:rPr>
                <w:sz w:val="20"/>
                <w:szCs w:val="20"/>
                <w:color w:val="auto"/>
              </w:rPr>
            </w:pPr>
            <w:r>
              <w:rPr>
                <w:rFonts w:ascii="Arial" w:cs="Arial" w:eastAsia="Arial" w:hAnsi="Arial"/>
                <w:sz w:val="18"/>
                <w:szCs w:val="18"/>
                <w:color w:val="auto"/>
              </w:rPr>
              <w:t>No Brokers</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5.20</w:t>
            </w:r>
          </w:p>
        </w:tc>
        <w:tc>
          <w:tcPr>
            <w:tcW w:w="7360" w:type="dxa"/>
            <w:vAlign w:val="bottom"/>
          </w:tcPr>
          <w:p>
            <w:pPr>
              <w:ind w:left="100"/>
              <w:spacing w:after="0"/>
              <w:rPr>
                <w:sz w:val="20"/>
                <w:szCs w:val="20"/>
                <w:color w:val="auto"/>
              </w:rPr>
            </w:pPr>
            <w:r>
              <w:rPr>
                <w:rFonts w:ascii="Arial" w:cs="Arial" w:eastAsia="Arial" w:hAnsi="Arial"/>
                <w:sz w:val="18"/>
                <w:szCs w:val="18"/>
                <w:color w:val="auto"/>
              </w:rPr>
              <w:t>Schlumberger Stock Ownership</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5.21</w:t>
            </w:r>
          </w:p>
        </w:tc>
        <w:tc>
          <w:tcPr>
            <w:tcW w:w="7360" w:type="dxa"/>
            <w:vAlign w:val="bottom"/>
          </w:tcPr>
          <w:p>
            <w:pPr>
              <w:ind w:left="100"/>
              <w:spacing w:after="0"/>
              <w:rPr>
                <w:sz w:val="20"/>
                <w:szCs w:val="20"/>
                <w:color w:val="auto"/>
              </w:rPr>
            </w:pPr>
            <w:r>
              <w:rPr>
                <w:rFonts w:ascii="Arial" w:cs="Arial" w:eastAsia="Arial" w:hAnsi="Arial"/>
                <w:sz w:val="18"/>
                <w:szCs w:val="18"/>
                <w:color w:val="auto"/>
              </w:rPr>
              <w:t>Vote Required</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5.22</w:t>
            </w:r>
          </w:p>
        </w:tc>
        <w:tc>
          <w:tcPr>
            <w:tcW w:w="7360" w:type="dxa"/>
            <w:vAlign w:val="bottom"/>
          </w:tcPr>
          <w:p>
            <w:pPr>
              <w:ind w:left="100"/>
              <w:spacing w:after="0"/>
              <w:rPr>
                <w:sz w:val="20"/>
                <w:szCs w:val="20"/>
                <w:color w:val="auto"/>
              </w:rPr>
            </w:pPr>
            <w:r>
              <w:rPr>
                <w:rFonts w:ascii="Arial" w:cs="Arial" w:eastAsia="Arial" w:hAnsi="Arial"/>
                <w:sz w:val="18"/>
                <w:szCs w:val="18"/>
                <w:color w:val="auto"/>
              </w:rPr>
              <w:t>Certain Contracts</w:t>
            </w:r>
          </w:p>
        </w:tc>
        <w:tc>
          <w:tcPr>
            <w:tcW w:w="20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5.23</w:t>
            </w:r>
          </w:p>
        </w:tc>
        <w:tc>
          <w:tcPr>
            <w:tcW w:w="7360" w:type="dxa"/>
            <w:vAlign w:val="bottom"/>
          </w:tcPr>
          <w:p>
            <w:pPr>
              <w:ind w:left="100"/>
              <w:spacing w:after="0"/>
              <w:rPr>
                <w:sz w:val="20"/>
                <w:szCs w:val="20"/>
                <w:color w:val="auto"/>
              </w:rPr>
            </w:pPr>
            <w:r>
              <w:rPr>
                <w:rFonts w:ascii="Arial" w:cs="Arial" w:eastAsia="Arial" w:hAnsi="Arial"/>
                <w:sz w:val="18"/>
                <w:szCs w:val="18"/>
                <w:color w:val="auto"/>
              </w:rPr>
              <w:t>Export Controls and Trade Sanctions</w:t>
            </w:r>
          </w:p>
        </w:tc>
        <w:tc>
          <w:tcPr>
            <w:tcW w:w="20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5.24</w:t>
            </w:r>
          </w:p>
        </w:tc>
        <w:tc>
          <w:tcPr>
            <w:tcW w:w="7360" w:type="dxa"/>
            <w:vAlign w:val="bottom"/>
          </w:tcPr>
          <w:p>
            <w:pPr>
              <w:ind w:left="100"/>
              <w:spacing w:after="0"/>
              <w:rPr>
                <w:sz w:val="20"/>
                <w:szCs w:val="20"/>
                <w:color w:val="auto"/>
              </w:rPr>
            </w:pPr>
            <w:r>
              <w:rPr>
                <w:rFonts w:ascii="Arial" w:cs="Arial" w:eastAsia="Arial" w:hAnsi="Arial"/>
                <w:sz w:val="18"/>
                <w:szCs w:val="18"/>
                <w:color w:val="auto"/>
              </w:rPr>
              <w:t>Foreign Corrupt Practices Act</w:t>
            </w:r>
          </w:p>
        </w:tc>
        <w:tc>
          <w:tcPr>
            <w:tcW w:w="202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5.25</w:t>
            </w:r>
          </w:p>
        </w:tc>
        <w:tc>
          <w:tcPr>
            <w:tcW w:w="7360" w:type="dxa"/>
            <w:vAlign w:val="bottom"/>
          </w:tcPr>
          <w:p>
            <w:pPr>
              <w:ind w:left="100"/>
              <w:spacing w:after="0"/>
              <w:rPr>
                <w:sz w:val="20"/>
                <w:szCs w:val="20"/>
                <w:color w:val="auto"/>
              </w:rPr>
            </w:pPr>
            <w:r>
              <w:rPr>
                <w:rFonts w:ascii="Arial" w:cs="Arial" w:eastAsia="Arial" w:hAnsi="Arial"/>
                <w:sz w:val="18"/>
                <w:szCs w:val="18"/>
                <w:color w:val="auto"/>
              </w:rPr>
              <w:t>Charter Provisions; Takeover Laws</w:t>
            </w:r>
          </w:p>
        </w:tc>
        <w:tc>
          <w:tcPr>
            <w:tcW w:w="202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5.26</w:t>
            </w:r>
          </w:p>
        </w:tc>
        <w:tc>
          <w:tcPr>
            <w:tcW w:w="7360" w:type="dxa"/>
            <w:vAlign w:val="bottom"/>
          </w:tcPr>
          <w:p>
            <w:pPr>
              <w:ind w:left="100"/>
              <w:spacing w:after="0"/>
              <w:rPr>
                <w:sz w:val="20"/>
                <w:szCs w:val="20"/>
                <w:color w:val="auto"/>
              </w:rPr>
            </w:pPr>
            <w:r>
              <w:rPr>
                <w:rFonts w:ascii="Arial" w:cs="Arial" w:eastAsia="Arial" w:hAnsi="Arial"/>
                <w:sz w:val="18"/>
                <w:szCs w:val="18"/>
                <w:color w:val="auto"/>
              </w:rPr>
              <w:t>Relationships with Customers and Suppliers</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US AND MERGER SUB</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w:t>
            </w:r>
          </w:p>
        </w:tc>
        <w:tc>
          <w:tcPr>
            <w:tcW w:w="7360" w:type="dxa"/>
            <w:vAlign w:val="bottom"/>
          </w:tcPr>
          <w:p>
            <w:pPr>
              <w:ind w:left="100"/>
              <w:spacing w:after="0"/>
              <w:rPr>
                <w:sz w:val="20"/>
                <w:szCs w:val="20"/>
                <w:color w:val="auto"/>
              </w:rPr>
            </w:pPr>
            <w:r>
              <w:rPr>
                <w:rFonts w:ascii="Arial" w:cs="Arial" w:eastAsia="Arial" w:hAnsi="Arial"/>
                <w:sz w:val="18"/>
                <w:szCs w:val="18"/>
                <w:color w:val="auto"/>
              </w:rPr>
              <w:t>Organization; Good Standing and Qualification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6.2</w:t>
            </w:r>
          </w:p>
        </w:tc>
        <w:tc>
          <w:tcPr>
            <w:tcW w:w="7360" w:type="dxa"/>
            <w:vAlign w:val="bottom"/>
          </w:tcPr>
          <w:p>
            <w:pPr>
              <w:ind w:left="100"/>
              <w:spacing w:after="0"/>
              <w:rPr>
                <w:sz w:val="20"/>
                <w:szCs w:val="20"/>
                <w:color w:val="auto"/>
              </w:rPr>
            </w:pPr>
            <w:r>
              <w:rPr>
                <w:rFonts w:ascii="Arial" w:cs="Arial" w:eastAsia="Arial" w:hAnsi="Arial"/>
                <w:sz w:val="18"/>
                <w:szCs w:val="18"/>
                <w:color w:val="auto"/>
              </w:rPr>
              <w:t>Authorization, Validity and Enforceability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6.3</w:t>
            </w:r>
          </w:p>
        </w:tc>
        <w:tc>
          <w:tcPr>
            <w:tcW w:w="736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Arial" w:cs="Arial" w:eastAsia="Arial" w:hAnsi="Arial"/>
                <w:sz w:val="14"/>
                <w:szCs w:val="14"/>
                <w:color w:val="auto"/>
              </w:rPr>
              <w:t>Page</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6.4</w:t>
            </w:r>
          </w:p>
        </w:tc>
        <w:tc>
          <w:tcPr>
            <w:tcW w:w="706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6.5</w:t>
            </w:r>
          </w:p>
        </w:tc>
        <w:tc>
          <w:tcPr>
            <w:tcW w:w="706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6.6</w:t>
            </w:r>
          </w:p>
        </w:tc>
        <w:tc>
          <w:tcPr>
            <w:tcW w:w="706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6.7</w:t>
            </w:r>
          </w:p>
        </w:tc>
        <w:tc>
          <w:tcPr>
            <w:tcW w:w="7060" w:type="dxa"/>
            <w:vAlign w:val="bottom"/>
          </w:tcPr>
          <w:p>
            <w:pPr>
              <w:ind w:left="120"/>
              <w:spacing w:after="0"/>
              <w:rPr>
                <w:sz w:val="20"/>
                <w:szCs w:val="20"/>
                <w:color w:val="auto"/>
              </w:rPr>
            </w:pPr>
            <w:r>
              <w:rPr>
                <w:rFonts w:ascii="Arial" w:cs="Arial" w:eastAsia="Arial" w:hAnsi="Arial"/>
                <w:sz w:val="18"/>
                <w:szCs w:val="18"/>
                <w:color w:val="auto"/>
              </w:rPr>
              <w:t>SEC Documents; Financial Statements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6.8</w:t>
            </w:r>
          </w:p>
        </w:tc>
        <w:tc>
          <w:tcPr>
            <w:tcW w:w="70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6.9</w:t>
            </w:r>
          </w:p>
        </w:tc>
        <w:tc>
          <w:tcPr>
            <w:tcW w:w="706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6.10</w:t>
            </w:r>
          </w:p>
        </w:tc>
        <w:tc>
          <w:tcPr>
            <w:tcW w:w="7060" w:type="dxa"/>
            <w:vAlign w:val="bottom"/>
          </w:tcPr>
          <w:p>
            <w:pPr>
              <w:ind w:left="120"/>
              <w:spacing w:after="0"/>
              <w:rPr>
                <w:sz w:val="20"/>
                <w:szCs w:val="20"/>
                <w:color w:val="auto"/>
              </w:rPr>
            </w:pPr>
            <w:r>
              <w:rPr>
                <w:rFonts w:ascii="Arial" w:cs="Arial" w:eastAsia="Arial" w:hAnsi="Arial"/>
                <w:sz w:val="18"/>
                <w:szCs w:val="18"/>
                <w:color w:val="auto"/>
              </w:rPr>
              <w:t>Cameron Stock Ownership</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6.11</w:t>
            </w:r>
          </w:p>
        </w:tc>
        <w:tc>
          <w:tcPr>
            <w:tcW w:w="7060" w:type="dxa"/>
            <w:vAlign w:val="bottom"/>
          </w:tcPr>
          <w:p>
            <w:pPr>
              <w:ind w:left="120"/>
              <w:spacing w:after="0"/>
              <w:rPr>
                <w:sz w:val="20"/>
                <w:szCs w:val="20"/>
                <w:color w:val="auto"/>
              </w:rPr>
            </w:pPr>
            <w:r>
              <w:rPr>
                <w:rFonts w:ascii="Arial" w:cs="Arial" w:eastAsia="Arial" w:hAnsi="Arial"/>
                <w:sz w:val="18"/>
                <w:szCs w:val="18"/>
                <w:color w:val="auto"/>
              </w:rPr>
              <w:t>Export Controls and Trade Sanctions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6.12</w:t>
            </w:r>
          </w:p>
        </w:tc>
        <w:tc>
          <w:tcPr>
            <w:tcW w:w="7060" w:type="dxa"/>
            <w:vAlign w:val="bottom"/>
          </w:tcPr>
          <w:p>
            <w:pPr>
              <w:ind w:left="120"/>
              <w:spacing w:after="0"/>
              <w:rPr>
                <w:sz w:val="20"/>
                <w:szCs w:val="20"/>
                <w:color w:val="auto"/>
              </w:rPr>
            </w:pPr>
            <w:r>
              <w:rPr>
                <w:rFonts w:ascii="Arial" w:cs="Arial" w:eastAsia="Arial" w:hAnsi="Arial"/>
                <w:sz w:val="18"/>
                <w:szCs w:val="18"/>
                <w:color w:val="auto"/>
              </w:rPr>
              <w:t>Foreign Corrupt Practices Act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6.13</w:t>
            </w:r>
          </w:p>
        </w:tc>
        <w:tc>
          <w:tcPr>
            <w:tcW w:w="7060" w:type="dxa"/>
            <w:vAlign w:val="bottom"/>
          </w:tcPr>
          <w:p>
            <w:pPr>
              <w:ind w:left="120"/>
              <w:spacing w:after="0"/>
              <w:rPr>
                <w:sz w:val="20"/>
                <w:szCs w:val="20"/>
                <w:color w:val="auto"/>
              </w:rPr>
            </w:pPr>
            <w:r>
              <w:rPr>
                <w:rFonts w:ascii="Arial" w:cs="Arial" w:eastAsia="Arial" w:hAnsi="Arial"/>
                <w:sz w:val="18"/>
                <w:szCs w:val="18"/>
                <w:color w:val="auto"/>
              </w:rPr>
              <w:t>Status of Merger Sub</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6.14</w:t>
            </w:r>
          </w:p>
        </w:tc>
        <w:tc>
          <w:tcPr>
            <w:tcW w:w="7060" w:type="dxa"/>
            <w:vAlign w:val="bottom"/>
          </w:tcPr>
          <w:p>
            <w:pPr>
              <w:ind w:left="120"/>
              <w:spacing w:after="0"/>
              <w:rPr>
                <w:sz w:val="20"/>
                <w:szCs w:val="20"/>
                <w:color w:val="auto"/>
              </w:rPr>
            </w:pPr>
            <w:r>
              <w:rPr>
                <w:rFonts w:ascii="Arial" w:cs="Arial" w:eastAsia="Arial" w:hAnsi="Arial"/>
                <w:sz w:val="18"/>
                <w:szCs w:val="18"/>
                <w:color w:val="auto"/>
              </w:rPr>
              <w:t>Decrees,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6.15</w:t>
            </w:r>
          </w:p>
        </w:tc>
        <w:tc>
          <w:tcPr>
            <w:tcW w:w="7060" w:type="dxa"/>
            <w:vAlign w:val="bottom"/>
          </w:tcPr>
          <w:p>
            <w:pPr>
              <w:ind w:left="120"/>
              <w:spacing w:after="0"/>
              <w:rPr>
                <w:sz w:val="20"/>
                <w:szCs w:val="20"/>
                <w:color w:val="auto"/>
              </w:rPr>
            </w:pPr>
            <w:r>
              <w:rPr>
                <w:rFonts w:ascii="Arial" w:cs="Arial" w:eastAsia="Arial" w:hAnsi="Arial"/>
                <w:sz w:val="18"/>
                <w:szCs w:val="18"/>
                <w:color w:val="auto"/>
              </w:rPr>
              <w:t>Sufficient Funds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rPr>
              <w:t>Article 7 REPRESENTATIONS AND WARRANTIES OF SCHLUMBERGER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w:t>
            </w:r>
          </w:p>
        </w:tc>
        <w:tc>
          <w:tcPr>
            <w:tcW w:w="7060" w:type="dxa"/>
            <w:vAlign w:val="bottom"/>
          </w:tcPr>
          <w:p>
            <w:pPr>
              <w:ind w:left="120"/>
              <w:spacing w:after="0"/>
              <w:rPr>
                <w:sz w:val="20"/>
                <w:szCs w:val="20"/>
                <w:color w:val="auto"/>
              </w:rPr>
            </w:pPr>
            <w:r>
              <w:rPr>
                <w:rFonts w:ascii="Arial" w:cs="Arial" w:eastAsia="Arial" w:hAnsi="Arial"/>
                <w:sz w:val="18"/>
                <w:szCs w:val="18"/>
                <w:color w:val="auto"/>
              </w:rPr>
              <w:t>Organization; Good Standing and Qualification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7.2</w:t>
            </w:r>
          </w:p>
        </w:tc>
        <w:tc>
          <w:tcPr>
            <w:tcW w:w="7060" w:type="dxa"/>
            <w:vAlign w:val="bottom"/>
          </w:tcPr>
          <w:p>
            <w:pPr>
              <w:ind w:left="120"/>
              <w:spacing w:after="0"/>
              <w:rPr>
                <w:sz w:val="20"/>
                <w:szCs w:val="20"/>
                <w:color w:val="auto"/>
              </w:rPr>
            </w:pPr>
            <w:r>
              <w:rPr>
                <w:rFonts w:ascii="Arial" w:cs="Arial" w:eastAsia="Arial" w:hAnsi="Arial"/>
                <w:sz w:val="18"/>
                <w:szCs w:val="18"/>
                <w:color w:val="auto"/>
              </w:rPr>
              <w:t>Authorization, Validity and Enforceability</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7.3</w:t>
            </w:r>
          </w:p>
        </w:tc>
        <w:tc>
          <w:tcPr>
            <w:tcW w:w="7060" w:type="dxa"/>
            <w:vAlign w:val="bottom"/>
          </w:tcPr>
          <w:p>
            <w:pPr>
              <w:ind w:left="120"/>
              <w:spacing w:after="0"/>
              <w:rPr>
                <w:sz w:val="20"/>
                <w:szCs w:val="20"/>
                <w:color w:val="auto"/>
              </w:rPr>
            </w:pPr>
            <w:r>
              <w:rPr>
                <w:rFonts w:ascii="Arial" w:cs="Arial" w:eastAsia="Arial" w:hAnsi="Arial"/>
                <w:sz w:val="18"/>
                <w:szCs w:val="18"/>
                <w:color w:val="auto"/>
              </w:rPr>
              <w:t>Capitalization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7.4</w:t>
            </w:r>
          </w:p>
        </w:tc>
        <w:tc>
          <w:tcPr>
            <w:tcW w:w="706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7.5</w:t>
            </w:r>
          </w:p>
        </w:tc>
        <w:tc>
          <w:tcPr>
            <w:tcW w:w="706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7.6</w:t>
            </w:r>
          </w:p>
        </w:tc>
        <w:tc>
          <w:tcPr>
            <w:tcW w:w="7060" w:type="dxa"/>
            <w:vAlign w:val="bottom"/>
          </w:tcPr>
          <w:p>
            <w:pPr>
              <w:ind w:left="120"/>
              <w:spacing w:after="0"/>
              <w:rPr>
                <w:sz w:val="20"/>
                <w:szCs w:val="20"/>
                <w:color w:val="auto"/>
              </w:rPr>
            </w:pPr>
            <w:r>
              <w:rPr>
                <w:rFonts w:ascii="Arial" w:cs="Arial" w:eastAsia="Arial" w:hAnsi="Arial"/>
                <w:sz w:val="18"/>
                <w:szCs w:val="18"/>
                <w:color w:val="auto"/>
              </w:rPr>
              <w:t>SEC Documents; Financial Statements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A-30</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7.7</w:t>
            </w:r>
          </w:p>
        </w:tc>
        <w:tc>
          <w:tcPr>
            <w:tcW w:w="706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A-30</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7.8</w:t>
            </w:r>
          </w:p>
        </w:tc>
        <w:tc>
          <w:tcPr>
            <w:tcW w:w="70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7.9</w:t>
            </w:r>
          </w:p>
        </w:tc>
        <w:tc>
          <w:tcPr>
            <w:tcW w:w="706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7.10</w:t>
            </w:r>
          </w:p>
        </w:tc>
        <w:tc>
          <w:tcPr>
            <w:tcW w:w="7060" w:type="dxa"/>
            <w:vAlign w:val="bottom"/>
          </w:tcPr>
          <w:p>
            <w:pPr>
              <w:ind w:left="120"/>
              <w:spacing w:after="0"/>
              <w:rPr>
                <w:sz w:val="20"/>
                <w:szCs w:val="20"/>
                <w:color w:val="auto"/>
              </w:rPr>
            </w:pPr>
            <w:r>
              <w:rPr>
                <w:rFonts w:ascii="Arial" w:cs="Arial" w:eastAsia="Arial" w:hAnsi="Arial"/>
                <w:sz w:val="18"/>
                <w:szCs w:val="18"/>
                <w:color w:val="auto"/>
              </w:rPr>
              <w:t>Schlumberger US and Cameron Stock Ownership</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7.11</w:t>
            </w:r>
          </w:p>
        </w:tc>
        <w:tc>
          <w:tcPr>
            <w:tcW w:w="7060" w:type="dxa"/>
            <w:vAlign w:val="bottom"/>
          </w:tcPr>
          <w:p>
            <w:pPr>
              <w:ind w:left="120"/>
              <w:spacing w:after="0"/>
              <w:rPr>
                <w:sz w:val="20"/>
                <w:szCs w:val="20"/>
                <w:color w:val="auto"/>
              </w:rPr>
            </w:pPr>
            <w:r>
              <w:rPr>
                <w:rFonts w:ascii="Arial" w:cs="Arial" w:eastAsia="Arial" w:hAnsi="Arial"/>
                <w:sz w:val="18"/>
                <w:szCs w:val="18"/>
                <w:color w:val="auto"/>
              </w:rPr>
              <w:t>No Vote Required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7.12</w:t>
            </w:r>
          </w:p>
        </w:tc>
        <w:tc>
          <w:tcPr>
            <w:tcW w:w="7060" w:type="dxa"/>
            <w:vAlign w:val="bottom"/>
          </w:tcPr>
          <w:p>
            <w:pPr>
              <w:ind w:left="120"/>
              <w:spacing w:after="0"/>
              <w:rPr>
                <w:sz w:val="20"/>
                <w:szCs w:val="20"/>
                <w:color w:val="auto"/>
              </w:rPr>
            </w:pPr>
            <w:r>
              <w:rPr>
                <w:rFonts w:ascii="Arial" w:cs="Arial" w:eastAsia="Arial" w:hAnsi="Arial"/>
                <w:sz w:val="18"/>
                <w:szCs w:val="18"/>
                <w:color w:val="auto"/>
              </w:rPr>
              <w:t>Export Controls and Trade Sanctions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7.13</w:t>
            </w:r>
          </w:p>
        </w:tc>
        <w:tc>
          <w:tcPr>
            <w:tcW w:w="7060" w:type="dxa"/>
            <w:vAlign w:val="bottom"/>
          </w:tcPr>
          <w:p>
            <w:pPr>
              <w:ind w:left="120"/>
              <w:spacing w:after="0"/>
              <w:rPr>
                <w:sz w:val="20"/>
                <w:szCs w:val="20"/>
                <w:color w:val="auto"/>
              </w:rPr>
            </w:pPr>
            <w:r>
              <w:rPr>
                <w:rFonts w:ascii="Arial" w:cs="Arial" w:eastAsia="Arial" w:hAnsi="Arial"/>
                <w:sz w:val="18"/>
                <w:szCs w:val="18"/>
                <w:color w:val="auto"/>
              </w:rPr>
              <w:t>Foreign Corrupt Practices Act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7.14</w:t>
            </w:r>
          </w:p>
        </w:tc>
        <w:tc>
          <w:tcPr>
            <w:tcW w:w="7060" w:type="dxa"/>
            <w:vAlign w:val="bottom"/>
          </w:tcPr>
          <w:p>
            <w:pPr>
              <w:ind w:left="120"/>
              <w:spacing w:after="0"/>
              <w:rPr>
                <w:sz w:val="20"/>
                <w:szCs w:val="20"/>
                <w:color w:val="auto"/>
              </w:rPr>
            </w:pPr>
            <w:r>
              <w:rPr>
                <w:rFonts w:ascii="Arial" w:cs="Arial" w:eastAsia="Arial" w:hAnsi="Arial"/>
                <w:sz w:val="18"/>
                <w:szCs w:val="18"/>
                <w:color w:val="auto"/>
              </w:rPr>
              <w:t>Decrees,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A-33</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7.15</w:t>
            </w:r>
          </w:p>
        </w:tc>
        <w:tc>
          <w:tcPr>
            <w:tcW w:w="706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A-33</w:t>
            </w:r>
          </w:p>
        </w:tc>
      </w:tr>
      <w:tr>
        <w:trPr>
          <w:trHeight w:val="310"/>
        </w:trPr>
        <w:tc>
          <w:tcPr>
            <w:tcW w:w="1920" w:type="dxa"/>
            <w:vAlign w:val="bottom"/>
          </w:tcPr>
          <w:p>
            <w:pPr>
              <w:spacing w:after="0"/>
              <w:rPr>
                <w:sz w:val="20"/>
                <w:szCs w:val="20"/>
                <w:color w:val="auto"/>
              </w:rPr>
            </w:pPr>
            <w:r>
              <w:rPr>
                <w:rFonts w:ascii="Arial" w:cs="Arial" w:eastAsia="Arial" w:hAnsi="Arial"/>
                <w:sz w:val="18"/>
                <w:szCs w:val="18"/>
                <w:color w:val="auto"/>
              </w:rPr>
              <w:t>Article 8 COVENANTS</w:t>
            </w:r>
          </w:p>
        </w:tc>
        <w:tc>
          <w:tcPr>
            <w:tcW w:w="706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w:t>
            </w:r>
          </w:p>
        </w:tc>
        <w:tc>
          <w:tcPr>
            <w:tcW w:w="706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8.2</w:t>
            </w:r>
          </w:p>
        </w:tc>
        <w:tc>
          <w:tcPr>
            <w:tcW w:w="7060" w:type="dxa"/>
            <w:vAlign w:val="bottom"/>
          </w:tcPr>
          <w:p>
            <w:pPr>
              <w:ind w:left="120"/>
              <w:spacing w:after="0"/>
              <w:rPr>
                <w:sz w:val="20"/>
                <w:szCs w:val="20"/>
                <w:color w:val="auto"/>
              </w:rPr>
            </w:pPr>
            <w:r>
              <w:rPr>
                <w:rFonts w:ascii="Arial" w:cs="Arial" w:eastAsia="Arial" w:hAnsi="Arial"/>
                <w:sz w:val="18"/>
                <w:szCs w:val="18"/>
                <w:color w:val="auto"/>
              </w:rPr>
              <w:t>Cameron Stockholders Meeting</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8.3</w:t>
            </w:r>
          </w:p>
        </w:tc>
        <w:tc>
          <w:tcPr>
            <w:tcW w:w="7060" w:type="dxa"/>
            <w:vAlign w:val="bottom"/>
          </w:tcPr>
          <w:p>
            <w:pPr>
              <w:ind w:left="120"/>
              <w:spacing w:after="0"/>
              <w:rPr>
                <w:sz w:val="20"/>
                <w:szCs w:val="20"/>
                <w:color w:val="auto"/>
              </w:rPr>
            </w:pPr>
            <w:r>
              <w:rPr>
                <w:rFonts w:ascii="Arial" w:cs="Arial" w:eastAsia="Arial" w:hAnsi="Arial"/>
                <w:sz w:val="18"/>
                <w:szCs w:val="18"/>
                <w:color w:val="auto"/>
              </w:rPr>
              <w:t>No Solicitation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8.4</w:t>
            </w:r>
          </w:p>
        </w:tc>
        <w:tc>
          <w:tcPr>
            <w:tcW w:w="7060" w:type="dxa"/>
            <w:vAlign w:val="bottom"/>
          </w:tcPr>
          <w:p>
            <w:pPr>
              <w:ind w:left="120"/>
              <w:spacing w:after="0"/>
              <w:rPr>
                <w:sz w:val="20"/>
                <w:szCs w:val="20"/>
                <w:color w:val="auto"/>
              </w:rPr>
            </w:pPr>
            <w:r>
              <w:rPr>
                <w:rFonts w:ascii="Arial" w:cs="Arial" w:eastAsia="Arial" w:hAnsi="Arial"/>
                <w:sz w:val="18"/>
                <w:szCs w:val="18"/>
                <w:color w:val="auto"/>
              </w:rPr>
              <w:t>Reasonable Best Efforts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8.5</w:t>
            </w:r>
          </w:p>
        </w:tc>
        <w:tc>
          <w:tcPr>
            <w:tcW w:w="7060" w:type="dxa"/>
            <w:vAlign w:val="bottom"/>
          </w:tcPr>
          <w:p>
            <w:pPr>
              <w:ind w:left="120"/>
              <w:spacing w:after="0"/>
              <w:rPr>
                <w:sz w:val="20"/>
                <w:szCs w:val="20"/>
                <w:color w:val="auto"/>
              </w:rPr>
            </w:pPr>
            <w:r>
              <w:rPr>
                <w:rFonts w:ascii="Arial" w:cs="Arial" w:eastAsia="Arial" w:hAnsi="Arial"/>
                <w:sz w:val="18"/>
                <w:szCs w:val="18"/>
                <w:color w:val="auto"/>
              </w:rPr>
              <w:t>Preparation of Proxy Statement/Prospectus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8.6</w:t>
            </w:r>
          </w:p>
        </w:tc>
        <w:tc>
          <w:tcPr>
            <w:tcW w:w="7060" w:type="dxa"/>
            <w:vAlign w:val="bottom"/>
          </w:tcPr>
          <w:p>
            <w:pPr>
              <w:ind w:left="120"/>
              <w:spacing w:after="0"/>
              <w:rPr>
                <w:sz w:val="20"/>
                <w:szCs w:val="20"/>
                <w:color w:val="auto"/>
              </w:rPr>
            </w:pPr>
            <w:r>
              <w:rPr>
                <w:rFonts w:ascii="Arial" w:cs="Arial" w:eastAsia="Arial" w:hAnsi="Arial"/>
                <w:sz w:val="18"/>
                <w:szCs w:val="18"/>
                <w:color w:val="auto"/>
              </w:rPr>
              <w:t>Filings,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8.7</w:t>
            </w:r>
          </w:p>
        </w:tc>
        <w:tc>
          <w:tcPr>
            <w:tcW w:w="7060" w:type="dxa"/>
            <w:vAlign w:val="bottom"/>
          </w:tcPr>
          <w:p>
            <w:pPr>
              <w:ind w:left="120"/>
              <w:spacing w:after="0"/>
              <w:rPr>
                <w:sz w:val="20"/>
                <w:szCs w:val="20"/>
                <w:color w:val="auto"/>
              </w:rPr>
            </w:pPr>
            <w:r>
              <w:rPr>
                <w:rFonts w:ascii="Arial" w:cs="Arial" w:eastAsia="Arial" w:hAnsi="Arial"/>
                <w:sz w:val="18"/>
                <w:szCs w:val="18"/>
                <w:color w:val="auto"/>
              </w:rPr>
              <w:t>Listing Application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8.8</w:t>
            </w:r>
          </w:p>
        </w:tc>
        <w:tc>
          <w:tcPr>
            <w:tcW w:w="7060" w:type="dxa"/>
            <w:vAlign w:val="bottom"/>
          </w:tcPr>
          <w:p>
            <w:pPr>
              <w:ind w:left="120"/>
              <w:spacing w:after="0"/>
              <w:rPr>
                <w:sz w:val="20"/>
                <w:szCs w:val="20"/>
                <w:color w:val="auto"/>
              </w:rPr>
            </w:pPr>
            <w:r>
              <w:rPr>
                <w:rFonts w:ascii="Arial" w:cs="Arial" w:eastAsia="Arial" w:hAnsi="Arial"/>
                <w:sz w:val="18"/>
                <w:szCs w:val="18"/>
                <w:color w:val="auto"/>
              </w:rPr>
              <w:t>Section 16 Matters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8.9</w:t>
            </w:r>
          </w:p>
        </w:tc>
        <w:tc>
          <w:tcPr>
            <w:tcW w:w="7060" w:type="dxa"/>
            <w:vAlign w:val="bottom"/>
          </w:tcPr>
          <w:p>
            <w:pPr>
              <w:ind w:left="120"/>
              <w:spacing w:after="0"/>
              <w:rPr>
                <w:sz w:val="20"/>
                <w:szCs w:val="20"/>
                <w:color w:val="auto"/>
              </w:rPr>
            </w:pPr>
            <w:r>
              <w:rPr>
                <w:rFonts w:ascii="Arial" w:cs="Arial" w:eastAsia="Arial" w:hAnsi="Arial"/>
                <w:sz w:val="18"/>
                <w:szCs w:val="18"/>
                <w:color w:val="auto"/>
              </w:rPr>
              <w:t>Converted Options and Stock Incentive Awards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8.10</w:t>
            </w:r>
          </w:p>
        </w:tc>
        <w:tc>
          <w:tcPr>
            <w:tcW w:w="7060" w:type="dxa"/>
            <w:vAlign w:val="bottom"/>
          </w:tcPr>
          <w:p>
            <w:pPr>
              <w:ind w:left="120"/>
              <w:spacing w:after="0"/>
              <w:rPr>
                <w:sz w:val="20"/>
                <w:szCs w:val="20"/>
                <w:color w:val="auto"/>
              </w:rPr>
            </w:pPr>
            <w:r>
              <w:rPr>
                <w:rFonts w:ascii="Arial" w:cs="Arial" w:eastAsia="Arial" w:hAnsi="Arial"/>
                <w:sz w:val="18"/>
                <w:szCs w:val="18"/>
                <w:color w:val="auto"/>
              </w:rPr>
              <w:t>Inspection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8.11</w:t>
            </w:r>
          </w:p>
        </w:tc>
        <w:tc>
          <w:tcPr>
            <w:tcW w:w="7060" w:type="dxa"/>
            <w:vAlign w:val="bottom"/>
          </w:tcPr>
          <w:p>
            <w:pPr>
              <w:ind w:left="120"/>
              <w:spacing w:after="0"/>
              <w:rPr>
                <w:sz w:val="20"/>
                <w:szCs w:val="20"/>
                <w:color w:val="auto"/>
              </w:rPr>
            </w:pPr>
            <w:r>
              <w:rPr>
                <w:rFonts w:ascii="Arial" w:cs="Arial" w:eastAsia="Arial" w:hAnsi="Arial"/>
                <w:sz w:val="18"/>
                <w:szCs w:val="18"/>
                <w:color w:val="auto"/>
              </w:rPr>
              <w:t>Publicity</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8.12</w:t>
            </w:r>
          </w:p>
        </w:tc>
        <w:tc>
          <w:tcPr>
            <w:tcW w:w="70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8.13</w:t>
            </w:r>
          </w:p>
        </w:tc>
        <w:tc>
          <w:tcPr>
            <w:tcW w:w="7060" w:type="dxa"/>
            <w:vAlign w:val="bottom"/>
          </w:tcPr>
          <w:p>
            <w:pPr>
              <w:ind w:left="120"/>
              <w:spacing w:after="0"/>
              <w:rPr>
                <w:sz w:val="20"/>
                <w:szCs w:val="20"/>
                <w:color w:val="auto"/>
              </w:rPr>
            </w:pPr>
            <w:r>
              <w:rPr>
                <w:rFonts w:ascii="Arial" w:cs="Arial" w:eastAsia="Arial" w:hAnsi="Arial"/>
                <w:sz w:val="18"/>
                <w:szCs w:val="18"/>
                <w:color w:val="auto"/>
              </w:rPr>
              <w:t>Charter Provisions; Takeover Laws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8.14</w:t>
            </w:r>
          </w:p>
        </w:tc>
        <w:tc>
          <w:tcPr>
            <w:tcW w:w="7060" w:type="dxa"/>
            <w:vAlign w:val="bottom"/>
          </w:tcPr>
          <w:p>
            <w:pPr>
              <w:ind w:left="120"/>
              <w:spacing w:after="0"/>
              <w:rPr>
                <w:sz w:val="20"/>
                <w:szCs w:val="20"/>
                <w:color w:val="auto"/>
              </w:rPr>
            </w:pPr>
            <w:r>
              <w:rPr>
                <w:rFonts w:ascii="Arial" w:cs="Arial" w:eastAsia="Arial" w:hAnsi="Arial"/>
                <w:sz w:val="18"/>
                <w:szCs w:val="18"/>
                <w:color w:val="auto"/>
              </w:rPr>
              <w:t>Stockholder 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8.15</w:t>
            </w:r>
          </w:p>
        </w:tc>
        <w:tc>
          <w:tcPr>
            <w:tcW w:w="706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8.16</w:t>
            </w:r>
          </w:p>
        </w:tc>
        <w:tc>
          <w:tcPr>
            <w:tcW w:w="7060" w:type="dxa"/>
            <w:vAlign w:val="bottom"/>
          </w:tcPr>
          <w:p>
            <w:pPr>
              <w:ind w:left="120"/>
              <w:spacing w:after="0"/>
              <w:rPr>
                <w:sz w:val="20"/>
                <w:szCs w:val="20"/>
                <w:color w:val="auto"/>
              </w:rPr>
            </w:pPr>
            <w:r>
              <w:rPr>
                <w:rFonts w:ascii="Arial" w:cs="Arial" w:eastAsia="Arial" w:hAnsi="Arial"/>
                <w:sz w:val="18"/>
                <w:szCs w:val="18"/>
                <w:color w:val="auto"/>
              </w:rPr>
              <w:t>Certain Benefits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A-47</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8.17</w:t>
            </w:r>
          </w:p>
        </w:tc>
        <w:tc>
          <w:tcPr>
            <w:tcW w:w="7060" w:type="dxa"/>
            <w:vAlign w:val="bottom"/>
          </w:tcPr>
          <w:p>
            <w:pPr>
              <w:ind w:left="120"/>
              <w:spacing w:after="0"/>
              <w:rPr>
                <w:sz w:val="20"/>
                <w:szCs w:val="20"/>
                <w:color w:val="auto"/>
              </w:rPr>
            </w:pPr>
            <w:r>
              <w:rPr>
                <w:rFonts w:ascii="Arial" w:cs="Arial" w:eastAsia="Arial" w:hAnsi="Arial"/>
                <w:sz w:val="18"/>
                <w:szCs w:val="18"/>
                <w:color w:val="auto"/>
              </w:rPr>
              <w:t>Obligations of Schlumberger US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310"/>
        </w:trPr>
        <w:tc>
          <w:tcPr>
            <w:tcW w:w="1920" w:type="dxa"/>
            <w:vAlign w:val="bottom"/>
          </w:tcPr>
          <w:p>
            <w:pPr>
              <w:spacing w:after="0"/>
              <w:rPr>
                <w:sz w:val="20"/>
                <w:szCs w:val="20"/>
                <w:color w:val="auto"/>
              </w:rPr>
            </w:pPr>
            <w:r>
              <w:rPr>
                <w:rFonts w:ascii="Arial" w:cs="Arial" w:eastAsia="Arial" w:hAnsi="Arial"/>
                <w:sz w:val="18"/>
                <w:szCs w:val="18"/>
                <w:color w:val="auto"/>
              </w:rPr>
              <w:t>Article 9 CONDITIONS</w:t>
            </w:r>
          </w:p>
        </w:tc>
        <w:tc>
          <w:tcPr>
            <w:tcW w:w="706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9.1</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9.2</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Obligation of Cameron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9.3</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Obligation of Schlumberger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A-50</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580" w:type="dxa"/>
            <w:vAlign w:val="bottom"/>
          </w:tcPr>
          <w:p>
            <w:pPr>
              <w:ind w:left="2220"/>
              <w:spacing w:after="0"/>
              <w:rPr>
                <w:sz w:val="20"/>
                <w:szCs w:val="20"/>
                <w:color w:val="auto"/>
              </w:rPr>
            </w:pPr>
            <w:r>
              <w:rPr>
                <w:rFonts w:ascii="Arial" w:cs="Arial" w:eastAsia="Arial" w:hAnsi="Arial"/>
                <w:sz w:val="14"/>
                <w:szCs w:val="14"/>
                <w:color w:val="auto"/>
              </w:rPr>
              <w:t>Page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Article 10 TERMINATION</w:t>
            </w:r>
          </w:p>
        </w:tc>
        <w:tc>
          <w:tcPr>
            <w:tcW w:w="6660" w:type="dxa"/>
            <w:vAlign w:val="bottom"/>
          </w:tcPr>
          <w:p>
            <w:pPr>
              <w:spacing w:after="0"/>
              <w:rPr>
                <w:sz w:val="18"/>
                <w:szCs w:val="18"/>
                <w:color w:val="auto"/>
              </w:rPr>
            </w:pP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10.1</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Mutual Consent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10.2</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Schlumberger or Cameron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10.3</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Cameron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A-51</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10.4</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Schlumberger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A-51</w:t>
            </w:r>
          </w:p>
        </w:tc>
      </w:tr>
      <w:tr>
        <w:trPr>
          <w:trHeight w:val="230"/>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10.5</w:t>
            </w:r>
          </w:p>
        </w:tc>
        <w:tc>
          <w:tcPr>
            <w:tcW w:w="66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A-52</w:t>
            </w:r>
          </w:p>
        </w:tc>
      </w:tr>
      <w:tr>
        <w:trPr>
          <w:trHeight w:val="310"/>
        </w:trPr>
        <w:tc>
          <w:tcPr>
            <w:tcW w:w="8740" w:type="dxa"/>
            <w:vAlign w:val="bottom"/>
            <w:gridSpan w:val="2"/>
          </w:tcPr>
          <w:p>
            <w:pPr>
              <w:spacing w:after="0"/>
              <w:rPr>
                <w:sz w:val="20"/>
                <w:szCs w:val="20"/>
                <w:color w:val="auto"/>
              </w:rPr>
            </w:pPr>
            <w:r>
              <w:rPr>
                <w:rFonts w:ascii="Arial" w:cs="Arial" w:eastAsia="Arial" w:hAnsi="Arial"/>
                <w:sz w:val="18"/>
                <w:szCs w:val="18"/>
                <w:color w:val="auto"/>
              </w:rPr>
              <w:t>Article 11 GENERAL PROVISIONS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w:t>
            </w:r>
          </w:p>
        </w:tc>
        <w:tc>
          <w:tcPr>
            <w:tcW w:w="6660" w:type="dxa"/>
            <w:vAlign w:val="bottom"/>
          </w:tcPr>
          <w:p>
            <w:pPr>
              <w:ind w:left="60"/>
              <w:spacing w:after="0"/>
              <w:rPr>
                <w:sz w:val="20"/>
                <w:szCs w:val="20"/>
                <w:color w:val="auto"/>
              </w:rPr>
            </w:pPr>
            <w:r>
              <w:rPr>
                <w:rFonts w:ascii="Arial" w:cs="Arial" w:eastAsia="Arial" w:hAnsi="Arial"/>
                <w:sz w:val="18"/>
                <w:szCs w:val="18"/>
                <w:color w:val="auto"/>
              </w:rPr>
              <w:t>Nonsurvival of Representations, Warranties and Agreements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11.2</w:t>
            </w:r>
          </w:p>
        </w:tc>
        <w:tc>
          <w:tcPr>
            <w:tcW w:w="666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11.3</w:t>
            </w:r>
          </w:p>
        </w:tc>
        <w:tc>
          <w:tcPr>
            <w:tcW w:w="6660" w:type="dxa"/>
            <w:vAlign w:val="bottom"/>
          </w:tcPr>
          <w:p>
            <w:pPr>
              <w:ind w:left="60"/>
              <w:spacing w:after="0"/>
              <w:rPr>
                <w:sz w:val="20"/>
                <w:szCs w:val="20"/>
                <w:color w:val="auto"/>
              </w:rPr>
            </w:pPr>
            <w:r>
              <w:rPr>
                <w:rFonts w:ascii="Arial" w:cs="Arial" w:eastAsia="Arial" w:hAnsi="Arial"/>
                <w:sz w:val="18"/>
                <w:szCs w:val="18"/>
                <w:color w:val="auto"/>
              </w:rPr>
              <w:t>Assignment; Binding Effect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11.4</w:t>
            </w:r>
          </w:p>
        </w:tc>
        <w:tc>
          <w:tcPr>
            <w:tcW w:w="6660" w:type="dxa"/>
            <w:vAlign w:val="bottom"/>
          </w:tcPr>
          <w:p>
            <w:pPr>
              <w:ind w:left="60"/>
              <w:spacing w:after="0"/>
              <w:rPr>
                <w:sz w:val="20"/>
                <w:szCs w:val="20"/>
                <w:color w:val="auto"/>
              </w:rPr>
            </w:pPr>
            <w:r>
              <w:rPr>
                <w:rFonts w:ascii="Arial" w:cs="Arial" w:eastAsia="Arial" w:hAnsi="Arial"/>
                <w:sz w:val="18"/>
                <w:szCs w:val="18"/>
                <w:color w:val="auto"/>
              </w:rPr>
              <w:t>Third-Party Beneficiaries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11.5</w:t>
            </w:r>
          </w:p>
        </w:tc>
        <w:tc>
          <w:tcPr>
            <w:tcW w:w="66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11.6</w:t>
            </w:r>
          </w:p>
        </w:tc>
        <w:tc>
          <w:tcPr>
            <w:tcW w:w="66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11.7</w:t>
            </w:r>
          </w:p>
        </w:tc>
        <w:tc>
          <w:tcPr>
            <w:tcW w:w="66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11.8</w:t>
            </w:r>
          </w:p>
        </w:tc>
        <w:tc>
          <w:tcPr>
            <w:tcW w:w="66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11.9</w:t>
            </w:r>
          </w:p>
        </w:tc>
        <w:tc>
          <w:tcPr>
            <w:tcW w:w="6660" w:type="dxa"/>
            <w:vAlign w:val="bottom"/>
          </w:tcPr>
          <w:p>
            <w:pPr>
              <w:ind w:left="60"/>
              <w:spacing w:after="0"/>
              <w:rPr>
                <w:sz w:val="20"/>
                <w:szCs w:val="20"/>
                <w:color w:val="auto"/>
              </w:rPr>
            </w:pPr>
            <w:r>
              <w:rPr>
                <w:rFonts w:ascii="Arial" w:cs="Arial" w:eastAsia="Arial" w:hAnsi="Arial"/>
                <w:sz w:val="18"/>
                <w:szCs w:val="18"/>
                <w:color w:val="auto"/>
              </w:rPr>
              <w:t>Headings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11.10</w:t>
            </w:r>
          </w:p>
        </w:tc>
        <w:tc>
          <w:tcPr>
            <w:tcW w:w="6660" w:type="dxa"/>
            <w:vAlign w:val="bottom"/>
          </w:tcPr>
          <w:p>
            <w:pPr>
              <w:ind w:left="60"/>
              <w:spacing w:after="0"/>
              <w:rPr>
                <w:sz w:val="20"/>
                <w:szCs w:val="20"/>
                <w:color w:val="auto"/>
              </w:rPr>
            </w:pPr>
            <w:r>
              <w:rPr>
                <w:rFonts w:ascii="Arial" w:cs="Arial" w:eastAsia="Arial" w:hAnsi="Arial"/>
                <w:sz w:val="18"/>
                <w:szCs w:val="18"/>
                <w:color w:val="auto"/>
              </w:rPr>
              <w:t>Interpretation; Disclosure Letter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11.11</w:t>
            </w:r>
          </w:p>
        </w:tc>
        <w:tc>
          <w:tcPr>
            <w:tcW w:w="666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A-56</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11.12</w:t>
            </w:r>
          </w:p>
        </w:tc>
        <w:tc>
          <w:tcPr>
            <w:tcW w:w="6660" w:type="dxa"/>
            <w:vAlign w:val="bottom"/>
          </w:tcPr>
          <w:p>
            <w:pPr>
              <w:ind w:left="60"/>
              <w:spacing w:after="0"/>
              <w:rPr>
                <w:sz w:val="20"/>
                <w:szCs w:val="20"/>
                <w:color w:val="auto"/>
              </w:rPr>
            </w:pPr>
            <w:r>
              <w:rPr>
                <w:rFonts w:ascii="Arial" w:cs="Arial" w:eastAsia="Arial" w:hAnsi="Arial"/>
                <w:sz w:val="18"/>
                <w:szCs w:val="18"/>
                <w:color w:val="auto"/>
              </w:rPr>
              <w:t>Extensions; Waiver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11.13</w:t>
            </w:r>
          </w:p>
        </w:tc>
        <w:tc>
          <w:tcPr>
            <w:tcW w:w="66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11.14</w:t>
            </w:r>
          </w:p>
        </w:tc>
        <w:tc>
          <w:tcPr>
            <w:tcW w:w="6660" w:type="dxa"/>
            <w:vAlign w:val="bottom"/>
          </w:tcPr>
          <w:p>
            <w:pPr>
              <w:ind w:left="60"/>
              <w:spacing w:after="0"/>
              <w:rPr>
                <w:sz w:val="20"/>
                <w:szCs w:val="20"/>
                <w:color w:val="auto"/>
              </w:rPr>
            </w:pPr>
            <w:r>
              <w:rPr>
                <w:rFonts w:ascii="Arial" w:cs="Arial" w:eastAsia="Arial" w:hAnsi="Arial"/>
                <w:sz w:val="18"/>
                <w:szCs w:val="18"/>
                <w:color w:val="auto"/>
              </w:rPr>
              <w:t>Enforcement of Agreement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30"/>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11.15</w:t>
            </w:r>
          </w:p>
        </w:tc>
        <w:tc>
          <w:tcPr>
            <w:tcW w:w="666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A-58</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GLOSSARY OF DEFINED TERMS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5340" w:type="dxa"/>
            <w:vAlign w:val="bottom"/>
          </w:tcPr>
          <w:p>
            <w:pPr>
              <w:spacing w:after="0"/>
              <w:rPr>
                <w:sz w:val="24"/>
                <w:szCs w:val="24"/>
                <w:color w:val="auto"/>
              </w:rPr>
            </w:pPr>
          </w:p>
        </w:tc>
        <w:tc>
          <w:tcPr>
            <w:tcW w:w="1880" w:type="dxa"/>
            <w:vAlign w:val="bottom"/>
            <w:gridSpan w:val="3"/>
          </w:tcPr>
          <w:p>
            <w:pPr>
              <w:ind w:left="460"/>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00" w:type="dxa"/>
            <w:vAlign w:val="bottom"/>
            <w:gridSpan w:val="2"/>
          </w:tcPr>
          <w:p>
            <w:pPr>
              <w:spacing w:after="0" w:line="182" w:lineRule="exact"/>
              <w:rPr>
                <w:sz w:val="20"/>
                <w:szCs w:val="20"/>
                <w:color w:val="auto"/>
              </w:rPr>
            </w:pPr>
            <w:r>
              <w:rPr>
                <w:rFonts w:ascii="Arial" w:cs="Arial" w:eastAsia="Arial" w:hAnsi="Arial"/>
                <w:sz w:val="18"/>
                <w:szCs w:val="18"/>
                <w:color w:val="auto"/>
              </w:rPr>
              <w:t>9.1(c) Jurisdiction</w:t>
            </w:r>
          </w:p>
        </w:tc>
        <w:tc>
          <w:tcPr>
            <w:tcW w:w="460" w:type="dxa"/>
            <w:vAlign w:val="bottom"/>
            <w:vMerge w:val="continue"/>
          </w:tcPr>
          <w:p>
            <w:pPr>
              <w:spacing w:after="0"/>
              <w:rPr>
                <w:sz w:val="15"/>
                <w:szCs w:val="15"/>
                <w:color w:val="auto"/>
              </w:rPr>
            </w:pPr>
          </w:p>
        </w:tc>
        <w:tc>
          <w:tcPr>
            <w:tcW w:w="1420" w:type="dxa"/>
            <w:vAlign w:val="bottom"/>
            <w:gridSpan w:val="2"/>
          </w:tcPr>
          <w:p>
            <w:pPr>
              <w:spacing w:after="0" w:line="182" w:lineRule="exact"/>
              <w:rPr>
                <w:sz w:val="20"/>
                <w:szCs w:val="20"/>
                <w:color w:val="auto"/>
              </w:rPr>
            </w:pPr>
            <w:r>
              <w:rPr>
                <w:rFonts w:ascii="Arial" w:cs="Arial" w:eastAsia="Arial" w:hAnsi="Arial"/>
                <w:sz w:val="18"/>
                <w:szCs w:val="18"/>
                <w:color w:val="auto"/>
              </w:rPr>
              <w:t>Section 9.1(d)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Action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8.15(a)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5.4(a)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Assumed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4.1(j)</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Assumed RSUs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8.16(d)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Assets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8.6(d)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Benefit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Board</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Common Stock</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Deferred Compensation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Deferred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4.1(h)</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Disclosure Letter</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Article 5 Preface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Environmental Permits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5.15(b)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ERISA affiliate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w w:val="97"/>
              </w:rPr>
              <w:t>Section 5.12(b)(x)</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Excluded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Foreign Benefit Plan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Material Adverse Effect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11.11(d)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Performance Share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4.1(i)</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Permits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5.4(b)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Post-Signing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Post-Signing Restricted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Preferred Stock</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Recommendation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Reports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5.6(a)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Restricted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Securities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Stockholder Approval</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Stockholders Meeting</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Subsidiary Securities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5.3(c)</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Surviving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U.S. Benefit Plan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1.3</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COBRA</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w w:val="92"/>
              </w:rPr>
              <w:t>Section 5.12(b)(xii)</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Code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Converted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Converted Performance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4.1(i)</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5340" w:type="dxa"/>
            <w:vAlign w:val="bottom"/>
          </w:tcPr>
          <w:p>
            <w:pPr>
              <w:jc w:val="center"/>
              <w:ind w:left="1510"/>
              <w:spacing w:after="0"/>
              <w:rPr>
                <w:sz w:val="20"/>
                <w:szCs w:val="20"/>
                <w:color w:val="auto"/>
              </w:rPr>
            </w:pPr>
            <w:r>
              <w:rPr>
                <w:rFonts w:ascii="Arial" w:cs="Arial" w:eastAsia="Arial" w:hAnsi="Arial"/>
                <w:sz w:val="18"/>
                <w:szCs w:val="18"/>
                <w:color w:val="auto"/>
              </w:rPr>
              <w:t>A-iv</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2520" w:type="dxa"/>
            <w:vAlign w:val="bottom"/>
          </w:tcPr>
          <w:p>
            <w:pPr>
              <w:spacing w:after="0"/>
              <w:rPr>
                <w:sz w:val="15"/>
                <w:szCs w:val="15"/>
                <w:color w:val="auto"/>
              </w:rPr>
            </w:pPr>
          </w:p>
        </w:tc>
        <w:tc>
          <w:tcPr>
            <w:tcW w:w="5280" w:type="dxa"/>
            <w:vAlign w:val="bottom"/>
            <w:gridSpan w:val="3"/>
          </w:tcPr>
          <w:p>
            <w:pPr>
              <w:ind w:left="3860"/>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gridSpan w:val="2"/>
          </w:tcPr>
          <w:p>
            <w:pPr>
              <w:spacing w:after="0" w:line="182" w:lineRule="exact"/>
              <w:rPr>
                <w:sz w:val="20"/>
                <w:szCs w:val="20"/>
                <w:color w:val="auto"/>
              </w:rPr>
            </w:pPr>
            <w:r>
              <w:rPr>
                <w:rFonts w:ascii="Arial" w:cs="Arial" w:eastAsia="Arial" w:hAnsi="Arial"/>
                <w:sz w:val="18"/>
                <w:szCs w:val="18"/>
                <w:color w:val="auto"/>
              </w:rPr>
              <w:t>Covered Employees</w:t>
            </w:r>
          </w:p>
        </w:tc>
        <w:tc>
          <w:tcPr>
            <w:tcW w:w="3860" w:type="dxa"/>
            <w:vAlign w:val="bottom"/>
            <w:vMerge w:val="continue"/>
          </w:tcPr>
          <w:p>
            <w:pPr>
              <w:spacing w:after="0"/>
              <w:rPr>
                <w:sz w:val="15"/>
                <w:szCs w:val="15"/>
                <w:color w:val="auto"/>
              </w:rPr>
            </w:pPr>
          </w:p>
        </w:tc>
        <w:tc>
          <w:tcPr>
            <w:tcW w:w="1420" w:type="dxa"/>
            <w:vAlign w:val="bottom"/>
            <w:gridSpan w:val="2"/>
          </w:tcPr>
          <w:p>
            <w:pPr>
              <w:spacing w:after="0" w:line="182" w:lineRule="exact"/>
              <w:rPr>
                <w:sz w:val="20"/>
                <w:szCs w:val="20"/>
                <w:color w:val="auto"/>
              </w:rPr>
            </w:pPr>
            <w:r>
              <w:rPr>
                <w:rFonts w:ascii="Arial" w:cs="Arial" w:eastAsia="Arial" w:hAnsi="Arial"/>
                <w:sz w:val="18"/>
                <w:szCs w:val="18"/>
                <w:color w:val="auto"/>
              </w:rPr>
              <w:t>Section 8.16(a)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Debt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11.7</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Delaware LLC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DGCL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Dissenting Stockholder</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Equity Award Exchange Ratio</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ERISA</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5.24(a)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5.24(a)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GAAP</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11.11(c)</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10.2(a)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5.16</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IRS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Article 5 Preface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Liens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5.3(b)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11.11(d)</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New Plans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Non-Schlumberger US Subsidiaries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NYSE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OFAC</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5.23(a)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 Share Cash Amount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4.1(c)</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person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PPACA</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w w:val="92"/>
              </w:rPr>
              <w:t>Section 5.12(b)(xii)</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w w:val="99"/>
              </w:rPr>
              <w:t>Section 8.1(b)(xii)</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5.23(a)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Regulatory Laws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8.6(f)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Related Persons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10.5(a)</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8.3(a)</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80" w:type="dxa"/>
            <w:vAlign w:val="bottom"/>
            <w:gridSpan w:val="3"/>
          </w:tcPr>
          <w:p>
            <w:pPr>
              <w:ind w:left="820"/>
              <w:spacing w:after="0"/>
              <w:rPr>
                <w:sz w:val="20"/>
                <w:szCs w:val="20"/>
                <w:color w:val="auto"/>
              </w:rPr>
            </w:pPr>
            <w:r>
              <w:rPr>
                <w:rFonts w:ascii="Arial" w:cs="Arial" w:eastAsia="Arial" w:hAnsi="Arial"/>
                <w:sz w:val="18"/>
                <w:szCs w:val="18"/>
                <w:color w:val="auto"/>
              </w:rPr>
              <w:t>A-v</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27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780" w:type="dxa"/>
            <w:vAlign w:val="bottom"/>
            <w:vMerge w:val="restart"/>
          </w:tcPr>
          <w:p>
            <w:pPr>
              <w:spacing w:after="0" w:line="20" w:lineRule="exact"/>
              <w:rPr>
                <w:sz w:val="1"/>
                <w:szCs w:val="1"/>
                <w:color w:val="auto"/>
              </w:rPr>
            </w:pPr>
          </w:p>
        </w:tc>
        <w:tc>
          <w:tcPr>
            <w:tcW w:w="38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60" w:type="dxa"/>
            <w:vAlign w:val="bottom"/>
          </w:tcPr>
          <w:p>
            <w:pPr>
              <w:spacing w:after="0" w:line="182" w:lineRule="exact"/>
              <w:rPr>
                <w:sz w:val="20"/>
                <w:szCs w:val="20"/>
                <w:color w:val="auto"/>
              </w:rPr>
            </w:pPr>
            <w:r>
              <w:rPr>
                <w:rFonts w:ascii="Arial" w:cs="Arial" w:eastAsia="Arial" w:hAnsi="Arial"/>
                <w:sz w:val="18"/>
                <w:szCs w:val="18"/>
                <w:color w:val="auto"/>
              </w:rPr>
              <w:t>Returns</w:t>
            </w:r>
          </w:p>
        </w:tc>
        <w:tc>
          <w:tcPr>
            <w:tcW w:w="2780" w:type="dxa"/>
            <w:vAlign w:val="bottom"/>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1220" w:type="dxa"/>
            <w:vAlign w:val="bottom"/>
            <w:gridSpan w:val="2"/>
          </w:tcPr>
          <w:p>
            <w:pPr>
              <w:spacing w:after="0" w:line="182" w:lineRule="exact"/>
              <w:rPr>
                <w:sz w:val="20"/>
                <w:szCs w:val="20"/>
                <w:color w:val="auto"/>
              </w:rPr>
            </w:pPr>
            <w:r>
              <w:rPr>
                <w:rFonts w:ascii="Arial" w:cs="Arial" w:eastAsia="Arial" w:hAnsi="Arial"/>
                <w:sz w:val="18"/>
                <w:szCs w:val="18"/>
                <w:color w:val="auto"/>
                <w:w w:val="98"/>
              </w:rPr>
              <w:t>Section 5.11(a)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5.7(a)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Assets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8.6(d)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Common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Disclosure Letter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Article 7 Preface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Material Adverse Effect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Per Share Fair Market Value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Preferred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Reports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7.6(a)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Securities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Stock Incentive Award</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4.1(l)</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US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US Disclosure Letter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Article 6 Preface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5.6(a)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Section 409A</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11.11(g)</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8.3(f)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1.1</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Surviving Entity Common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Taxes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11.11(h)</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8"/>
              </w:rPr>
              <w:t>Section 10.2(a)</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8"/>
              </w:rPr>
              <w:t>Section 10.5(a)</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A-vi</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25, 2015, is by and among Schlumberger Holdings Corporation, a Delaware corporation and an indirect wholly owned subsidiary of Schlumberger (“</w:t>
      </w:r>
      <w:r>
        <w:rPr>
          <w:rFonts w:ascii="Arial" w:cs="Arial" w:eastAsia="Arial" w:hAnsi="Arial"/>
          <w:sz w:val="18"/>
          <w:szCs w:val="18"/>
          <w:b w:val="1"/>
          <w:bCs w:val="1"/>
          <w:color w:val="auto"/>
        </w:rPr>
        <w:t>Schlumberger US</w:t>
      </w:r>
      <w:r>
        <w:rPr>
          <w:rFonts w:ascii="Arial" w:cs="Arial" w:eastAsia="Arial" w:hAnsi="Arial"/>
          <w:sz w:val="18"/>
          <w:szCs w:val="18"/>
          <w:color w:val="auto"/>
        </w:rPr>
        <w:t>”), Rain Merger Sub LLC, a Delaware limited liability company and a direct wholly owned subsidiary of Schlumberger US (“</w:t>
      </w:r>
      <w:r>
        <w:rPr>
          <w:rFonts w:ascii="Arial" w:cs="Arial" w:eastAsia="Arial" w:hAnsi="Arial"/>
          <w:sz w:val="18"/>
          <w:szCs w:val="18"/>
          <w:b w:val="1"/>
          <w:bCs w:val="1"/>
          <w:color w:val="auto"/>
        </w:rPr>
        <w:t>Merger Sub</w:t>
      </w:r>
      <w:r>
        <w:rPr>
          <w:rFonts w:ascii="Arial" w:cs="Arial" w:eastAsia="Arial" w:hAnsi="Arial"/>
          <w:sz w:val="18"/>
          <w:szCs w:val="18"/>
          <w:color w:val="auto"/>
        </w:rPr>
        <w:t>”), Schlumberger N.V., a Curaçao corporation (“</w:t>
      </w:r>
      <w:r>
        <w:rPr>
          <w:rFonts w:ascii="Arial" w:cs="Arial" w:eastAsia="Arial" w:hAnsi="Arial"/>
          <w:sz w:val="18"/>
          <w:szCs w:val="18"/>
          <w:b w:val="1"/>
          <w:bCs w:val="1"/>
          <w:color w:val="auto"/>
        </w:rPr>
        <w:t>Schlumberger</w:t>
      </w:r>
      <w:r>
        <w:rPr>
          <w:rFonts w:ascii="Arial" w:cs="Arial" w:eastAsia="Arial" w:hAnsi="Arial"/>
          <w:sz w:val="18"/>
          <w:szCs w:val="18"/>
          <w:color w:val="auto"/>
        </w:rPr>
        <w:t>”), and Cameron International Corporation, a Delaware corporation (“</w:t>
      </w:r>
      <w:r>
        <w:rPr>
          <w:rFonts w:ascii="Arial" w:cs="Arial" w:eastAsia="Arial" w:hAnsi="Arial"/>
          <w:sz w:val="18"/>
          <w:szCs w:val="18"/>
          <w:b w:val="1"/>
          <w:bCs w:val="1"/>
          <w:color w:val="auto"/>
        </w:rPr>
        <w:t>Cameron</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respective Boards of Directors of Cameron, Schlumberger US, Merger Sub and Schlumberger have deemed it advisable and in the best interests of their respective companies and equity holders that Cameron, Schlumberger US and Schlumberger engage in a business combination whereby Schlumberger US will acquire all of the outstanding capital stock of Cameron in exchange for shares of Schlumberger common stock, par value $0.01 per share (the “</w:t>
      </w:r>
      <w:r>
        <w:rPr>
          <w:rFonts w:ascii="Arial" w:cs="Arial" w:eastAsia="Arial" w:hAnsi="Arial"/>
          <w:sz w:val="18"/>
          <w:szCs w:val="18"/>
          <w:b w:val="1"/>
          <w:bCs w:val="1"/>
          <w:color w:val="auto"/>
        </w:rPr>
        <w:t>Schlumberger Common Stock</w:t>
      </w:r>
      <w:r>
        <w:rPr>
          <w:rFonts w:ascii="Arial" w:cs="Arial" w:eastAsia="Arial" w:hAnsi="Arial"/>
          <w:sz w:val="18"/>
          <w:szCs w:val="18"/>
          <w:color w:val="auto"/>
        </w:rPr>
        <w:t>”), and cash;</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in furtherance thereof, the respective Boards of Directors of Cameron, Schlumberger US, Merger Sub and Schlumberger have approved and declared advisable (1) this Agreement and (2) the merger of Merger Sub with and into Cameron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the Delaware Limited Liability Company Act (the “</w:t>
      </w:r>
      <w:r>
        <w:rPr>
          <w:rFonts w:ascii="Arial" w:cs="Arial" w:eastAsia="Arial" w:hAnsi="Arial"/>
          <w:sz w:val="18"/>
          <w:szCs w:val="18"/>
          <w:b w:val="1"/>
          <w:bCs w:val="1"/>
          <w:color w:val="auto"/>
        </w:rPr>
        <w:t>Delaware LLC Act</w:t>
      </w:r>
      <w:r>
        <w:rPr>
          <w:rFonts w:ascii="Arial" w:cs="Arial" w:eastAsia="Arial" w:hAnsi="Arial"/>
          <w:sz w:val="18"/>
          <w:szCs w:val="18"/>
          <w:color w:val="auto"/>
        </w:rPr>
        <w:t>”) and upon the terms and conditions set forth in this Agreement; and</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WHEREAS, Schlumberger US, Merger Sub, Schlumberger and Cameron intend that the Merger be treated for United States federal income tax purposes as an acquisition by Schlumberger US of stock of Cameron that does not qualify as a reorganization under Section 368(a)(1)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therefore, that those stockholders of Cameron who are subject to United States federal income tax recognize gain or loss on the exchange of their stock of Cameron for Schlumberger Common Stock and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their respective representations, warranties, covenants and agreements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Upon the terms and subject to conditions of this Agreement, at the Effective Time, Merger Sub shall be merged with and into Cameron in accordance with this Agreement, and the separate limited liability company existence of Merger Sub shall thereupon cease. Cameron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 and the Delaware LLC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The Closing</w:t>
      </w:r>
      <w:r>
        <w:rPr>
          <w:rFonts w:ascii="Arial" w:cs="Arial" w:eastAsia="Arial" w:hAnsi="Arial"/>
          <w:sz w:val="16"/>
          <w:szCs w:val="16"/>
          <w:color w:val="auto"/>
        </w:rPr>
        <w:t>. Upon the terms and subject to the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w:t>
      </w:r>
    </w:p>
    <w:p>
      <w:pPr>
        <w:spacing w:after="0" w:line="50" w:lineRule="exact"/>
        <w:rPr>
          <w:sz w:val="20"/>
          <w:szCs w:val="20"/>
          <w:color w:val="auto"/>
        </w:rPr>
      </w:pPr>
    </w:p>
    <w:p>
      <w:pPr>
        <w:ind w:right="80" w:firstLine="8"/>
        <w:spacing w:after="0" w:line="253" w:lineRule="auto"/>
        <w:tabs>
          <w:tab w:leader="none" w:pos="2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9 (other than those conditions that by their nature are to be fulfilled at the Closing, but subject to fulfillment or waiver of such conditions) shall be fulfilled or waived in accordance with this Agreement or (b) at such other time, date or place as Schlumberger and Cameron may agree. The date on which the Closing occurs is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On the Closing Date, Schlumberger US, Merger Sub, Schlumberger and Cameron shall cause a certificate of merger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meeting the requirements of</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Section 251 of the DGCL and Section 18-209 of the Delaware LLC Act to be properly executed and filed in accordance with such sections. The Merger shall become effective at such time as the Certificate of Merger is duly filed with the Secretary of State of the State of Delaware in accordance with the DGCL and the Delaware LLC Act, or at such later time that Schlumberger and Cameron shall have agreed upon and designated in such filing as the effective time of the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DOCUMENTS</w:t>
      </w:r>
    </w:p>
    <w:p>
      <w:pPr>
        <w:spacing w:after="0" w:line="22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of the Effective Time, the certificate of incorporation of Cameron, as in effect immediately prior to the Effective Time, shall be the certificate of incorporation of the Surviving Entity, until thereafter duly amended as provided therein or by Applicable Law.</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As of the Effective Time, the bylaws of Cameron, as in effect immediately prior to the Effective Time, shall be the bylaws of the Surviving Entity, until thereafter duly amended as provided therein or by Applicable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CONVERSION OF CAMERON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Cameron and Merger Sub</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1" w:lineRule="auto"/>
        <w:tabs>
          <w:tab w:leader="none" w:pos="701"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At the Effective Time, subject to the other provisions of this Agreement, each share of common stock, par value $0.01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Cameron (“</w:t>
      </w:r>
      <w:r>
        <w:rPr>
          <w:rFonts w:ascii="Arial" w:cs="Arial" w:eastAsia="Arial" w:hAnsi="Arial"/>
          <w:sz w:val="16"/>
          <w:szCs w:val="16"/>
          <w:b w:val="1"/>
          <w:bCs w:val="1"/>
          <w:color w:val="auto"/>
        </w:rPr>
        <w:t>Cameron Common Stock</w:t>
      </w:r>
      <w:r>
        <w:rPr>
          <w:rFonts w:ascii="Arial" w:cs="Arial" w:eastAsia="Arial" w:hAnsi="Arial"/>
          <w:sz w:val="16"/>
          <w:szCs w:val="16"/>
          <w:color w:val="auto"/>
        </w:rPr>
        <w:t>”) issued and outstanding immediately prior to the Effective Time (excluding any Cameron Excluded Shares and Cameron Surviving Shares) shall, by virtue of the Merger and without any action on the part of the holder thereof, be converted into and shall thereafter represent the right to receive (i) 0.716 shares (the “</w:t>
      </w:r>
      <w:r>
        <w:rPr>
          <w:rFonts w:ascii="Arial" w:cs="Arial" w:eastAsia="Arial" w:hAnsi="Arial"/>
          <w:sz w:val="16"/>
          <w:szCs w:val="16"/>
          <w:b w:val="1"/>
          <w:bCs w:val="1"/>
          <w:color w:val="auto"/>
        </w:rPr>
        <w:t>Exchange Ratio</w:t>
      </w:r>
      <w:r>
        <w:rPr>
          <w:rFonts w:ascii="Arial" w:cs="Arial" w:eastAsia="Arial" w:hAnsi="Arial"/>
          <w:sz w:val="16"/>
          <w:szCs w:val="16"/>
          <w:color w:val="auto"/>
        </w:rPr>
        <w:t>”) of validly issued, fully paid and non-assessable shares of Schlumberger Common Stock and (ii) $14.44 in cash (the “</w:t>
      </w:r>
      <w:r>
        <w:rPr>
          <w:rFonts w:ascii="Arial" w:cs="Arial" w:eastAsia="Arial" w:hAnsi="Arial"/>
          <w:sz w:val="16"/>
          <w:szCs w:val="16"/>
          <w:b w:val="1"/>
          <w:bCs w:val="1"/>
          <w:color w:val="auto"/>
        </w:rPr>
        <w:t>Per Share Cash Amount</w:t>
      </w:r>
      <w:r>
        <w:rPr>
          <w:rFonts w:ascii="Arial" w:cs="Arial" w:eastAsia="Arial" w:hAnsi="Arial"/>
          <w:sz w:val="16"/>
          <w:szCs w:val="16"/>
          <w:color w:val="auto"/>
        </w:rPr>
        <w:t>”), without interest, subject to adjustment in accordance with Section 4.3 (together with any cash in lieu of fractional shares of Schlumberger Common Stock to be paid pursuant to Section 4.2(e)) (such shares and cash, the “</w:t>
      </w:r>
      <w:r>
        <w:rPr>
          <w:rFonts w:ascii="Arial" w:cs="Arial" w:eastAsia="Arial" w:hAnsi="Arial"/>
          <w:sz w:val="16"/>
          <w:szCs w:val="16"/>
          <w:b w:val="1"/>
          <w:bCs w:val="1"/>
          <w:color w:val="auto"/>
        </w:rPr>
        <w:t>Merger Consideration</w:t>
      </w:r>
      <w:r>
        <w:rPr>
          <w:rFonts w:ascii="Arial" w:cs="Arial" w:eastAsia="Arial" w:hAnsi="Arial"/>
          <w:sz w:val="16"/>
          <w:szCs w:val="16"/>
          <w:color w:val="auto"/>
        </w:rPr>
        <w:t>”). Immediately before the Effective Time, Schlumberger will issue to Schlumberger US, by way of sale or as a contribution to the capital of Schlumberger US or 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combination thereof, that number of shares of Schlumberger Common Stock that are to be delivered by Schlumberger US to the holders of Cameron Common Stock pursuant to this Agreement.</w:t>
      </w:r>
    </w:p>
    <w:p>
      <w:pPr>
        <w:spacing w:after="0" w:line="170" w:lineRule="exact"/>
        <w:rPr>
          <w:sz w:val="20"/>
          <w:szCs w:val="20"/>
          <w:color w:val="auto"/>
        </w:rPr>
      </w:pPr>
    </w:p>
    <w:p>
      <w:pPr>
        <w:ind w:right="80" w:firstLine="464"/>
        <w:spacing w:after="0" w:line="288" w:lineRule="auto"/>
        <w:tabs>
          <w:tab w:leader="none" w:pos="711"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Cameron Excluded Shares and Cameron Surviving Shares)</w:t>
      </w:r>
      <w:r>
        <w:rPr>
          <w:rFonts w:ascii="Arial" w:cs="Arial" w:eastAsia="Arial" w:hAnsi="Arial"/>
          <w:sz w:val="16"/>
          <w:szCs w:val="16"/>
          <w:color w:val="auto"/>
        </w:rPr>
        <w:t>. As a result of the Merger and without any action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 of the holders thereof, at the Effective Time, all shares of Cameron Common Stock (other than Cameron Excluded Shares and any Cameron Surviving Shares) shall cease to be outstanding and shall be canceled and retired and shall cease to exist, and each certificate that immediately prior to the Effective Time represented any shares of Cameron Common Stock (other than Cameron Excluded Shares and any Cameron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Cameron Common Stock formerly represented thereby, and any dividends or other distributions to which the holders thereof are entitled pursuant to Section 4.2(c). For purposes of this Agreement, “</w:t>
      </w:r>
      <w:r>
        <w:rPr>
          <w:rFonts w:ascii="Arial" w:cs="Arial" w:eastAsia="Arial" w:hAnsi="Arial"/>
          <w:sz w:val="16"/>
          <w:szCs w:val="16"/>
          <w:b w:val="1"/>
          <w:bCs w:val="1"/>
          <w:color w:val="auto"/>
        </w:rPr>
        <w:t>Cameron Excluded Shares</w:t>
      </w:r>
      <w:r>
        <w:rPr>
          <w:rFonts w:ascii="Arial" w:cs="Arial" w:eastAsia="Arial" w:hAnsi="Arial"/>
          <w:sz w:val="16"/>
          <w:szCs w:val="16"/>
          <w:color w:val="auto"/>
        </w:rPr>
        <w:t>” shall mean (i) any shares of Cameron Common Stock held by Schlumberger, Cameron or any direct or indirect wholly owned subsidiary of Schlumberger, in each case except for any such shares held on behalf of third parties, and (ii) any Dissenting Shares. “</w:t>
      </w:r>
      <w:r>
        <w:rPr>
          <w:rFonts w:ascii="Arial" w:cs="Arial" w:eastAsia="Arial" w:hAnsi="Arial"/>
          <w:sz w:val="16"/>
          <w:szCs w:val="16"/>
          <w:b w:val="1"/>
          <w:bCs w:val="1"/>
          <w:color w:val="auto"/>
        </w:rPr>
        <w:t>Cameron Surviving Shares</w:t>
      </w:r>
      <w:r>
        <w:rPr>
          <w:rFonts w:ascii="Arial" w:cs="Arial" w:eastAsia="Arial" w:hAnsi="Arial"/>
          <w:sz w:val="16"/>
          <w:szCs w:val="16"/>
          <w:color w:val="auto"/>
        </w:rPr>
        <w:t>” shall mean any shares of Cameron Common Stock held by any direct or indirect wholly owned subsidiary of Cameron except for any such shares held on behalf of third parties.</w:t>
      </w:r>
    </w:p>
    <w:p>
      <w:pPr>
        <w:spacing w:after="0" w:line="169" w:lineRule="exact"/>
        <w:rPr>
          <w:rFonts w:ascii="Arial" w:cs="Arial" w:eastAsia="Arial" w:hAnsi="Arial"/>
          <w:sz w:val="16"/>
          <w:szCs w:val="16"/>
          <w:color w:val="auto"/>
        </w:rPr>
      </w:pPr>
    </w:p>
    <w:p>
      <w:pPr>
        <w:ind w:right="380" w:firstLine="464"/>
        <w:spacing w:after="0" w:line="259" w:lineRule="auto"/>
        <w:tabs>
          <w:tab w:leader="none" w:pos="701"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Cancellation of Cameron Excluded Shares</w:t>
      </w:r>
      <w:r>
        <w:rPr>
          <w:rFonts w:ascii="Arial" w:cs="Arial" w:eastAsia="Arial" w:hAnsi="Arial"/>
          <w:sz w:val="18"/>
          <w:szCs w:val="18"/>
          <w:color w:val="auto"/>
        </w:rPr>
        <w:t>. Each Cameron Excluded Share at the Effective Time shall, by virtue of the Merger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the part of the holder thereof, cease to be outstanding and shall be canceled and retired without payment of any consideration therefor, and no Schlumberger Common Stock or other consideration shall be delivered in exchange therefor, subject to the right of the holder of any Dissenting Share to receive the payment to which reference is made in Section 4.4.</w:t>
      </w:r>
    </w:p>
    <w:p>
      <w:pPr>
        <w:spacing w:after="0" w:line="186" w:lineRule="exact"/>
        <w:rPr>
          <w:rFonts w:ascii="Arial" w:cs="Arial" w:eastAsia="Arial" w:hAnsi="Arial"/>
          <w:sz w:val="18"/>
          <w:szCs w:val="18"/>
          <w:color w:val="auto"/>
        </w:rPr>
      </w:pPr>
    </w:p>
    <w:p>
      <w:pPr>
        <w:jc w:val="both"/>
        <w:ind w:right="60" w:firstLine="464"/>
        <w:spacing w:after="0" w:line="286" w:lineRule="auto"/>
        <w:tabs>
          <w:tab w:leader="none" w:pos="711"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Survival of Cameron Surviving Shares</w:t>
      </w:r>
      <w:r>
        <w:rPr>
          <w:rFonts w:ascii="Arial" w:cs="Arial" w:eastAsia="Arial" w:hAnsi="Arial"/>
          <w:sz w:val="17"/>
          <w:szCs w:val="17"/>
          <w:color w:val="auto"/>
        </w:rPr>
        <w:t>. Each Cameron Surviving Share at the Effective Time shall remain outstanding and shall continue to exist as</w:t>
      </w:r>
      <w:r>
        <w:rPr>
          <w:rFonts w:ascii="Arial" w:cs="Arial" w:eastAsia="Arial" w:hAnsi="Arial"/>
          <w:sz w:val="17"/>
          <w:szCs w:val="17"/>
          <w:i w:val="1"/>
          <w:iCs w:val="1"/>
          <w:color w:val="auto"/>
        </w:rPr>
        <w:t xml:space="preserve"> </w:t>
      </w:r>
      <w:r>
        <w:rPr>
          <w:rFonts w:ascii="Arial" w:cs="Arial" w:eastAsia="Arial" w:hAnsi="Arial"/>
          <w:sz w:val="17"/>
          <w:szCs w:val="17"/>
          <w:color w:val="auto"/>
        </w:rPr>
        <w:t>a share of common stock, par value $0.01 per share, of the Surviving Entity (“</w:t>
      </w:r>
      <w:r>
        <w:rPr>
          <w:rFonts w:ascii="Arial" w:cs="Arial" w:eastAsia="Arial" w:hAnsi="Arial"/>
          <w:sz w:val="17"/>
          <w:szCs w:val="17"/>
          <w:b w:val="1"/>
          <w:bCs w:val="1"/>
          <w:color w:val="auto"/>
        </w:rPr>
        <w:t>Surviving Entity Common Stock</w:t>
      </w:r>
      <w:r>
        <w:rPr>
          <w:rFonts w:ascii="Arial" w:cs="Arial" w:eastAsia="Arial" w:hAnsi="Arial"/>
          <w:sz w:val="17"/>
          <w:szCs w:val="17"/>
          <w:color w:val="auto"/>
        </w:rPr>
        <w:t>”) and shall not be canceled by virtue of the Merger and no Schlumberger Common Stock or other consideration shall be delivered in exchange therefor.</w:t>
      </w:r>
    </w:p>
    <w:p>
      <w:pPr>
        <w:spacing w:after="0" w:line="165" w:lineRule="exact"/>
        <w:rPr>
          <w:rFonts w:ascii="Arial" w:cs="Arial" w:eastAsia="Arial" w:hAnsi="Arial"/>
          <w:sz w:val="17"/>
          <w:szCs w:val="17"/>
          <w:color w:val="auto"/>
        </w:rPr>
      </w:pPr>
    </w:p>
    <w:p>
      <w:pPr>
        <w:ind w:right="20" w:firstLine="464"/>
        <w:spacing w:after="0" w:line="312" w:lineRule="auto"/>
        <w:tabs>
          <w:tab w:leader="none" w:pos="701"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Merger Sub</w:t>
      </w:r>
      <w:r>
        <w:rPr>
          <w:rFonts w:ascii="Arial" w:cs="Arial" w:eastAsia="Arial" w:hAnsi="Arial"/>
          <w:sz w:val="16"/>
          <w:szCs w:val="16"/>
          <w:color w:val="auto"/>
        </w:rPr>
        <w:t>. At the Effective Time, the member interests of Merger Sub issued and outstanding immediately prior to the Effective Time shall, by</w:t>
      </w:r>
      <w:r>
        <w:rPr>
          <w:rFonts w:ascii="Arial" w:cs="Arial" w:eastAsia="Arial" w:hAnsi="Arial"/>
          <w:sz w:val="16"/>
          <w:szCs w:val="16"/>
          <w:i w:val="1"/>
          <w:iCs w:val="1"/>
          <w:color w:val="auto"/>
        </w:rPr>
        <w:t xml:space="preserve"> </w:t>
      </w:r>
      <w:r>
        <w:rPr>
          <w:rFonts w:ascii="Arial" w:cs="Arial" w:eastAsia="Arial" w:hAnsi="Arial"/>
          <w:sz w:val="16"/>
          <w:szCs w:val="16"/>
          <w:color w:val="auto"/>
        </w:rPr>
        <w:t>virtue of the Merger and without any action on the part of the holder thereof, be converted into and become a number of validly issued, fully paid and nonassessable shares of Surviving Entity Common Stock equal to the number of shares of Cameron Common Stock converted into the Merger Consideration.</w:t>
      </w:r>
    </w:p>
    <w:p>
      <w:pPr>
        <w:spacing w:after="0" w:line="146" w:lineRule="exact"/>
        <w:rPr>
          <w:rFonts w:ascii="Arial" w:cs="Arial" w:eastAsia="Arial" w:hAnsi="Arial"/>
          <w:sz w:val="16"/>
          <w:szCs w:val="16"/>
          <w:color w:val="auto"/>
        </w:rPr>
      </w:pPr>
    </w:p>
    <w:p>
      <w:pPr>
        <w:ind w:firstLine="464"/>
        <w:spacing w:after="0" w:line="287" w:lineRule="auto"/>
        <w:tabs>
          <w:tab w:leader="none" w:pos="681"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Cameron Stock Options</w:t>
      </w:r>
      <w:r>
        <w:rPr>
          <w:rFonts w:ascii="Arial" w:cs="Arial" w:eastAsia="Arial" w:hAnsi="Arial"/>
          <w:sz w:val="16"/>
          <w:szCs w:val="16"/>
          <w:color w:val="auto"/>
        </w:rPr>
        <w:t>. At the Effective Time, all options to acquire shares of Cameron Common Stock outstanding and unexercised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Effective Time under Cameron’s stock plans (collectively, the “</w:t>
      </w:r>
      <w:r>
        <w:rPr>
          <w:rFonts w:ascii="Arial" w:cs="Arial" w:eastAsia="Arial" w:hAnsi="Arial"/>
          <w:sz w:val="16"/>
          <w:szCs w:val="16"/>
          <w:b w:val="1"/>
          <w:bCs w:val="1"/>
          <w:color w:val="auto"/>
        </w:rPr>
        <w:t>Cameron Stock Plans</w:t>
      </w:r>
      <w:r>
        <w:rPr>
          <w:rFonts w:ascii="Arial" w:cs="Arial" w:eastAsia="Arial" w:hAnsi="Arial"/>
          <w:sz w:val="16"/>
          <w:szCs w:val="16"/>
          <w:color w:val="auto"/>
        </w:rPr>
        <w:t>”, which are identified in Section 4.1(f) of the Cameron Disclosure Letter), including all options to acquire shares of Cameron Common Stock issued after the date hereof in accordance with Section 8.1(b)(iv) (each, a “</w:t>
      </w:r>
      <w:r>
        <w:rPr>
          <w:rFonts w:ascii="Arial" w:cs="Arial" w:eastAsia="Arial" w:hAnsi="Arial"/>
          <w:sz w:val="16"/>
          <w:szCs w:val="16"/>
          <w:b w:val="1"/>
          <w:bCs w:val="1"/>
          <w:color w:val="auto"/>
        </w:rPr>
        <w:t>Cameron Post-Signing Option</w:t>
      </w:r>
      <w:r>
        <w:rPr>
          <w:rFonts w:ascii="Arial" w:cs="Arial" w:eastAsia="Arial" w:hAnsi="Arial"/>
          <w:sz w:val="16"/>
          <w:szCs w:val="16"/>
          <w:color w:val="auto"/>
        </w:rPr>
        <w:t>”, and together with any other option to acquire shares of Cameron Common Stock, each a “</w:t>
      </w:r>
      <w:r>
        <w:rPr>
          <w:rFonts w:ascii="Arial" w:cs="Arial" w:eastAsia="Arial" w:hAnsi="Arial"/>
          <w:sz w:val="16"/>
          <w:szCs w:val="16"/>
          <w:b w:val="1"/>
          <w:bCs w:val="1"/>
          <w:color w:val="auto"/>
        </w:rPr>
        <w:t>Cameron Option</w:t>
      </w:r>
      <w:r>
        <w:rPr>
          <w:rFonts w:ascii="Arial" w:cs="Arial" w:eastAsia="Arial" w:hAnsi="Arial"/>
          <w:sz w:val="16"/>
          <w:szCs w:val="16"/>
          <w:color w:val="auto"/>
        </w:rPr>
        <w:t>”), shall cease to represent a right to acquire Cameron Common Stock and shall be converted automatically into an option (a “</w:t>
      </w:r>
      <w:r>
        <w:rPr>
          <w:rFonts w:ascii="Arial" w:cs="Arial" w:eastAsia="Arial" w:hAnsi="Arial"/>
          <w:sz w:val="16"/>
          <w:szCs w:val="16"/>
          <w:b w:val="1"/>
          <w:bCs w:val="1"/>
          <w:color w:val="auto"/>
        </w:rPr>
        <w:t>Converted Option</w:t>
      </w:r>
      <w:r>
        <w:rPr>
          <w:rFonts w:ascii="Arial" w:cs="Arial" w:eastAsia="Arial" w:hAnsi="Arial"/>
          <w:sz w:val="16"/>
          <w:szCs w:val="16"/>
          <w:color w:val="auto"/>
        </w:rPr>
        <w:t xml:space="preserve">”) to acquire shares of Schlumberger Common Stock in amounts and at an exercise price determined as provided in this Section 4.1(f) (and otherwise subject to the terms of the Cameron Stock Plans, as applicable, under which they were issued and the agreements evidencing grants thereunder except as provided in this Section 4.1(f)). The number of shares of Schlumberger Common Stock to be subject to a Converted Option shall be equal to the product of the number of shares of Cameron Common Stock subject to the Cameron Option immediately prior to the Effective Time multiplied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fractional shares of Schlumberger Common Stock resulting from such multiplication shall be rounded down to the nearest whole share. The exercise price per share of Schlumberger Common Stock under a Converted Option shall be equal to the exercise price per share of Cameron Common Stock under the original Cameron Option immediately prior to the Effective Time divided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 shall be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rounded up to the nearest whole cent. Notwithstanding the foregoing, the exercise price and/or the number of shares of Schlumberger Common Stock that may be purchased under each such Converted Option shall be further adjusted to the extent required to remain in compliance with, or exempt from, the requirements of Section 409A of the Code and the Treasury Regulations promulgated thereunder (collectively “</w:t>
      </w:r>
      <w:r>
        <w:rPr>
          <w:rFonts w:ascii="Arial" w:cs="Arial" w:eastAsia="Arial" w:hAnsi="Arial"/>
          <w:sz w:val="16"/>
          <w:szCs w:val="16"/>
          <w:b w:val="1"/>
          <w:bCs w:val="1"/>
          <w:color w:val="auto"/>
        </w:rPr>
        <w:t>Section 409A</w:t>
      </w:r>
      <w:r>
        <w:rPr>
          <w:rFonts w:ascii="Arial" w:cs="Arial" w:eastAsia="Arial" w:hAnsi="Arial"/>
          <w:sz w:val="16"/>
          <w:szCs w:val="16"/>
          <w:color w:val="auto"/>
        </w:rPr>
        <w:t>”) and, in the case of each Cameron Option that is intended to qualify as an “incentive stock option” within the meaning of Section 422 of the Code, the exercise price and the number of shares of Schlumberger Common Stock subject to the Converted Option shall be determined in a manner consistent with the requirements of Section 424 of the Code and the Treasury Regulations promulgated thereunder. The duration and other terms of a Converted Option (including terms relating to acceleration of vesting upon termination of employment) shall otherwise remain the same as the original Cameron Option from which it was converted except that all references to “Cameron” in such original Cameron Option shall be deemed to be references to Schlumberger. For purposes of this Agreement,</w:t>
      </w:r>
    </w:p>
    <w:p>
      <w:pPr>
        <w:spacing w:after="0" w:line="1" w:lineRule="exact"/>
        <w:rPr>
          <w:sz w:val="20"/>
          <w:szCs w:val="20"/>
          <w:color w:val="auto"/>
        </w:rPr>
      </w:pPr>
    </w:p>
    <w:p>
      <w:pPr>
        <w:ind w:firstLine="8"/>
        <w:spacing w:after="0" w:line="253"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 Exchange Ratio</w:t>
      </w:r>
      <w:r>
        <w:rPr>
          <w:rFonts w:ascii="Arial" w:cs="Arial" w:eastAsia="Arial" w:hAnsi="Arial"/>
          <w:sz w:val="18"/>
          <w:szCs w:val="18"/>
          <w:color w:val="auto"/>
        </w:rPr>
        <w:t>” means the sum of (i) the Exchange Ratio and (ii) the quotient of the Per Share Cash Amount divided by the Schlumberger Per Share Fair Market Value, and (2) “</w:t>
      </w:r>
      <w:r>
        <w:rPr>
          <w:rFonts w:ascii="Arial" w:cs="Arial" w:eastAsia="Arial" w:hAnsi="Arial"/>
          <w:sz w:val="18"/>
          <w:szCs w:val="18"/>
          <w:b w:val="1"/>
          <w:bCs w:val="1"/>
          <w:color w:val="auto"/>
        </w:rPr>
        <w:t>Schlumberger Per Share Fair Market Value</w:t>
      </w:r>
      <w:r>
        <w:rPr>
          <w:rFonts w:ascii="Arial" w:cs="Arial" w:eastAsia="Arial" w:hAnsi="Arial"/>
          <w:sz w:val="18"/>
          <w:szCs w:val="18"/>
          <w:color w:val="auto"/>
        </w:rPr>
        <w:t>” means the average of the volume weighted average price per share of Schlumberger Common Stock on the NYSE Composite Transactions Tape (as reported by Bloomberg L.P. or such other authoritative source as mutually agreed between Cameron and Schlumberger) on each of the five consecutive trading days ending with the second complete trading day immediately prior to the Effective Time.</w:t>
      </w:r>
    </w:p>
    <w:p>
      <w:pPr>
        <w:spacing w:after="0" w:line="191" w:lineRule="exact"/>
        <w:rPr>
          <w:rFonts w:ascii="Arial" w:cs="Arial" w:eastAsia="Arial" w:hAnsi="Arial"/>
          <w:sz w:val="18"/>
          <w:szCs w:val="18"/>
          <w:color w:val="auto"/>
        </w:rPr>
      </w:pPr>
    </w:p>
    <w:p>
      <w:pPr>
        <w:ind w:right="20" w:firstLine="464"/>
        <w:spacing w:after="0" w:line="268" w:lineRule="auto"/>
        <w:tabs>
          <w:tab w:leader="none" w:pos="711"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Cameron Restricted Stock Unit Awards</w:t>
      </w:r>
      <w:r>
        <w:rPr>
          <w:rFonts w:ascii="Arial" w:cs="Arial" w:eastAsia="Arial" w:hAnsi="Arial"/>
          <w:sz w:val="17"/>
          <w:szCs w:val="17"/>
          <w:color w:val="auto"/>
        </w:rPr>
        <w:t>. At the Effective Time, each restricted stock unit award granted under any Cameron Stock Plan (collectively,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Cameron Restricted Stock Unit Awards</w:t>
      </w:r>
      <w:r>
        <w:rPr>
          <w:rFonts w:ascii="Arial" w:cs="Arial" w:eastAsia="Arial" w:hAnsi="Arial"/>
          <w:sz w:val="17"/>
          <w:szCs w:val="17"/>
          <w:color w:val="auto"/>
        </w:rPr>
        <w:t>”) that is outstanding and unvested immediately prior to the Effective Time, including the Cameron Restricted Stock Unit Awards granted after the date hereof pursuant to Section 8.1(b)(iv) (“</w:t>
      </w:r>
      <w:r>
        <w:rPr>
          <w:rFonts w:ascii="Arial" w:cs="Arial" w:eastAsia="Arial" w:hAnsi="Arial"/>
          <w:sz w:val="17"/>
          <w:szCs w:val="17"/>
          <w:b w:val="1"/>
          <w:bCs w:val="1"/>
          <w:color w:val="auto"/>
        </w:rPr>
        <w:t>Cameron Post-Signing Restricted Stock Unit Awards</w:t>
      </w:r>
      <w:r>
        <w:rPr>
          <w:rFonts w:ascii="Arial" w:cs="Arial" w:eastAsia="Arial" w:hAnsi="Arial"/>
          <w:sz w:val="17"/>
          <w:szCs w:val="17"/>
          <w:color w:val="auto"/>
        </w:rPr>
        <w:t>”), shall be converted into and become a right to receive a restricted stock unit with respect to Schlumberger Common Stock with substantially the same terms as those of the applicable Cameron Restricted Stock Unit Award and the agreement by which such Cameron Restricted Stock Unit Award is evidenced, as in effect as of the date of this Agreement (all outstanding Cameron Restricted Stock Unit Awards that are assumed pursuant to this Section 4.1(g) are hereafter referred to as “</w:t>
      </w:r>
      <w:r>
        <w:rPr>
          <w:rFonts w:ascii="Arial" w:cs="Arial" w:eastAsia="Arial" w:hAnsi="Arial"/>
          <w:sz w:val="17"/>
          <w:szCs w:val="17"/>
          <w:b w:val="1"/>
          <w:bCs w:val="1"/>
          <w:color w:val="auto"/>
        </w:rPr>
        <w:t>Assumed RSUs</w:t>
      </w:r>
      <w:r>
        <w:rPr>
          <w:rFonts w:ascii="Arial" w:cs="Arial" w:eastAsia="Arial" w:hAnsi="Arial"/>
          <w:sz w:val="17"/>
          <w:szCs w:val="17"/>
          <w:color w:val="auto"/>
        </w:rPr>
        <w:t>”). All rights to receive shares of Cameron Common Stock under Assumed RSUs shall thereupon be converted into rights to receive restricted stock units with respect to Schlumberger Common Stock. Accordingly, from and after the Effective Time: (A) each Assumed RSU award will be settled in shares of Schlumberger Common Stock; (B) the number of shares of Schlumberger Common Stock subject to each Assumed RSU award shall be determined by multiplying the number of shares of Cameron Common Stock that were subject to such Assumed RSU award immediately prior to the Effective Time by the Equity Award Exchange Ratio, and rounding the resulting number to the nearest whole number of shares of Schlumberger Common Stock; and (C) any conditions and restrictions on the receipt of any Assumed RSUs shall continue in full force and effect and the term, vesting schedule and other provisions of such Assumed RSUs (including terms relating to acceleration of vesting upon termination of employment) shall otherwise remain unchanged as a result of the assumption of such Assumed RSUs.</w:t>
      </w:r>
    </w:p>
    <w:p>
      <w:pPr>
        <w:spacing w:after="0" w:line="185" w:lineRule="exact"/>
        <w:rPr>
          <w:rFonts w:ascii="Arial" w:cs="Arial" w:eastAsia="Arial" w:hAnsi="Arial"/>
          <w:sz w:val="17"/>
          <w:szCs w:val="17"/>
          <w:color w:val="auto"/>
        </w:rPr>
      </w:pPr>
    </w:p>
    <w:p>
      <w:pPr>
        <w:ind w:right="240" w:firstLine="464"/>
        <w:spacing w:after="0" w:line="257" w:lineRule="auto"/>
        <w:tabs>
          <w:tab w:leader="none" w:pos="711"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Cameron Deferred Stock Unit Awards</w:t>
      </w:r>
      <w:r>
        <w:rPr>
          <w:rFonts w:ascii="Arial" w:cs="Arial" w:eastAsia="Arial" w:hAnsi="Arial"/>
          <w:sz w:val="18"/>
          <w:szCs w:val="18"/>
          <w:color w:val="auto"/>
        </w:rPr>
        <w:t>. At the Effective Time, each deferred stock unit granted or deferred under any Cameron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Cameron Deferred Stock Unit Awards</w:t>
      </w:r>
      <w:r>
        <w:rPr>
          <w:rFonts w:ascii="Arial" w:cs="Arial" w:eastAsia="Arial" w:hAnsi="Arial"/>
          <w:sz w:val="18"/>
          <w:szCs w:val="18"/>
          <w:color w:val="auto"/>
        </w:rPr>
        <w:t>”) that is outstanding immediately prior to the Effective Time shall, by virtue of the Merger and without any action on the part of the holder thereof, Cameron, Schlumberger US, Merger Sub or Schlumberger, be cancelled and converted into the right to receive the Merger Consideration based on the total number of shares of Cameron Common Stock subject to such Cameron Deferred Stock Unit Award immediately prior to the Effective Time.</w:t>
      </w:r>
    </w:p>
    <w:p>
      <w:pPr>
        <w:spacing w:after="0" w:line="188" w:lineRule="exact"/>
        <w:rPr>
          <w:rFonts w:ascii="Arial" w:cs="Arial" w:eastAsia="Arial" w:hAnsi="Arial"/>
          <w:sz w:val="18"/>
          <w:szCs w:val="18"/>
          <w:color w:val="auto"/>
        </w:rPr>
      </w:pPr>
    </w:p>
    <w:p>
      <w:pPr>
        <w:ind w:right="80" w:firstLine="464"/>
        <w:spacing w:after="0" w:line="257" w:lineRule="auto"/>
        <w:tabs>
          <w:tab w:leader="none" w:pos="671"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Cameron Performance Share Awards</w:t>
      </w:r>
      <w:r>
        <w:rPr>
          <w:rFonts w:ascii="Arial" w:cs="Arial" w:eastAsia="Arial" w:hAnsi="Arial"/>
          <w:sz w:val="18"/>
          <w:szCs w:val="18"/>
          <w:color w:val="auto"/>
        </w:rPr>
        <w:t>. At the Effective Time, each performance-based restricted stock unit award granted under any Cameron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Plan (collectively, the “</w:t>
      </w:r>
      <w:r>
        <w:rPr>
          <w:rFonts w:ascii="Arial" w:cs="Arial" w:eastAsia="Arial" w:hAnsi="Arial"/>
          <w:sz w:val="18"/>
          <w:szCs w:val="18"/>
          <w:b w:val="1"/>
          <w:bCs w:val="1"/>
          <w:color w:val="auto"/>
        </w:rPr>
        <w:t>Cameron Performance Share Awards</w:t>
      </w:r>
      <w:r>
        <w:rPr>
          <w:rFonts w:ascii="Arial" w:cs="Arial" w:eastAsia="Arial" w:hAnsi="Arial"/>
          <w:sz w:val="18"/>
          <w:szCs w:val="18"/>
          <w:color w:val="auto"/>
        </w:rPr>
        <w:t>”) that is outstanding and unvested immediately prior to the Effective Time shall be converted into and become a fully vested deferred stock unit with respect to Schlumberger Common Stock with the same payment schedule as the applicable Cameron Performance Share Award and the agreement by which such Cameron Performance Share Award is evidenced, as in effect as of the date of this Agreement (all outstanding Cameron Performance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Share Awards that are assumed pursuant to this Section 4.1(i) are hereafter referred to as “</w:t>
      </w:r>
      <w:r>
        <w:rPr>
          <w:rFonts w:ascii="Arial" w:cs="Arial" w:eastAsia="Arial" w:hAnsi="Arial"/>
          <w:sz w:val="17"/>
          <w:szCs w:val="17"/>
          <w:b w:val="1"/>
          <w:bCs w:val="1"/>
          <w:color w:val="auto"/>
        </w:rPr>
        <w:t>Converted Performance Shares</w:t>
      </w:r>
      <w:r>
        <w:rPr>
          <w:rFonts w:ascii="Arial" w:cs="Arial" w:eastAsia="Arial" w:hAnsi="Arial"/>
          <w:sz w:val="17"/>
          <w:szCs w:val="17"/>
          <w:color w:val="auto"/>
        </w:rPr>
        <w:t>”). All rights to receive shares of Cameron Common Stock under Converted Performance Shares shall thereupon be converted into fully vested deferred stock units with respect to Schlumberger Common Stock. Accordingly, from and after the Effective Time: (A) each Converted Performance Share award will be settled in shares of Schlumberger Common Stock; and (B) the number of shares of Schlumberger Common Stock subject to each Converted Performance Share award shall be determined by (i) for that portion of the Cameron Performance Share Award subject to performance against a TSR goal, multiplying the number of shares of Cameron Common Stock that were subject to such portion of the Converted Performance Share award earned at the attainment level determined by the Compensation Committee of the Cameron Board as of the Effective Time by the Equity Award Exchange Ratio plus (ii) for that portion of the Cameron Performance Share Award subject to performance against a ROIC goal, multiplying the number of shares of Cameron Common Stock that were subject to such portion of the Converted Performance Share award earned at the attainment level determined based on methodology set forth on Section 4.1(i) of the Cameron Disclosure Letter by the Equity Award Exchange Ratio, and rounding the resulting number to the nearest whole number of shares of Schlumberger Common Stock.</w:t>
      </w:r>
    </w:p>
    <w:p>
      <w:pPr>
        <w:spacing w:after="0" w:line="178" w:lineRule="exact"/>
        <w:rPr>
          <w:sz w:val="20"/>
          <w:szCs w:val="20"/>
          <w:color w:val="auto"/>
        </w:rPr>
      </w:pPr>
    </w:p>
    <w:p>
      <w:pPr>
        <w:ind w:left="680" w:hanging="216"/>
        <w:spacing w:after="0"/>
        <w:tabs>
          <w:tab w:leader="none" w:pos="680"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Assumed Awards</w:t>
      </w:r>
      <w:r>
        <w:rPr>
          <w:rFonts w:ascii="Arial" w:cs="Arial" w:eastAsia="Arial" w:hAnsi="Arial"/>
          <w:sz w:val="17"/>
          <w:szCs w:val="17"/>
          <w:color w:val="auto"/>
        </w:rPr>
        <w:t>. Notwithstanding the foregoing, (1) Schlumberger US shall assume all obligations with respect to each Converted Option,</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Assumed RSU award, and Converted Performance Share award (collectively the “</w:t>
      </w:r>
      <w:r>
        <w:rPr>
          <w:rFonts w:ascii="Arial" w:cs="Arial" w:eastAsia="Arial" w:hAnsi="Arial"/>
          <w:sz w:val="18"/>
          <w:szCs w:val="18"/>
          <w:b w:val="1"/>
          <w:bCs w:val="1"/>
          <w:color w:val="auto"/>
        </w:rPr>
        <w:t>Assumed Awards</w:t>
      </w:r>
      <w:r>
        <w:rPr>
          <w:rFonts w:ascii="Arial" w:cs="Arial" w:eastAsia="Arial" w:hAnsi="Arial"/>
          <w:sz w:val="18"/>
          <w:szCs w:val="18"/>
          <w:color w:val="auto"/>
        </w:rPr>
        <w:t>”), (2) each Assumed Award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Schlumberger Common Stock subsequent to the Effective Time; (3) the Compensation Committee of the Board of Directors of Schlumberger shall succeed to the authority and responsibility of the Cameron Board or any committee thereof with respect to each Assumed Award; (4) each Assumed Award shall be subject to administrative procedures consistent with those in effect under Schlumberger’s equity compensation plan; and (5) each Assumed Award shall be provided with dividend equivalent rights to the extent provided to Schlumberger awards of a comparable type.</w:t>
      </w:r>
    </w:p>
    <w:p>
      <w:pPr>
        <w:spacing w:after="0" w:line="193"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Cameron shall make arrangements reasonably satisfactory to Schlumberger US to satisfy all employment and income tax withholding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if applicable, with respect to each Cameron Restricted Stock Unit Award, Cameron Performance Share Award or Cameron Deferred Stock Unit Award as a result of the consummation of the transactions as contemplated by this Agreement.</w:t>
      </w:r>
    </w:p>
    <w:p>
      <w:pPr>
        <w:spacing w:after="0" w:line="181" w:lineRule="exact"/>
        <w:rPr>
          <w:rFonts w:ascii="Arial" w:cs="Arial" w:eastAsia="Arial" w:hAnsi="Arial"/>
          <w:sz w:val="18"/>
          <w:szCs w:val="18"/>
          <w:color w:val="auto"/>
        </w:rPr>
      </w:pPr>
    </w:p>
    <w:p>
      <w:pPr>
        <w:ind w:right="40" w:firstLine="464"/>
        <w:spacing w:after="0" w:line="312" w:lineRule="auto"/>
        <w:tabs>
          <w:tab w:leader="none" w:pos="67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Post-Signing Equity Awards</w:t>
      </w:r>
      <w:r>
        <w:rPr>
          <w:rFonts w:ascii="Arial" w:cs="Arial" w:eastAsia="Arial" w:hAnsi="Arial"/>
          <w:sz w:val="16"/>
          <w:szCs w:val="16"/>
          <w:color w:val="auto"/>
        </w:rPr>
        <w:t>. Any Cameron Post-Signing Restricted Stock Unit Award and Cameron Post-Signing Option shall, as of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Time, cease to represent a right to receive Cameron Common Stock and shall be converted into an award of applicable type (a “</w:t>
      </w:r>
      <w:r>
        <w:rPr>
          <w:rFonts w:ascii="Arial" w:cs="Arial" w:eastAsia="Arial" w:hAnsi="Arial"/>
          <w:sz w:val="16"/>
          <w:szCs w:val="16"/>
          <w:b w:val="1"/>
          <w:bCs w:val="1"/>
          <w:color w:val="auto"/>
        </w:rPr>
        <w:t>Schlumberger Stock</w:t>
      </w:r>
      <w:r>
        <w:rPr>
          <w:rFonts w:ascii="Arial" w:cs="Arial" w:eastAsia="Arial" w:hAnsi="Arial"/>
          <w:sz w:val="16"/>
          <w:szCs w:val="16"/>
          <w:color w:val="auto"/>
        </w:rPr>
        <w:t xml:space="preserve"> </w:t>
      </w:r>
      <w:r>
        <w:rPr>
          <w:rFonts w:ascii="Arial" w:cs="Arial" w:eastAsia="Arial" w:hAnsi="Arial"/>
          <w:sz w:val="16"/>
          <w:szCs w:val="16"/>
          <w:b w:val="1"/>
          <w:bCs w:val="1"/>
          <w:color w:val="auto"/>
        </w:rPr>
        <w:t>Incentive Award</w:t>
      </w:r>
      <w:r>
        <w:rPr>
          <w:rFonts w:ascii="Arial" w:cs="Arial" w:eastAsia="Arial" w:hAnsi="Arial"/>
          <w:sz w:val="16"/>
          <w:szCs w:val="16"/>
          <w:color w:val="auto"/>
        </w:rPr>
        <w:t>”) with respect to a number of whole shares of Schlumberger Common Stock in the same manner described in Section 4.1(f) and (g)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0" w:lineRule="auto"/>
        <w:tabs>
          <w:tab w:leader="none" w:pos="701"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US shall appoint a commercial bank or trust company or such other party as is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Cameron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Immediately after receiving the shares of Schlumberger Common Stock from Schlumberger pursuant to the last sentence of Section 4.1(a), Schlumberger US shall deposit with the Exchange Agent, in trust for the benefit of holders of shares of Cameron Common Stock, the number of shares of Schlumberger Common Stock that are issuable pursuant to Section 4.1 and an amount of cash representing the aggregate cash consideration payable pursuant to Section 4.1. Schlumberger US shall deposit such shares of Schlumberger Common Stock with the Exchange Agent by providing to the Exchange Agent an uncertificated book-entry for such shares. In addition, Schlumberger US shall make available to the Exchange Agent from time to time as needed, cash sufficient to make payments for the cash consideration pursuant to Section 4.1, payments in lieu of fractional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pursuant to Section 4.2(e) and any dividends and other distributions pursuant to Section 4.2(c). Any cash and shares of Schlumberger Common Stock deposited by Schlumberger US with the Exchange Agent shall hereinafter be referred to as the “</w:t>
      </w:r>
      <w:r>
        <w:rPr>
          <w:rFonts w:ascii="Arial" w:cs="Arial" w:eastAsia="Arial" w:hAnsi="Arial"/>
          <w:sz w:val="18"/>
          <w:szCs w:val="18"/>
          <w:b w:val="1"/>
          <w:bCs w:val="1"/>
          <w:color w:val="auto"/>
        </w:rPr>
        <w:t>Exchange Fund</w:t>
      </w:r>
      <w:r>
        <w:rPr>
          <w:rFonts w:ascii="Arial" w:cs="Arial" w:eastAsia="Arial" w:hAnsi="Arial"/>
          <w:sz w:val="18"/>
          <w:szCs w:val="18"/>
          <w:color w:val="auto"/>
        </w:rPr>
        <w:t>.”</w:t>
      </w:r>
    </w:p>
    <w:p>
      <w:pPr>
        <w:spacing w:after="0" w:line="170" w:lineRule="exact"/>
        <w:rPr>
          <w:sz w:val="20"/>
          <w:szCs w:val="20"/>
          <w:color w:val="auto"/>
        </w:rPr>
      </w:pPr>
    </w:p>
    <w:p>
      <w:pPr>
        <w:ind w:right="40" w:firstLine="464"/>
        <w:spacing w:after="0" w:line="285" w:lineRule="auto"/>
        <w:tabs>
          <w:tab w:leader="none" w:pos="711"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US shall cause the Exchange Agent to mail to each holder of record of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shares of Cameron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Cameron Common Stock shall pass, only upon delivery of the corresponding Certificates to the Exchange Agent or receipt by the Exchange Agent of an “agent’s message” with respect to Book Entry Shares, which letter shall be in customary form and have such other provisions as Schlumberger US may reasonably specify, and (ii) instructions for effecting the surrender of such Certificates or Book Entry Shares in exchange for the Merger Consideration. Each holder of shares of Cameron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and which shall represent, in the aggregate, the whole number of shares that such holder has the right to receive pursuant to Section 4.1(a) (after taking into account all shares of Cameron Common Stock then held by such holder) and (ii) a check in the amount equal to any cash that such holder has the right to receive pursuant to this Article 4, consisting of the cash consideration pursuant to Section 4.1, cash in lieu of any fractional shares of Schlumberger Common Stock pursuant to Section 4.2(e) and any dividends and other distributions pursuant to Section 4.2(c). No interest will be paid or will accrue on any cash payable pursuant to Section 4.2(c) or Section 4.2(e). In the event of a transfer of ownership of Cameron Common Stock that is not registered in the transfer records of Cameron, one or more shares of Schlumberger Common Stock evidencing, in the aggregate, the proper number of shares of Schlumberger Common Stock and a check in the amount equal to any cash that is payable pursuant to Section 4.1(a) and any cash in lieu of any fractional shares of Schlumberger Common Stock pursuant to Section 4.2(e) and any dividends or other distributions to which such holder is entitled pursuant to Section 4.2(c), may be issued with respect to such Cameron Common Stock, as the case may be, to such a transferee if the Certificate representing such shares of Cameron Common Stock is presented to the Exchange Agent, accompanied by all documents required to evidence and effect such transfer and to evidence that any applicable stock transfer Taxes have been paid.</w:t>
      </w:r>
    </w:p>
    <w:p>
      <w:pPr>
        <w:spacing w:after="0" w:line="386" w:lineRule="exact"/>
        <w:rPr>
          <w:rFonts w:ascii="Arial" w:cs="Arial" w:eastAsia="Arial" w:hAnsi="Arial"/>
          <w:sz w:val="16"/>
          <w:szCs w:val="16"/>
          <w:color w:val="auto"/>
        </w:rPr>
      </w:pPr>
    </w:p>
    <w:p>
      <w:pPr>
        <w:ind w:firstLine="464"/>
        <w:spacing w:after="0" w:line="290" w:lineRule="auto"/>
        <w:tabs>
          <w:tab w:leader="none" w:pos="701"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Schlumberger Common Stock to be issued pursuant to the Merger shall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as of the Effective Time. No dividends or other distributions declared or made in respect of Schlumberger Common Stock shall be paid to the holder of any shares of Cameron Common Stock until the holder of such shares shall surrender such shares in accordance with this Article 4. Subject to Applicable Law, following surrender of any such shares, there shall be issued and/or paid to the holder of the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66" w:lineRule="exact"/>
        <w:rPr>
          <w:rFonts w:ascii="Arial" w:cs="Arial" w:eastAsia="Arial" w:hAnsi="Arial"/>
          <w:sz w:val="16"/>
          <w:szCs w:val="16"/>
          <w:color w:val="auto"/>
        </w:rPr>
      </w:pPr>
    </w:p>
    <w:p>
      <w:pPr>
        <w:ind w:right="140" w:firstLine="464"/>
        <w:spacing w:after="0" w:line="259" w:lineRule="auto"/>
        <w:tabs>
          <w:tab w:leader="none" w:pos="711"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No Further Ownership Rights in Cameron Common Stock</w:t>
      </w:r>
      <w:r>
        <w:rPr>
          <w:rFonts w:ascii="Arial" w:cs="Arial" w:eastAsia="Arial" w:hAnsi="Arial"/>
          <w:sz w:val="18"/>
          <w:szCs w:val="18"/>
          <w:color w:val="auto"/>
        </w:rPr>
        <w:t>. All shares of Schlumberger Common Stock issued and cash paid upon conversion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Cameron Common Stock in accordance with the terms of this Article 4 (including any cash paid pursuant to Section 4.2(c) or Section 4.2(e)) shall be deemed to have been issued or paid in full satisfaction of all rights pertaining to the shares of Cameron Common Stock previously represented by such Certificates and/or Book Entry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hanging="236"/>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300" w:firstLine="443"/>
        <w:spacing w:after="0" w:line="264" w:lineRule="auto"/>
        <w:tabs>
          <w:tab w:leader="none" w:pos="111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and/or Book Entry Shares and such fractional share interests will not entitle the owner thereof to vote or to have any rights of a stockholder of Schlumberger.</w:t>
      </w:r>
    </w:p>
    <w:p>
      <w:pPr>
        <w:spacing w:after="0" w:line="73" w:lineRule="exact"/>
        <w:rPr>
          <w:rFonts w:ascii="Arial" w:cs="Arial" w:eastAsia="Arial" w:hAnsi="Arial"/>
          <w:sz w:val="18"/>
          <w:szCs w:val="18"/>
          <w:color w:val="auto"/>
        </w:rPr>
      </w:pPr>
    </w:p>
    <w:p>
      <w:pPr>
        <w:ind w:left="460" w:right="60" w:firstLine="443"/>
        <w:spacing w:after="0" w:line="276" w:lineRule="auto"/>
        <w:tabs>
          <w:tab w:leader="none" w:pos="1163" w:val="left"/>
        </w:tabs>
        <w:numPr>
          <w:ilvl w:val="1"/>
          <w:numId w:val="181"/>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each holder of shares of Cameron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64" w:lineRule="exact"/>
        <w:rPr>
          <w:rFonts w:ascii="Arial" w:cs="Arial" w:eastAsia="Arial" w:hAnsi="Arial"/>
          <w:sz w:val="17"/>
          <w:szCs w:val="17"/>
          <w:color w:val="auto"/>
        </w:rPr>
      </w:pPr>
    </w:p>
    <w:p>
      <w:pPr>
        <w:jc w:val="both"/>
        <w:ind w:left="460" w:right="240" w:firstLine="443"/>
        <w:spacing w:after="0" w:line="259" w:lineRule="auto"/>
        <w:tabs>
          <w:tab w:leader="none" w:pos="121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As promptly as practicable after the determination of the amount of cash, if any, to be paid to holders of fractional interests, the Exchange Agent shall so notify Schlumberger US, and Schlumberger US shall deposit or cause the Surviving Entity to deposit such amount with the Exchange Agent and shall cause the Exchange Agent to forward payments to such holders of fractional interests subject to and in accordance with the terms hereof.</w:t>
      </w:r>
    </w:p>
    <w:p>
      <w:pPr>
        <w:spacing w:after="0" w:line="186" w:lineRule="exact"/>
        <w:rPr>
          <w:rFonts w:ascii="Arial" w:cs="Arial" w:eastAsia="Arial" w:hAnsi="Arial"/>
          <w:sz w:val="18"/>
          <w:szCs w:val="18"/>
          <w:color w:val="auto"/>
        </w:rPr>
      </w:pPr>
    </w:p>
    <w:p>
      <w:pPr>
        <w:ind w:firstLine="464"/>
        <w:spacing w:after="0" w:line="270" w:lineRule="auto"/>
        <w:tabs>
          <w:tab w:leader="none" w:pos="681"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Termination of Exchange Fund</w:t>
      </w:r>
      <w:r>
        <w:rPr>
          <w:rFonts w:ascii="Arial" w:cs="Arial" w:eastAsia="Arial" w:hAnsi="Arial"/>
          <w:sz w:val="17"/>
          <w:szCs w:val="17"/>
          <w:color w:val="auto"/>
        </w:rPr>
        <w:t>. Schlumberger US shall be entitled to require the Exchange Agent to deliver to Schlumberger US or otherwise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 of Schlumberger US any portion of the Exchange Fund that remains undistributed to the holders of Certificates and/or Book Entry Shares as of the date six months after the Effective Time, and any holders of the Certificates and/or Book Entry Shares who have not theretofore complied with this Article 4 shall thereafter look only to Schlumberger US for the Merger Consideration with respect to the shares of Cameron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Cameron Common Stock five years after the Effective Time (or such earlier date immediately prior to such time as such amounts would otherwise escheat to or become property of any Governmental Entity) shall, to the extent permitted by Applicable Law, become the property of Schlumberger US free and clear of any claims or interest of any person previously entitled thereto.</w:t>
      </w:r>
    </w:p>
    <w:p>
      <w:pPr>
        <w:spacing w:after="0" w:line="177" w:lineRule="exact"/>
        <w:rPr>
          <w:rFonts w:ascii="Arial" w:cs="Arial" w:eastAsia="Arial" w:hAnsi="Arial"/>
          <w:sz w:val="17"/>
          <w:szCs w:val="17"/>
          <w:color w:val="auto"/>
        </w:rPr>
      </w:pPr>
    </w:p>
    <w:p>
      <w:pPr>
        <w:ind w:right="100" w:firstLine="464"/>
        <w:spacing w:after="0" w:line="264" w:lineRule="auto"/>
        <w:tabs>
          <w:tab w:leader="none" w:pos="711"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US, Merger Sub, Schlumberger, Cameron, the Surviving Entity, any affiliate of any of the foregoing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Agent shall be liable to any person in respect of any Merger Consideration from the Exchange Fund delivered to a public official or Governmental Entity pursuant to any applicable abandoned property, escheat or similar law.</w:t>
      </w:r>
    </w:p>
    <w:p>
      <w:pPr>
        <w:spacing w:after="0" w:line="181"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Investment of the Exchange Fund</w:t>
      </w:r>
      <w:r>
        <w:rPr>
          <w:rFonts w:ascii="Arial" w:cs="Arial" w:eastAsia="Arial" w:hAnsi="Arial"/>
          <w:sz w:val="18"/>
          <w:szCs w:val="18"/>
          <w:color w:val="auto"/>
        </w:rPr>
        <w:t>. The Exchange Agent shall invest any cash included in the Exchange Fund as directed by Schlumberger US on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daily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gain or loss thereon shall affect the amounts payable to the stockholders of Cameron pursuant to this Article 4 and that if at any time prior to the termination of the Exchange Fund pursuant to Section 4.2(f), the amount of cash included in the Exchange Fund is reduced below the amount necessary to pay any cash that is payable pursuant to Section 4.1(a) and any cash in lieu of fractional shares of Schlumberger Common Stock payable pursuant to Section 4.2(e), and dividends and distributions payable pursuant to Section 4.2(c), Schlumberger US shall promptly deposit additional cash into the Exchange Fund sufficient to rectify this deficiency. Any interest and other income resulting from such investments shall be paid promptly to Schlumberger US.</w:t>
      </w:r>
    </w:p>
    <w:p>
      <w:pPr>
        <w:spacing w:after="0" w:line="189" w:lineRule="exact"/>
        <w:rPr>
          <w:rFonts w:ascii="Arial" w:cs="Arial" w:eastAsia="Arial" w:hAnsi="Arial"/>
          <w:sz w:val="18"/>
          <w:szCs w:val="18"/>
          <w:color w:val="auto"/>
        </w:rPr>
      </w:pPr>
    </w:p>
    <w:p>
      <w:pPr>
        <w:ind w:right="40" w:firstLine="464"/>
        <w:spacing w:after="0" w:line="264" w:lineRule="auto"/>
        <w:tabs>
          <w:tab w:leader="none" w:pos="671"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to be lost, stolen or destroyed and, if reasonably required by Schlumberger, the posting by such person of a bond in such reasonable amount as Schlumberger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Cameron Common Stock formerly represented by such lost, stolen or destroyed Certificate.</w:t>
      </w:r>
    </w:p>
    <w:p>
      <w:pPr>
        <w:spacing w:after="0" w:line="188" w:lineRule="exact"/>
        <w:rPr>
          <w:sz w:val="20"/>
          <w:szCs w:val="20"/>
          <w:color w:val="auto"/>
        </w:rPr>
      </w:pPr>
    </w:p>
    <w:p>
      <w:pPr>
        <w:ind w:firstLine="464"/>
        <w:spacing w:after="0" w:line="253" w:lineRule="auto"/>
        <w:tabs>
          <w:tab w:leader="none" w:pos="671"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Withholding Rights</w:t>
      </w:r>
      <w:r>
        <w:rPr>
          <w:rFonts w:ascii="Arial" w:cs="Arial" w:eastAsia="Arial" w:hAnsi="Arial"/>
          <w:sz w:val="18"/>
          <w:szCs w:val="18"/>
          <w:color w:val="auto"/>
        </w:rPr>
        <w:t>. Each of the Exchange Agent, Schlumberger US and the Surviving Entity shall be entitled, without duplication, to deduct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 from the consideration otherwise payable pursuant to this Agreement to any holder of shares of Cameron Common Stock or any other equity rights in Cameron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97" w:lineRule="exact"/>
        <w:rPr>
          <w:rFonts w:ascii="Arial" w:cs="Arial" w:eastAsia="Arial" w:hAnsi="Arial"/>
          <w:sz w:val="18"/>
          <w:szCs w:val="18"/>
          <w:color w:val="auto"/>
        </w:rPr>
      </w:pPr>
    </w:p>
    <w:p>
      <w:pPr>
        <w:jc w:val="both"/>
        <w:ind w:right="380" w:firstLine="464"/>
        <w:spacing w:after="0" w:line="302" w:lineRule="auto"/>
        <w:tabs>
          <w:tab w:leader="none" w:pos="711"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After the Effective Time, the officers and directors of the Surviving Entity will be authorized to execute and deliver,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 and on behalf of Cameron, any deeds, bills of sale, assignments or assurances and to take and do, in the name and on behalf of Cameron,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54" w:lineRule="exact"/>
        <w:rPr>
          <w:rFonts w:ascii="Arial" w:cs="Arial" w:eastAsia="Arial" w:hAnsi="Arial"/>
          <w:sz w:val="16"/>
          <w:szCs w:val="16"/>
          <w:color w:val="auto"/>
        </w:rPr>
      </w:pPr>
    </w:p>
    <w:p>
      <w:pPr>
        <w:ind w:right="80" w:firstLine="464"/>
        <w:spacing w:after="0" w:line="255" w:lineRule="auto"/>
        <w:tabs>
          <w:tab w:leader="none" w:pos="671"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Cameron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Cameron Common Stock thereafter on the records of Cameron. At or after the Effective Time, any Certificates or Book Entry Shares presented to the Exchange Agent or Schlumberger US for any reason shall represent the right to receive the Merger Consideration with respect to the shares of Cameron Common Stock formerly represented thereby (including any cash in lieu of fractional shares of Schlumberger Common Stock to which the holders thereof are entitled pursuant to Section 4.2(e)) and any dividends or other distributions to which the holders thereof are entitled pursuant to Section 4.2(c).</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i w:val="1"/>
          <w:iCs w:val="1"/>
          <w:color w:val="auto"/>
        </w:rPr>
        <w:t>Certain Adjustments</w:t>
      </w:r>
      <w:r>
        <w:rPr>
          <w:rFonts w:ascii="Arial" w:cs="Arial" w:eastAsia="Arial" w:hAnsi="Arial"/>
          <w:sz w:val="17"/>
          <w:szCs w:val="17"/>
          <w:color w:val="auto"/>
        </w:rPr>
        <w:t>. If, subsequent to the date of this Agreement but prior to the Effective Time, the outstanding Schlumberger Common Stock or Cameron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Per Share Cash Amount, the Merger Consideration, the Equity Award Exchange Ratio and any other similarly dependent items, as the case may be, shall be appropriately adjusted to provide to the holders of Cameron Common Stock consideration having the same economic effect as was contemplated by this Agreement prior to such event.</w:t>
      </w:r>
    </w:p>
    <w:p>
      <w:pPr>
        <w:spacing w:after="0" w:line="17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Appraisal Rights</w:t>
      </w:r>
      <w:r>
        <w:rPr>
          <w:rFonts w:ascii="Arial" w:cs="Arial" w:eastAsia="Arial" w:hAnsi="Arial"/>
          <w:sz w:val="16"/>
          <w:szCs w:val="16"/>
          <w:color w:val="auto"/>
        </w:rPr>
        <w:t>. No holder of Dissenting Shares (a “</w:t>
      </w:r>
      <w:r>
        <w:rPr>
          <w:rFonts w:ascii="Arial" w:cs="Arial" w:eastAsia="Arial" w:hAnsi="Arial"/>
          <w:sz w:val="16"/>
          <w:szCs w:val="16"/>
          <w:b w:val="1"/>
          <w:bCs w:val="1"/>
          <w:color w:val="auto"/>
        </w:rPr>
        <w:t>Dissenting Stockholder</w:t>
      </w:r>
      <w:r>
        <w:rPr>
          <w:rFonts w:ascii="Arial" w:cs="Arial" w:eastAsia="Arial" w:hAnsi="Arial"/>
          <w:sz w:val="16"/>
          <w:szCs w:val="16"/>
          <w:color w:val="auto"/>
        </w:rPr>
        <w:t>”) shall be entitled to any Merger Consideration or dividends or other distributions pursuant to Section 4.2(c) in respect of such Dissenting Shares unless and until such holder shall have failed to perfect or shall have effectively withdrawn or lost such holder’s right to seek appraisal of its Dissenting Shares under the DGCL, and any Dissenting Stockholder shall be entitled to receive only the payment provided by Section 262 of the DGCL with respect to the Dissenting Shares owned by such Dissenting Stockholder. If any person who otherwise would be deemed a Dissenting Stockholder shall have failed properly to perfect or shall have effectively withdrawn or lost the right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to seek appraisal with respect to any Dissenting Shares, such Dissenting Shares shall thereupon be treated as though such Dissenting Shares had been converted into the Merger Consideration pursuant to Section 4.1. Cameron shall give Schlumberger US (a) prompt notice of any written demands for appraisal, attempted withdrawals of such demands, and any other instruments served pursuant to Applicable Law received by Cameron relating to stockholders’ rights of appraisal and (b) the opportunity to direct all negotiations and proceedings with respect to demand for appraisal under the DGCL. Cameron shall not, except with the prior written consent of Schlumberger US, voluntarily make any payment with respect to any demands for appraisals of Dissenting Shares, offer to settle or settle any such demands or approve any withdrawal of any such demands. For purposes of this Agreement, “</w:t>
      </w:r>
      <w:r>
        <w:rPr>
          <w:rFonts w:ascii="Arial" w:cs="Arial" w:eastAsia="Arial" w:hAnsi="Arial"/>
          <w:sz w:val="16"/>
          <w:szCs w:val="16"/>
          <w:b w:val="1"/>
          <w:bCs w:val="1"/>
          <w:color w:val="auto"/>
        </w:rPr>
        <w:t>Dissenting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means shares of Cameron Common Stock as to which the holder thereof has exercised appraisal rights pursuant to Section 262 of the DGCL.</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CAMERON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Except (i) as set forth in the disclosure letter delivered to Schlumberger US and Schlumberger by Cameron at or prior to the execution hereof (the “</w:t>
      </w:r>
      <w:r>
        <w:rPr>
          <w:rFonts w:ascii="Arial" w:cs="Arial" w:eastAsia="Arial" w:hAnsi="Arial"/>
          <w:sz w:val="18"/>
          <w:szCs w:val="18"/>
          <w:b w:val="1"/>
          <w:bCs w:val="1"/>
          <w:color w:val="auto"/>
        </w:rPr>
        <w:t>Cameron Disclosure Letter</w:t>
      </w:r>
      <w:r>
        <w:rPr>
          <w:rFonts w:ascii="Arial" w:cs="Arial" w:eastAsia="Arial" w:hAnsi="Arial"/>
          <w:sz w:val="18"/>
          <w:szCs w:val="18"/>
          <w:color w:val="auto"/>
        </w:rPr>
        <w:t>”) and making reference to the particular subsection of this Agreement to which exception is being taken, subject to Section 11.10, (ii) with respect to the Subsea segment of Cameron (the “</w:t>
      </w:r>
      <w:r>
        <w:rPr>
          <w:rFonts w:ascii="Arial" w:cs="Arial" w:eastAsia="Arial" w:hAnsi="Arial"/>
          <w:sz w:val="18"/>
          <w:szCs w:val="18"/>
          <w:b w:val="1"/>
          <w:bCs w:val="1"/>
          <w:color w:val="auto"/>
        </w:rPr>
        <w:t>Joint Venture</w:t>
      </w:r>
      <w:r>
        <w:rPr>
          <w:rFonts w:ascii="Arial" w:cs="Arial" w:eastAsia="Arial" w:hAnsi="Arial"/>
          <w:sz w:val="18"/>
          <w:szCs w:val="18"/>
          <w:color w:val="auto"/>
        </w:rPr>
        <w:t>”) and its Subsidiaries, assets, liabilities, businesses, operations and results of operations, to the extent actually known to the Schlumberger representatives on the governing board of the Joint Venture, or (iii) as disclosed in the Cameron Reports filed or furnished after December 31, 2014 and prior to the date hereof (excluding any disclosures in such Cameron Reports in any risk factors section, in any section related to forward looking statements and other disclosures that are predictive or forward-looking in nature), Cameron represents and warrants to Schlumberger US and Schlumberger that:</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Cameron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Cameron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 reasonably be expected to have, individually or in the aggregate, a Cameron Material Adverse Effect. Cameron has made available to Schlumberger true and correct copies of Cameron’s certificate of incorporation and bylaws, each as amended to date, and each as so delivered is in full force and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3" w:lineRule="auto"/>
        <w:tabs>
          <w:tab w:leader="none" w:pos="701" w:val="left"/>
        </w:tabs>
        <w:numPr>
          <w:ilvl w:val="1"/>
          <w:numId w:val="183"/>
        </w:numPr>
        <w:rPr>
          <w:rFonts w:ascii="Arial" w:cs="Arial" w:eastAsia="Arial" w:hAnsi="Arial"/>
          <w:sz w:val="17"/>
          <w:szCs w:val="17"/>
          <w:color w:val="auto"/>
        </w:rPr>
      </w:pPr>
      <w:r>
        <w:rPr>
          <w:rFonts w:ascii="Arial" w:cs="Arial" w:eastAsia="Arial" w:hAnsi="Arial"/>
          <w:sz w:val="17"/>
          <w:szCs w:val="17"/>
          <w:color w:val="auto"/>
        </w:rPr>
        <w:t>Cameron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Cameron Stockholder Approval. The execution and delivery of this Agreement and the consummation by Cameron of the transactions contemplated hereby have been duly authorized by all requisite corporate action on behalf of Cameron, other than the Cameron Stockholder Approval and the filing of the Certificate of Merger. This Agreement has been duly executed and delivered by Cameron and constitutes the valid and legally binding obligation of Cameron, enforceable against Cameron in accordance with its terms.</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Board of Directors of Cameron (the “</w:t>
      </w:r>
      <w:r>
        <w:rPr>
          <w:rFonts w:ascii="Arial" w:cs="Arial" w:eastAsia="Arial" w:hAnsi="Arial"/>
          <w:sz w:val="17"/>
          <w:szCs w:val="17"/>
          <w:b w:val="1"/>
          <w:bCs w:val="1"/>
          <w:color w:val="auto"/>
        </w:rPr>
        <w:t>Cameron Board</w:t>
      </w:r>
      <w:r>
        <w:rPr>
          <w:rFonts w:ascii="Arial" w:cs="Arial" w:eastAsia="Arial" w:hAnsi="Arial"/>
          <w:sz w:val="17"/>
          <w:szCs w:val="17"/>
          <w:color w:val="auto"/>
        </w:rPr>
        <w:t>”), at a meeting duly called and held on or prior to the date hereof, has unanimously</w:t>
      </w:r>
    </w:p>
    <w:p>
      <w:pPr>
        <w:spacing w:after="0" w:line="38" w:lineRule="exact"/>
        <w:rPr>
          <w:rFonts w:ascii="Arial" w:cs="Arial" w:eastAsia="Arial" w:hAnsi="Arial"/>
          <w:sz w:val="17"/>
          <w:szCs w:val="17"/>
          <w:color w:val="auto"/>
        </w:rPr>
      </w:pPr>
    </w:p>
    <w:p>
      <w:pPr>
        <w:ind w:right="140" w:firstLine="8"/>
        <w:spacing w:after="0" w:line="255" w:lineRule="auto"/>
        <w:tabs>
          <w:tab w:leader="none" w:pos="2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determined that this Agreement, the Merger and the other transactions contemplated hereby are advisable, (ii) approved this Agreement and approved the Merger and the other transactions contemplated hereby, (iii) resolved to recommend the adoption of this Agreement to the holders of Cameron Common Stock (such recommendations being the “</w:t>
      </w:r>
      <w:r>
        <w:rPr>
          <w:rFonts w:ascii="Arial" w:cs="Arial" w:eastAsia="Arial" w:hAnsi="Arial"/>
          <w:sz w:val="18"/>
          <w:szCs w:val="18"/>
          <w:b w:val="1"/>
          <w:bCs w:val="1"/>
          <w:color w:val="auto"/>
        </w:rPr>
        <w:t>Cameron Recommendation</w:t>
      </w:r>
      <w:r>
        <w:rPr>
          <w:rFonts w:ascii="Arial" w:cs="Arial" w:eastAsia="Arial" w:hAnsi="Arial"/>
          <w:sz w:val="18"/>
          <w:szCs w:val="18"/>
          <w:color w:val="auto"/>
        </w:rPr>
        <w:t>”), subject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Section 8.3(b) and Section 8.3(d), and (iv) directed that this Agreement be submitted to the holders of Cameron Common Stock for their adoption. The Cameron Board has received the opinion of Cameron’s financial advisor, Credit Suisse Securities (USA) LLC, dated the date this Agreement was approved by the Cameron Board, to the effect that, as of such date and subject to the assumptions, qualifications, limitations and other matters considered in connection with the preparation of such opinion, the Merger Consideration to be received by the holders of Cameron Common Stock in the Merger pursuant to this Agreement is fair, from a financial point of view, to the holders of Cameron Common Stock (a written copy of which opinion will be provided to Schlumberger for informational purposes only promptly after receipt thereof by the Cameron Board).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85" w:lineRule="auto"/>
        <w:tabs>
          <w:tab w:leader="none" w:pos="70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authorized capital stock of Cameron consists of 400,000,000 shares of Cameron Common Stock and 10,000,000 shares of preferred stock, par value $0.01 per share (“</w:t>
      </w:r>
      <w:r>
        <w:rPr>
          <w:rFonts w:ascii="Arial" w:cs="Arial" w:eastAsia="Arial" w:hAnsi="Arial"/>
          <w:sz w:val="16"/>
          <w:szCs w:val="16"/>
          <w:b w:val="1"/>
          <w:bCs w:val="1"/>
          <w:color w:val="auto"/>
        </w:rPr>
        <w:t>Cameron Preferred Stock</w:t>
      </w:r>
      <w:r>
        <w:rPr>
          <w:rFonts w:ascii="Arial" w:cs="Arial" w:eastAsia="Arial" w:hAnsi="Arial"/>
          <w:sz w:val="16"/>
          <w:szCs w:val="16"/>
          <w:color w:val="auto"/>
        </w:rPr>
        <w:t>”). As of August 21, 2015, there were (i) 190,615,263 outstanding shares of Cameron Common Stock and 72,496,209 shares of Cameron Common Stock held in the treasury of Cameron, (ii) 3,739,386 shares of Cameron Common Stock reserved for issuance upon exercise of outstanding Cameron Options, (iii) 1,233,874 shares of Cameron Common Stock reserved for issuance under outstanding Cameron Restricted Stock Unit Awards, (iv) 115,099 shares of Cameron Common Stock reserved for issuance under outstanding Cameron Deferred Stock Unit Awards,</w:t>
      </w:r>
    </w:p>
    <w:p>
      <w:pPr>
        <w:spacing w:after="0" w:line="2" w:lineRule="exact"/>
        <w:rPr>
          <w:rFonts w:ascii="Arial" w:cs="Arial" w:eastAsia="Arial" w:hAnsi="Arial"/>
          <w:sz w:val="16"/>
          <w:szCs w:val="16"/>
          <w:color w:val="auto"/>
        </w:rPr>
      </w:pPr>
    </w:p>
    <w:p>
      <w:pPr>
        <w:ind w:firstLine="8"/>
        <w:spacing w:after="0" w:line="284" w:lineRule="auto"/>
        <w:tabs>
          <w:tab w:leader="none" w:pos="25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562,794 shares of Cameron Common Stock reserved for issuance under outstanding Cameron Performance Share Awards, (vi) 67,977 shares of Cameron Common Stock (rounded up to the nearest whole share) reserved for issuance under outstanding phantom shares under the Cameron International Corporation Deferred Compensation Plan, the Cameron International Deferred Compensation Plan for Non-Employee Directors and the OneSubsea LLC Nonqualified Deferred Compensation Plan (collectively, the “</w:t>
      </w:r>
      <w:r>
        <w:rPr>
          <w:rFonts w:ascii="Arial" w:cs="Arial" w:eastAsia="Arial" w:hAnsi="Arial"/>
          <w:sz w:val="16"/>
          <w:szCs w:val="16"/>
          <w:b w:val="1"/>
          <w:bCs w:val="1"/>
          <w:color w:val="auto"/>
        </w:rPr>
        <w:t>Cameron Deferred Compensation Plans</w:t>
      </w:r>
      <w:r>
        <w:rPr>
          <w:rFonts w:ascii="Arial" w:cs="Arial" w:eastAsia="Arial" w:hAnsi="Arial"/>
          <w:sz w:val="16"/>
          <w:szCs w:val="16"/>
          <w:color w:val="auto"/>
        </w:rPr>
        <w:t>”), which are payable in whole or in part in shares of Cameron Common Stock, (vii) no issued or outstanding shares of restricted Cameron Common Stock the restrictions on which have not previously lapsed and (viii) no issued or outstanding shares of Cameron Preferred Stock. All of the issued and outstanding shares of Cameron Common Stock have been duly authorized and validly issued and are fully paid and nonassessable. Except as set forth in this Section 5.3 and except for changes since the close of business on August 21, 2015 resulting from the exercise of employee stock options or settlement of Cameron Restricted Stock Unit Awards, Cameron Deferred Stock Unit Awards or Cameron Performance Share Awards outstanding on such date or other securities issued as permitted by Section 8.1, there are outstanding (A) no shares of capital stock or other voting securities of Cameron, (B) no Cameron Options and (C) (1) no options, warrants or other rights to acquire from Cameron any capital stock, voting securities or other ownership interests in, or any securities convertible into or exchangeable for capital stock, voting securities or ownership interests in, Cameron and (2) no preemptive or similar rights, subscription or other rights, convertible securities, agreements, arrangements or commitments of any character, relating to the capital stock of Cameron, obligating Cameron to issue, transfer or sell any capital stock, voting securities or other ownership interests in, or any securities convertible into or exchangeable for capital stock, voting securities or other ownership interests in, Cameron or obligating Cameron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Cameron Securities</w:t>
      </w:r>
      <w:r>
        <w:rPr>
          <w:rFonts w:ascii="Arial" w:cs="Arial" w:eastAsia="Arial" w:hAnsi="Arial"/>
          <w:sz w:val="16"/>
          <w:szCs w:val="16"/>
          <w:color w:val="auto"/>
        </w:rPr>
        <w:t>”). Except as required by the terms of any Cameron Options, Cameron Restricted Stock Unit Awards, Cameron Deferred Stock Unit Awards or Cameron Performance Share Awards outstanding as of the date hereof or issued as permitted by Section 8.1, there are no outstanding obligations of Cameron or any of its Subsidiaries to repurchase, redeem or otherwise acquire any Cameron Securities.</w:t>
      </w:r>
    </w:p>
    <w:p>
      <w:pPr>
        <w:spacing w:after="0" w:line="170" w:lineRule="exact"/>
        <w:rPr>
          <w:rFonts w:ascii="Arial" w:cs="Arial" w:eastAsia="Arial" w:hAnsi="Arial"/>
          <w:sz w:val="16"/>
          <w:szCs w:val="16"/>
          <w:color w:val="auto"/>
        </w:rPr>
      </w:pPr>
    </w:p>
    <w:p>
      <w:pPr>
        <w:ind w:right="160" w:firstLine="464"/>
        <w:spacing w:after="0" w:line="257" w:lineRule="auto"/>
        <w:tabs>
          <w:tab w:leader="none" w:pos="71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Except for directors’ qualifying shares, all of the outstanding capital stock of, or other ownership interests in, each Subsidiary of Cameron have been validly issued and are fully paid and nonassessable and are owned by Cameron,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8"/>
          <w:szCs w:val="18"/>
          <w:b w:val="1"/>
          <w:bCs w:val="1"/>
          <w:color w:val="auto"/>
        </w:rPr>
        <w:t>Liens</w:t>
      </w:r>
      <w:r>
        <w:rPr>
          <w:rFonts w:ascii="Arial" w:cs="Arial" w:eastAsia="Arial" w:hAnsi="Arial"/>
          <w:sz w:val="18"/>
          <w:szCs w:val="18"/>
          <w:color w:val="auto"/>
        </w:rPr>
        <w:t>”) (including any restriction on the right to vote, sell or otherwise dispose of such capital stock or other ownership interests).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88" w:lineRule="auto"/>
        <w:tabs>
          <w:tab w:leader="none" w:pos="70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There are outstanding (i) no securities of Cameron or any of its Subsidiaries convertible into or exchangeable for shares of capital stock or other voting securities or ownership interests in any Subsidiary of Cameron, (ii) no options, warrants or other rights to acquire from Cameron or any of its Subsidiaries any capital stock, voting securities or other ownership interests in, or any securities convertible into or exchangeable for any capital stock, voting securities or ownership interests in, any Subsidiary of Cameron and (iii) except as provided by Applicable Law, no preemptive or similar rights, subscription or other rights, convertible securities, agreements, arrangements or commitments of any character, relating to the capital stock of any Subsidiary of Cameron, obligating Cameron or any of its Subsidiaries to issue, transfer or sell, any capital stock, voting securities or other ownership interests in, or any securities convertible into or exchangeable for any capital stock, voting securities or ownership interests in, any Subsidiary of Cameron or obligating Cameron or any Subsidiary of Cameron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Cameron Subsidiary Securities</w:t>
      </w:r>
      <w:r>
        <w:rPr>
          <w:rFonts w:ascii="Arial" w:cs="Arial" w:eastAsia="Arial" w:hAnsi="Arial"/>
          <w:sz w:val="16"/>
          <w:szCs w:val="16"/>
          <w:color w:val="auto"/>
        </w:rPr>
        <w:t>”). There are no outstanding obligations of Cameron or any of its Subsidiaries to repurchase, redeem or otherwise acquire any outstanding Cameron Subsidiary Securities.</w:t>
      </w:r>
    </w:p>
    <w:p>
      <w:pPr>
        <w:spacing w:after="0" w:line="169" w:lineRule="exact"/>
        <w:rPr>
          <w:rFonts w:ascii="Arial" w:cs="Arial" w:eastAsia="Arial" w:hAnsi="Arial"/>
          <w:sz w:val="16"/>
          <w:szCs w:val="16"/>
          <w:color w:val="auto"/>
        </w:rPr>
      </w:pPr>
    </w:p>
    <w:p>
      <w:pPr>
        <w:ind w:right="740" w:firstLine="464"/>
        <w:spacing w:after="0" w:line="264" w:lineRule="auto"/>
        <w:tabs>
          <w:tab w:leader="none" w:pos="7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for the capital stock or other voting securities or ownership interests in any Subsidiary of Cameron, neither Cameron nor any of its Subsidiaries owns, directly or indirectly, any capital stock or other voting securities or ownership interests in, or any securities convertible into or exchangeable for any capital stock, voting securities or ownership interests in, any person.</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Subsidiary of Cameron owns any shares of Cameron Common Stock.</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Cameron Material Adverse Effect:</w:t>
      </w:r>
    </w:p>
    <w:p>
      <w:pPr>
        <w:spacing w:after="0" w:line="62" w:lineRule="exact"/>
        <w:rPr>
          <w:sz w:val="20"/>
          <w:szCs w:val="20"/>
          <w:color w:val="auto"/>
        </w:rPr>
      </w:pPr>
    </w:p>
    <w:p>
      <w:pPr>
        <w:ind w:left="460" w:right="120" w:firstLine="443"/>
        <w:spacing w:after="0" w:line="312" w:lineRule="auto"/>
        <w:tabs>
          <w:tab w:leader="none" w:pos="114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Neither Cameron nor any of its Subsidiaries is in violation of any law, regulation, ordinance, code or legally binding directive, governmental determination, guideline, order, treaty, convention or governmental certification requirement, U.S. or non-U.S., of any Governmental Entity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and no claim is pending or, to the knowledge of Cameron, threatened with respect to any such matters.</w:t>
      </w:r>
    </w:p>
    <w:p>
      <w:pPr>
        <w:spacing w:after="0" w:line="38" w:lineRule="exact"/>
        <w:rPr>
          <w:rFonts w:ascii="Arial" w:cs="Arial" w:eastAsia="Arial" w:hAnsi="Arial"/>
          <w:sz w:val="16"/>
          <w:szCs w:val="16"/>
          <w:color w:val="auto"/>
        </w:rPr>
      </w:pPr>
    </w:p>
    <w:p>
      <w:pPr>
        <w:ind w:left="460" w:firstLine="443"/>
        <w:spacing w:after="0" w:line="257" w:lineRule="auto"/>
        <w:tabs>
          <w:tab w:leader="none" w:pos="11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Cameron and each Subsidiary of Cameron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Cameron Permits</w:t>
      </w:r>
      <w:r>
        <w:rPr>
          <w:rFonts w:ascii="Arial" w:cs="Arial" w:eastAsia="Arial" w:hAnsi="Arial"/>
          <w:sz w:val="18"/>
          <w:szCs w:val="18"/>
          <w:color w:val="auto"/>
        </w:rPr>
        <w:t>”). All Cameron Permits are in full force and effect and there exists no default thereunder or breach thereof, and Cameron has no notice or knowledge that such Cameron Permits will not be renewed in the ordinary course after the Effective Time. No Governmental Entity has given, or to the knowledge of Cameron, threatened to give, any action to terminate, cancel or reform any Cameron Permit.</w:t>
      </w:r>
    </w:p>
    <w:p>
      <w:pPr>
        <w:spacing w:after="0" w:line="80" w:lineRule="exact"/>
        <w:rPr>
          <w:rFonts w:ascii="Arial" w:cs="Arial" w:eastAsia="Arial" w:hAnsi="Arial"/>
          <w:sz w:val="18"/>
          <w:szCs w:val="18"/>
          <w:color w:val="auto"/>
        </w:rPr>
      </w:pPr>
    </w:p>
    <w:p>
      <w:pPr>
        <w:ind w:left="460" w:right="240" w:firstLine="443"/>
        <w:spacing w:after="0" w:line="257" w:lineRule="auto"/>
        <w:tabs>
          <w:tab w:leader="none" w:pos="114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Cameron and each Subsidiary of Cameron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Cameron,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This Section 5.4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7" w:lineRule="auto"/>
        <w:tabs>
          <w:tab w:leader="none" w:pos="70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execution, delivery and performance by Cameron of this Agreement do not, and the consummation by Cameron of the Merger and the other transactions contemplated by this Agreement in accordance with the terms hereof will not, (i) subject to receipt of the Cameron Stockholder Approval, conflict with or result in a breach of any provisions of the certificate of incorporation or bylaws of Cameron,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Cameron or its Subsidiaries under, or result in being declared void, voidable, or without further binding effect, or otherwise result in a detriment to Cameron or any of its Subsidiaries under, any of the terms, conditions or provisions of, any loan or credit agreement, note, bond, mortgage, indenture, deed of trust, license, concession, franchise, permit, lease, contract, agreement, joint venture or other instrument or obligation to which Cameron or any of its Subsidiaries is a party, or by which Cameron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Cameron Material Adverse Effect.</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4" w:lineRule="exact"/>
        <w:rPr>
          <w:rFonts w:ascii="Arial" w:cs="Arial" w:eastAsia="Arial" w:hAnsi="Arial"/>
          <w:sz w:val="17"/>
          <w:szCs w:val="17"/>
          <w:color w:val="auto"/>
        </w:rPr>
      </w:pPr>
    </w:p>
    <w:p>
      <w:pPr>
        <w:ind w:right="20" w:firstLine="8"/>
        <w:spacing w:after="0" w:line="268" w:lineRule="auto"/>
        <w:tabs>
          <w:tab w:leader="none" w:pos="26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rules and regulations of the New York Stock Exchange, LLC (the “</w:t>
      </w:r>
      <w:r>
        <w:rPr>
          <w:rFonts w:ascii="Arial" w:cs="Arial" w:eastAsia="Arial" w:hAnsi="Arial"/>
          <w:sz w:val="17"/>
          <w:szCs w:val="17"/>
          <w:b w:val="1"/>
          <w:bCs w:val="1"/>
          <w:color w:val="auto"/>
        </w:rPr>
        <w:t>NYSE</w:t>
      </w:r>
      <w:r>
        <w:rPr>
          <w:rFonts w:ascii="Arial" w:cs="Arial" w:eastAsia="Arial" w:hAnsi="Arial"/>
          <w:sz w:val="17"/>
          <w:szCs w:val="17"/>
          <w:color w:val="auto"/>
        </w:rPr>
        <w:t>”), (iii)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Council Regulation (EC) No. 139/2004 of 20 January 2004 on the control of concentrations between undertakings (published in the Official Journal of the European Union on January 29, 2004 at L 24/1) (the “</w:t>
      </w:r>
      <w:r>
        <w:rPr>
          <w:rFonts w:ascii="Arial" w:cs="Arial" w:eastAsia="Arial" w:hAnsi="Arial"/>
          <w:sz w:val="17"/>
          <w:szCs w:val="17"/>
          <w:b w:val="1"/>
          <w:bCs w:val="1"/>
          <w:color w:val="auto"/>
        </w:rPr>
        <w:t>EC Merger Regulation</w:t>
      </w:r>
      <w:r>
        <w:rPr>
          <w:rFonts w:ascii="Arial" w:cs="Arial" w:eastAsia="Arial" w:hAnsi="Arial"/>
          <w:sz w:val="17"/>
          <w:szCs w:val="17"/>
          <w:color w:val="auto"/>
        </w:rPr>
        <w:t>”) and such applicable competition, antitrust or premerger notification laws of the other jurisdictions set forth in Section 5.5 of the Cameron Disclosure Letter, (iv)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(v)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(vi) state securities or “Blue Sky” laws and (vii) other Governmental Entities having jurisdiction over the Merger set forth in Section 5.5 of the Cameron Disclosure Letter, neither the execution, delivery or performance by Cameron of this Agreement, nor the consummation by Cameron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Cameron Material Adverse Effect.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8" w:lineRule="auto"/>
        <w:tabs>
          <w:tab w:leader="none" w:pos="70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Cameron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2012 (collectively, the “</w:t>
      </w:r>
      <w:r>
        <w:rPr>
          <w:rFonts w:ascii="Arial" w:cs="Arial" w:eastAsia="Arial" w:hAnsi="Arial"/>
          <w:sz w:val="16"/>
          <w:szCs w:val="16"/>
          <w:b w:val="1"/>
          <w:bCs w:val="1"/>
          <w:color w:val="auto"/>
        </w:rPr>
        <w:t>Cameron Reports</w:t>
      </w:r>
      <w:r>
        <w:rPr>
          <w:rFonts w:ascii="Arial" w:cs="Arial" w:eastAsia="Arial" w:hAnsi="Arial"/>
          <w:sz w:val="16"/>
          <w:szCs w:val="16"/>
          <w:color w:val="auto"/>
        </w:rPr>
        <w:t>”) and has made available to Schlumberger each such document it has so filed or furnished, in the form filed with or furnished to the SEC. Cameron has made available to Schlumberger copies of all material comment letters from the SEC and Cameron’s responses thereto since January 1, 2012 through the date hereof. As of the date of this Agreement, there are no outstanding or unresolved comments received from the SEC staff with respect to the Cameron Reports. No Subsidiary of Cameron is required to file any registration statement, prospectus, report, schedule, form, statement or any other document with the SEC. No Subsidiary of Cameron is, or since January 1, 2012 has been, subject to any requirement to file periodic reports under the Exchange Act. As of their respective dates (or, if amended, as of the date of such amendment), the Cameron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Cameron Reports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0" w:lineRule="exact"/>
        <w:rPr>
          <w:sz w:val="20"/>
          <w:szCs w:val="20"/>
          <w:color w:val="auto"/>
        </w:rPr>
      </w:pPr>
    </w:p>
    <w:p>
      <w:pPr>
        <w:ind w:right="140" w:firstLine="464"/>
        <w:spacing w:after="0" w:line="291" w:lineRule="auto"/>
        <w:tabs>
          <w:tab w:leader="none" w:pos="71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Cameron Reports (including the related notes and schedules) fairly presents, in all material respects, the consolidated financial position of Cameron and its Subsidiaries as of its date, and each of the consolidated statements of comprehensive income, cash flows and changes in equity included in or incorporated by reference into the Cameron Reports (including any related notes and schedules) fairly presents, in all material respects, the results of operations, cash flows or changes in equity, as the case may be, of Cameron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as may be noted therein.</w:t>
      </w:r>
    </w:p>
    <w:p>
      <w:pPr>
        <w:spacing w:after="0" w:line="167" w:lineRule="exact"/>
        <w:rPr>
          <w:rFonts w:ascii="Arial" w:cs="Arial" w:eastAsia="Arial" w:hAnsi="Arial"/>
          <w:sz w:val="16"/>
          <w:szCs w:val="16"/>
          <w:color w:val="auto"/>
        </w:rPr>
      </w:pPr>
    </w:p>
    <w:p>
      <w:pPr>
        <w:ind w:right="80" w:firstLine="464"/>
        <w:spacing w:after="0" w:line="288" w:lineRule="auto"/>
        <w:tabs>
          <w:tab w:leader="none" w:pos="70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There are no liabilities or obligations of Cameron or any of its Subsidiaries (whether accrued, absolute, contingent or otherwise and whether or not required to be disclosed) that would be required to be reflected on, or reserved against in, a balance sheet of Cameron or in the notes thereto prepared in accordance with GAAP, other than liabilities or obligations to the extent (i) (A) reflected or reserved against on the consolidated balance sheet of Cameron or</w:t>
      </w:r>
    </w:p>
    <w:p>
      <w:pPr>
        <w:jc w:val="both"/>
        <w:ind w:firstLine="8"/>
        <w:spacing w:after="0" w:line="254" w:lineRule="auto"/>
        <w:tabs>
          <w:tab w:leader="none" w:pos="2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Cameron’s annual report on Form 10-K for the year ended December 31, 2014 or Cameron’s quarterly report on Form 10-Q for the period ended June 30, 2015, (ii) liabilities or obligations incurred in the ordinary course of business since June 30, 2015 or (iii) liabilities or obligations which have not had and would not reasonably be expected to have, individually or in the aggregate, a Cameron Material Adverse Effect.</w:t>
      </w:r>
    </w:p>
    <w:p>
      <w:pPr>
        <w:spacing w:after="0" w:line="189" w:lineRule="exact"/>
        <w:rPr>
          <w:rFonts w:ascii="Arial" w:cs="Arial" w:eastAsia="Arial" w:hAnsi="Arial"/>
          <w:sz w:val="18"/>
          <w:szCs w:val="18"/>
          <w:color w:val="auto"/>
        </w:rPr>
      </w:pPr>
    </w:p>
    <w:p>
      <w:pPr>
        <w:ind w:right="60" w:firstLine="464"/>
        <w:spacing w:after="0" w:line="297" w:lineRule="auto"/>
        <w:tabs>
          <w:tab w:leader="none" w:pos="711"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As of June 30, 2015, there was no outstanding indebtedness for borrowed money of Cameron or any of its Subsidiaries, other than indebtedness in the amounts identified by instrument in Section 5.6 of the Cameron Disclosure Letter, and excluding inter-company indebtedness among Cameron and its wholly owned Subsidiaries and any indebtedness for borrowed money in an individual amount not in excess of $50 million and in the aggregate not in excess of $250 million. Since June 30, 2015, neither Cameron nor any of its Subsidiaries has incurred any indebtedness for borrowed money except in the ordinary course of business consistent with past practice, excluding intercompany indebtedness among Cameron and its wholly owned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1" w:lineRule="exact"/>
        <w:rPr>
          <w:sz w:val="20"/>
          <w:szCs w:val="20"/>
          <w:color w:val="auto"/>
        </w:rPr>
      </w:pPr>
    </w:p>
    <w:p>
      <w:pPr>
        <w:ind w:right="420" w:firstLine="464"/>
        <w:spacing w:after="0" w:line="266" w:lineRule="auto"/>
        <w:tabs>
          <w:tab w:leader="none" w:pos="70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Cameron has been and is in compliance in all material respects with (i) the applicable provisions of the Sarbanes-Oxley Act and (ii) the applicable listing and corporate governance rules and regulations of the NYSE.</w:t>
      </w:r>
    </w:p>
    <w:p>
      <w:pPr>
        <w:spacing w:after="0" w:line="180" w:lineRule="exact"/>
        <w:rPr>
          <w:rFonts w:ascii="Arial" w:cs="Arial" w:eastAsia="Arial" w:hAnsi="Arial"/>
          <w:sz w:val="18"/>
          <w:szCs w:val="18"/>
          <w:color w:val="auto"/>
        </w:rPr>
      </w:pPr>
    </w:p>
    <w:p>
      <w:pPr>
        <w:ind w:right="440" w:firstLine="464"/>
        <w:spacing w:after="0" w:line="302" w:lineRule="auto"/>
        <w:tabs>
          <w:tab w:leader="none" w:pos="71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Cameron (or each former principal executive officer and former principal financial officer of Cameron, as applicable) has made all certifications required under Sections 302 and 906 of the Sarbanes-Oxley Act and the related rules and regulations promulgated thereunder and under the Exchange Act with respect to the Cameron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120" w:firstLine="464"/>
        <w:spacing w:after="0" w:line="276" w:lineRule="auto"/>
        <w:tabs>
          <w:tab w:leader="none" w:pos="70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Cameron has (i) designed and maintained disclosure controls and procedures (as defined in Rule 13a-15(e) under the Exchange Act) as required by Rule 13a-15 under the Exchange Act, and (ii) disclosed, based on its most recent evaluation and knowledge, to its auditors and the audit committee of the Cameron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64"/>
        <w:spacing w:after="0" w:line="254" w:lineRule="auto"/>
        <w:tabs>
          <w:tab w:leader="none" w:pos="7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Cameron has designed and maintains a system of internal controls over financial reporting (as defined in Rule 13a-15(f) and 15d-15(f) under the Exchange Act) as required by Rule 13a-15 under the Exchange Act. Cameron’s management, with the participation of Cameron’s principal executive and financial officers, has completed an assessment of the effectiveness of Cameron’s internal controls over financial reporting in compliance with the requirements of Section 404 of the Sarbanes-Oxley Act for the year ended December 31, 2014, and such assessment concluded that such internal controls were effective using the framework specified in Cameron’s annual report on Form 10-K for the year ended December 31, 2014. To the knowledge of Cameron,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92" w:lineRule="exact"/>
        <w:rPr>
          <w:rFonts w:ascii="Arial" w:cs="Arial" w:eastAsia="Arial" w:hAnsi="Arial"/>
          <w:sz w:val="18"/>
          <w:szCs w:val="18"/>
          <w:color w:val="auto"/>
        </w:rPr>
      </w:pPr>
    </w:p>
    <w:p>
      <w:pPr>
        <w:ind w:right="60" w:firstLine="464"/>
        <w:spacing w:after="0" w:line="277" w:lineRule="auto"/>
        <w:tabs>
          <w:tab w:leader="none" w:pos="7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personal loan or other extension of credit by Cameron to any of its or their executive officers or directors has been made or modified (other than as permitted by Section 13 of the Exchange Act and Section 402 of the Sarbanes-Oxley Act) since July 30, 2002.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88" w:lineRule="auto"/>
        <w:tabs>
          <w:tab w:leader="none" w:pos="701"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Cameron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w:t>
      </w:r>
    </w:p>
    <w:p>
      <w:pPr>
        <w:jc w:val="both"/>
        <w:ind w:right="60" w:firstLine="8"/>
        <w:spacing w:after="0" w:line="273" w:lineRule="auto"/>
        <w:tabs>
          <w:tab w:leader="none" w:pos="26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Cameron will comply as to form in all material respects with the provisions of the Exchange Act and the rules and regulations thereunder.</w:t>
      </w:r>
    </w:p>
    <w:p>
      <w:pPr>
        <w:spacing w:after="0" w:line="176" w:lineRule="exact"/>
        <w:rPr>
          <w:rFonts w:ascii="Arial" w:cs="Arial" w:eastAsia="Arial" w:hAnsi="Arial"/>
          <w:sz w:val="17"/>
          <w:szCs w:val="17"/>
          <w:color w:val="auto"/>
        </w:rPr>
      </w:pPr>
    </w:p>
    <w:p>
      <w:pPr>
        <w:ind w:right="60" w:firstLine="464"/>
        <w:spacing w:after="0" w:line="264" w:lineRule="auto"/>
        <w:tabs>
          <w:tab w:leader="none" w:pos="71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5.8, no representation or warranty is made by Cameron with respect to statements made or incorporated by reference in the Form S-4 or the Proxy Statement/Prospectus based on information supplied by Schlumberger US or Schlumberger for inclusion or incorporation by reference therein.</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Cameron, threatened against Cameron or any of its Subsidiaries or their respective assets, or any director, officer or employee of Cameron or any of its Subsidiaries or other affiliates, in each case, for whom Cameron or any of its Subsidiaries may be liable, or (b) litigations, arbitrations, investigations or other proceedings, or injunctions or final judgments relating thereto, pending or, to the knowledge of Cameron, threatened before any Governmental Entity or arbitrator against Cameron or any of its Subsidiaries or their respective assets, or any director, officer or employee of Cameron or any of its Subsidiaries or other affiliates, in each case, for whom Cameron or any of its Subsidiaries may be liable, except in the case of either clause (a) or (b), for those that would not, individually or in the aggregate, reasonably be expected to result in a Cameron Material Adverse Effect. None of Cameron or any of its Subsidiaries or their respective assets, or any director, officer or employee of Cameron or any of its Subsidiaries or other affiliates, in each case, for whom Cameron or any of its Subsidiaries may be liable, is a party to or subject to the provisions of any judgment, order, writ, injunction, decree or award of any Governmental Entity which would, individually or in the aggregate, reasonably be expected to result in a Cameron Material Adverse Effect. This Section 5.9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Cameron Material Adverse Effect or any event, occurrence, change, discovery or development of a state of circumstances or facts which would, individually or in the aggregate, reasonably be expected to result in a Cameron Material Adverse Effect. Since December 31, 2014 and prior to the execution and delivery hereof, except for the execution and performance of this Agreement and the discussions, negotiations and transactions related thereto, the business of Cameron and its Subsidiaries has been carried on and conducted in all material respects in the ordinary course of business.</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Taxes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58" w:lineRule="exact"/>
        <w:rPr>
          <w:sz w:val="20"/>
          <w:szCs w:val="20"/>
          <w:color w:val="auto"/>
        </w:rPr>
      </w:pPr>
    </w:p>
    <w:p>
      <w:pPr>
        <w:jc w:val="both"/>
        <w:ind w:right="120" w:firstLine="464"/>
        <w:spacing w:after="0" w:line="289" w:lineRule="auto"/>
        <w:tabs>
          <w:tab w:leader="none" w:pos="70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Cameron or any of its Subsidiaries (including any Return required to be filed by an affiliated, consolidated, combined, unitary or similar group that includes Cameron or any of its Subsidiaries) on or prior to the date hereof have been properly filed on a timely basis with the appropriate Governmental Entities, and</w:t>
      </w:r>
    </w:p>
    <w:p>
      <w:pPr>
        <w:spacing w:after="0" w:line="1" w:lineRule="exact"/>
        <w:rPr>
          <w:rFonts w:ascii="Arial" w:cs="Arial" w:eastAsia="Arial" w:hAnsi="Arial"/>
          <w:sz w:val="16"/>
          <w:szCs w:val="16"/>
          <w:color w:val="auto"/>
        </w:rPr>
      </w:pPr>
    </w:p>
    <w:p>
      <w:pPr>
        <w:ind w:firstLine="8"/>
        <w:spacing w:after="0" w:line="254" w:lineRule="auto"/>
        <w:tabs>
          <w:tab w:leader="none" w:pos="2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Taxes required to be paid by Cameron or any of its Subsidiaries (whether or not shown on any Return) have been duly paid, and all Taxes that Cameron or any of its Subsidiaries are obligated to withhold from amounts payable to any employee, creditor, shareholder or other third party have been duly withheld and deposited, in each case in full and on a timely basis, except, in each case of clause (i) and (ii), with respect to matters contested in good faith or adequately reserved for, in accordance with GAAP;</w:t>
      </w:r>
    </w:p>
    <w:p>
      <w:pPr>
        <w:spacing w:after="0" w:line="189" w:lineRule="exact"/>
        <w:rPr>
          <w:rFonts w:ascii="Arial" w:cs="Arial" w:eastAsia="Arial" w:hAnsi="Arial"/>
          <w:sz w:val="18"/>
          <w:szCs w:val="18"/>
          <w:color w:val="auto"/>
        </w:rPr>
      </w:pPr>
    </w:p>
    <w:p>
      <w:pPr>
        <w:ind w:left="720" w:hanging="256"/>
        <w:spacing w:after="0"/>
        <w:tabs>
          <w:tab w:leader="none" w:pos="72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no audits or other administrative or court proceedings are pending with regard to any Taxes or Returns of Cameron or any of its Subsidiaries;</w:t>
      </w:r>
    </w:p>
    <w:p>
      <w:pPr>
        <w:spacing w:after="0" w:line="236" w:lineRule="exact"/>
        <w:rPr>
          <w:rFonts w:ascii="Arial" w:cs="Arial" w:eastAsia="Arial" w:hAnsi="Arial"/>
          <w:sz w:val="17"/>
          <w:szCs w:val="17"/>
          <w:color w:val="auto"/>
        </w:rPr>
      </w:pPr>
    </w:p>
    <w:p>
      <w:pPr>
        <w:ind w:right="200" w:firstLine="464"/>
        <w:spacing w:after="0" w:line="277" w:lineRule="auto"/>
        <w:tabs>
          <w:tab w:leader="none" w:pos="70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no Governmental Entity is asserting in writing any deficiency or claim for Taxes or any adjustment to Taxes of Cameron or any of its Subsidiaries which have not been fully paid or finally settled or adequately reserved for, in accordance with GAAP;</w:t>
      </w:r>
    </w:p>
    <w:p>
      <w:pPr>
        <w:spacing w:after="0" w:line="170" w:lineRule="exact"/>
        <w:rPr>
          <w:rFonts w:ascii="Arial" w:cs="Arial" w:eastAsia="Arial" w:hAnsi="Arial"/>
          <w:sz w:val="18"/>
          <w:szCs w:val="18"/>
          <w:color w:val="auto"/>
        </w:rPr>
      </w:pPr>
    </w:p>
    <w:p>
      <w:pPr>
        <w:ind w:right="60" w:firstLine="464"/>
        <w:spacing w:after="0" w:line="257" w:lineRule="auto"/>
        <w:tabs>
          <w:tab w:leader="none" w:pos="71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neither Cameron nor any of its Subsidiaries has any liability for Taxes of any Person (A) under Treasury Regulation § 1.1502-6 or any similar provision of state, local, or non-U.S. tax law, except for Taxes of the affiliated group of which Cameron or any of its Subsidiaries is or was the common parent, within the meaning of Section 1504(a)(1) of the Code or any similar provision of state, local, or non-U.S. tax law, or (B) as a transferee or successor, by contract or otherwise, except for Taxes of Cameron or any of its Subsidiaries or for which Cameron or its Subsidiaries are entitled to indemnification from third parties;</w:t>
      </w:r>
    </w:p>
    <w:p>
      <w:pPr>
        <w:spacing w:after="0" w:line="188" w:lineRule="exact"/>
        <w:rPr>
          <w:rFonts w:ascii="Arial" w:cs="Arial" w:eastAsia="Arial" w:hAnsi="Arial"/>
          <w:sz w:val="18"/>
          <w:szCs w:val="18"/>
          <w:color w:val="auto"/>
        </w:rPr>
      </w:pPr>
    </w:p>
    <w:p>
      <w:pPr>
        <w:ind w:right="340" w:firstLine="464"/>
        <w:spacing w:after="0" w:line="308" w:lineRule="auto"/>
        <w:tabs>
          <w:tab w:leader="none" w:pos="701" w:val="left"/>
        </w:tabs>
        <w:numPr>
          <w:ilvl w:val="1"/>
          <w:numId w:val="199"/>
        </w:numPr>
        <w:rPr>
          <w:rFonts w:ascii="Arial" w:cs="Arial" w:eastAsia="Arial" w:hAnsi="Arial"/>
          <w:sz w:val="17"/>
          <w:szCs w:val="17"/>
          <w:color w:val="auto"/>
        </w:rPr>
      </w:pPr>
      <w:r>
        <w:rPr>
          <w:rFonts w:ascii="Arial" w:cs="Arial" w:eastAsia="Arial" w:hAnsi="Arial"/>
          <w:sz w:val="17"/>
          <w:szCs w:val="17"/>
          <w:color w:val="auto"/>
        </w:rPr>
        <w:t>neither Cameron nor any of its Subsidiaries has granted any currently effective requests, agreements, consents or waivers to extend the statutory period of limitations applicable to the assessment of any Taxes with respect to any Returns of Cameron or any of its Subsidiaries;</w:t>
      </w:r>
    </w:p>
    <w:p>
      <w:pPr>
        <w:spacing w:after="0" w:line="146" w:lineRule="exact"/>
        <w:rPr>
          <w:rFonts w:ascii="Arial" w:cs="Arial" w:eastAsia="Arial" w:hAnsi="Arial"/>
          <w:sz w:val="17"/>
          <w:szCs w:val="17"/>
          <w:color w:val="auto"/>
        </w:rPr>
      </w:pPr>
    </w:p>
    <w:p>
      <w:pPr>
        <w:ind w:right="140" w:firstLine="464"/>
        <w:spacing w:after="0" w:line="277" w:lineRule="auto"/>
        <w:tabs>
          <w:tab w:leader="none" w:pos="68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any closing agreement described in Section 7121 of the Code or any predecessor provision thereof or any similar agreement under state, local, or non-U.S. tax law;</w:t>
      </w:r>
    </w:p>
    <w:p>
      <w:pPr>
        <w:spacing w:after="0" w:line="170" w:lineRule="exact"/>
        <w:rPr>
          <w:rFonts w:ascii="Arial" w:cs="Arial" w:eastAsia="Arial" w:hAnsi="Arial"/>
          <w:sz w:val="18"/>
          <w:szCs w:val="18"/>
          <w:color w:val="auto"/>
        </w:rPr>
      </w:pPr>
    </w:p>
    <w:p>
      <w:pPr>
        <w:ind w:right="680" w:firstLine="464"/>
        <w:spacing w:after="0" w:line="264" w:lineRule="auto"/>
        <w:tabs>
          <w:tab w:leader="none" w:pos="71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is bound by, or has any obligation under, any tax sharing, allocation or indemnity agreement or any similar agreement or arrangement, except for any such agreement or arrangement solely between or among any of Cameron and its Subsidiaries;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neither Cameron nor any of its Subsidiaries has participated in any “listed transaction,” within the meaning of Treasury Regulation §1.6011-4(b)(2);</w:t>
      </w:r>
    </w:p>
    <w:p>
      <w:pPr>
        <w:spacing w:after="0" w:line="248" w:lineRule="exact"/>
        <w:rPr>
          <w:rFonts w:ascii="Arial" w:cs="Arial" w:eastAsia="Arial" w:hAnsi="Arial"/>
          <w:sz w:val="16"/>
          <w:szCs w:val="16"/>
          <w:color w:val="auto"/>
        </w:rPr>
      </w:pPr>
    </w:p>
    <w:p>
      <w:pPr>
        <w:ind w:right="20" w:firstLine="464"/>
        <w:spacing w:after="0" w:line="277" w:lineRule="auto"/>
        <w:tabs>
          <w:tab w:leader="none" w:pos="67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neither Cameron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216"/>
        <w:spacing w:after="0"/>
        <w:tabs>
          <w:tab w:leader="none" w:pos="6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there are no liens for Taxes (other than Permitted Liens) upon any of the assets of Cameron or any of its Subsidiaries;</w:t>
      </w:r>
    </w:p>
    <w:p>
      <w:pPr>
        <w:spacing w:after="0" w:line="225"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claim has been made in the last five years by an authority in a jurisdiction where any of Cameron or its Subsidiaries does not file Returns that Cameron or any of its Subsidiaries is or may be subject to taxation in that jurisdiction;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 Subsidiary of Cameron is or has ever been a passive foreign investment company within the meaning of Section 1297 of the Code; and</w:t>
      </w:r>
    </w:p>
    <w:p>
      <w:pPr>
        <w:spacing w:after="0" w:line="236" w:lineRule="exact"/>
        <w:rPr>
          <w:rFonts w:ascii="Arial" w:cs="Arial" w:eastAsia="Arial" w:hAnsi="Arial"/>
          <w:sz w:val="17"/>
          <w:szCs w:val="17"/>
          <w:color w:val="auto"/>
        </w:rPr>
      </w:pPr>
    </w:p>
    <w:p>
      <w:pPr>
        <w:ind w:right="80" w:firstLine="464"/>
        <w:spacing w:after="0" w:line="264" w:lineRule="auto"/>
        <w:tabs>
          <w:tab w:leader="none" w:pos="76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charges, accruals and reserves for Taxes with respect to Cameron and its Subsidiaries reflected in each of the consolidated balance sheets included in or incorporated by reference into the Cameron Reports (including the related notes and schedules) are adequate under GAAP to cover unpaid Tax liabilities accruing through the date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83" w:lineRule="auto"/>
        <w:tabs>
          <w:tab w:leader="none" w:pos="701" w:val="left"/>
        </w:tabs>
        <w:numPr>
          <w:ilvl w:val="1"/>
          <w:numId w:val="201"/>
        </w:numPr>
        <w:rPr>
          <w:rFonts w:ascii="Arial" w:cs="Arial" w:eastAsia="Arial" w:hAnsi="Arial"/>
          <w:sz w:val="16"/>
          <w:szCs w:val="16"/>
          <w:color w:val="auto"/>
        </w:rPr>
      </w:pPr>
      <w:r>
        <w:rPr>
          <w:rFonts w:ascii="Arial" w:cs="Arial" w:eastAsia="Arial" w:hAnsi="Arial"/>
          <w:sz w:val="16"/>
          <w:szCs w:val="16"/>
          <w:color w:val="auto"/>
        </w:rPr>
        <w:t>Within 20 business days after the date hereof, Cameron will provide Schlumberger with a list of all Cameron Benefit Plans and make available to Schlumberger a true and correct copy of each Cameron Benefit Plan. The term “</w:t>
      </w:r>
      <w:r>
        <w:rPr>
          <w:rFonts w:ascii="Arial" w:cs="Arial" w:eastAsia="Arial" w:hAnsi="Arial"/>
          <w:sz w:val="16"/>
          <w:szCs w:val="16"/>
          <w:b w:val="1"/>
          <w:bCs w:val="1"/>
          <w:color w:val="auto"/>
        </w:rPr>
        <w:t>Cameron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Cameron or any of its Subsidiaries, to which Cameron or any of its Subsidiaries is a party or is required to provide benefits under Applicable Law. As of the date hereof, except as has not had and would not reasonably be expected to have, individually or in the aggregate, a Cameron Material Adverse Effect, there is no unsatisfied liability associated with any terminated Cameron Benefit Plan. With respect to each Cameron U.S. Benefit Plan (as defined below), within 20 business days after the date hereof, Cameron will make available to Schlumberger a true and correct copy of (i) the most recent annual report (Form 5500) filed with the applicable Governmental Entity (with respect to Cameron U.S. Benefit Plans for which Form 5500’s are filed), (ii) each such Cameron U.S. Benefit Plan that has been reduced to writing and all amendments thereto, (iii) each trust agreement, insurance contract or administration agreement relating to each such Cameron U.S. Benefit Plan, (iv) the most recent summary plan description or other written explanation of each Cameron U.S. Benefit Plan provided to participants, (vi) the most recent actuarial report or valuation relating to a Cameron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Cameron U.S. Benefit Plan intended to be qualified under Section 401(a) of the Code, (viii) any request for a determination currently pending before the IRS, and</w:t>
      </w:r>
    </w:p>
    <w:p>
      <w:pPr>
        <w:ind w:firstLine="8"/>
        <w:spacing w:after="0" w:line="261" w:lineRule="auto"/>
        <w:tabs>
          <w:tab w:leader="none" w:pos="3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material correspondence with the IRS, the U.S. Department of Labor, or Pension Benefit Guaranty Corporation relating to any outstanding controversy or with respect to any controversy that has been resolved in the previous year.</w:t>
      </w:r>
    </w:p>
    <w:p>
      <w:pPr>
        <w:spacing w:after="0" w:line="179" w:lineRule="exact"/>
        <w:rPr>
          <w:rFonts w:ascii="Arial" w:cs="Arial" w:eastAsia="Arial" w:hAnsi="Arial"/>
          <w:sz w:val="18"/>
          <w:szCs w:val="18"/>
          <w:color w:val="auto"/>
        </w:rPr>
      </w:pPr>
    </w:p>
    <w:p>
      <w:pPr>
        <w:ind w:left="720" w:hanging="256"/>
        <w:spacing w:after="0"/>
        <w:tabs>
          <w:tab w:leader="none" w:pos="72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With respect to each Cameron Benefit Plan subject to the laws of the United States (each a “</w:t>
      </w:r>
      <w:r>
        <w:rPr>
          <w:rFonts w:ascii="Arial" w:cs="Arial" w:eastAsia="Arial" w:hAnsi="Arial"/>
          <w:sz w:val="17"/>
          <w:szCs w:val="17"/>
          <w:b w:val="1"/>
          <w:bCs w:val="1"/>
          <w:color w:val="auto"/>
        </w:rPr>
        <w:t>Cameron U.S. Benefit Plan</w:t>
      </w:r>
      <w:r>
        <w:rPr>
          <w:rFonts w:ascii="Arial" w:cs="Arial" w:eastAsia="Arial" w:hAnsi="Arial"/>
          <w:sz w:val="17"/>
          <w:szCs w:val="17"/>
          <w:color w:val="auto"/>
        </w:rPr>
        <w:t>” and collectively, the</w:t>
      </w:r>
    </w:p>
    <w:p>
      <w:pPr>
        <w:spacing w:after="0" w:line="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Cameron U.S. Benefit Plans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76" w:lineRule="exact"/>
        <w:rPr>
          <w:sz w:val="20"/>
          <w:szCs w:val="20"/>
          <w:color w:val="auto"/>
        </w:rPr>
      </w:pPr>
    </w:p>
    <w:p>
      <w:pPr>
        <w:ind w:left="1120" w:hanging="217"/>
        <w:spacing w:after="0"/>
        <w:tabs>
          <w:tab w:leader="none" w:pos="11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117" w:lineRule="exact"/>
        <w:rPr>
          <w:rFonts w:ascii="Arial" w:cs="Arial" w:eastAsia="Arial" w:hAnsi="Arial"/>
          <w:sz w:val="18"/>
          <w:szCs w:val="18"/>
          <w:color w:val="auto"/>
        </w:rPr>
      </w:pPr>
    </w:p>
    <w:p>
      <w:pPr>
        <w:ind w:left="460" w:right="580" w:firstLine="443"/>
        <w:spacing w:after="0" w:line="277" w:lineRule="auto"/>
        <w:tabs>
          <w:tab w:leader="none" w:pos="116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the extent applicable, such Cameron U.S. Benefit Plan complies and has complied with the requirements of ERISA, the Code, other Applicable Law and with the operative documents for each such plan;</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21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Cameron U.S. Benefit Plan intended to be qualified under Section 401(a) of the Code has received a favorable determination letter or opinion letter, as applicable, from the IRS;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firstLine="443"/>
        <w:spacing w:after="0" w:line="277" w:lineRule="auto"/>
        <w:tabs>
          <w:tab w:leader="none" w:pos="120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Cameron U.S. Benefit Plans have been maintained and operated in accordance with their terms, and, to the knowledge of Cameron, there have been no breaches of fiduciary duty in connection with Cameron Benefit Plans;</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there are no pending or, to the knowledge of Cameron, threatened claims against or otherwise involving any Cameron U.S. Benefit Plan, and no suit, action or other litigation (excluding claims for benefits incurred in the ordinary course of Cameron Benefit Plan activities) is pending against or with respect to any such Cameron Benefit Plan;</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Cameron U.S. Benefit Plan;</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all material contributions required to be made as of the date hereof to Cameron U.S. Benefit Plans have been made or provided for;</w:t>
      </w:r>
    </w:p>
    <w:p>
      <w:pPr>
        <w:spacing w:after="0" w:line="128" w:lineRule="exact"/>
        <w:rPr>
          <w:rFonts w:ascii="Arial" w:cs="Arial" w:eastAsia="Arial" w:hAnsi="Arial"/>
          <w:sz w:val="17"/>
          <w:szCs w:val="17"/>
          <w:color w:val="auto"/>
        </w:rPr>
      </w:pPr>
    </w:p>
    <w:p>
      <w:pPr>
        <w:ind w:left="460" w:right="140" w:firstLine="443"/>
        <w:spacing w:after="0" w:line="264" w:lineRule="auto"/>
        <w:tabs>
          <w:tab w:leader="none" w:pos="130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Cameron has not engaged in a transaction with respect to any Cameron U.S. Benefit Plan for which it would reasonably be expected to be subject (either directly or indirectly) to a liability for either a civil penalty assessed pursuant to Section 502(i) of ERISA or a Tax imposed by Section 4975 of the Code;</w:t>
      </w:r>
    </w:p>
    <w:p>
      <w:pPr>
        <w:spacing w:after="0" w:line="73" w:lineRule="exact"/>
        <w:rPr>
          <w:rFonts w:ascii="Arial" w:cs="Arial" w:eastAsia="Arial" w:hAnsi="Arial"/>
          <w:sz w:val="18"/>
          <w:szCs w:val="18"/>
          <w:color w:val="auto"/>
        </w:rPr>
      </w:pPr>
    </w:p>
    <w:p>
      <w:pPr>
        <w:jc w:val="both"/>
        <w:ind w:left="460" w:right="340" w:firstLine="443"/>
        <w:spacing w:after="0" w:line="259" w:lineRule="auto"/>
        <w:tabs>
          <w:tab w:leader="none" w:pos="120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2014,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78" w:lineRule="exact"/>
        <w:rPr>
          <w:rFonts w:ascii="Arial" w:cs="Arial" w:eastAsia="Arial" w:hAnsi="Arial"/>
          <w:sz w:val="18"/>
          <w:szCs w:val="18"/>
          <w:color w:val="auto"/>
        </w:rPr>
      </w:pPr>
    </w:p>
    <w:p>
      <w:pPr>
        <w:ind w:left="460" w:firstLine="443"/>
        <w:spacing w:after="0" w:line="284" w:lineRule="auto"/>
        <w:tabs>
          <w:tab w:leader="none" w:pos="115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 with respect to Cameron U.S. Benefit Plans or any “employee pension benefit plans,” as defined in Section 3(2) of ERISA, that are subject to Title IV of ERISA and have been maintained or contributed to within six years prior to the date hereof by Cameron, any of its Subsidiaries or any trade or business (whether or not incorporated) which is under common control, or which is treated as a single employer, with Cameron or any of its Subsidiaries under Section 414(b), (c), (m) or (o) of the Code (a “</w:t>
      </w:r>
      <w:r>
        <w:rPr>
          <w:rFonts w:ascii="Arial" w:cs="Arial" w:eastAsia="Arial" w:hAnsi="Arial"/>
          <w:sz w:val="16"/>
          <w:szCs w:val="16"/>
          <w:b w:val="1"/>
          <w:bCs w:val="1"/>
          <w:color w:val="auto"/>
        </w:rPr>
        <w:t>Cameron ERISA affiliate</w:t>
      </w:r>
      <w:r>
        <w:rPr>
          <w:rFonts w:ascii="Arial" w:cs="Arial" w:eastAsia="Arial" w:hAnsi="Arial"/>
          <w:sz w:val="16"/>
          <w:szCs w:val="16"/>
          <w:color w:val="auto"/>
        </w:rPr>
        <w:t>”), neither Cameron nor any Cameron ERISA affiliate has incurred any direct or indirect liability under Title IV of ERISA in connection with any termination thereof or withdrawal therefrom which remains unsatisfied, (B) with respect to Cameron U.S. Benefits Plans, none has failed to meet the minimum funding standards within the meaning of</w:t>
      </w:r>
    </w:p>
    <w:p>
      <w:pPr>
        <w:spacing w:after="0" w:line="4" w:lineRule="exact"/>
        <w:rPr>
          <w:rFonts w:ascii="Arial" w:cs="Arial" w:eastAsia="Arial" w:hAnsi="Arial"/>
          <w:sz w:val="16"/>
          <w:szCs w:val="16"/>
          <w:color w:val="auto"/>
        </w:rPr>
      </w:pPr>
    </w:p>
    <w:p>
      <w:pPr>
        <w:jc w:val="both"/>
        <w:ind w:left="460"/>
        <w:spacing w:after="0" w:line="281" w:lineRule="auto"/>
        <w:rPr>
          <w:rFonts w:ascii="Arial" w:cs="Arial" w:eastAsia="Arial" w:hAnsi="Arial"/>
          <w:sz w:val="16"/>
          <w:szCs w:val="16"/>
          <w:color w:val="auto"/>
        </w:rPr>
      </w:pPr>
      <w:r>
        <w:rPr>
          <w:rFonts w:ascii="Arial" w:cs="Arial" w:eastAsia="Arial" w:hAnsi="Arial"/>
          <w:sz w:val="16"/>
          <w:szCs w:val="16"/>
          <w:color w:val="auto"/>
        </w:rPr>
        <w:t>Section 412 of the Code or Section 302 of ERISA, whether or not waived, (C) with respect to Cameron U.S. Benefit Plans, since January 1, 2013, there has been no “reportable event,” as that term is defined in Section 4043 of ERISA for which the 30-day reporting requirement has not been waived, and</w:t>
      </w:r>
    </w:p>
    <w:p>
      <w:pPr>
        <w:spacing w:after="0" w:line="1" w:lineRule="exact"/>
        <w:rPr>
          <w:rFonts w:ascii="Arial" w:cs="Arial" w:eastAsia="Arial" w:hAnsi="Arial"/>
          <w:sz w:val="16"/>
          <w:szCs w:val="16"/>
          <w:color w:val="auto"/>
        </w:rPr>
      </w:pPr>
    </w:p>
    <w:p>
      <w:pPr>
        <w:ind w:left="460" w:right="140" w:firstLine="4"/>
        <w:spacing w:after="0" w:line="255" w:lineRule="auto"/>
        <w:tabs>
          <w:tab w:leader="none" w:pos="7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 respect to Cameron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82" w:lineRule="exact"/>
        <w:rPr>
          <w:rFonts w:ascii="Arial" w:cs="Arial" w:eastAsia="Arial" w:hAnsi="Arial"/>
          <w:sz w:val="18"/>
          <w:szCs w:val="18"/>
          <w:color w:val="auto"/>
        </w:rPr>
      </w:pPr>
    </w:p>
    <w:p>
      <w:pPr>
        <w:ind w:left="460" w:right="40" w:firstLine="443"/>
        <w:spacing w:after="0" w:line="264" w:lineRule="auto"/>
        <w:tabs>
          <w:tab w:leader="none" w:pos="120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Cameron or any Subsidiary of Cameron, whether as an employee, independent contractor or “leased employee” (as defined in Section 414(n) of the Code) are, and have been, properly classified for purposes of withholding Taxes and eligibility to participate in, and coverage under, any Cameron U.S. Benefit Plan;</w:t>
      </w:r>
    </w:p>
    <w:p>
      <w:pPr>
        <w:spacing w:after="0" w:line="73" w:lineRule="exact"/>
        <w:rPr>
          <w:rFonts w:ascii="Arial" w:cs="Arial" w:eastAsia="Arial" w:hAnsi="Arial"/>
          <w:sz w:val="18"/>
          <w:szCs w:val="18"/>
          <w:color w:val="auto"/>
        </w:rPr>
      </w:pPr>
    </w:p>
    <w:p>
      <w:pPr>
        <w:ind w:left="460" w:right="60" w:firstLine="443"/>
        <w:spacing w:after="0" w:line="255" w:lineRule="auto"/>
        <w:tabs>
          <w:tab w:leader="none" w:pos="125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with respect to each Cameron U.S. Benefit Plan which is a group health plan, Cameron and each of the Cameron ERISA affiliates have complied in all material respects with (i) the applicable health care continuation and notice provisions of the Consolidated Omnibus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and the applicable COBRA regulations, (ii) the applicable requirements of the Health Insurance Portability and Accountability Act of 1996 and the regulations thereunder, and (iii) and the Patient Protection and Affordable Care Act of 2010, as amended (“</w:t>
      </w:r>
      <w:r>
        <w:rPr>
          <w:rFonts w:ascii="Arial" w:cs="Arial" w:eastAsia="Arial" w:hAnsi="Arial"/>
          <w:sz w:val="18"/>
          <w:szCs w:val="18"/>
          <w:b w:val="1"/>
          <w:bCs w:val="1"/>
          <w:color w:val="auto"/>
        </w:rPr>
        <w:t>PPACA</w:t>
      </w:r>
      <w:r>
        <w:rPr>
          <w:rFonts w:ascii="Arial" w:cs="Arial" w:eastAsia="Arial" w:hAnsi="Arial"/>
          <w:sz w:val="18"/>
          <w:szCs w:val="18"/>
          <w:color w:val="auto"/>
        </w:rPr>
        <w:t>”) and the regulations thereunder, and neither Cameron nor any Cameron ERISA affiliate has incurred any liability under Section 4980 of the Code or the excise tax or penalty provisions of PPACA;</w:t>
      </w:r>
    </w:p>
    <w:p>
      <w:pPr>
        <w:spacing w:after="0" w:line="85" w:lineRule="exact"/>
        <w:rPr>
          <w:rFonts w:ascii="Arial" w:cs="Arial" w:eastAsia="Arial" w:hAnsi="Arial"/>
          <w:sz w:val="18"/>
          <w:szCs w:val="18"/>
          <w:color w:val="auto"/>
        </w:rPr>
      </w:pPr>
    </w:p>
    <w:p>
      <w:pPr>
        <w:ind w:left="460" w:right="700" w:firstLine="443"/>
        <w:spacing w:after="0" w:line="277" w:lineRule="auto"/>
        <w:tabs>
          <w:tab w:leader="none" w:pos="130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Cameron, its Subsidiaries and any Cameron ERISA affiliate, since December 31, 2014, (i) have calculated the hours of service for employees of Cameron and any of its Subsidiaries in accordance 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Section 4980H of the Code and the regulations thereunder and maintained appropriate documentation thereof and (ii) have or have made arrangements to properly document and report health insurance coverage information in compliance with Sections 6055 and 6056 of the Code; and</w:t>
      </w:r>
    </w:p>
    <w:p>
      <w:pPr>
        <w:spacing w:after="0" w:line="16" w:lineRule="exact"/>
        <w:rPr>
          <w:sz w:val="20"/>
          <w:szCs w:val="20"/>
          <w:color w:val="auto"/>
        </w:rPr>
      </w:pPr>
    </w:p>
    <w:p>
      <w:pPr>
        <w:ind w:left="460" w:right="180" w:firstLine="443"/>
        <w:spacing w:after="0" w:line="259" w:lineRule="auto"/>
        <w:tabs>
          <w:tab w:leader="none" w:pos="1293" w:val="left"/>
        </w:tabs>
        <w:numPr>
          <w:ilvl w:val="2"/>
          <w:numId w:val="206"/>
        </w:numPr>
        <w:rPr>
          <w:rFonts w:ascii="Arial" w:cs="Arial" w:eastAsia="Arial" w:hAnsi="Arial"/>
          <w:sz w:val="18"/>
          <w:szCs w:val="18"/>
          <w:color w:val="auto"/>
        </w:rPr>
      </w:pPr>
      <w:r>
        <w:rPr>
          <w:rFonts w:ascii="Arial" w:cs="Arial" w:eastAsia="Arial" w:hAnsi="Arial"/>
          <w:sz w:val="18"/>
          <w:szCs w:val="18"/>
          <w:color w:val="auto"/>
        </w:rPr>
        <w:t>neither Cameron nor any of its Subsidiaries nor any Cameron ERISA affiliate contributes to, or has an obligation to contribute to, and has not within six years prior to the Effective Time contributed to, or had an obligation to contribute to, a “multiemployer plan” within the meaning of Section 3(37) of ERISA, a “multiple employer welfare association” within the meaning of Section 3(40) of ERISA or a “voluntary employees’ beneficiary association” within the meaning of Section 501(c)(9) of the Code.</w:t>
      </w:r>
    </w:p>
    <w:p>
      <w:pPr>
        <w:spacing w:after="0" w:line="186"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Except as provided in Section 5.12(c) of the Cameron Disclosure Letter, no Cameron U.S. Benefit Plan provides medical, surgical, hospitalization, death or similar benefits (whether or not insured) for employees or former employees of Cameron or any Subsidiary of Cameron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Cameron Material Adverse Effect, each Cameron U.S. Benefit Plan which provides post-employment medical, surgical, hospitalization, death or similar benefits may be unilaterally amended or terminated by Cameron without material liability, except as to claims incurred prior to amendment or termination.</w:t>
      </w:r>
    </w:p>
    <w:p>
      <w:pPr>
        <w:spacing w:after="0" w:line="189" w:lineRule="exact"/>
        <w:rPr>
          <w:rFonts w:ascii="Arial" w:cs="Arial" w:eastAsia="Arial" w:hAnsi="Arial"/>
          <w:sz w:val="18"/>
          <w:szCs w:val="18"/>
          <w:color w:val="auto"/>
        </w:rPr>
      </w:pPr>
    </w:p>
    <w:p>
      <w:pPr>
        <w:ind w:firstLine="464"/>
        <w:spacing w:after="0" w:line="286" w:lineRule="auto"/>
        <w:tabs>
          <w:tab w:leader="none" w:pos="71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Except as provided in Section 5.12(d) of the Cameron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Cameron or any of its Subsidiaries, (ii) increase any benefits otherwise payable under any Cameron Benefit Plans, (iii) result in the acceleration of the time of payment or vesting of any such benefits or</w:t>
      </w:r>
    </w:p>
    <w:p>
      <w:pPr>
        <w:spacing w:after="0" w:line="1" w:lineRule="exact"/>
        <w:rPr>
          <w:rFonts w:ascii="Arial" w:cs="Arial" w:eastAsia="Arial" w:hAnsi="Arial"/>
          <w:sz w:val="16"/>
          <w:szCs w:val="16"/>
          <w:color w:val="auto"/>
        </w:rPr>
      </w:pPr>
    </w:p>
    <w:p>
      <w:pPr>
        <w:ind w:right="320" w:firstLine="8"/>
        <w:spacing w:after="0" w:line="323" w:lineRule="auto"/>
        <w:tabs>
          <w:tab w:leader="none" w:pos="30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result in the incurrence or acceleration of any other obligation related to the Cameron Benefit Plans or to any employee, former employee or group of employees or former employees, including the payment of any “excess parachute payments” within the meaning of Section 280G of the Code.</w:t>
      </w:r>
    </w:p>
    <w:p>
      <w:pPr>
        <w:spacing w:after="0" w:line="138" w:lineRule="exact"/>
        <w:rPr>
          <w:rFonts w:ascii="Arial" w:cs="Arial" w:eastAsia="Arial" w:hAnsi="Arial"/>
          <w:sz w:val="16"/>
          <w:szCs w:val="16"/>
          <w:color w:val="auto"/>
        </w:rPr>
      </w:pPr>
    </w:p>
    <w:p>
      <w:pPr>
        <w:ind w:right="20" w:firstLine="464"/>
        <w:spacing w:after="0" w:line="277" w:lineRule="auto"/>
        <w:tabs>
          <w:tab w:leader="none" w:pos="70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Section 5.12(e) of the Cameron Disclosure Letter contains a list of all funded Cameron Benefit Plans with assets containing stock or other securities issued by Cameron or any of its Subsidiaries.</w:t>
      </w:r>
    </w:p>
    <w:p>
      <w:pPr>
        <w:spacing w:after="0" w:line="166" w:lineRule="exact"/>
        <w:rPr>
          <w:rFonts w:ascii="Arial" w:cs="Arial" w:eastAsia="Arial" w:hAnsi="Arial"/>
          <w:sz w:val="18"/>
          <w:szCs w:val="18"/>
          <w:color w:val="auto"/>
        </w:rPr>
      </w:pPr>
    </w:p>
    <w:p>
      <w:pPr>
        <w:ind w:right="100" w:firstLine="464"/>
        <w:spacing w:after="0" w:line="298" w:lineRule="auto"/>
        <w:tabs>
          <w:tab w:leader="none" w:pos="68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With respect to each Cameron Benefit Plan that is not a Cameron U.S. Benefit Plan (each a “</w:t>
      </w:r>
      <w:r>
        <w:rPr>
          <w:rFonts w:ascii="Arial" w:cs="Arial" w:eastAsia="Arial" w:hAnsi="Arial"/>
          <w:sz w:val="16"/>
          <w:szCs w:val="16"/>
          <w:b w:val="1"/>
          <w:bCs w:val="1"/>
          <w:color w:val="auto"/>
        </w:rPr>
        <w:t>Cameron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Cameron Foreign Benefit Plans</w:t>
      </w:r>
      <w:r>
        <w:rPr>
          <w:rFonts w:ascii="Arial" w:cs="Arial" w:eastAsia="Arial" w:hAnsi="Arial"/>
          <w:sz w:val="16"/>
          <w:szCs w:val="16"/>
          <w:color w:val="auto"/>
        </w:rPr>
        <w:t>”), except as would not have, individually or in the aggregate, a Cameron Material Adverse Effect, (i) each such Cameron Foreign Benefit Plan is in material compliance with all Applicable Laws and has been operated in accordance with its terms, (ii) all contributions required to have been made under such Cameron Foreign Benefit Plans have been timely made and all liabilities thereunder have been properly accrued on the most recent financial statements of Cameron and its Subsidiaries, and (iii) each Cameron Foreign Benefit Plan is either fully funded or a fully insured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86" w:lineRule="auto"/>
        <w:tabs>
          <w:tab w:leader="none" w:pos="70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To the knowledge of Cameron, there are no organizational efforts with respect to the formation of a collective bargaining unit presently being made or threatened. Within 20 business days after the date hereof, Cameron will provide Schlumberger US and Schlumberger with a true and correct copy of any material collective bargaining agreements or similar contract, agreement or understanding with a labor union or similar labor organization.</w:t>
      </w:r>
    </w:p>
    <w:p>
      <w:pPr>
        <w:spacing w:after="0" w:line="165" w:lineRule="exact"/>
        <w:rPr>
          <w:rFonts w:ascii="Arial" w:cs="Arial" w:eastAsia="Arial" w:hAnsi="Arial"/>
          <w:sz w:val="17"/>
          <w:szCs w:val="17"/>
          <w:color w:val="auto"/>
        </w:rPr>
      </w:pPr>
    </w:p>
    <w:p>
      <w:pPr>
        <w:ind w:right="360" w:firstLine="464"/>
        <w:spacing w:after="0" w:line="277" w:lineRule="auto"/>
        <w:tabs>
          <w:tab w:leader="none" w:pos="71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a Cameron Material Adverse Effect, (i) Cameron and its Subsidiaries have complied with all Applicable Laws respecting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employment of labor; (ii) neither Cameron nor any Subsidiary of Cameron has received any written complaint of any unfair labor practice or other unlawful employment practice or any written notice of any violation of any Applicable Law with respect to the employment of individuals by, or the employment practices of, Cameron or any Subsidiary of Cameron or the work conditions or the terms and conditions of employment and wages and hours of their respective businesses and (iii) there are no unfair labor practice charges or other employee related complaints against Cameron or any Subsidiary of Cameron pending or, to the knowledge of Cameron, threatened, before any Governmental Entity by or concerning the employees working in their respective businesses.</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Properties</w:t>
      </w:r>
      <w:r>
        <w:rPr>
          <w:rFonts w:ascii="Arial" w:cs="Arial" w:eastAsia="Arial" w:hAnsi="Arial"/>
          <w:sz w:val="18"/>
          <w:szCs w:val="18"/>
          <w:color w:val="auto"/>
        </w:rPr>
        <w:t>. Except as has not had and as would not reasonably be expected to have a Cameron Material Adverse Effect, (a) each of Cameron and its Subsidiaries has good and marketable title to, or valid leasehold interests in, all properties and assets purported to be owned or leased by it, respectively, in the Cameron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Cameron and its Subsidiaries has complied with the terms of all leases, subleases, easements, licenses and other occupancy agreements to which it is a party and under which it is in occupancy, and all such agreements are in full force and effect; and (d) each of Cameron and its Subsidiaries enjoys peaceful and undisturbed possession under all such agreements.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Environmental Matters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62" w:lineRule="exact"/>
        <w:rPr>
          <w:sz w:val="20"/>
          <w:szCs w:val="20"/>
          <w:color w:val="auto"/>
        </w:rPr>
      </w:pPr>
    </w:p>
    <w:p>
      <w:pPr>
        <w:ind w:right="40" w:firstLine="464"/>
        <w:spacing w:after="0" w:line="257" w:lineRule="auto"/>
        <w:tabs>
          <w:tab w:leader="none" w:pos="7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Cameron and each of its Subsidiaries has been and is in compliance with all orders of any court, Governmental Entity or arbitration board or tribunal applicable to it and any Applicable Law (including common law) related to (i) pollutants, contaminants, hazardous, toxic or radioactive substances or wastes (including petroleum, asbestos and silica) (“</w:t>
      </w:r>
      <w:r>
        <w:rPr>
          <w:rFonts w:ascii="Arial" w:cs="Arial" w:eastAsia="Arial" w:hAnsi="Arial"/>
          <w:sz w:val="18"/>
          <w:szCs w:val="18"/>
          <w:b w:val="1"/>
          <w:bCs w:val="1"/>
          <w:color w:val="auto"/>
        </w:rPr>
        <w:t>Hazardous Materials</w:t>
      </w:r>
      <w:r>
        <w:rPr>
          <w:rFonts w:ascii="Arial" w:cs="Arial" w:eastAsia="Arial" w:hAnsi="Arial"/>
          <w:sz w:val="18"/>
          <w:szCs w:val="18"/>
          <w:color w:val="auto"/>
        </w:rPr>
        <w:t>”), or (ii) human health, worker safety, process safety, mine safety, product safety and stewardship, exploration, production and mining activities (including reclamation obligations), natural resources,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464"/>
        <w:spacing w:after="0" w:line="276" w:lineRule="auto"/>
        <w:tabs>
          <w:tab w:leader="none" w:pos="71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Cameron and each Subsidiary of Cameron hold all permits, licenses, certifications, variations, exemptions, orders, franchises and approvals of all Governmental Entities required under Environmental Laws for the conduct of their respective businesses (the “</w:t>
      </w:r>
      <w:r>
        <w:rPr>
          <w:rFonts w:ascii="Arial" w:cs="Arial" w:eastAsia="Arial" w:hAnsi="Arial"/>
          <w:sz w:val="17"/>
          <w:szCs w:val="17"/>
          <w:b w:val="1"/>
          <w:bCs w:val="1"/>
          <w:color w:val="auto"/>
        </w:rPr>
        <w:t>Cameron Environmental Permits</w:t>
      </w:r>
      <w:r>
        <w:rPr>
          <w:rFonts w:ascii="Arial" w:cs="Arial" w:eastAsia="Arial" w:hAnsi="Arial"/>
          <w:sz w:val="17"/>
          <w:szCs w:val="17"/>
          <w:color w:val="auto"/>
        </w:rPr>
        <w:t>”). All Cameron Environmental Permits are in full force and effect and there exists no default thereunder or breach thereof, and Cameron has no notice or knowledge that such Cameron Environmental Permits will not be renewed in the ordinary course after the Effective Time. No Governmental Entity has given, or to the knowledge of Cameron, threatened to give, any action to terminate, cancel or reform any Cameron Environmental Permit.</w:t>
      </w:r>
    </w:p>
    <w:p>
      <w:pPr>
        <w:spacing w:after="0" w:line="172" w:lineRule="exact"/>
        <w:rPr>
          <w:rFonts w:ascii="Arial" w:cs="Arial" w:eastAsia="Arial" w:hAnsi="Arial"/>
          <w:sz w:val="17"/>
          <w:szCs w:val="17"/>
          <w:color w:val="auto"/>
        </w:rPr>
      </w:pPr>
    </w:p>
    <w:p>
      <w:pPr>
        <w:ind w:right="60" w:firstLine="464"/>
        <w:spacing w:after="0" w:line="342" w:lineRule="auto"/>
        <w:tabs>
          <w:tab w:leader="none" w:pos="70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 judicial or administrative proceedings or governmental investigations or employee or third party claims are pending or, to the knowledge of Cameron, threatened in writing against Cameron or its Subsidiaries that allege the violation of or seek to impose liability pursuant to any Environmental Law.</w:t>
      </w:r>
    </w:p>
    <w:p>
      <w:pPr>
        <w:spacing w:after="0" w:line="123" w:lineRule="exact"/>
        <w:rPr>
          <w:rFonts w:ascii="Arial" w:cs="Arial" w:eastAsia="Arial" w:hAnsi="Arial"/>
          <w:sz w:val="16"/>
          <w:szCs w:val="16"/>
          <w:color w:val="auto"/>
        </w:rPr>
      </w:pPr>
    </w:p>
    <w:p>
      <w:pPr>
        <w:ind w:firstLine="464"/>
        <w:spacing w:after="0" w:line="312" w:lineRule="auto"/>
        <w:tabs>
          <w:tab w:leader="none" w:pos="71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Neither Cameron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46" w:lineRule="exact"/>
        <w:rPr>
          <w:rFonts w:ascii="Arial" w:cs="Arial" w:eastAsia="Arial" w:hAnsi="Arial"/>
          <w:sz w:val="16"/>
          <w:szCs w:val="16"/>
          <w:color w:val="auto"/>
        </w:rPr>
      </w:pPr>
    </w:p>
    <w:p>
      <w:pPr>
        <w:ind w:right="480" w:firstLine="464"/>
        <w:spacing w:after="0" w:line="277" w:lineRule="auto"/>
        <w:tabs>
          <w:tab w:leader="none" w:pos="7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There are no Hazardous Materials at, in, under or migrating to or from properties owned or leased by Cameron or each Subsidiary that require removal or remediation under Environmental Laws.</w:t>
      </w:r>
    </w:p>
    <w:p>
      <w:pPr>
        <w:spacing w:after="0" w:line="170" w:lineRule="exact"/>
        <w:rPr>
          <w:rFonts w:ascii="Arial" w:cs="Arial" w:eastAsia="Arial" w:hAnsi="Arial"/>
          <w:sz w:val="18"/>
          <w:szCs w:val="18"/>
          <w:color w:val="auto"/>
        </w:rPr>
      </w:pPr>
    </w:p>
    <w:p>
      <w:pPr>
        <w:ind w:right="280" w:firstLine="464"/>
        <w:spacing w:after="0" w:line="277" w:lineRule="auto"/>
        <w:tabs>
          <w:tab w:leader="none" w:pos="68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Neither Cameron nor its Subsidiaries has been named as a defendant in any litigation, or has received written notice of noncompliance, violation, liability or potential liability from any Governmental Entity, based on exposure to Hazardous Materials.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has not had and as would not reasonably be expected to have a Cameron Material Adverse Effect, Cameron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Cameron Material Adverse Effect. No claims are pending or, to the knowledge of Cameron, threatened that Cameron and its Subsidiaries are infringing or otherwise adversely affecting the rights of any person with regard to any Intellectual Property Rights, except for any such claims that, individually or in the aggregate, have not had and would not reasonably be expected to have a Cameron Material Adverse Effect. The conduct of Cameron’s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Cameron Material Adverse Effect. There is no infringement of any proprietary right owned by or licensed by or to Cameron or any of its Subsidiaries that is reasonably expected to have, individually or in the aggregate, a Cameron Material Adverse Effect.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Cameron Material Adverse Effect,</w:t>
      </w:r>
    </w:p>
    <w:p>
      <w:pPr>
        <w:spacing w:after="0" w:line="46" w:lineRule="exact"/>
        <w:rPr>
          <w:sz w:val="20"/>
          <w:szCs w:val="20"/>
          <w:color w:val="auto"/>
        </w:rPr>
      </w:pPr>
    </w:p>
    <w:p>
      <w:pPr>
        <w:ind w:right="20" w:firstLine="8"/>
        <w:spacing w:after="0" w:line="273" w:lineRule="auto"/>
        <w:tabs>
          <w:tab w:leader="none" w:pos="24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no order, writ, fine, injunction, decree, judgment, award or determination of any court or Governmental Entity or any arbitral or other dispute resolution body has been issued or entered against Cameron or any of its Subsidiaries that continues to be in effect that affects the ownership or operation of any of their respective assets or that involves an amount greater than $10 million and (b) since December 31, 2012, no criminal order, writ, fine, injunction, decree, judgment or determination of any Governmental Entity has been issued against Cameron or any of its Subsidiaries.</w:t>
      </w:r>
    </w:p>
    <w:p>
      <w:pPr>
        <w:spacing w:after="0" w:line="17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Insurance</w:t>
      </w:r>
      <w:r>
        <w:rPr>
          <w:rFonts w:ascii="Arial" w:cs="Arial" w:eastAsia="Arial" w:hAnsi="Arial"/>
          <w:sz w:val="17"/>
          <w:szCs w:val="17"/>
          <w:color w:val="auto"/>
        </w:rPr>
        <w:t>. Except as have not had and would not reasonably be expected to have, individually or in the aggregate, a Cameron Material Adverse Effect, Cameron and its Subsidiaries maintain insurance policies, including with respect to fire, liability, workers’ compensation, and title insurance, containing coverages in such amounts and against such losses as are customary in the industries in which Cameron and its Subsidiaries operate on the date hereof. Except as have not had and would not reasonably be expected to have, individually or in the aggregate, a Cameron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No Brokers</w:t>
      </w:r>
      <w:r>
        <w:rPr>
          <w:rFonts w:ascii="Arial" w:cs="Arial" w:eastAsia="Arial" w:hAnsi="Arial"/>
          <w:sz w:val="18"/>
          <w:szCs w:val="18"/>
          <w:color w:val="auto"/>
        </w:rPr>
        <w:t>. Cameron has not entered into any contract, arrangement or understanding with any person or firm which may result in the obligation of Cameron, Schlumberger or their respective affiliates to pay any finder’s fees, brokerage or other like payments in connection with the negotiations leading to this Agreement or the consummation of the Merger and the other transactions contemplated by this Agreement, except that Cameron has retained Credit Suisse Securities (USA) LLC as its financial advisor, the arrangements with which have been disclosed to Schlumberger prior to the date hereof.</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Cameron nor any of its Subsidiaries owns any shares of capital stock of Schlumberger or any other securities convertible into or otherwise exercisable for shares of capital stock of Schlumberger.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Vote Required</w:t>
      </w:r>
      <w:r>
        <w:rPr>
          <w:rFonts w:ascii="Arial" w:cs="Arial" w:eastAsia="Arial" w:hAnsi="Arial"/>
          <w:sz w:val="18"/>
          <w:szCs w:val="18"/>
          <w:color w:val="auto"/>
        </w:rPr>
        <w:t>. The only vote of the holders of any class or series of Cameron capital stock necessary to adopt and approve this Agreement and the transactions contemplated by this Agreement (including the Merger) is the affirmative vote of the holders of at least a majority of the outstanding shares of Cameron Common Stock (such approval being referred to as the “</w:t>
      </w:r>
      <w:r>
        <w:rPr>
          <w:rFonts w:ascii="Arial" w:cs="Arial" w:eastAsia="Arial" w:hAnsi="Arial"/>
          <w:sz w:val="18"/>
          <w:szCs w:val="18"/>
          <w:b w:val="1"/>
          <w:bCs w:val="1"/>
          <w:color w:val="auto"/>
        </w:rPr>
        <w:t>Cameron Stockholder Approval</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i w:val="1"/>
          <w:iCs w:val="1"/>
          <w:color w:val="auto"/>
        </w:rPr>
        <w:t>Certain Contracts</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required to be filed pursuant to Item 601(b) (2), (4), (9) or (10) of Regulation S-K under the Securities Act regardless of when such Contract is executed or in effect. Except as set forth as an exhibit to the Cameron Reports, as of the date hereof, neither Cameron nor any of its Subsidiaries is a party to or bound by any Material Contract. As of the date of this Agreement, except as would not, individually or in the aggregate, reasonably be expected to have, a Cameron Material Adverse Effect and except with respect to any agreement, lease, easement, license, contract, note, mortgage, indenture or other legally binding obligation (each, a “</w:t>
      </w:r>
      <w:r>
        <w:rPr>
          <w:rFonts w:ascii="Arial" w:cs="Arial" w:eastAsia="Arial" w:hAnsi="Arial"/>
          <w:sz w:val="17"/>
          <w:szCs w:val="17"/>
          <w:b w:val="1"/>
          <w:bCs w:val="1"/>
          <w:color w:val="auto"/>
        </w:rPr>
        <w:t>Contract</w:t>
      </w:r>
      <w:r>
        <w:rPr>
          <w:rFonts w:ascii="Arial" w:cs="Arial" w:eastAsia="Arial" w:hAnsi="Arial"/>
          <w:sz w:val="17"/>
          <w:szCs w:val="17"/>
          <w:color w:val="auto"/>
        </w:rPr>
        <w:t>”) that has previously expired in accordance with its terms, been terminated, restated or replaced, each Material Contract is a valid and binding obligation of Cameron or one of its Subsidiaries, as the case may be, and is in full force and effect, and neither Cameron nor any of its Subsidiaries nor, to the knowledge of Cameron, any other party thereto, is in default or breach under the terms of any such Material Contract.</w:t>
      </w:r>
    </w:p>
    <w:p>
      <w:pPr>
        <w:spacing w:after="0" w:line="17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62" w:lineRule="exact"/>
        <w:rPr>
          <w:sz w:val="20"/>
          <w:szCs w:val="20"/>
          <w:color w:val="auto"/>
        </w:rPr>
      </w:pPr>
    </w:p>
    <w:p>
      <w:pPr>
        <w:ind w:right="60" w:firstLine="464"/>
        <w:spacing w:after="0" w:line="286" w:lineRule="auto"/>
        <w:tabs>
          <w:tab w:leader="none" w:pos="70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Cameron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Cameron, neither Cameron,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68" w:lineRule="exact"/>
        <w:rPr>
          <w:rFonts w:ascii="Arial" w:cs="Arial" w:eastAsia="Arial" w:hAnsi="Arial"/>
          <w:sz w:val="16"/>
          <w:szCs w:val="16"/>
          <w:color w:val="auto"/>
        </w:rPr>
      </w:pPr>
    </w:p>
    <w:p>
      <w:pPr>
        <w:jc w:val="both"/>
        <w:ind w:right="260" w:firstLine="464"/>
        <w:spacing w:after="0" w:line="286" w:lineRule="auto"/>
        <w:tabs>
          <w:tab w:leader="none" w:pos="71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Cameron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right="60" w:firstLine="464"/>
        <w:spacing w:after="0" w:line="264" w:lineRule="auto"/>
        <w:tabs>
          <w:tab w:leader="none" w:pos="70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Cameron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jc w:val="both"/>
        <w:ind w:right="20" w:firstLine="464"/>
        <w:spacing w:after="0" w:line="342" w:lineRule="auto"/>
        <w:tabs>
          <w:tab w:leader="none" w:pos="71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Cameron’s knowledge, Cameron and its affiliates have not been since January 1, 2012 and, to the knowledge of Cameron, are not now under any administrative, civil or criminal investigation or indictment involving alleged violations of any Applicable Laws relating to export controls or trade sanctions.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77" w:lineRule="auto"/>
        <w:tabs>
          <w:tab w:leader="none" w:pos="70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480" w:firstLine="464"/>
        <w:spacing w:after="0" w:line="264" w:lineRule="auto"/>
        <w:tabs>
          <w:tab w:leader="none" w:pos="68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Cameron’s knowledge, none of Cameron or its affiliates has undergone or is undergoing any internal or external audit, review, inspection, investigation, survey or examination of records relating to Cameron’s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62" w:lineRule="exact"/>
        <w:rPr>
          <w:sz w:val="20"/>
          <w:szCs w:val="20"/>
          <w:color w:val="auto"/>
        </w:rPr>
      </w:pPr>
    </w:p>
    <w:p>
      <w:pPr>
        <w:ind w:right="200" w:firstLine="464"/>
        <w:spacing w:after="0" w:line="284" w:lineRule="auto"/>
        <w:tabs>
          <w:tab w:leader="none" w:pos="70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Cameron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Cameron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4" w:lineRule="exact"/>
        <w:rPr>
          <w:rFonts w:ascii="Arial" w:cs="Arial" w:eastAsia="Arial" w:hAnsi="Arial"/>
          <w:sz w:val="16"/>
          <w:szCs w:val="16"/>
          <w:color w:val="auto"/>
        </w:rPr>
      </w:pPr>
    </w:p>
    <w:p>
      <w:pPr>
        <w:ind w:right="20" w:firstLine="8"/>
        <w:spacing w:after="0" w:line="281" w:lineRule="auto"/>
        <w:tabs>
          <w:tab w:leader="none" w:pos="29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Cameron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jc w:val="both"/>
        <w:ind w:right="10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90" w:lineRule="exact"/>
        <w:rPr>
          <w:rFonts w:ascii="Arial" w:cs="Arial" w:eastAsia="Arial" w:hAnsi="Arial"/>
          <w:sz w:val="16"/>
          <w:szCs w:val="16"/>
          <w:color w:val="auto"/>
        </w:rPr>
      </w:pPr>
    </w:p>
    <w:p>
      <w:pPr>
        <w:ind w:right="60" w:firstLine="464"/>
        <w:spacing w:after="0" w:line="342" w:lineRule="auto"/>
        <w:tabs>
          <w:tab w:leader="none" w:pos="71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Cameron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140" w:firstLine="464"/>
        <w:spacing w:after="0" w:line="286" w:lineRule="auto"/>
        <w:tabs>
          <w:tab w:leader="none" w:pos="70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No civil or criminal penalties have been imposed on Cameron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65" w:lineRule="exact"/>
        <w:rPr>
          <w:rFonts w:ascii="Arial" w:cs="Arial" w:eastAsia="Arial" w:hAnsi="Arial"/>
          <w:sz w:val="17"/>
          <w:szCs w:val="17"/>
          <w:color w:val="auto"/>
        </w:rPr>
      </w:pPr>
    </w:p>
    <w:p>
      <w:pPr>
        <w:ind w:right="40" w:firstLine="464"/>
        <w:spacing w:after="0" w:line="279" w:lineRule="auto"/>
        <w:tabs>
          <w:tab w:leader="none" w:pos="71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To Cameron’s knowledge, Cameron and its affiliates have not been since January 1, 2012 and are not now under any administrative, civil or criminal investigation or indictment involving alleged violations of the Foreign Corrupt Practices Act or any other applicable anticorruption or antibribery laws. Neither Cameron nor any of its affiliates are participating in any investigation by a Governmental Entity relating to alleged violations by Cameron or its affiliates of the Foreign Corrupt Practices Act or any other applicable anticorruption or antibribery laws.</w:t>
      </w:r>
    </w:p>
    <w:p>
      <w:pPr>
        <w:spacing w:after="0" w:line="171" w:lineRule="exact"/>
        <w:rPr>
          <w:rFonts w:ascii="Arial" w:cs="Arial" w:eastAsia="Arial" w:hAnsi="Arial"/>
          <w:sz w:val="17"/>
          <w:szCs w:val="17"/>
          <w:color w:val="auto"/>
        </w:rPr>
      </w:pPr>
    </w:p>
    <w:p>
      <w:pPr>
        <w:ind w:firstLine="464"/>
        <w:spacing w:after="0" w:line="277" w:lineRule="auto"/>
        <w:tabs>
          <w:tab w:leader="none" w:pos="70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i w:val="1"/>
          <w:iCs w:val="1"/>
          <w:color w:val="auto"/>
        </w:rPr>
        <w:t>Charter Provisions; Takeover Laws</w:t>
      </w:r>
      <w:r>
        <w:rPr>
          <w:rFonts w:ascii="Arial" w:cs="Arial" w:eastAsia="Arial" w:hAnsi="Arial"/>
          <w:sz w:val="18"/>
          <w:szCs w:val="18"/>
          <w:color w:val="auto"/>
        </w:rPr>
        <w:t>. Assuming the accuracy of the representations and warranties set forth in Section 6.10 and Section 7.10, Cameron has taken all action necessary to render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restrictions on business combinations set forth in Article Fifth of Cameron’s certificate of incorporation inapplicable to this Agreement, the Merger and the other transactions contemplated by this Agreement. Assuming the accuracy of the representations and warranties set forth in Section 6.10 and Section 7.10,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i w:val="1"/>
          <w:iCs w:val="1"/>
          <w:color w:val="auto"/>
        </w:rPr>
        <w:t>Relationships with Customers and Suppliers</w:t>
      </w:r>
      <w:r>
        <w:rPr>
          <w:rFonts w:ascii="Arial" w:cs="Arial" w:eastAsia="Arial" w:hAnsi="Arial"/>
          <w:sz w:val="18"/>
          <w:szCs w:val="18"/>
          <w:color w:val="auto"/>
        </w:rPr>
        <w:t>. Since December 31, 2014, no customer or supplier of Cameron or any of its Subsidiaries has canceled or otherwise terminated, or provided notice, whether in writing or otherwise, to Cameron or any of its Subsidiaries of its intent, or, to the knowledge of Cameron, threatened, to terminate its relationship with Cameron or the applicable Subsidiary, or, since December 31, 2014, decreased or limited or provided notice to Cameron or any of its Subsidiaries of its intent, or, to the knowledge of Cameron, threatened, to decrease or limit its purchases from or sales to Cameron or any of its Subsidiaries, in each case except as would not, individually or in the aggregate, reasonably be expected to result in a Cameron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 US AND MERGER SUB</w:t>
      </w:r>
    </w:p>
    <w:p>
      <w:pPr>
        <w:spacing w:after="0" w:line="207"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color w:val="auto"/>
        </w:rPr>
        <w:t>Except as (i) set forth in the disclosure letter delivered to Cameron by Schlumberger US at or prior to the execution hereof (the “</w:t>
      </w:r>
      <w:r>
        <w:rPr>
          <w:rFonts w:ascii="Arial" w:cs="Arial" w:eastAsia="Arial" w:hAnsi="Arial"/>
          <w:sz w:val="17"/>
          <w:szCs w:val="17"/>
          <w:b w:val="1"/>
          <w:bCs w:val="1"/>
          <w:color w:val="auto"/>
        </w:rPr>
        <w:t>Schlumberger US</w:t>
      </w:r>
      <w:r>
        <w:rPr>
          <w:rFonts w:ascii="Arial" w:cs="Arial" w:eastAsia="Arial" w:hAnsi="Arial"/>
          <w:sz w:val="17"/>
          <w:szCs w:val="17"/>
          <w:color w:val="auto"/>
        </w:rPr>
        <w:t xml:space="preserve"> </w:t>
      </w:r>
      <w:r>
        <w:rPr>
          <w:rFonts w:ascii="Arial" w:cs="Arial" w:eastAsia="Arial" w:hAnsi="Arial"/>
          <w:sz w:val="17"/>
          <w:szCs w:val="17"/>
          <w:b w:val="1"/>
          <w:bCs w:val="1"/>
          <w:color w:val="auto"/>
        </w:rPr>
        <w:t>Disclosure Letter</w:t>
      </w:r>
      <w:r>
        <w:rPr>
          <w:rFonts w:ascii="Arial" w:cs="Arial" w:eastAsia="Arial" w:hAnsi="Arial"/>
          <w:sz w:val="17"/>
          <w:szCs w:val="17"/>
          <w:color w:val="auto"/>
        </w:rPr>
        <w:t>”) and making reference to the particular subsection of this Agreement to which exception is being taken, subject to Section 11.10, or (ii) as</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disclosed in the Schlumberger Reports filed or furnished after December 31, 2014 and prior to the date hereof (excluding any disclosures in such Schlumberger Reports in any risk factors section, in any section related to forward looking statements and other disclosures that are predictive or forward-looking in nature), each of Schlumberger US and Merger Sub represents and warrants to Cameron that:</w:t>
      </w:r>
    </w:p>
    <w:p>
      <w:pPr>
        <w:spacing w:after="0" w:line="6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Schlumberger US and Merger Sub is a legal entity duly organized, validly existing and in good standing under the laws of its respective jurisdiction of organization and has all requisite corporate or limited liability company power and authority to own, operate and lease its properties and assets and to carry on its business as now conducted. Schlumberger US has made available to Cameron true and correct copies of the certificate of incorporation and bylaws of Schlumberger US and the certificate of formation and limited liability company agreement of Merger Sub, each as amended to date, and each as so delivered is in full force and effect.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2" w:lineRule="auto"/>
        <w:tabs>
          <w:tab w:leader="none" w:pos="70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Each of Schlumberger US and Merger Sub has all requisite corporate or limited liability company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US and Merger Sub, and the consummation by each of Schlumberger US and Merger Sub of the transactions contemplated by this Agreement, including the Merger as described in this Agreement, have been duly authorized by all requisite corporate or limited liability company action on behalf of Schlumberger US and Merger Sub. This Agreement has been duly executed and delivered by each of Schlumberger US and Merger Sub and constitutes the valid and legally binding obligation of each of Schlumberger US and Merger Sub, enforceable against each of Schlumberger US and Merger Sub in accordance with its terms.</w:t>
      </w:r>
    </w:p>
    <w:p>
      <w:pPr>
        <w:spacing w:after="0" w:line="177" w:lineRule="exact"/>
        <w:rPr>
          <w:rFonts w:ascii="Arial" w:cs="Arial" w:eastAsia="Arial" w:hAnsi="Arial"/>
          <w:sz w:val="17"/>
          <w:szCs w:val="17"/>
          <w:color w:val="auto"/>
        </w:rPr>
      </w:pPr>
    </w:p>
    <w:p>
      <w:pPr>
        <w:ind w:right="560" w:firstLine="464"/>
        <w:spacing w:after="0" w:line="308" w:lineRule="auto"/>
        <w:tabs>
          <w:tab w:leader="none" w:pos="71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Boards of Directors of Schlumberger US and Merger Sub have each unanimously (i) determined that this Agreement and the Merger are advisable and (ii) approved and adopted this Agreement and approved the transactions contemplated hereby, including the Merger.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Capitalization</w:t>
      </w:r>
      <w:r>
        <w:rPr>
          <w:rFonts w:ascii="Arial" w:cs="Arial" w:eastAsia="Arial" w:hAnsi="Arial"/>
          <w:sz w:val="18"/>
          <w:szCs w:val="18"/>
          <w:color w:val="auto"/>
        </w:rPr>
        <w:t>. All of the outstanding member interests of Merger Sub are owned directly by Schlumberger US, free and clear of all Liens (including any restriction on the right to vote, sell or otherwise dispose of such member interests).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Neither Schlumberger US nor any of its Subsidiaries is in violation of any Applicable Laws, and no claim is pending or, to the knowledge of Schlumberger US, threatened with respect to any such matters.</w:t>
      </w:r>
    </w:p>
    <w:p>
      <w:pPr>
        <w:spacing w:after="0" w:line="62"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Schlumberger US and each Subsidiary of Schlumberger US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US Permits</w:t>
      </w:r>
      <w:r>
        <w:rPr>
          <w:rFonts w:ascii="Arial" w:cs="Arial" w:eastAsia="Arial" w:hAnsi="Arial"/>
          <w:sz w:val="16"/>
          <w:szCs w:val="16"/>
          <w:color w:val="auto"/>
        </w:rPr>
        <w:t>”). All Schlumberger US Permits are in full force and effect and there exists no default thereunder or breach thereof, and Schlumberger US has no notice or knowledge that such Schlumberger US Permits will not be renewed in the ordinary course after the Effective Time. No Governmental Entity has given, or to the knowledge of Schlumberger US, threatened to give, any action to terminate, cancel or reform any Schlumberger US Permit.</w:t>
      </w:r>
    </w:p>
    <w:p>
      <w:pPr>
        <w:spacing w:after="0" w:line="50"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Schlumberger US and each Subsidiary of Schlumberger US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US,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Section 6.4 does not relate to export control or trade matters or the Foreign Corrupt Practices Act, which are the subjects of Sections 6.11 and 6.12,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execution, delivery and performance by Schlumberger US and Merger Sub of this Agreement does not, and the consummation by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Schlumberger US and Merger Sub of the Merger and the other transactions contemplated by this Agreement in accordance with the terms hereof will not,</w:t>
      </w:r>
    </w:p>
    <w:p>
      <w:pPr>
        <w:spacing w:after="0" w:line="32" w:lineRule="exact"/>
        <w:rPr>
          <w:rFonts w:ascii="Arial" w:cs="Arial" w:eastAsia="Arial" w:hAnsi="Arial"/>
          <w:sz w:val="18"/>
          <w:szCs w:val="18"/>
          <w:color w:val="auto"/>
        </w:rPr>
      </w:pPr>
    </w:p>
    <w:p>
      <w:pPr>
        <w:ind w:firstLine="8"/>
        <w:spacing w:after="0" w:line="286" w:lineRule="auto"/>
        <w:tabs>
          <w:tab w:leader="none" w:pos="21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provisions of the certificate of incorporation or bylaws of Schlumberger US or the certificate of formation or limited liability company agreement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US or any of its Subsidiaries under, or result in being declared void, voidable, or without further binding effect, or otherwise result in a detriment to Schlumberger US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US or any of its Subsidiaries is a party, or by which Schlumberger US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66" w:lineRule="exact"/>
        <w:rPr>
          <w:rFonts w:ascii="Arial" w:cs="Arial" w:eastAsia="Arial" w:hAnsi="Arial"/>
          <w:sz w:val="16"/>
          <w:szCs w:val="16"/>
          <w:color w:val="auto"/>
        </w:rPr>
      </w:pPr>
    </w:p>
    <w:p>
      <w:pPr>
        <w:ind w:left="720" w:hanging="256"/>
        <w:spacing w:after="0"/>
        <w:tabs>
          <w:tab w:leader="none" w:pos="72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5" w:lineRule="exact"/>
        <w:rPr>
          <w:sz w:val="20"/>
          <w:szCs w:val="20"/>
          <w:color w:val="auto"/>
        </w:rPr>
      </w:pPr>
    </w:p>
    <w:p>
      <w:pPr>
        <w:ind w:right="60" w:firstLine="8"/>
        <w:spacing w:after="0" w:line="255" w:lineRule="auto"/>
        <w:tabs>
          <w:tab w:leader="none" w:pos="26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rules and regulations of the NYSE, (iii) the HSR Act, the EC Merger Regulation and such applicable competition, antitrust or premerger notification laws of the other jurisdictions set forth in Section 6.5 of the Schlumberger US Disclosure Letter, (iv) the Securities Act, (v) the Exchange Act, (vi) state securities or “Blue Sky” laws and (vii) other Governmental Entities having jurisdiction over the Merger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set forth in Section 6.5 of the Schlumberger US Disclosure Letter, neither the execution, delivery or performance by Schlumberger US and Merger Sub of this Agreement, nor the consummation by Schlumberger US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91" w:lineRule="auto"/>
        <w:tabs>
          <w:tab w:leader="none" w:pos="70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US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US will comply as to form in all material respects with the provisions of the Exchange Act and the rules and regulations thereunder.</w:t>
      </w:r>
    </w:p>
    <w:p>
      <w:pPr>
        <w:spacing w:after="0" w:line="167"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6.6, no representation or warranty is made by Schlumberger US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SEC Documents; Financial Statements</w:t>
      </w:r>
      <w:r>
        <w:rPr>
          <w:rFonts w:ascii="Arial" w:cs="Arial" w:eastAsia="Arial" w:hAnsi="Arial"/>
          <w:sz w:val="17"/>
          <w:szCs w:val="17"/>
          <w:color w:val="auto"/>
        </w:rPr>
        <w:t>. Neither Schlumberger US nor any Subsidiary of Schlumberger US is required to file any registration statement, prospectus, report, schedule, form, statement or any other document with the SEC. Neither Schlumberger US nor any Subsidiary of Schlumberger US is, or since January 1, 2012 has been, subject to any requirement to file periodic reports under the Exchange Act.</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US, threatened against Schlumberger US or any of its Subsidiaries or their respective assets, or any director, officer or employee of Schlumberger US or any of its Subsidiaries or other affiliates, in each case, for whom Schlumberger US or any of its Subsidiaries may be liable, or (b) litigations, arbitrations, investigations or other proceedings, or injunctions or final judgments relating thereto, pending or, to the knowledge of Schlumberger US, threatened before any Governmental Entity or arbitrator against Schlumberger US or any of its Subsidiaries or their respective assets, or any director, officer or employee of Schlumberger US or any of its Subsidiaries or other affiliates, in each case, for whom Schlumberger US or any of its Subsidiaries may be liable, except in the case of either clause (a) or (b), for those that would not, individually or in the aggregate, reasonably be expected to result in a Schlumberger Material Adverse Effect. None of Schlumberger US or any of its Subsidiaries or their respective assets, or any director, officer or employee of Schlumberger US or any of its Subsidiaries or other affiliates, in each case, for whom Schlumberger US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6.8 does not relate to export control or trade matters or the Foreign Corrupt Practices Act, which are the subjects of Sections 6.11 and 6.12, respectively.</w:t>
      </w:r>
    </w:p>
    <w:p>
      <w:pPr>
        <w:spacing w:after="0" w:line="16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Cameron Stock Ownership</w:t>
      </w:r>
      <w:r>
        <w:rPr>
          <w:rFonts w:ascii="Arial" w:cs="Arial" w:eastAsia="Arial" w:hAnsi="Arial"/>
          <w:sz w:val="18"/>
          <w:szCs w:val="18"/>
          <w:color w:val="auto"/>
        </w:rPr>
        <w:t>. Neither Schlumberger US nor any of its Subsidiaries owns any shares of capital stock of Cameron or any other securities convertible into or otherwise exercisable for shares of capital stock of Cameron.</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88" w:lineRule="auto"/>
        <w:tabs>
          <w:tab w:leader="none" w:pos="701"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Schlumberger US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w:t>
      </w:r>
    </w:p>
    <w:p>
      <w:pPr>
        <w:ind w:right="220"/>
        <w:spacing w:after="0" w:line="252" w:lineRule="auto"/>
        <w:rPr>
          <w:rFonts w:ascii="Arial" w:cs="Arial" w:eastAsia="Arial" w:hAnsi="Arial"/>
          <w:sz w:val="16"/>
          <w:szCs w:val="16"/>
          <w:color w:val="auto"/>
        </w:rPr>
      </w:pPr>
      <w:r>
        <w:rPr>
          <w:rFonts w:ascii="Arial" w:cs="Arial" w:eastAsia="Arial" w:hAnsi="Arial"/>
          <w:sz w:val="18"/>
          <w:szCs w:val="18"/>
          <w:color w:val="auto"/>
        </w:rPr>
        <w:t>(50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US, neither Schlumberger US,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94" w:lineRule="exact"/>
        <w:rPr>
          <w:rFonts w:ascii="Arial" w:cs="Arial" w:eastAsia="Arial" w:hAnsi="Arial"/>
          <w:sz w:val="16"/>
          <w:szCs w:val="16"/>
          <w:color w:val="auto"/>
        </w:rPr>
      </w:pPr>
    </w:p>
    <w:p>
      <w:pPr>
        <w:ind w:right="320" w:firstLine="464"/>
        <w:spacing w:after="0" w:line="286" w:lineRule="auto"/>
        <w:tabs>
          <w:tab w:leader="none" w:pos="71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Schlumberger US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right="100" w:firstLine="464"/>
        <w:spacing w:after="0" w:line="264" w:lineRule="auto"/>
        <w:tabs>
          <w:tab w:leader="none" w:pos="70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US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Schlumberger US’ knowledge, Schlumberger US and its affiliates have not been since January 1, 2012 and, to the knowledge of Schlumberger US,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60" w:firstLine="464"/>
        <w:spacing w:after="0" w:line="277" w:lineRule="auto"/>
        <w:tabs>
          <w:tab w:leader="none" w:pos="70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US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120" w:firstLine="464"/>
        <w:spacing w:after="0" w:line="264" w:lineRule="auto"/>
        <w:tabs>
          <w:tab w:leader="none" w:pos="68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Schlumberger US’ knowledge, none of Schlumberger US or its affiliates has undergone or is undergoing any internal or external audit, review, inspection, investigation, survey or examination of records relating to Schlumberger US’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57" w:lineRule="auto"/>
        <w:tabs>
          <w:tab w:leader="none" w:pos="70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Schlumberger US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US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a Foreign Government Official or any other person while knowing or having a reasonable belief that all or some portion would be used for the purpose of:</w:t>
      </w:r>
    </w:p>
    <w:p>
      <w:pPr>
        <w:spacing w:after="0" w:line="46" w:lineRule="exact"/>
        <w:rPr>
          <w:sz w:val="20"/>
          <w:szCs w:val="20"/>
          <w:color w:val="auto"/>
        </w:rPr>
      </w:pPr>
    </w:p>
    <w:p>
      <w:pPr>
        <w:ind w:right="40" w:firstLine="8"/>
        <w:spacing w:after="0" w:line="254" w:lineRule="auto"/>
        <w:tabs>
          <w:tab w:leader="none" w:pos="29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US in obtaining or retaining business with, or directing business to any person or otherwise securing for any person an improper advantage.</w:t>
      </w:r>
    </w:p>
    <w:p>
      <w:pPr>
        <w:spacing w:after="0" w:line="189" w:lineRule="exact"/>
        <w:rPr>
          <w:rFonts w:ascii="Arial" w:cs="Arial" w:eastAsia="Arial" w:hAnsi="Arial"/>
          <w:sz w:val="18"/>
          <w:szCs w:val="18"/>
          <w:color w:val="auto"/>
        </w:rPr>
      </w:pPr>
    </w:p>
    <w:p>
      <w:pPr>
        <w:ind w:right="60" w:firstLine="464"/>
        <w:spacing w:after="0" w:line="342" w:lineRule="auto"/>
        <w:tabs>
          <w:tab w:leader="none" w:pos="711" w:val="left"/>
        </w:tabs>
        <w:numPr>
          <w:ilvl w:val="1"/>
          <w:numId w:val="224"/>
        </w:numPr>
        <w:rPr>
          <w:rFonts w:ascii="Arial" w:cs="Arial" w:eastAsia="Arial" w:hAnsi="Arial"/>
          <w:sz w:val="16"/>
          <w:szCs w:val="16"/>
          <w:color w:val="auto"/>
        </w:rPr>
      </w:pPr>
      <w:r>
        <w:rPr>
          <w:rFonts w:ascii="Arial" w:cs="Arial" w:eastAsia="Arial" w:hAnsi="Arial"/>
          <w:sz w:val="16"/>
          <w:szCs w:val="16"/>
          <w:color w:val="auto"/>
        </w:rPr>
        <w:t>Schlumberger US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340" w:firstLine="464"/>
        <w:spacing w:after="0" w:line="312" w:lineRule="auto"/>
        <w:tabs>
          <w:tab w:leader="none" w:pos="701" w:val="left"/>
        </w:tabs>
        <w:numPr>
          <w:ilvl w:val="1"/>
          <w:numId w:val="224"/>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US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46" w:lineRule="exact"/>
        <w:rPr>
          <w:rFonts w:ascii="Arial" w:cs="Arial" w:eastAsia="Arial" w:hAnsi="Arial"/>
          <w:sz w:val="16"/>
          <w:szCs w:val="16"/>
          <w:color w:val="auto"/>
        </w:rPr>
      </w:pPr>
    </w:p>
    <w:p>
      <w:pPr>
        <w:ind w:firstLine="464"/>
        <w:spacing w:after="0" w:line="302" w:lineRule="auto"/>
        <w:tabs>
          <w:tab w:leader="none" w:pos="711"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To Schlumberger US’ knowledge, Schlumberger US and its affiliates have not been since January 1, 2012 and are not now under any administrative, civil or criminal investigation or indictment involving alleged violations of the Foreign Corrupt Practices Act or any other applicable anticorruption or antibribery laws. Neither Schlumberger US nor any of its affiliates are participating in any investigation by a Governmental Entity relating to alleged violations by Schlumberger US or its affiliates of the Foreign Corrupt Practices Act or any other applicable anticorruption or antibribery laws.</w:t>
      </w:r>
    </w:p>
    <w:p>
      <w:pPr>
        <w:spacing w:after="0" w:line="154" w:lineRule="exact"/>
        <w:rPr>
          <w:rFonts w:ascii="Arial" w:cs="Arial" w:eastAsia="Arial" w:hAnsi="Arial"/>
          <w:sz w:val="16"/>
          <w:szCs w:val="16"/>
          <w:color w:val="auto"/>
        </w:rPr>
      </w:pPr>
    </w:p>
    <w:p>
      <w:pPr>
        <w:ind w:right="80" w:firstLine="464"/>
        <w:spacing w:after="0" w:line="277" w:lineRule="auto"/>
        <w:tabs>
          <w:tab w:leader="none" w:pos="70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U.S. Government has not notified Schlumberger US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US or any of its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US or any of its Subsidiaries.</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Sufficient Funds</w:t>
      </w:r>
      <w:r>
        <w:rPr>
          <w:rFonts w:ascii="Arial" w:cs="Arial" w:eastAsia="Arial" w:hAnsi="Arial"/>
          <w:sz w:val="18"/>
          <w:szCs w:val="18"/>
          <w:color w:val="auto"/>
        </w:rPr>
        <w:t>. Schlumberger US shall have, as of the Closing Date, sufficient funds on hand with which to pay the cash portion of the Merger Consideration and consummate the transactions contemplated by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w:t>
      </w:r>
    </w:p>
    <w:p>
      <w:pPr>
        <w:spacing w:after="0" w:line="2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color w:val="auto"/>
        </w:rPr>
        <w:t>Except (i) as set forth in the disclosure letter delivered to Cameron by Schlumberger at or prior to the execution hereof (the “</w:t>
      </w:r>
      <w:r>
        <w:rPr>
          <w:rFonts w:ascii="Arial" w:cs="Arial" w:eastAsia="Arial" w:hAnsi="Arial"/>
          <w:sz w:val="17"/>
          <w:szCs w:val="17"/>
          <w:b w:val="1"/>
          <w:bCs w:val="1"/>
          <w:color w:val="auto"/>
        </w:rPr>
        <w:t>Schlumberger Disclosure</w:t>
      </w:r>
      <w:r>
        <w:rPr>
          <w:rFonts w:ascii="Arial" w:cs="Arial" w:eastAsia="Arial" w:hAnsi="Arial"/>
          <w:sz w:val="17"/>
          <w:szCs w:val="17"/>
          <w:color w:val="auto"/>
        </w:rPr>
        <w:t xml:space="preserve"> </w:t>
      </w:r>
      <w:r>
        <w:rPr>
          <w:rFonts w:ascii="Arial" w:cs="Arial" w:eastAsia="Arial" w:hAnsi="Arial"/>
          <w:sz w:val="17"/>
          <w:szCs w:val="17"/>
          <w:b w:val="1"/>
          <w:bCs w:val="1"/>
          <w:color w:val="auto"/>
        </w:rPr>
        <w:t>Letter</w:t>
      </w:r>
      <w:r>
        <w:rPr>
          <w:rFonts w:ascii="Arial" w:cs="Arial" w:eastAsia="Arial" w:hAnsi="Arial"/>
          <w:sz w:val="17"/>
          <w:szCs w:val="17"/>
          <w:color w:val="auto"/>
        </w:rPr>
        <w:t>”) and making reference to the particular subsection of this Agreement to which exception is being taken, subject to Section 11.10, or (ii) as disclosed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Schlumberger Reports filed or furnished after December 31, 2014 and prior to the date hereof (excluding 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disclosures in such Schlumberger Reports in any risk factors section, in any section related to forward looking statements and other disclosures that are predictive or forward-looking in nature), Schlumberger represents and warrants to Cameron that:</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Schlumberger is a legal entity duly organized, validly existing and, to the extent applicable, in good standing under the laws of its jurisdiction of organization and has all requisite corporate power and authority to own, operate and lease its properties and assets and to carry on its business as now conducted. Schlumberger has made available to Cameron true and correct copies of the articles of incorporation and bylaws of Schlumberger, each as amended to date, and each as so delivered is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93" w:lineRule="auto"/>
        <w:tabs>
          <w:tab w:leader="none" w:pos="70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Schlumberger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Schlumberger, and the consummation by Schlumberger of the transactions contemplated by this Agreement, including the Merger and the issuance by Schlumberger of shares of Schlumberger Common Stock as described in this Agreement, have been duly authorized by all requisite corporate action on behalf of Schlumberger. This Agreement has been duly executed and delivered by Schlumberger and constitutes the valid and legally binding obligation of Schlumberger, enforceable against Schlumberger in accordance with its terms.</w:t>
      </w:r>
    </w:p>
    <w:p>
      <w:pPr>
        <w:spacing w:after="0" w:line="164" w:lineRule="exact"/>
        <w:rPr>
          <w:rFonts w:ascii="Arial" w:cs="Arial" w:eastAsia="Arial" w:hAnsi="Arial"/>
          <w:sz w:val="16"/>
          <w:szCs w:val="16"/>
          <w:color w:val="auto"/>
        </w:rPr>
      </w:pPr>
    </w:p>
    <w:p>
      <w:pPr>
        <w:ind w:right="200" w:firstLine="464"/>
        <w:spacing w:after="0" w:line="264" w:lineRule="auto"/>
        <w:tabs>
          <w:tab w:leader="none" w:pos="71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Board of Directors of Schlumberger, at a meeting duly called and held on or prior to the date hereof, has unanimously approved and adopted this Agreement and approved the transactions contemplated hereby, including the Merger and the issuance by Schlumberger of shares of Schlumberger Common Stock as described in this Agreement.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Capitalization</w:t>
      </w:r>
      <w:r>
        <w:rPr>
          <w:rFonts w:ascii="Arial" w:cs="Arial" w:eastAsia="Arial" w:hAnsi="Arial"/>
          <w:sz w:val="16"/>
          <w:szCs w:val="16"/>
          <w:color w:val="auto"/>
        </w:rPr>
        <w:t>. Schlumberger may issue up to 4,500,000,000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August 21, 2015, there were (a) 1,265,382,984 outstanding shares of Schlumberger Common Stock and 168,829,180 shares of Schlumberger Common Stock held in the treasury of Schlumberger, (b) 45,137,280 shares of Schlumberger Common Stock are reserved for issuance under outstanding awards under employee benefits or stock and incentive plans of Schlumberger, and</w:t>
      </w:r>
    </w:p>
    <w:p>
      <w:pPr>
        <w:spacing w:after="0" w:line="2" w:lineRule="exact"/>
        <w:rPr>
          <w:sz w:val="20"/>
          <w:szCs w:val="20"/>
          <w:color w:val="auto"/>
        </w:rPr>
      </w:pPr>
    </w:p>
    <w:p>
      <w:pPr>
        <w:ind w:right="20" w:firstLine="8"/>
        <w:spacing w:after="0" w:line="267" w:lineRule="auto"/>
        <w:tabs>
          <w:tab w:leader="none" w:pos="24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no issued or outstanding shares of Schlumberger Preferred Stock. All of the issued and outstanding shares of Schlumberger Common Stock have been duly authorized and validly issued and are fully paid and nonassessable. The shares of Schlumberger Common Stock to be issued in connection with the Merger, when issued in accordance with this Agreement, will be duly authorized and validly issued and will be fully paid and nonassessable. Except (i) as set forth in this Section 7.3 or (ii) for changes since the close of business on August 21, 2015 resulting from the exercise of employee stock options outstanding on such date,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7"/>
          <w:szCs w:val="17"/>
          <w:b w:val="1"/>
          <w:bCs w:val="1"/>
          <w:color w:val="auto"/>
        </w:rPr>
        <w:t>Schlumberger Securities</w:t>
      </w:r>
      <w:r>
        <w:rPr>
          <w:rFonts w:ascii="Arial" w:cs="Arial" w:eastAsia="Arial" w:hAnsi="Arial"/>
          <w:sz w:val="17"/>
          <w:szCs w:val="17"/>
          <w:color w:val="auto"/>
        </w:rPr>
        <w:t>”). Except as required by the terms of any employee stock options or other stock-based awards, there are no outstanding obligations of Schlumberger or any of its Subsidiaries other than Schlumberger US and the Subsidiaries of Schlumberger US (collectively, the “</w:t>
      </w:r>
      <w:r>
        <w:rPr>
          <w:rFonts w:ascii="Arial" w:cs="Arial" w:eastAsia="Arial" w:hAnsi="Arial"/>
          <w:sz w:val="17"/>
          <w:szCs w:val="17"/>
          <w:b w:val="1"/>
          <w:bCs w:val="1"/>
          <w:color w:val="auto"/>
        </w:rPr>
        <w:t>Non-Schlumberger US Subsidiaries</w:t>
      </w:r>
      <w:r>
        <w:rPr>
          <w:rFonts w:ascii="Arial" w:cs="Arial" w:eastAsia="Arial" w:hAnsi="Arial"/>
          <w:sz w:val="17"/>
          <w:szCs w:val="17"/>
          <w:color w:val="auto"/>
        </w:rPr>
        <w:t>”) to repurchase, redeem or otherwise acquire any Schlumberger Securities. All of the outstanding common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Schlumberger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US is owned, directly or indirectly, by Schlumberger, free and clear of all Liens (including any restriction on the right to vote, sell or otherwise dispose of such common stock).</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Neither Schlumberger nor any of the Non-Schlumberger US Subsidiaries is in violation of any Applicable Laws, and no claim is pending or, to the knowledge of Schlumberger, threatened with respect to any such matters.</w:t>
      </w:r>
    </w:p>
    <w:p>
      <w:pPr>
        <w:spacing w:after="0" w:line="62" w:lineRule="exact"/>
        <w:rPr>
          <w:rFonts w:ascii="Arial" w:cs="Arial" w:eastAsia="Arial" w:hAnsi="Arial"/>
          <w:sz w:val="18"/>
          <w:szCs w:val="18"/>
          <w:color w:val="auto"/>
        </w:rPr>
      </w:pPr>
    </w:p>
    <w:p>
      <w:pPr>
        <w:ind w:left="460" w:right="100" w:firstLine="443"/>
        <w:spacing w:after="0" w:line="276" w:lineRule="auto"/>
        <w:tabs>
          <w:tab w:leader="none" w:pos="115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Schlumberger and each Non-Schlumberger US Subsidiary hold all permits, licenses, certifications, variations, exemptions, orders, franchises and approvals of all Governmental Entities necessary for the conduct of their respective businesses (the “</w:t>
      </w:r>
      <w:r>
        <w:rPr>
          <w:rFonts w:ascii="Arial" w:cs="Arial" w:eastAsia="Arial" w:hAnsi="Arial"/>
          <w:sz w:val="17"/>
          <w:szCs w:val="17"/>
          <w:b w:val="1"/>
          <w:bCs w:val="1"/>
          <w:color w:val="auto"/>
        </w:rPr>
        <w:t>Schlumberger Permits</w:t>
      </w:r>
      <w:r>
        <w:rPr>
          <w:rFonts w:ascii="Arial" w:cs="Arial" w:eastAsia="Arial" w:hAnsi="Arial"/>
          <w:sz w:val="17"/>
          <w:szCs w:val="17"/>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64" w:lineRule="exact"/>
        <w:rPr>
          <w:rFonts w:ascii="Arial" w:cs="Arial" w:eastAsia="Arial" w:hAnsi="Arial"/>
          <w:sz w:val="17"/>
          <w:szCs w:val="17"/>
          <w:color w:val="auto"/>
        </w:rPr>
      </w:pPr>
    </w:p>
    <w:p>
      <w:pPr>
        <w:ind w:left="460" w:right="100" w:firstLine="443"/>
        <w:spacing w:after="0" w:line="257" w:lineRule="auto"/>
        <w:tabs>
          <w:tab w:leader="none" w:pos="114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Schlumberger and each Non-Schlumberger US Subsidiary possess all permits, licenses, operating authorities, orders, exemptions, franchises, variances, consents, approvals or other authorizations required for the present ownership and operation of all its and the Non-Schlumberger US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Section 7.4 does not relate to export control or trade matters or the Foreign Corrupt Practices Act, which are the subjects of Sections 7.12 and 7.13,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3" w:lineRule="auto"/>
        <w:tabs>
          <w:tab w:leader="none" w:pos="70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execution, delivery and performance by Schlumberger of this Agreement does not, and the consummation by Schlumberger of the transactions contemplated by this Agreement in accordance with the terms hereof will not, (i) conflict with or result in a breach of any provisions of the articles of incorporation or bylaws of Schlumberger,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the Non-Schlumberger US Subsidiaries under, or result in being declared void, voidable, or without further binding effect, or otherwise result in a detriment to Schlumberger or any of the Non-Schlumberger US Subsidiaries under, any of the terms, conditions or provisions of, any loan or credit agreement, note, bond, mortgage, indenture, deed of trust, license, concession, franchise, permit, lease, contract, agreement, joint venture or other instrument or obligation to which Schlumberger or any of the Non-Schlumberger US Subsidiaries is a party, or by which Schlumberger or any of the Non-Schlumberger US Subsidiaries or any of their properties or assets is bound or affected, or</w:t>
      </w:r>
    </w:p>
    <w:p>
      <w:pPr>
        <w:spacing w:after="0" w:line="5" w:lineRule="exact"/>
        <w:rPr>
          <w:rFonts w:ascii="Arial" w:cs="Arial" w:eastAsia="Arial" w:hAnsi="Arial"/>
          <w:sz w:val="16"/>
          <w:szCs w:val="16"/>
          <w:color w:val="auto"/>
        </w:rPr>
      </w:pPr>
    </w:p>
    <w:p>
      <w:pPr>
        <w:ind w:right="160" w:firstLine="8"/>
        <w:spacing w:after="0" w:line="255" w:lineRule="auto"/>
        <w:tabs>
          <w:tab w:leader="none" w:pos="31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subject to the filings and other matters referred to in Section 7.5(b),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90" w:lineRule="exact"/>
        <w:rPr>
          <w:rFonts w:ascii="Arial" w:cs="Arial" w:eastAsia="Arial" w:hAnsi="Arial"/>
          <w:sz w:val="18"/>
          <w:szCs w:val="18"/>
          <w:color w:val="auto"/>
        </w:rPr>
      </w:pPr>
    </w:p>
    <w:p>
      <w:pPr>
        <w:ind w:left="720" w:hanging="256"/>
        <w:spacing w:after="0"/>
        <w:tabs>
          <w:tab w:leader="none" w:pos="72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5" w:lineRule="exact"/>
        <w:rPr>
          <w:sz w:val="20"/>
          <w:szCs w:val="20"/>
          <w:color w:val="auto"/>
        </w:rPr>
      </w:pPr>
    </w:p>
    <w:p>
      <w:pPr>
        <w:ind w:right="60" w:firstLine="8"/>
        <w:spacing w:after="0" w:line="290" w:lineRule="auto"/>
        <w:tabs>
          <w:tab w:leader="none" w:pos="26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rules and regulations of the NYSE, (iii) the HSR Act, the EC Merger Regulation and such applicable competition, antitrust or premerger notification laws of the other jurisdictions set forth in Section 7.5 of the Schlumberger Disclosure Letter, (iv) the Securities Act, (v) the Exchange Act,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8"/>
        <w:spacing w:after="0" w:line="297" w:lineRule="auto"/>
        <w:tabs>
          <w:tab w:leader="none" w:pos="30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state securities or “Blue Sky” laws and (vii) other Governmental Entities having jurisdiction over the Merger set forth in Section 7.5 of the Schlumberger Disclosure Letter, neither the execution, delivery or performance by Schlumberger of this Agreement, nor the consummation by Schlumberger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0" w:lineRule="auto"/>
        <w:tabs>
          <w:tab w:leader="none" w:pos="70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Schlumberger has filed or furnished all registration statements, prospectuses, reports, schedules, forms, statements and other documents (including exhibits and any amendments thereto) required to be so filed or furnished by it with the SEC since January 1, 2012 (collectively, the “</w:t>
      </w:r>
      <w:r>
        <w:rPr>
          <w:rFonts w:ascii="Arial" w:cs="Arial" w:eastAsia="Arial" w:hAnsi="Arial"/>
          <w:sz w:val="17"/>
          <w:szCs w:val="17"/>
          <w:b w:val="1"/>
          <w:bCs w:val="1"/>
          <w:color w:val="auto"/>
        </w:rPr>
        <w:t>Schlumberger</w:t>
      </w:r>
      <w:r>
        <w:rPr>
          <w:rFonts w:ascii="Arial" w:cs="Arial" w:eastAsia="Arial" w:hAnsi="Arial"/>
          <w:sz w:val="17"/>
          <w:szCs w:val="17"/>
          <w:color w:val="auto"/>
        </w:rPr>
        <w:t xml:space="preserve"> </w:t>
      </w:r>
      <w:r>
        <w:rPr>
          <w:rFonts w:ascii="Arial" w:cs="Arial" w:eastAsia="Arial" w:hAnsi="Arial"/>
          <w:sz w:val="17"/>
          <w:szCs w:val="17"/>
          <w:b w:val="1"/>
          <w:bCs w:val="1"/>
          <w:color w:val="auto"/>
        </w:rPr>
        <w:t>Reports</w:t>
      </w:r>
      <w:r>
        <w:rPr>
          <w:rFonts w:ascii="Arial" w:cs="Arial" w:eastAsia="Arial" w:hAnsi="Arial"/>
          <w:sz w:val="17"/>
          <w:szCs w:val="17"/>
          <w:color w:val="auto"/>
        </w:rPr>
        <w:t>”) and has made available to Cameron each such document it has so filed or furnished, in the form filed with or furnished to the SEC. No Non-Schlumberger US Subsidiary is required to file any registration statement, prospectus, report, schedule, form, statement or any other document with the SEC. No Non-Schlumberger US Subsidiary is, or since January 1, 2012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7" w:lineRule="exact"/>
        <w:rPr>
          <w:rFonts w:ascii="Arial" w:cs="Arial" w:eastAsia="Arial" w:hAnsi="Arial"/>
          <w:sz w:val="17"/>
          <w:szCs w:val="17"/>
          <w:color w:val="auto"/>
        </w:rPr>
      </w:pPr>
    </w:p>
    <w:p>
      <w:pPr>
        <w:ind w:firstLine="464"/>
        <w:spacing w:after="0" w:line="291" w:lineRule="auto"/>
        <w:tabs>
          <w:tab w:leader="none" w:pos="71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67" w:lineRule="exact"/>
        <w:rPr>
          <w:rFonts w:ascii="Arial" w:cs="Arial" w:eastAsia="Arial" w:hAnsi="Arial"/>
          <w:sz w:val="16"/>
          <w:szCs w:val="16"/>
          <w:color w:val="auto"/>
        </w:rPr>
      </w:pPr>
    </w:p>
    <w:p>
      <w:pPr>
        <w:ind w:right="60" w:firstLine="464"/>
        <w:spacing w:after="0" w:line="293" w:lineRule="auto"/>
        <w:tabs>
          <w:tab w:leader="none" w:pos="70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2014, (ii) liabilities or obligations incurred in the ordinary course of business since December 31, 2014 or (iii) liabilities or obligations which have not had and would not reasonably be expected to have, individually or in the aggregate, a Schlumberger Material Adverse Effect.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jc w:val="both"/>
        <w:ind w:right="60" w:firstLine="464"/>
        <w:spacing w:after="0" w:line="288" w:lineRule="auto"/>
        <w:tabs>
          <w:tab w:leader="none" w:pos="70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w:t>
      </w:r>
    </w:p>
    <w:p>
      <w:pPr>
        <w:ind w:left="280" w:hanging="272"/>
        <w:spacing w:after="0"/>
        <w:tabs>
          <w:tab w:leader="none" w:pos="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Proxy Statement/Prospectus will, on the date it is first mailed to Cameron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will comply as to form in all material respects with the provisions of the Exchange Act and the rules and regulations thereunder.</w:t>
      </w:r>
    </w:p>
    <w:p>
      <w:pPr>
        <w:spacing w:after="0" w:line="187" w:lineRule="exact"/>
        <w:rPr>
          <w:sz w:val="20"/>
          <w:szCs w:val="20"/>
          <w:color w:val="auto"/>
        </w:rPr>
      </w:pPr>
    </w:p>
    <w:p>
      <w:pPr>
        <w:ind w:right="340" w:firstLine="464"/>
        <w:spacing w:after="0" w:line="264"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7.7, no representation or warranty is made by Schlumberger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Litigation</w:t>
      </w:r>
      <w:r>
        <w:rPr>
          <w:rFonts w:ascii="Arial" w:cs="Arial" w:eastAsia="Arial" w:hAnsi="Arial"/>
          <w:sz w:val="17"/>
          <w:szCs w:val="17"/>
          <w:color w:val="auto"/>
        </w:rPr>
        <w:t>. There are no (a) civil, criminal or administrative actions, suits, claims, hearings, arbitrations, investigations or proceedings pending or, to the knowledge of Schlumberger, threatened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or (b) litigations, arbitrations, investigations or other proceedings, or injunctions or final judgments relating thereto, pending or, to the knowledge of Schlumberger, threatened before any Governmental Entity or arbitrator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except in the case of either clause (a) or (b), for those that would not, individually or in the aggregate, reasonably be expected to result in a Schlumberger Material Adverse Effect. None of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7.8 does not relate to export control or trade matters or the Foreign Corrupt Practices Act, which are the subjects of Sections 7.12 and 7.13, respectively.</w:t>
      </w:r>
    </w:p>
    <w:p>
      <w:pPr>
        <w:spacing w:after="0" w:line="18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Schlumberger US and Cameron Stock Ownership</w:t>
      </w:r>
      <w:r>
        <w:rPr>
          <w:rFonts w:ascii="Arial" w:cs="Arial" w:eastAsia="Arial" w:hAnsi="Arial"/>
          <w:sz w:val="18"/>
          <w:szCs w:val="18"/>
          <w:color w:val="auto"/>
        </w:rPr>
        <w:t>. Neither Schlumberger nor any of the Non-Schlumberger US Subsidiaries owns any shares of capital stock of Cameron or any other securities convertible into or otherwise exercisable for shares of capital stock of Cameron. All of the outstanding capital stock of Schlumberger US is owned indirectly by Schlumberger, free and clear of all Liens (including any restriction on the right to vote, sell or otherwise dispose of such capital stock).</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jc w:val="both"/>
        <w:ind w:right="200" w:firstLine="464"/>
        <w:spacing w:after="0" w:line="259" w:lineRule="auto"/>
        <w:tabs>
          <w:tab w:leader="none" w:pos="70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(other than Schlumberger US and its Subsidiaries and their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78" w:lineRule="exact"/>
        <w:rPr>
          <w:sz w:val="20"/>
          <w:szCs w:val="20"/>
          <w:color w:val="auto"/>
        </w:rPr>
      </w:pPr>
    </w:p>
    <w:p>
      <w:pPr>
        <w:jc w:val="both"/>
        <w:ind w:right="380" w:firstLine="464"/>
        <w:spacing w:after="0" w:line="259" w:lineRule="auto"/>
        <w:tabs>
          <w:tab w:leader="none" w:pos="7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86"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(other than Schlumberger US and its Subsidiaries) have not been since January 1, 2012 and, to the knowledge of Schlumberger,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or any of its affiliates (other than Schlumberger US and its Subsidiaries) in writing since January 1, 2012 of any actual or alleged violation or breach of any Applicable Laws relating to export controls or trade sanctions.</w:t>
      </w:r>
    </w:p>
    <w:p>
      <w:pPr>
        <w:spacing w:after="0" w:line="181" w:lineRule="exact"/>
        <w:rPr>
          <w:rFonts w:ascii="Arial" w:cs="Arial" w:eastAsia="Arial" w:hAnsi="Arial"/>
          <w:sz w:val="18"/>
          <w:szCs w:val="18"/>
          <w:color w:val="auto"/>
        </w:rPr>
      </w:pPr>
    </w:p>
    <w:p>
      <w:pPr>
        <w:jc w:val="both"/>
        <w:ind w:right="400" w:firstLine="464"/>
        <w:spacing w:after="0" w:line="259" w:lineRule="auto"/>
        <w:tabs>
          <w:tab w:leader="none" w:pos="68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(other than Schlumberger US and its Subsidiaries) has undergone or is undergoing any internal or external audit, review, inspection, investigation, survey or examination of records relating to Schlumberger’s or any of its affiliates’ (other than Schlumberger US and its Subsidiaries) export activity that would, individually or in the aggregate, reasonably be expected to affect adversely its future export activity.</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69" w:lineRule="auto"/>
        <w:tabs>
          <w:tab w:leader="none" w:pos="70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Schlumberger and its affiliates, directors, officers and employees (other than Schlumberger US and its Subsidiaries and their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(other than Schlumberger US and its Subsidiaries,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64"/>
        <w:spacing w:after="0" w:line="264" w:lineRule="auto"/>
        <w:tabs>
          <w:tab w:leader="none" w:pos="71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81" w:lineRule="exact"/>
        <w:rPr>
          <w:rFonts w:ascii="Arial" w:cs="Arial" w:eastAsia="Arial" w:hAnsi="Arial"/>
          <w:sz w:val="18"/>
          <w:szCs w:val="18"/>
          <w:color w:val="auto"/>
        </w:rPr>
      </w:pPr>
    </w:p>
    <w:p>
      <w:pPr>
        <w:ind w:right="160" w:firstLine="464"/>
        <w:spacing w:after="0" w:line="259" w:lineRule="auto"/>
        <w:tabs>
          <w:tab w:leader="none" w:pos="70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86" w:lineRule="exact"/>
        <w:rPr>
          <w:rFonts w:ascii="Arial" w:cs="Arial" w:eastAsia="Arial" w:hAnsi="Arial"/>
          <w:sz w:val="18"/>
          <w:szCs w:val="18"/>
          <w:color w:val="auto"/>
        </w:rPr>
      </w:pPr>
    </w:p>
    <w:p>
      <w:pPr>
        <w:ind w:firstLine="464"/>
        <w:spacing w:after="0" w:line="276" w:lineRule="auto"/>
        <w:tabs>
          <w:tab w:leader="none" w:pos="71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To Schlumberger’s knowledge, Schlumberger and its affiliates (other than Schlumberger US and its Subsidiaries) have not been since January 1, 2012 and are not now under any administrative, civil or criminal investigation or indictment involving alleged violations of the Foreign Corrupt Practices Act or any other applicable anticorruption or antibribery laws. Neither Schlumberger nor any of its affiliates (other than Schlumberger US and its Subsidiaries) are participating in any investigation by a Governmental Entity relating to alleged violations by Schlumberger or its affiliates (other than Schlumberger US and its Subsidiaries) of the Foreign Corrupt Practices Act or any other applicable anticorruption or antibribery laws.</w:t>
      </w:r>
    </w:p>
    <w:p>
      <w:pPr>
        <w:spacing w:after="0" w:line="172" w:lineRule="exact"/>
        <w:rPr>
          <w:rFonts w:ascii="Arial" w:cs="Arial" w:eastAsia="Arial" w:hAnsi="Arial"/>
          <w:sz w:val="17"/>
          <w:szCs w:val="17"/>
          <w:color w:val="auto"/>
        </w:rPr>
      </w:pPr>
    </w:p>
    <w:p>
      <w:pPr>
        <w:ind w:right="300" w:firstLine="464"/>
        <w:spacing w:after="0" w:line="342" w:lineRule="auto"/>
        <w:tabs>
          <w:tab w:leader="none" w:pos="701"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U.S. Government has not notified Schlumberger or any of its affiliates (other than Schlumberger US and its Subsidiaries) in writing since January 1, 2012 of any actual or alleged violation or breach of the Foreign Corrupt Practices Act or any other applicable anticorruption or antibribery law.</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Decrees, Etc</w:t>
      </w:r>
      <w:r>
        <w:rPr>
          <w:rFonts w:ascii="Arial" w:cs="Arial" w:eastAsia="Arial" w:hAnsi="Arial"/>
          <w:sz w:val="18"/>
          <w:szCs w:val="18"/>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the Non-Schlumberger US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or any of the Non-Schlumberger US Subsidiaries.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5" w:lineRule="exact"/>
        <w:rPr>
          <w:sz w:val="20"/>
          <w:szCs w:val="20"/>
          <w:color w:val="auto"/>
        </w:rPr>
      </w:pPr>
    </w:p>
    <w:p>
      <w:pPr>
        <w:ind w:right="680" w:firstLine="464"/>
        <w:spacing w:after="0" w:line="308" w:lineRule="auto"/>
        <w:tabs>
          <w:tab w:leader="none" w:pos="70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146" w:lineRule="exact"/>
        <w:rPr>
          <w:rFonts w:ascii="Arial" w:cs="Arial" w:eastAsia="Arial" w:hAnsi="Arial"/>
          <w:sz w:val="17"/>
          <w:szCs w:val="17"/>
          <w:color w:val="auto"/>
        </w:rPr>
      </w:pPr>
    </w:p>
    <w:p>
      <w:pPr>
        <w:ind w:right="80" w:firstLine="464"/>
        <w:spacing w:after="0" w:line="302" w:lineRule="auto"/>
        <w:tabs>
          <w:tab w:leader="none" w:pos="71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280" w:firstLine="464"/>
        <w:spacing w:after="0" w:line="276" w:lineRule="auto"/>
        <w:tabs>
          <w:tab w:leader="none" w:pos="70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64"/>
        <w:spacing w:after="0" w:line="254" w:lineRule="auto"/>
        <w:tabs>
          <w:tab w:leader="none" w:pos="71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2014, and such assessment concluded that such internal controls were effective using the framework specified in Schlumberger’s annual report on Form 10-K for the year ended December 31, 2014.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92"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Schlumberger to any of its executive officers or directors has been made or modified (other than as permitted by Section 13 of the Exchange Act and Section 402 of the Sarbanes-Oxley Act) since July 30, 2002.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Cameron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Cameron and its Subsidiaries shall be conducted in the ordinary course of business and, to the extent consistent therewith, Cameron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Cameron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action by Cameron or its Subsidiaries with respect to matters specifically addressed by Section 8.1(b) shall be deemed to be a breach of this sentence unless such action would constitute a breach of Section 8.1(b).</w:t>
      </w:r>
    </w:p>
    <w:p>
      <w:pPr>
        <w:spacing w:after="0" w:line="178"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8.1 of the Cameron Disclosure Letter, or (D) as required by Applicable Law, Cameron will not and will not permit any of its Subsidiaries to:</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adopt any change in, or waive any provision of, its certificate of incorporation or bylaws or other applicable governing instruments;</w:t>
      </w:r>
    </w:p>
    <w:p>
      <w:pPr>
        <w:spacing w:after="0" w:line="128" w:lineRule="exact"/>
        <w:rPr>
          <w:rFonts w:ascii="Arial" w:cs="Arial" w:eastAsia="Arial" w:hAnsi="Arial"/>
          <w:sz w:val="17"/>
          <w:szCs w:val="17"/>
          <w:color w:val="auto"/>
        </w:rPr>
      </w:pPr>
    </w:p>
    <w:p>
      <w:pPr>
        <w:ind w:left="460" w:right="160" w:firstLine="443"/>
        <w:spacing w:after="0" w:line="308" w:lineRule="auto"/>
        <w:tabs>
          <w:tab w:leader="none" w:pos="1163" w:val="left"/>
        </w:tabs>
        <w:numPr>
          <w:ilvl w:val="1"/>
          <w:numId w:val="242"/>
        </w:numPr>
        <w:rPr>
          <w:rFonts w:ascii="Arial" w:cs="Arial" w:eastAsia="Arial" w:hAnsi="Arial"/>
          <w:sz w:val="17"/>
          <w:szCs w:val="17"/>
          <w:color w:val="auto"/>
        </w:rPr>
      </w:pPr>
      <w:r>
        <w:rPr>
          <w:rFonts w:ascii="Arial" w:cs="Arial" w:eastAsia="Arial" w:hAnsi="Arial"/>
          <w:sz w:val="17"/>
          <w:szCs w:val="17"/>
          <w:color w:val="auto"/>
        </w:rPr>
        <w:t>merge or consolidate Cameron or any of its Subsidiaries with any other person, except as permitted under Section 8.1(b)(viii) and except for any such transactions among wholly owned Subsidiaries of Cameron that are not obligors or guarantors of third-party indebtedness;</w:t>
      </w:r>
    </w:p>
    <w:p>
      <w:pPr>
        <w:spacing w:after="0" w:line="38" w:lineRule="exact"/>
        <w:rPr>
          <w:rFonts w:ascii="Arial" w:cs="Arial" w:eastAsia="Arial" w:hAnsi="Arial"/>
          <w:sz w:val="17"/>
          <w:szCs w:val="17"/>
          <w:color w:val="auto"/>
        </w:rPr>
      </w:pPr>
    </w:p>
    <w:p>
      <w:pPr>
        <w:ind w:left="460" w:right="20" w:firstLine="443"/>
        <w:spacing w:after="0" w:line="297" w:lineRule="auto"/>
        <w:tabs>
          <w:tab w:leader="none" w:pos="121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Cameron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Cameron or any Subsidiary, other than issuances of shares of Cameron Common Stock upon exercise of Cameron Options or the settlement of Cameron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Restricted Stock Unit Awards, Cameron Deferred Stock Unit Awards or Cameron Performance Share Awards outstanding on the date of this Agreement and except as permitted under Section 8.1(b)(iv); or (2) repurchase, redeem or otherwise acquire any securities or equity equivalents except in the ordinary course of business in connection with (w) the cashless exercise of Cameron Options in accordance with the Cameron Stock Plans, (x) the settlement of Cameron Restricted Stock Unit Awards, Cameron Deferred Stock Unit Awards, Cameron Performance Share Awards or Cameron Options, in each case, in order to satisfy withholding or exercise price obligations in accordance with the Cameron Stock Plans, (y) the forfeiture of Cameron Options, Cameron Restricted Stock Unit Awards, Cameron Deferred Stock Unit Awards or Cameron Performance Share Awards or (z) equity compensation grants permitted by Section 8.1(b)(iv);</w:t>
      </w:r>
    </w:p>
    <w:p>
      <w:pPr>
        <w:spacing w:after="0" w:line="81" w:lineRule="exact"/>
        <w:rPr>
          <w:sz w:val="20"/>
          <w:szCs w:val="20"/>
          <w:color w:val="auto"/>
        </w:rPr>
      </w:pPr>
    </w:p>
    <w:p>
      <w:pPr>
        <w:ind w:left="1200" w:hanging="297"/>
        <w:spacing w:after="0"/>
        <w:tabs>
          <w:tab w:leader="none" w:pos="120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except to the extent required under any Cameron Benefit Plan as in effect on the date of this Agreement or as required by Applicable Law,</w:t>
      </w:r>
    </w:p>
    <w:p>
      <w:pPr>
        <w:spacing w:after="0" w:line="46" w:lineRule="exact"/>
        <w:rPr>
          <w:rFonts w:ascii="Arial" w:cs="Arial" w:eastAsia="Arial" w:hAnsi="Arial"/>
          <w:sz w:val="16"/>
          <w:szCs w:val="16"/>
          <w:color w:val="auto"/>
        </w:rPr>
      </w:pPr>
    </w:p>
    <w:p>
      <w:pPr>
        <w:ind w:left="460" w:right="60" w:firstLine="4"/>
        <w:spacing w:after="0" w:line="281" w:lineRule="auto"/>
        <w:tabs>
          <w:tab w:leader="none" w:pos="71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increase the compensation (including bonus opportunities) or fringe benefits of any of its directors, executive officers or employees (except in the ordinary course of business consistent with past practice with employees who are not parties to a change in control agreement), (2) grant any severance or termination pay, other than nominal severance to terminated employees, except in the ordinary course of business consistent with past practice,</w:t>
      </w:r>
    </w:p>
    <w:p>
      <w:pPr>
        <w:spacing w:after="0" w:line="2" w:lineRule="exact"/>
        <w:rPr>
          <w:rFonts w:ascii="Arial" w:cs="Arial" w:eastAsia="Arial" w:hAnsi="Arial"/>
          <w:sz w:val="16"/>
          <w:szCs w:val="16"/>
          <w:color w:val="auto"/>
        </w:rPr>
      </w:pPr>
    </w:p>
    <w:p>
      <w:pPr>
        <w:ind w:left="460" w:firstLine="4"/>
        <w:spacing w:after="0" w:line="284" w:lineRule="auto"/>
        <w:tabs>
          <w:tab w:leader="none" w:pos="71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make any new equity awards to any director, officer or employee, except in the ordinary course of business consistent with past practice, which equity awards shall provide that the consummation of the transactions contemplated by this Agreement will not alone result in a change-in-control acceleration,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Cameron Benefit Plan or take any action to accelerate entitlement to benefits under any Cameron 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Cameron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Cameron Benefit Plan, except as required by the terms of the Cameron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or (10) execute or amend any collective bargaining agreement with any labor organization except in the ordinary course of business;</w:t>
      </w:r>
    </w:p>
    <w:p>
      <w:pPr>
        <w:spacing w:after="0" w:line="283" w:lineRule="exact"/>
        <w:rPr>
          <w:rFonts w:ascii="Arial" w:cs="Arial" w:eastAsia="Arial" w:hAnsi="Arial"/>
          <w:sz w:val="16"/>
          <w:szCs w:val="16"/>
          <w:color w:val="auto"/>
        </w:rPr>
      </w:pPr>
    </w:p>
    <w:p>
      <w:pPr>
        <w:ind w:left="460" w:right="20" w:firstLine="443"/>
        <w:spacing w:after="0" w:line="297" w:lineRule="auto"/>
        <w:tabs>
          <w:tab w:leader="none" w:pos="1153" w:val="left"/>
        </w:tabs>
        <w:numPr>
          <w:ilvl w:val="1"/>
          <w:numId w:val="245"/>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Cameron or any of its Subsidiaries, except for (1) dividends by any direct or indirect Subsidiary only to Cameron or any wholly owned Subsidiary of Cameron in the ordinary course of business consistent with past practice, (2) pro rata dividends by any Subsidiary of Cameron included in the Joint Venture, or (3) dividends or distributions required under the applicable organizational documents of such entity in effect on the date of this Agreement;</w:t>
      </w:r>
    </w:p>
    <w:p>
      <w:pPr>
        <w:spacing w:after="0" w:line="50" w:lineRule="exact"/>
        <w:rPr>
          <w:rFonts w:ascii="Arial" w:cs="Arial" w:eastAsia="Arial" w:hAnsi="Arial"/>
          <w:sz w:val="16"/>
          <w:szCs w:val="16"/>
          <w:color w:val="auto"/>
        </w:rPr>
      </w:pPr>
    </w:p>
    <w:p>
      <w:pPr>
        <w:ind w:left="460" w:right="220" w:firstLine="443"/>
        <w:spacing w:after="0" w:line="264" w:lineRule="auto"/>
        <w:tabs>
          <w:tab w:leader="none" w:pos="1203" w:val="left"/>
        </w:tabs>
        <w:numPr>
          <w:ilvl w:val="1"/>
          <w:numId w:val="245"/>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of Cameron’s or any of its Subsidiaries’ capital stock, or make any commitment for any such action other than pursuant to the Cameron Stock Plans and other than transactions between Cameron and its wholly owned Subsidiaries and transactions among Cameron’s wholly owned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55" w:lineRule="auto"/>
        <w:tabs>
          <w:tab w:leader="none" w:pos="125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sell, lease, license, subject to a Lien, encumber (including by the grant of any option thereon) or otherwise surrender, relinquish or dispose of any of the assets or properties of Cameron or its Subsidiaries (including capital stock of Subsidiaries), except for (1) sales, leases, licenses or other dispositions of assets or properties with a fair market value not in excess of $25 million in respect of any one asset or property and not in excess of $100 million in the aggregate, (2) sales of surplus or obsolete equipment, (3) sales, leases, licenses or other transfers between Cameron and its wholly owned Subsidiaries or between those Subsidiaries, or (4) sales of inventory, products and services and recognition of “lost-in-hole” products in the ordinary course of business consistent with past practice;</w:t>
      </w:r>
    </w:p>
    <w:p>
      <w:pPr>
        <w:spacing w:after="0" w:line="85" w:lineRule="exact"/>
        <w:rPr>
          <w:rFonts w:ascii="Arial" w:cs="Arial" w:eastAsia="Arial" w:hAnsi="Arial"/>
          <w:sz w:val="18"/>
          <w:szCs w:val="18"/>
          <w:color w:val="auto"/>
        </w:rPr>
      </w:pPr>
    </w:p>
    <w:p>
      <w:pPr>
        <w:ind w:left="460" w:right="160" w:firstLine="443"/>
        <w:spacing w:after="0" w:line="259" w:lineRule="auto"/>
        <w:tabs>
          <w:tab w:leader="none" w:pos="13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for consideration in excess of $50 million in respect of any one acquisition or for aggregate consideration for all such acquisitions in excess of $100 million;</w:t>
      </w:r>
    </w:p>
    <w:p>
      <w:pPr>
        <w:spacing w:after="0" w:line="78" w:lineRule="exact"/>
        <w:rPr>
          <w:rFonts w:ascii="Arial" w:cs="Arial" w:eastAsia="Arial" w:hAnsi="Arial"/>
          <w:sz w:val="18"/>
          <w:szCs w:val="18"/>
          <w:color w:val="auto"/>
        </w:rPr>
      </w:pPr>
    </w:p>
    <w:p>
      <w:pPr>
        <w:ind w:left="460" w:right="180" w:firstLine="443"/>
        <w:spacing w:after="0" w:line="264" w:lineRule="auto"/>
        <w:tabs>
          <w:tab w:leader="none" w:pos="12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enter into any joint venture, partnership or other similar arrangement or make any loan, capital contribution or advance to or investment in any other person (other than Cameron or any wholly owned Subsidiary of Cameron) other than in the ordinary course of business consistent with past practice in an amount not exceeding $20 million individually or $50 million in the aggregate;</w:t>
      </w:r>
    </w:p>
    <w:p>
      <w:pPr>
        <w:spacing w:after="0" w:line="73"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other than in the ordinary course of business, sell, transfer or license to any person, covenant not to sue regarding, or adversely amend or modify any rights (1) to any material Intellectual Property Rights of Cameron or any of its Subsidiaries or (2) distribute, license or co-promote products or services (including products or services under development) of Cameron or any of its Subsidiaries or products or services (including products or services under development) licensed by Cameron or any of its Subsidiaries;</w:t>
      </w:r>
    </w:p>
    <w:p>
      <w:pPr>
        <w:spacing w:after="0" w:line="78" w:lineRule="exact"/>
        <w:rPr>
          <w:rFonts w:ascii="Arial" w:cs="Arial" w:eastAsia="Arial" w:hAnsi="Arial"/>
          <w:sz w:val="18"/>
          <w:szCs w:val="18"/>
          <w:color w:val="auto"/>
        </w:rPr>
      </w:pPr>
    </w:p>
    <w:p>
      <w:pPr>
        <w:ind w:left="1200" w:hanging="297"/>
        <w:spacing w:after="0"/>
        <w:tabs>
          <w:tab w:leader="none" w:pos="12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make any changes with respect to financial accounting policies or procedures, except as required by changes in GAAP or by Applicable Law;</w:t>
      </w:r>
    </w:p>
    <w:p>
      <w:pPr>
        <w:spacing w:after="0" w:line="140" w:lineRule="exact"/>
        <w:rPr>
          <w:rFonts w:ascii="Arial" w:cs="Arial" w:eastAsia="Arial" w:hAnsi="Arial"/>
          <w:sz w:val="16"/>
          <w:szCs w:val="16"/>
          <w:color w:val="auto"/>
        </w:rPr>
      </w:pPr>
    </w:p>
    <w:p>
      <w:pPr>
        <w:ind w:left="460" w:right="20" w:firstLine="443"/>
        <w:spacing w:after="0" w:line="254" w:lineRule="auto"/>
        <w:tabs>
          <w:tab w:leader="none" w:pos="125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except to the extent required by Applicable Law, (A) make or rescind any election relating to Taxes, including elections for any and all joint ventures, partnerships, limited liability companies, working interests or other investments, (B) settle or compromise any claim, action, suit, litigation, proceeding, arbitration, investigation, audit or controversy (including by entering into any closing agreement) (each, a “</w:t>
      </w:r>
      <w:r>
        <w:rPr>
          <w:rFonts w:ascii="Arial" w:cs="Arial" w:eastAsia="Arial" w:hAnsi="Arial"/>
          <w:sz w:val="18"/>
          <w:szCs w:val="18"/>
          <w:b w:val="1"/>
          <w:bCs w:val="1"/>
          <w:color w:val="auto"/>
        </w:rPr>
        <w:t>Proceeding</w:t>
      </w:r>
      <w:r>
        <w:rPr>
          <w:rFonts w:ascii="Arial" w:cs="Arial" w:eastAsia="Arial" w:hAnsi="Arial"/>
          <w:sz w:val="18"/>
          <w:szCs w:val="18"/>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(F) file any amended Return or (G) extend the statute of limitations with respect to any tax period, in each case of clauses (A) through (G), if such action would have an adverse effect on Cameron and its Subsidiaries that is material;</w:t>
      </w:r>
    </w:p>
    <w:p>
      <w:pPr>
        <w:spacing w:after="0" w:line="84" w:lineRule="exact"/>
        <w:rPr>
          <w:rFonts w:ascii="Arial" w:cs="Arial" w:eastAsia="Arial" w:hAnsi="Arial"/>
          <w:sz w:val="18"/>
          <w:szCs w:val="18"/>
          <w:color w:val="auto"/>
        </w:rPr>
      </w:pPr>
    </w:p>
    <w:p>
      <w:pPr>
        <w:ind w:left="460" w:right="280" w:firstLine="443"/>
        <w:spacing w:after="0" w:line="264" w:lineRule="auto"/>
        <w:tabs>
          <w:tab w:leader="none" w:pos="13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settle or compromise any material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$10 million individually or $30 million in the aggregate;</w:t>
      </w:r>
    </w:p>
    <w:p>
      <w:pPr>
        <w:spacing w:after="0" w:line="73" w:lineRule="exact"/>
        <w:rPr>
          <w:rFonts w:ascii="Arial" w:cs="Arial" w:eastAsia="Arial" w:hAnsi="Arial"/>
          <w:sz w:val="18"/>
          <w:szCs w:val="18"/>
          <w:color w:val="auto"/>
        </w:rPr>
      </w:pPr>
    </w:p>
    <w:p>
      <w:pPr>
        <w:ind w:left="460" w:right="140" w:firstLine="443"/>
        <w:spacing w:after="0" w:line="273" w:lineRule="auto"/>
        <w:tabs>
          <w:tab w:leader="none" w:pos="129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create, incur or assume any Debt or guarantee any Debt of another person, issue or sell any debt securities or calls, options, warrants or other rights to acquire any debt securities of Cameron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Cameron’s existing credit facility, working capital facilities, or other existing similar lines of credit in the ordinary course of business, (2) other Debt not to exceed $100 million in the aggregate and (3) intercompany Debt among Cameron and its Subsidiaries in the ordinary course of business consistent with past practice;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firstLine="443"/>
        <w:spacing w:after="0" w:line="276" w:lineRule="auto"/>
        <w:tabs>
          <w:tab w:leader="none" w:pos="124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repurchase, repay, defease or pre-pay any Debt, except (1) repayments in the ordinary course of business, (2) repayments of mortgage indebtedness secured by one or more real property assets of Cameron or any of its Subsidiaries in accordance with their terms, as such loans become due and payable or payment of Debt in accordance with its terms or (3) repayments of indebtedness by a Subsidiary of Cameron to Cameron or its wholly 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64" w:lineRule="exact"/>
        <w:rPr>
          <w:rFonts w:ascii="Arial" w:cs="Arial" w:eastAsia="Arial" w:hAnsi="Arial"/>
          <w:sz w:val="17"/>
          <w:szCs w:val="17"/>
          <w:color w:val="auto"/>
        </w:rPr>
      </w:pPr>
    </w:p>
    <w:p>
      <w:pPr>
        <w:ind w:left="460" w:right="240" w:firstLine="443"/>
        <w:spacing w:after="0" w:line="277" w:lineRule="auto"/>
        <w:tabs>
          <w:tab w:leader="none" w:pos="129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in the ordinary course of business;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34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except for capital expenditures consistent in all material respects with the capital budget previously made available to Schlumberger, make, authorize or enter into any commitment for any capital expenditures in excess of $25 million in the aggregate;</w:t>
      </w:r>
    </w:p>
    <w:p>
      <w:pPr>
        <w:spacing w:after="0" w:line="62" w:lineRule="exact"/>
        <w:rPr>
          <w:rFonts w:ascii="Arial" w:cs="Arial" w:eastAsia="Arial" w:hAnsi="Arial"/>
          <w:sz w:val="18"/>
          <w:szCs w:val="18"/>
          <w:color w:val="auto"/>
        </w:rPr>
      </w:pPr>
    </w:p>
    <w:p>
      <w:pPr>
        <w:ind w:left="460" w:right="40" w:firstLine="443"/>
        <w:spacing w:after="0" w:line="312" w:lineRule="auto"/>
        <w:tabs>
          <w:tab w:leader="none" w:pos="1393" w:val="left"/>
        </w:tabs>
        <w:numPr>
          <w:ilvl w:val="0"/>
          <w:numId w:val="247"/>
        </w:numPr>
        <w:rPr>
          <w:rFonts w:ascii="Arial" w:cs="Arial" w:eastAsia="Arial" w:hAnsi="Arial"/>
          <w:sz w:val="16"/>
          <w:szCs w:val="16"/>
          <w:color w:val="auto"/>
        </w:rPr>
      </w:pPr>
      <w:r>
        <w:rPr>
          <w:rFonts w:ascii="Arial" w:cs="Arial" w:eastAsia="Arial" w:hAnsi="Arial"/>
          <w:sz w:val="16"/>
          <w:szCs w:val="16"/>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Cameron and its Subsidiaries or (3) enter into any new agreement that constitutes a Material Contract;</w:t>
      </w:r>
    </w:p>
    <w:p>
      <w:pPr>
        <w:spacing w:after="0" w:line="38" w:lineRule="exact"/>
        <w:rPr>
          <w:rFonts w:ascii="Arial" w:cs="Arial" w:eastAsia="Arial" w:hAnsi="Arial"/>
          <w:sz w:val="16"/>
          <w:szCs w:val="16"/>
          <w:color w:val="auto"/>
        </w:rPr>
      </w:pPr>
    </w:p>
    <w:p>
      <w:pPr>
        <w:ind w:left="460" w:firstLine="443"/>
        <w:spacing w:after="0" w:line="259" w:lineRule="auto"/>
        <w:tabs>
          <w:tab w:leader="none" w:pos="129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Cameron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78" w:lineRule="exact"/>
        <w:rPr>
          <w:rFonts w:ascii="Arial" w:cs="Arial" w:eastAsia="Arial" w:hAnsi="Arial"/>
          <w:sz w:val="18"/>
          <w:szCs w:val="18"/>
          <w:color w:val="auto"/>
        </w:rPr>
      </w:pPr>
    </w:p>
    <w:p>
      <w:pPr>
        <w:ind w:left="460" w:right="160" w:firstLine="443"/>
        <w:spacing w:after="0" w:line="277" w:lineRule="auto"/>
        <w:tabs>
          <w:tab w:leader="none" w:pos="124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Cameron or any of its Subsidiaries;</w:t>
      </w:r>
    </w:p>
    <w:p>
      <w:pPr>
        <w:spacing w:after="0" w:line="62" w:lineRule="exact"/>
        <w:rPr>
          <w:rFonts w:ascii="Arial" w:cs="Arial" w:eastAsia="Arial" w:hAnsi="Arial"/>
          <w:sz w:val="18"/>
          <w:szCs w:val="18"/>
          <w:color w:val="auto"/>
        </w:rPr>
      </w:pPr>
    </w:p>
    <w:p>
      <w:pPr>
        <w:ind w:left="460" w:firstLine="443"/>
        <w:spacing w:after="0" w:line="255" w:lineRule="auto"/>
        <w:tabs>
          <w:tab w:leader="none" w:pos="129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(1) adjust, reclassify, split, combine, subdivide or repurchase, redeem or otherwise acquire, directly or indirectly, any shares of capital stock or other equity interest of Cameron or any of its Subsidiaries or securities convertible or exchangeable into or exercisable for any shares of capital stock or other equity interest of Cameron or any of its Subsidiaries (except for any adjustment, reclassifications, stock splits, repurchases, redemptions or other acquisitions by Cameron or any of its wholly owned Subsidiaries of capital stock or equity interests of wholly owned Subsidiaries of Cameron), or (2) purchase or otherwise acquire, directly or indirectly, any of the capital stock of Schlumberger or securities convertible or exchangeable into or exercisable for any shares of capital stock of Schlumberger;</w:t>
      </w:r>
    </w:p>
    <w:p>
      <w:pPr>
        <w:spacing w:after="0" w:line="85" w:lineRule="exact"/>
        <w:rPr>
          <w:rFonts w:ascii="Arial" w:cs="Arial" w:eastAsia="Arial" w:hAnsi="Arial"/>
          <w:sz w:val="18"/>
          <w:szCs w:val="18"/>
          <w:color w:val="auto"/>
        </w:rPr>
      </w:pPr>
    </w:p>
    <w:p>
      <w:pPr>
        <w:ind w:left="1340" w:hanging="437"/>
        <w:spacing w:after="0"/>
        <w:tabs>
          <w:tab w:leader="none" w:pos="13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400" w:hanging="497"/>
        <w:spacing w:after="0"/>
        <w:tabs>
          <w:tab w:leader="none" w:pos="14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take any action that would, or would reasonably be expected to, (1) result in the failure of a condition set forth in Section 9.1 or</w:t>
      </w:r>
    </w:p>
    <w:p>
      <w:pPr>
        <w:spacing w:after="0" w:line="35" w:lineRule="exact"/>
        <w:rPr>
          <w:sz w:val="20"/>
          <w:szCs w:val="20"/>
          <w:color w:val="auto"/>
        </w:rPr>
      </w:pPr>
    </w:p>
    <w:p>
      <w:pPr>
        <w:ind w:left="460" w:right="420"/>
        <w:spacing w:after="0" w:line="261" w:lineRule="auto"/>
        <w:rPr>
          <w:sz w:val="20"/>
          <w:szCs w:val="20"/>
          <w:color w:val="auto"/>
        </w:rPr>
      </w:pPr>
      <w:r>
        <w:rPr>
          <w:rFonts w:ascii="Arial" w:cs="Arial" w:eastAsia="Arial" w:hAnsi="Arial"/>
          <w:sz w:val="18"/>
          <w:szCs w:val="18"/>
          <w:color w:val="auto"/>
        </w:rPr>
        <w:t>Section 9.3, or (2) prevent, materially delay or materially impede the consummation of the Merger and the other transactions contemplated by this Agreement;</w:t>
      </w:r>
    </w:p>
    <w:p>
      <w:pPr>
        <w:spacing w:after="0" w:line="76" w:lineRule="exact"/>
        <w:rPr>
          <w:sz w:val="20"/>
          <w:szCs w:val="20"/>
          <w:color w:val="auto"/>
        </w:rPr>
      </w:pPr>
    </w:p>
    <w:p>
      <w:pPr>
        <w:ind w:left="460" w:right="180" w:firstLine="443"/>
        <w:spacing w:after="0" w:line="264" w:lineRule="auto"/>
        <w:tabs>
          <w:tab w:leader="none" w:pos="138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340" w:hanging="437"/>
        <w:spacing w:after="0"/>
        <w:tabs>
          <w:tab w:leader="none" w:pos="1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right="100" w:firstLine="464"/>
        <w:spacing w:after="0" w:line="312" w:lineRule="auto"/>
        <w:tabs>
          <w:tab w:leader="none" w:pos="70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Cameron may approve in writing (such approval not to be unreasonably withheld, conditioned or delayed), (C) as set forth in Section 8.1 of the Schlumberger Disclosure Letter, or (D) as required by Applicable Law, the business of Schlumberger, Schlumberger US, Merger Sub and their respective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Subsidiaries shall be conducted in the ordinary course of business and Schlumberger US, Merger Sub and Schlumberger will not and will not permit any of their respective Subsidiaries to:</w:t>
      </w:r>
    </w:p>
    <w:p>
      <w:pPr>
        <w:spacing w:after="0" w:line="62" w:lineRule="exact"/>
        <w:rPr>
          <w:sz w:val="20"/>
          <w:szCs w:val="20"/>
          <w:color w:val="auto"/>
        </w:rPr>
      </w:pPr>
    </w:p>
    <w:p>
      <w:pPr>
        <w:ind w:left="460" w:right="200" w:firstLine="443"/>
        <w:spacing w:after="0" w:line="312" w:lineRule="auto"/>
        <w:tabs>
          <w:tab w:leader="none" w:pos="111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Cameron Common Stock relative to a holder of Schlumberger Common Stock or delay or impede the Merger or the other transactions contemplated by this Agreement;</w:t>
      </w:r>
    </w:p>
    <w:p>
      <w:pPr>
        <w:spacing w:after="0" w:line="38" w:lineRule="exact"/>
        <w:rPr>
          <w:rFonts w:ascii="Arial" w:cs="Arial" w:eastAsia="Arial" w:hAnsi="Arial"/>
          <w:sz w:val="16"/>
          <w:szCs w:val="16"/>
          <w:color w:val="auto"/>
        </w:rPr>
      </w:pPr>
    </w:p>
    <w:p>
      <w:pPr>
        <w:jc w:val="both"/>
        <w:ind w:left="460" w:right="160" w:firstLine="443"/>
        <w:spacing w:after="0" w:line="279" w:lineRule="auto"/>
        <w:tabs>
          <w:tab w:leader="none" w:pos="1163"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63" w:lineRule="exact"/>
        <w:rPr>
          <w:rFonts w:ascii="Arial" w:cs="Arial" w:eastAsia="Arial" w:hAnsi="Arial"/>
          <w:sz w:val="17"/>
          <w:szCs w:val="17"/>
          <w:color w:val="auto"/>
        </w:rPr>
      </w:pPr>
    </w:p>
    <w:p>
      <w:pPr>
        <w:ind w:left="460" w:right="220" w:firstLine="443"/>
        <w:spacing w:after="0" w:line="276" w:lineRule="auto"/>
        <w:tabs>
          <w:tab w:leader="none" w:pos="1213" w:val="left"/>
        </w:tabs>
        <w:numPr>
          <w:ilvl w:val="0"/>
          <w:numId w:val="250"/>
        </w:numPr>
        <w:rPr>
          <w:rFonts w:ascii="Arial" w:cs="Arial" w:eastAsia="Arial" w:hAnsi="Arial"/>
          <w:sz w:val="17"/>
          <w:szCs w:val="17"/>
          <w:color w:val="auto"/>
        </w:rPr>
      </w:pPr>
      <w:r>
        <w:rPr>
          <w:rFonts w:ascii="Arial" w:cs="Arial" w:eastAsia="Arial" w:hAnsi="Arial"/>
          <w:sz w:val="17"/>
          <w:szCs w:val="17"/>
          <w:color w:val="auto"/>
        </w:rPr>
        <w:t>except in each case as would not disproportionately adversely affect a holder of Cameron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64" w:lineRule="exact"/>
        <w:rPr>
          <w:rFonts w:ascii="Arial" w:cs="Arial" w:eastAsia="Arial" w:hAnsi="Arial"/>
          <w:sz w:val="17"/>
          <w:szCs w:val="17"/>
          <w:color w:val="auto"/>
        </w:rPr>
      </w:pPr>
    </w:p>
    <w:p>
      <w:pPr>
        <w:ind w:left="460" w:right="20" w:firstLine="443"/>
        <w:spacing w:after="0" w:line="257" w:lineRule="auto"/>
        <w:tabs>
          <w:tab w:leader="none" w:pos="120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or payment (whether in cash, equity interests or property or any combination thereof) with respect to shares of Schlumberger Common Stock, except for (1) regular quarterly cash dividends on shares of Schlumberger’s Common Stock with declaration, record and payment dates reasonably consistent with Schlumberger’s past practice for the comparable quarter or (2) dividends of equity interests or property for which an adjustment to the Exchange Ratio and the Per Share Cash Amount has been effected pursuant to Section 4.3;</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(A) result in the failure of any condition set forth in Section 9.1 or</w:t>
      </w:r>
    </w:p>
    <w:p>
      <w:pPr>
        <w:spacing w:after="0" w:line="23"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Section 9.2, or (B) prevent, materially delay or materially impede the consummation of the Merger and the other transactions contemplated by this Agreement;</w:t>
      </w:r>
    </w:p>
    <w:p>
      <w:pPr>
        <w:spacing w:after="0" w:line="76" w:lineRule="exact"/>
        <w:rPr>
          <w:sz w:val="20"/>
          <w:szCs w:val="20"/>
          <w:color w:val="auto"/>
        </w:rPr>
      </w:pPr>
    </w:p>
    <w:p>
      <w:pPr>
        <w:jc w:val="both"/>
        <w:ind w:left="460" w:right="60" w:firstLine="443"/>
        <w:spacing w:after="0" w:line="264" w:lineRule="auto"/>
        <w:tabs>
          <w:tab w:leader="none" w:pos="12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i w:val="1"/>
          <w:iCs w:val="1"/>
          <w:color w:val="auto"/>
        </w:rPr>
        <w:t>Cameron Stockholders Meeting</w:t>
      </w:r>
      <w:r>
        <w:rPr>
          <w:rFonts w:ascii="Arial" w:cs="Arial" w:eastAsia="Arial" w:hAnsi="Arial"/>
          <w:sz w:val="17"/>
          <w:szCs w:val="17"/>
          <w:color w:val="auto"/>
        </w:rPr>
        <w:t>.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7"/>
          <w:szCs w:val="17"/>
          <w:b w:val="1"/>
          <w:bCs w:val="1"/>
          <w:color w:val="auto"/>
        </w:rPr>
        <w:t>Form S-4</w:t>
      </w:r>
      <w:r>
        <w:rPr>
          <w:rFonts w:ascii="Arial" w:cs="Arial" w:eastAsia="Arial" w:hAnsi="Arial"/>
          <w:sz w:val="17"/>
          <w:szCs w:val="17"/>
          <w:color w:val="auto"/>
        </w:rPr>
        <w:t>”) is declared effective under the Securities Act, Cameron shall (i) duly call and give notice of a meeting of its stockholders (the “</w:t>
      </w:r>
      <w:r>
        <w:rPr>
          <w:rFonts w:ascii="Arial" w:cs="Arial" w:eastAsia="Arial" w:hAnsi="Arial"/>
          <w:sz w:val="17"/>
          <w:szCs w:val="17"/>
          <w:b w:val="1"/>
          <w:bCs w:val="1"/>
          <w:color w:val="auto"/>
        </w:rPr>
        <w:t>Cameron</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Meeting</w:t>
      </w:r>
      <w:r>
        <w:rPr>
          <w:rFonts w:ascii="Arial" w:cs="Arial" w:eastAsia="Arial" w:hAnsi="Arial"/>
          <w:sz w:val="17"/>
          <w:szCs w:val="17"/>
          <w:color w:val="auto"/>
        </w:rPr>
        <w:t>”) for the purpose of obtaining the Cameron Stockholder Approval, (ii) use its reasonable best efforts to cause the proxy materials to</w:t>
      </w:r>
      <w:r>
        <w:rPr>
          <w:rFonts w:ascii="Arial" w:cs="Arial" w:eastAsia="Arial" w:hAnsi="Arial"/>
          <w:sz w:val="17"/>
          <w:szCs w:val="17"/>
          <w:b w:val="1"/>
          <w:bCs w:val="1"/>
          <w:color w:val="auto"/>
        </w:rPr>
        <w:t xml:space="preserve"> </w:t>
      </w:r>
      <w:r>
        <w:rPr>
          <w:rFonts w:ascii="Arial" w:cs="Arial" w:eastAsia="Arial" w:hAnsi="Arial"/>
          <w:sz w:val="17"/>
          <w:szCs w:val="17"/>
          <w:color w:val="auto"/>
        </w:rPr>
        <w:t>be included in and constituting part of the Form S-4 (with any amendments or supplements thereto, the “</w:t>
      </w:r>
      <w:r>
        <w:rPr>
          <w:rFonts w:ascii="Arial" w:cs="Arial" w:eastAsia="Arial" w:hAnsi="Arial"/>
          <w:sz w:val="17"/>
          <w:szCs w:val="17"/>
          <w:b w:val="1"/>
          <w:bCs w:val="1"/>
          <w:color w:val="auto"/>
        </w:rPr>
        <w:t>Proxy Statement/Prospectus</w:t>
      </w:r>
      <w:r>
        <w:rPr>
          <w:rFonts w:ascii="Arial" w:cs="Arial" w:eastAsia="Arial" w:hAnsi="Arial"/>
          <w:sz w:val="17"/>
          <w:szCs w:val="17"/>
          <w:color w:val="auto"/>
        </w:rPr>
        <w:t xml:space="preserve">”) to be mailed to Cameron’s stockholders as soon as practicable after the Form S-4 is declared effective under the Securities Act, (iii) include the Cameron Recommendation in the Proxy Statement/Prospectus;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Cameron Board shall not be required to make such Cameron Recommendation to the extent that the Cameron Board has complied with the requirements of Section 8.3(b), and (iv) convene and hold the Cameron Stockholders Meeting for the purpose of obtaining the Cameron Stockholder Approval. Cameron shall otherwise coordinate and cooperate with Schlumberger and its affiliates with respect to the timing of the Cameron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Stockholders Meeting and will otherwise comply with all legal requirements applicable to the Cameron Stockholders Meeting. Once the Cameron Stockholders Meeting has been called and noticed, Cameron shall not postpone or adjourn the Cameron Stockholders Meeting without the consent of Schlumberger (which consent shall not be unreasonably withheld or delayed), other than to the extent necessary (i) for the absence of a quorum or (ii) to allow reasonable additional time for the filing and mailing of any supplemental or amended disclosure that the Cameron Board has determined in good faith after consultation with outside counsel is necessary under Applicable Law and for such supplemental or amended disclosure to be disseminated and reviewed by Cameron’s stockholders prior to the Cameron Stockholders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Cameron Stockholders Meeting is delayed to a date after the Termination Date as a result of either (i) or (ii) above, then Schlumberger may extend the Termination Date to the fifth business day after such date.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Cameron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7"/>
          <w:szCs w:val="17"/>
          <w:b w:val="1"/>
          <w:bCs w:val="1"/>
          <w:color w:val="auto"/>
        </w:rPr>
        <w:t>Representatives</w:t>
      </w:r>
      <w:r>
        <w:rPr>
          <w:rFonts w:ascii="Arial" w:cs="Arial" w:eastAsia="Arial" w:hAnsi="Arial"/>
          <w:sz w:val="17"/>
          <w:szCs w:val="17"/>
          <w:color w:val="auto"/>
        </w:rPr>
        <w:t>”) not to, directly or indirectly, (i) take any action to solicit, initiate, knowingly encourage or knowingly facilitate the making, submission or announcement of any Acquisition Proposal or any inquiry with respect thereto, or engage in, continue or otherwise participate in discussions or negotiations with any person with respect thereto (except to notify such person of the existence of the provisions of this Section 8.3), (ii) furnish any nonpublic information or afford access to properties, books or records to any person that has made or, to the knowledge of Cameron,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8.3), or (iv) propose publicly or agree to do any of the foregoing.</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the foregoing, prior to (but not after) the occurrence of the Cameron Stockholder Approval, Cameron may, directly or indirectly through its Representatives (A) contact any person making an Acquisition Proposal to clarify the terms and conditions thereof or to inform such person that any Acquisition Proposal made orally can only be considered if made in writing, (B) furnish information and access, but only in response to a written request for information or access, to any person making an Acquisition Proposal to the Cameron Board after the date hereof which was not solicited, initiated, knowingly encouraged or knowingly facilitated by Cameron or any of its affiliates or any Representative of Cameron or any of its Subsidiaries on or after the date hereof and (C) participate in discussions and negotiate with such person concerning any such unsolicited Acquisition Proposal, if and only if, in any such case set forth in clause (B) or (C) of this sentence, (i) Cameron has not breached this Section 8.3(a) in any material respect with respect to such Acquisition Proposal, (ii) the Cameron Board concludes in good faith, after receipt of the advice of a financial advisor of nationally recognized reputation and outside legal counsel, that such Acquisition Proposal is reasonably likely to result in a Superior Proposal, and (iii) Cameron receives from the person making such an Acquisition Proposal an executed confidentiality agreement the material terms of which, as they relate to confidentiality, are (without regard to the terms of such Acquisition Proposal) in all material respects (x) no less favorable in the aggregate to Cameron and (y) no less restrictive in the aggregate to the person making such Acquisition Proposal than those contained in the Confidentiality Agreement dated June 11, 2015 between a subsidiary of Schlumberger and Cameron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for the avoidance of doubt, any such confidentiality agreement need not include explicit or implicit standstill restrictions or otherwise restrict the making of or amendment or modification to any Acquisition Proposal, and any information provided to such person has previously been provided to Schlumberger or is provided to Schlumberger substantially concurrently with its provision to such person.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85" w:lineRule="auto"/>
        <w:tabs>
          <w:tab w:leader="none" w:pos="71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Except as expressly permitted by this Section 8.3(b), the Cameron Board shall recommend approval and adoption of this Agreement and the Merger by Cameron’s stockholders, and unless permitted by this Section 8.3(b), neither the Cameron Board nor any committee thereof shall (i) fail to make, withdraw, modify or qualify, or propose publicly to withhold, withdraw, modify or qualify, in any manner adverse to Schlumberger or its affiliates, the approval of this Agreement, the Merger or the Cameron Recommendation, except for notice provided to Schlumberger with respect to such Acquisition Proposal and Cameron’s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320" w:firstLine="8"/>
        <w:spacing w:after="0" w:line="273" w:lineRule="auto"/>
        <w:tabs>
          <w:tab w:leader="none" w:pos="26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Cameron Board or any committee thereof of an Acquisition Proposal, but shall not include any notice provided to Schlumberger with respect to such Acquisition Proposal and Cameron’s views thereof prior to any definitive Change in Recommendation.</w:t>
      </w:r>
    </w:p>
    <w:p>
      <w:pPr>
        <w:spacing w:after="0" w:line="17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Notwithstanding the foregoing, the Cameron Board shall be permitted not to recommend to Cameron’s stockholders that they give the Cameron Stockholder Approval, to withhold, withdraw, modify or qualify, or propose to publicly withhold, withdraw, modify or qualify, in a manner adverse to Schlumberger or its affiliates the Cameron Recommendation, or to approve, endorse or recommend, or propose publicly to approve, endorse or recommend, any Acquisition Proposal, only if and to the extent that all of the following conditions are met: (i) the Cameron Stockholder Approval has not been obtained;</w:t>
      </w:r>
    </w:p>
    <w:p>
      <w:pPr>
        <w:spacing w:after="0" w:line="2" w:lineRule="exact"/>
        <w:rPr>
          <w:sz w:val="20"/>
          <w:szCs w:val="20"/>
          <w:color w:val="auto"/>
        </w:rPr>
      </w:pPr>
    </w:p>
    <w:p>
      <w:pPr>
        <w:ind w:firstLine="8"/>
        <w:spacing w:after="0" w:line="284" w:lineRule="auto"/>
        <w:tabs>
          <w:tab w:leader="none" w:pos="26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the Cameron Board determines in good faith, after consulting with outside legal counsel, that failure to so withhold, withdraw, modify or qualify the Cameron Recommendation would be inconsistent with the directors’ exercise of their fiduciary duties to stockholders under Applicable Law; and (iii) before taking any such action, Cameron promptly gives Schlumberger three business days written notice advising Schlumberger of the decision of the Cameron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Cameron shall nevertheless submit this Agreement and the Merger to the stockholders of Cameron for the purpose of obtaining the Cameron Stockholder Approval at the Cameron Stockholders Meeting and nothing contained herein shall be deemed to relieve Cameron of such obligation, unless Schlumberger otherwise directs Cameron in writing or this Agreement shall have been terminated in accordance with its terms prior to the Cameron Stockholders Meeting. In addition, notwithstanding the foregoing, Cameron may terminate this Agreement, upon payment of the Cameron Termination Fee in accordance with Section 10.5(a), in order to enter into any agreement, understanding or arrangement providing for an Acquisition Proposal if all of the following conditions are met: (x) the Cameron Stockholder Approval has not been obtained, (y) Cameron gives Schlumberger written notice at least three business days prior to taking such action, which notice advises Schlumberger of the intention of the Cameron Board to take such action and such notice specifies the material terms and conditions of such Acquisition Proposal and identifies the person making such Acquisition Proposal (provided that if there are any subsequent changes in the financial terms of such proposal, Cameron will not take any such action prior to the second business day following a subsequent notice to Schlumberger of such changes) (it being understood that there may be multiple extensions); and (z) the Cameron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75" w:lineRule="exact"/>
        <w:rPr>
          <w:rFonts w:ascii="Arial" w:cs="Arial" w:eastAsia="Arial" w:hAnsi="Arial"/>
          <w:sz w:val="16"/>
          <w:szCs w:val="16"/>
          <w:color w:val="auto"/>
        </w:rPr>
      </w:pPr>
    </w:p>
    <w:p>
      <w:pPr>
        <w:ind w:firstLine="464"/>
        <w:spacing w:after="0" w:line="255" w:lineRule="auto"/>
        <w:tabs>
          <w:tab w:leader="none" w:pos="70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the event Cameron receives an Acquisition Proposal, or any request for nonpublic information relating to Cameron or any Subsidiary of Cameron or for access to the properties, books or records of Cameron or any Subsidiary of Cameron by any person that has made or, to the knowledge of Cameron, would reasonably be expected to make, an Acquisition Proposal, Cameron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64"/>
        <w:spacing w:after="0" w:line="255"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Subject to Schlumberger’s rights under Article 10, nothing in this Section 8.3 shall prohibit the Cameron Board from taking and disclosing to Cameron’s stockholders a position contemplated by Rule 14e-2(a), Rule 14d-9 or Item 1012(a) of Regulation M-A promulgated under the Exchange Act, or other Applicable Law, if the Cameron Board, after consultation with outside legal counsel, determines in good faith that the failure to so disclose such position would reasonably be expected to be inconsistent with the directors’ exercise of their fiduciary obligations to Cameron’s stockholders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Cameron Board may only make a Change in Recommendation to the extent that the Cameron Board has complied with the requirements of Section 8.3(b).</w:t>
      </w:r>
    </w:p>
    <w:p>
      <w:pPr>
        <w:spacing w:after="0" w:line="193" w:lineRule="exact"/>
        <w:rPr>
          <w:rFonts w:ascii="Arial" w:cs="Arial" w:eastAsia="Arial" w:hAnsi="Arial"/>
          <w:sz w:val="18"/>
          <w:szCs w:val="18"/>
          <w:color w:val="auto"/>
        </w:rPr>
      </w:pPr>
    </w:p>
    <w:p>
      <w:pPr>
        <w:ind w:right="80" w:firstLine="464"/>
        <w:spacing w:after="0" w:line="276" w:lineRule="auto"/>
        <w:tabs>
          <w:tab w:leader="none" w:pos="7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Cameron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any bona fide written offer or proposal for, or any bona fide written indication of interest in, any (i) direct or indirect acquisition or purchase of any business or assets of Cameron or any of its Subsidiaries that, individually or in the aggregate, constitutes 33% or more of the net revenues, net income or assets of Cameron and its Subsidiaries, taken as a whole, (ii) direct or indirect acquisition or purchase of 33% or more of any class of equity securities of Cameron, (iii) tender offer or exchange offer that, if consummated, would result in any person beneficially owning 33% or more of any class of equity securities of Cameron, or (iv)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any bona fide written Acquisition Proposal for or in respect of at least a majority of the outstanding shares of Cameron Common Stock or all or substantially all of Cameron’s and its Subsidiaries’ assets (A) on terms that the Cameron Board determines in its good faith judgment (after consultation with a financial advisor of nationally recognized reputation and outside legal counsel) are more favorable to Cameron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72" w:lineRule="exact"/>
        <w:rPr>
          <w:sz w:val="20"/>
          <w:szCs w:val="20"/>
          <w:color w:val="auto"/>
        </w:rPr>
      </w:pPr>
    </w:p>
    <w:p>
      <w:pPr>
        <w:ind w:right="160" w:firstLine="464"/>
        <w:spacing w:after="0" w:line="277" w:lineRule="auto"/>
        <w:tabs>
          <w:tab w:leader="none" w:pos="71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Cameron agrees that it will take the necessary steps promptly to inform its Subsidiaries and its officers, directors, investment bankers, consultants, attorneys, accountants, agents and other representatives of the obligations undertaken in this Section 8.3.</w:t>
      </w:r>
    </w:p>
    <w:p>
      <w:pPr>
        <w:spacing w:after="0" w:line="17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i w:val="1"/>
          <w:iCs w:val="1"/>
          <w:color w:val="auto"/>
        </w:rPr>
        <w:t>Reasonable Best Efforts</w:t>
      </w:r>
      <w:r>
        <w:rPr>
          <w:rFonts w:ascii="Arial" w:cs="Arial" w:eastAsia="Arial" w:hAnsi="Arial"/>
          <w:sz w:val="18"/>
          <w:szCs w:val="18"/>
          <w:color w:val="auto"/>
        </w:rPr>
        <w:t>. Subject to Section 8.2 and Section 8.6,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consummation of the transactions contemplated by this Agreement, and (iv) the execution and delivery of any additional instruments necessary to consummate the transactions contemplated by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9" w:lineRule="auto"/>
        <w:tabs>
          <w:tab w:leader="none" w:pos="7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hereof, Schlumberger and Cameron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71" w:lineRule="exact"/>
        <w:rPr>
          <w:rFonts w:ascii="Arial" w:cs="Arial" w:eastAsia="Arial" w:hAnsi="Arial"/>
          <w:sz w:val="17"/>
          <w:szCs w:val="17"/>
          <w:color w:val="auto"/>
        </w:rPr>
      </w:pPr>
    </w:p>
    <w:p>
      <w:pPr>
        <w:ind w:firstLine="464"/>
        <w:spacing w:after="0" w:line="342" w:lineRule="auto"/>
        <w:tabs>
          <w:tab w:leader="none" w:pos="71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Each of Schlumberger and Cameron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23" w:lineRule="exact"/>
        <w:rPr>
          <w:rFonts w:ascii="Arial" w:cs="Arial" w:eastAsia="Arial" w:hAnsi="Arial"/>
          <w:sz w:val="16"/>
          <w:szCs w:val="16"/>
          <w:color w:val="auto"/>
        </w:rPr>
      </w:pPr>
    </w:p>
    <w:p>
      <w:pPr>
        <w:ind w:right="200" w:firstLine="464"/>
        <w:spacing w:after="0" w:line="279" w:lineRule="auto"/>
        <w:tabs>
          <w:tab w:leader="none" w:pos="7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Schlumberger and Cameron shall, as promptly as practicable after receipt thereof, provide the other party copies of any written comments, and advise the other party of any oral comments, received from the SEC with respect to the Proxy Statement/Prospectus. Schlumberger shall provide Cameron with a reasonable opportunity to review and comment on any amendment or supplement to the Form S-4 and any communications prior to filing such with the SEC, and will promptly provide Cameron with a copy of all such filings and communications made with the SEC.</w:t>
      </w:r>
    </w:p>
    <w:p>
      <w:pPr>
        <w:spacing w:after="0" w:line="171" w:lineRule="exact"/>
        <w:rPr>
          <w:rFonts w:ascii="Arial" w:cs="Arial" w:eastAsia="Arial" w:hAnsi="Arial"/>
          <w:sz w:val="17"/>
          <w:szCs w:val="17"/>
          <w:color w:val="auto"/>
        </w:rPr>
      </w:pPr>
    </w:p>
    <w:p>
      <w:pPr>
        <w:ind w:firstLine="464"/>
        <w:spacing w:after="0" w:line="255" w:lineRule="auto"/>
        <w:tabs>
          <w:tab w:leader="none" w:pos="71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Cameron shall furnish all information concerning Cameron and the holders of Cameron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89" w:lineRule="exact"/>
        <w:rPr>
          <w:rFonts w:ascii="Arial" w:cs="Arial" w:eastAsia="Arial" w:hAnsi="Arial"/>
          <w:sz w:val="18"/>
          <w:szCs w:val="18"/>
          <w:color w:val="auto"/>
        </w:rPr>
      </w:pPr>
    </w:p>
    <w:p>
      <w:pPr>
        <w:ind w:right="100" w:firstLine="464"/>
        <w:spacing w:after="0" w:line="273" w:lineRule="auto"/>
        <w:tabs>
          <w:tab w:leader="none" w:pos="7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Schlumberger or Cameron, or any of their respective affiliates, officers or directors, should be discovered by Schlumberger or Cameron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Cameron.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3" w:lineRule="auto"/>
        <w:tabs>
          <w:tab w:leader="none" w:pos="70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this Agreement, including the limitations set forth in Section 8.6(d), each of the parties hereto shall, and each of Cameron and Schlumberger shall cause each of its Subsidiaries to,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under Applicable Law to consummate and make effective the Merger and the other transactions contemplated hereby as promptly as practicable, including (i) the obtaining of all necessary actions or nonactions, waivers, authorizations, expirations or terminations of waiting periods, clearances, consents and approvals from Governmental Entities and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hereby and (iv) the execution and delivery of any additional instruments reasonably necessary to consummate the transactions contemplated hereby.</w:t>
      </w:r>
    </w:p>
    <w:p>
      <w:pPr>
        <w:spacing w:after="0" w:line="154" w:lineRule="exact"/>
        <w:rPr>
          <w:sz w:val="20"/>
          <w:szCs w:val="20"/>
          <w:color w:val="auto"/>
        </w:rPr>
      </w:pPr>
    </w:p>
    <w:p>
      <w:pPr>
        <w:ind w:right="140" w:firstLine="464"/>
        <w:spacing w:after="0" w:line="277" w:lineRule="auto"/>
        <w:tabs>
          <w:tab w:leader="none" w:pos="71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Section 8.6(c) and the other terms and conditions herein provided and without limiting the foregoing, Cameron and Schlumberger shall (and shall cause their respective Subsidiaries to):</w:t>
      </w:r>
    </w:p>
    <w:p>
      <w:pPr>
        <w:spacing w:after="0" w:line="62" w:lineRule="exact"/>
        <w:rPr>
          <w:rFonts w:ascii="Arial" w:cs="Arial" w:eastAsia="Arial" w:hAnsi="Arial"/>
          <w:sz w:val="18"/>
          <w:szCs w:val="18"/>
          <w:color w:val="auto"/>
        </w:rPr>
      </w:pPr>
    </w:p>
    <w:p>
      <w:pPr>
        <w:ind w:left="460" w:right="80" w:firstLine="443"/>
        <w:spacing w:after="0" w:line="255" w:lineRule="auto"/>
        <w:tabs>
          <w:tab w:leader="none" w:pos="111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reasonably determined by Schlumberger after consultation with Cameron to be advisable) under the HSR Act, the EC Merger Regulation and any other Regulatory Laws (and shall share equally all filing fees incident thereto), which filings shall be made as promptly as practicable, but in no event later than 20 business days after the date hereof with respect to the filing under the HSR Act, and thereafter shall promptly make any other required submissions under the HSR Act or other such laws; without limiting the generality of the foregoing, each party shall use its reasonable best efforts to respond to and comply promptly with and expeditiously achieve substantial compliance with any request for information regarding the Merger or any such filings for any Governmental Entity charged with enforcing, applying, administering, or investigating any Regulatory Law;</w:t>
      </w:r>
    </w:p>
    <w:p>
      <w:pPr>
        <w:spacing w:after="0" w:line="81" w:lineRule="exact"/>
        <w:rPr>
          <w:rFonts w:ascii="Arial" w:cs="Arial" w:eastAsia="Arial" w:hAnsi="Arial"/>
          <w:sz w:val="18"/>
          <w:szCs w:val="18"/>
          <w:color w:val="auto"/>
        </w:rPr>
      </w:pPr>
    </w:p>
    <w:p>
      <w:pPr>
        <w:ind w:left="460" w:right="160" w:firstLine="443"/>
        <w:spacing w:after="0" w:line="257" w:lineRule="auto"/>
        <w:tabs>
          <w:tab w:leader="none" w:pos="116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use their reasonable best efforts to cooperate with one another in (A) determining as promptly as practicable which filings are required (or reasonably determined by Schlumberger after consultation with Cameron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80" w:lineRule="exact"/>
        <w:rPr>
          <w:rFonts w:ascii="Arial" w:cs="Arial" w:eastAsia="Arial" w:hAnsi="Arial"/>
          <w:sz w:val="18"/>
          <w:szCs w:val="18"/>
          <w:color w:val="auto"/>
        </w:rPr>
      </w:pPr>
    </w:p>
    <w:p>
      <w:pPr>
        <w:ind w:left="460" w:right="40" w:firstLine="443"/>
        <w:spacing w:after="0" w:line="297" w:lineRule="auto"/>
        <w:tabs>
          <w:tab w:leader="none" w:pos="1213" w:val="left"/>
        </w:tabs>
        <w:numPr>
          <w:ilvl w:val="1"/>
          <w:numId w:val="260"/>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 it being understood that correspondence, filings and communications received from any Governmental Entity shall be immediately provided to the other party upon receipt, subject in appropriate cases to appropriate confidentiality agreements to limit disclosure to outside lawyers and consultants;</w:t>
      </w:r>
    </w:p>
    <w:p>
      <w:pPr>
        <w:spacing w:after="0" w:line="50" w:lineRule="exact"/>
        <w:rPr>
          <w:rFonts w:ascii="Arial" w:cs="Arial" w:eastAsia="Arial" w:hAnsi="Arial"/>
          <w:sz w:val="16"/>
          <w:szCs w:val="16"/>
          <w:color w:val="auto"/>
        </w:rPr>
      </w:pPr>
    </w:p>
    <w:p>
      <w:pPr>
        <w:ind w:left="460" w:firstLine="443"/>
        <w:spacing w:after="0" w:line="273" w:lineRule="auto"/>
        <w:tabs>
          <w:tab w:leader="none" w:pos="1203" w:val="left"/>
        </w:tabs>
        <w:numPr>
          <w:ilvl w:val="1"/>
          <w:numId w:val="260"/>
        </w:numPr>
        <w:rPr>
          <w:rFonts w:ascii="Arial" w:cs="Arial" w:eastAsia="Arial" w:hAnsi="Arial"/>
          <w:sz w:val="17"/>
          <w:szCs w:val="17"/>
          <w:color w:val="auto"/>
        </w:rPr>
      </w:pPr>
      <w:r>
        <w:rPr>
          <w:rFonts w:ascii="Arial" w:cs="Arial" w:eastAsia="Arial" w:hAnsi="Arial"/>
          <w:sz w:val="17"/>
          <w:szCs w:val="17"/>
          <w:color w:val="auto"/>
        </w:rPr>
        <w:t>not participate or agree to participate in any meeting or substantive discussion (including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subject in appropriate cases to appropriate confidentiality agreements to limit disclosure to outside lawyers and consultants, unless the Governmental Entity prohibits such attendance;</w:t>
      </w:r>
    </w:p>
    <w:p>
      <w:pPr>
        <w:spacing w:after="0" w:line="70" w:lineRule="exact"/>
        <w:rPr>
          <w:rFonts w:ascii="Arial" w:cs="Arial" w:eastAsia="Arial" w:hAnsi="Arial"/>
          <w:sz w:val="17"/>
          <w:szCs w:val="17"/>
          <w:color w:val="auto"/>
        </w:rPr>
      </w:pPr>
    </w:p>
    <w:p>
      <w:pPr>
        <w:jc w:val="both"/>
        <w:ind w:left="460" w:right="120" w:firstLine="443"/>
        <w:spacing w:after="0" w:line="259" w:lineRule="auto"/>
        <w:tabs>
          <w:tab w:leader="none" w:pos="115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and consult, of all correspondence, filings and communications (and memoranda setting forth the substance thereof) that they, their affiliates or their respective representatives intend to submit to any Governmental Entity;</w:t>
      </w:r>
    </w:p>
    <w:p>
      <w:pPr>
        <w:spacing w:after="0" w:line="78" w:lineRule="exact"/>
        <w:rPr>
          <w:rFonts w:ascii="Arial" w:cs="Arial" w:eastAsia="Arial" w:hAnsi="Arial"/>
          <w:sz w:val="18"/>
          <w:szCs w:val="18"/>
          <w:color w:val="auto"/>
        </w:rPr>
      </w:pPr>
    </w:p>
    <w:p>
      <w:pPr>
        <w:jc w:val="both"/>
        <w:ind w:left="460" w:right="80" w:firstLine="443"/>
        <w:spacing w:after="0" w:line="259" w:lineRule="auto"/>
        <w:tabs>
          <w:tab w:leader="none" w:pos="120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any filings necessary or appropriate under the provisions of Regulatory Laws; and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hanging="357"/>
        <w:spacing w:after="0"/>
        <w:tabs>
          <w:tab w:leader="none" w:pos="126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 filing.</w:t>
      </w:r>
    </w:p>
    <w:p>
      <w:pPr>
        <w:spacing w:after="0" w:line="236" w:lineRule="exact"/>
        <w:rPr>
          <w:rFonts w:ascii="Arial" w:cs="Arial" w:eastAsia="Arial" w:hAnsi="Arial"/>
          <w:sz w:val="17"/>
          <w:szCs w:val="17"/>
          <w:color w:val="auto"/>
        </w:rPr>
      </w:pPr>
    </w:p>
    <w:p>
      <w:pPr>
        <w:ind w:right="80" w:firstLine="464"/>
        <w:spacing w:after="0" w:line="272" w:lineRule="auto"/>
        <w:tabs>
          <w:tab w:leader="none" w:pos="70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8.6(a), Section 8.6(b), Section 8.6(d) and Section 8.6(e). Cameron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Cameron shall use its reasonable best efforts to provide full and effective support of Schlumberger in all material respects in all such investigations, litigation, negotiations and discussions to the extent requested by Schlumberger.</w:t>
      </w:r>
    </w:p>
    <w:p>
      <w:pPr>
        <w:spacing w:after="0" w:line="177" w:lineRule="exact"/>
        <w:rPr>
          <w:rFonts w:ascii="Arial" w:cs="Arial" w:eastAsia="Arial" w:hAnsi="Arial"/>
          <w:sz w:val="17"/>
          <w:szCs w:val="17"/>
          <w:color w:val="auto"/>
        </w:rPr>
      </w:pPr>
    </w:p>
    <w:p>
      <w:pPr>
        <w:ind w:firstLine="464"/>
        <w:spacing w:after="0" w:line="285" w:lineRule="auto"/>
        <w:tabs>
          <w:tab w:leader="none" w:pos="71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Without limiting the foregoing, Schlumberger US, Merger Sub and Schlumberger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Agreement requires Schlumberger US, Merger Sub, Schlumberger or Cameron or their respective Subsidiaries to take, or cause to be taken, or agree to take, any action with respect to any of the assets, businesses or product lines of Cameron or any of its Subsidiaries (“</w:t>
      </w:r>
      <w:r>
        <w:rPr>
          <w:rFonts w:ascii="Arial" w:cs="Arial" w:eastAsia="Arial" w:hAnsi="Arial"/>
          <w:sz w:val="16"/>
          <w:szCs w:val="16"/>
          <w:b w:val="1"/>
          <w:bCs w:val="1"/>
          <w:color w:val="auto"/>
        </w:rPr>
        <w:t>Cameron Assets</w:t>
      </w:r>
      <w:r>
        <w:rPr>
          <w:rFonts w:ascii="Arial" w:cs="Arial" w:eastAsia="Arial" w:hAnsi="Arial"/>
          <w:sz w:val="16"/>
          <w:szCs w:val="16"/>
          <w:color w:val="auto"/>
        </w:rPr>
        <w:t>”), or of Schlumberger or any of its Subsidiaries (including the Surviving Entity) (“</w:t>
      </w:r>
      <w:r>
        <w:rPr>
          <w:rFonts w:ascii="Arial" w:cs="Arial" w:eastAsia="Arial" w:hAnsi="Arial"/>
          <w:sz w:val="16"/>
          <w:szCs w:val="16"/>
          <w:b w:val="1"/>
          <w:bCs w:val="1"/>
          <w:color w:val="auto"/>
        </w:rPr>
        <w:t>Schlumberger Assets</w:t>
      </w:r>
      <w:r>
        <w:rPr>
          <w:rFonts w:ascii="Arial" w:cs="Arial" w:eastAsia="Arial" w:hAnsi="Arial"/>
          <w:sz w:val="16"/>
          <w:szCs w:val="16"/>
          <w:color w:val="auto"/>
        </w:rPr>
        <w:t xml:space="preserve">”), or any combination thereof, if such action (whether taken with respect to Cameron Assets or Schlumberger Assets), individually or in the aggregate, would result in the divestiture, sale, hold separate, license or limitation of the conduct on business that, individually or taken together, would reasonably be expected to be material to Cameron and its Subsidiaries, taken as a whole;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Schlumberger be required to take or agree to take any action that would result in the divestiture, sale, hold separate, license or limitation of the conduct, in whole or in significant part, of OneSubsea. For purposes of the foregoing, any actions with respect to Schlumberger Assets will be deemed to be actions with respect to Cameron Assets of comparable size and importance. If requested by Schlumberger, Cameron will agree to and take any action contemplated by this Section 8.6(d),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consummation of any divestiture or the effectiveness of any other remedy is conditioned on the consummation of the Merger. The foregoing agreement in this section is made solely to facilitate the closing of the Merger and does not constitute a representation or admission that the Merger, if consummated without any modification, would violate any Regulatory Laws or that agreeing to any divestitures, hold separate conditions or other restrictions permitted herein or suggested by any person or authority acting under any Regulatory Law would not be harmful to the parties hereto.</w:t>
      </w:r>
    </w:p>
    <w:p>
      <w:pPr>
        <w:spacing w:after="0" w:line="172" w:lineRule="exact"/>
        <w:rPr>
          <w:rFonts w:ascii="Arial" w:cs="Arial" w:eastAsia="Arial" w:hAnsi="Arial"/>
          <w:sz w:val="16"/>
          <w:szCs w:val="16"/>
          <w:color w:val="auto"/>
        </w:rPr>
      </w:pPr>
    </w:p>
    <w:p>
      <w:pPr>
        <w:ind w:right="180" w:firstLine="464"/>
        <w:spacing w:after="0" w:line="290" w:lineRule="auto"/>
        <w:tabs>
          <w:tab w:leader="none" w:pos="70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but subject to the next sentence, Schlumberger shall have the right, but not the obligation, to oppose or refuse to consent to, through litigation or otherwise any request, attempt or demand by any Governmental Entity or other person for any divestiture, hold separate condition or any other restriction with respect to any assets, businesses or product lines of Schlumberger, Cameron or any of their respective Subsidiaries and shall have the obligation to defend any litigation instituted by a Governmental Entity or other person with respect to the legality of the Merger under applicable Regulatory Laws. In the event Schlumberger opposes or refuses to consent to, through litigation or otherwise, including any appeals, any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manner, as are necessary to achieve the clearance by or approval of the Governmental Entity and satisfaction of the condition set forth in Section 9.1(b), Section 9.1(c) and Section 9.1(d) (with respect to any Regulatory Law) or other person prior to the Termination Date, subject to the proviso in the first sentence of Section 8.6(d). If there is no decree, order or injunction restricting or prohibiting the Merger, but the decision of a Governmental Entity in litigation contemplated by this Section 8.6(e) is under appeal, Schlumberger shall have the right to elect, and Cameron shall have the obligation upon such election by Schlumberger, to proceed to close the Merger if the other conditions to Closing have been satisfied.</w:t>
      </w:r>
    </w:p>
    <w:p>
      <w:pPr>
        <w:spacing w:after="0" w:line="169" w:lineRule="exact"/>
        <w:rPr>
          <w:sz w:val="20"/>
          <w:szCs w:val="20"/>
          <w:color w:val="auto"/>
        </w:rPr>
      </w:pPr>
    </w:p>
    <w:p>
      <w:pPr>
        <w:ind w:right="20" w:firstLine="464"/>
        <w:spacing w:after="0" w:line="258" w:lineRule="auto"/>
        <w:tabs>
          <w:tab w:leader="none" w:pos="68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87" w:lineRule="exact"/>
        <w:rPr>
          <w:rFonts w:ascii="Arial" w:cs="Arial" w:eastAsia="Arial" w:hAnsi="Arial"/>
          <w:sz w:val="18"/>
          <w:szCs w:val="18"/>
          <w:color w:val="auto"/>
        </w:rPr>
      </w:pPr>
    </w:p>
    <w:p>
      <w:pPr>
        <w:ind w:right="100" w:firstLine="464"/>
        <w:spacing w:after="0" w:line="342" w:lineRule="auto"/>
        <w:tabs>
          <w:tab w:leader="none" w:pos="7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parties will cooperate and use their respective reasonable efforts to cooperate in identifying and obtaining any approvals or consents under any so called “transaction triggered” or “responsible property transfer” requirements under Environmental Laws necessary to consummate the Merger.</w:t>
      </w:r>
    </w:p>
    <w:p>
      <w:pPr>
        <w:spacing w:after="0" w:line="124"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i w:val="1"/>
          <w:iCs w:val="1"/>
          <w:color w:val="auto"/>
        </w:rPr>
        <w:t>Listing Application</w:t>
      </w:r>
      <w:r>
        <w:rPr>
          <w:rFonts w:ascii="Arial" w:cs="Arial" w:eastAsia="Arial" w:hAnsi="Arial"/>
          <w:sz w:val="16"/>
          <w:szCs w:val="16"/>
          <w:color w:val="auto"/>
        </w:rPr>
        <w:t>. Schlumberger shall use its reasonable best efforts to cause the shares of Schlumberger Common Stock to be issued in the Merger and the shares of Schlumberger Common Stock to be reserved for issuance upon exercise or vesting, as applicable, of the Assumed Awards and the Schlumberger Stock Incentive Awards to be approved for listing on the NYSE, subject to official notice of issuance, prior to the Effective Time.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Cameron shall take all such steps as may be required to cause any dispositions of Cameron Common Stock (including derivative securities with respect to Cameron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Cameron, to be exempt under Rule 16b-3 promulgated under the Exchange Act.</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i w:val="1"/>
          <w:iCs w:val="1"/>
          <w:color w:val="auto"/>
        </w:rPr>
        <w:t>Converted Options and Stock Incentive Awards</w:t>
      </w:r>
      <w:r>
        <w:rPr>
          <w:rFonts w:ascii="Arial" w:cs="Arial" w:eastAsia="Arial" w:hAnsi="Arial"/>
          <w:sz w:val="18"/>
          <w:szCs w:val="18"/>
          <w:color w:val="auto"/>
        </w:rPr>
        <w:t>. As of the Closing Date, to the extent necessary to provide for registration of shares of Schlumberger Common Stock subject to an Assumed Award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Assumed Awards or Schlumberger Stock Incentive Awards remain outstanding.</w:t>
      </w:r>
    </w:p>
    <w:p>
      <w:pPr>
        <w:spacing w:after="0" w:line="18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Inspection</w:t>
      </w:r>
      <w:r>
        <w:rPr>
          <w:rFonts w:ascii="Arial" w:cs="Arial" w:eastAsia="Arial" w:hAnsi="Arial"/>
          <w:sz w:val="18"/>
          <w:szCs w:val="18"/>
          <w:color w:val="auto"/>
        </w:rPr>
        <w:t xml:space="preserve">. From the date hereof to the Effective Time, each of Cameron on the one hand, and Schlumberger US, Merger Sub and Schlumberger on the other hand, shall allow designated officers, attorneys, 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investigation pursuant to this Section 8.10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Cameron on the one hand, nor Schlumberger US, Merger Sub or Schlumberger on the other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8.10 for any purpose unrelated to the consummation of the Merger and the other transactions contemplated by this Agreement. All nonpublic information obtained pursuant to this Section 8.10 shall be governed by the Confidentiality Agreement.</w:t>
      </w:r>
    </w:p>
    <w:p>
      <w:pPr>
        <w:spacing w:after="0" w:line="17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i w:val="1"/>
          <w:iCs w:val="1"/>
          <w:color w:val="auto"/>
        </w:rPr>
        <w:t>Publicity</w:t>
      </w:r>
      <w:r>
        <w:rPr>
          <w:rFonts w:ascii="Arial" w:cs="Arial" w:eastAsia="Arial" w:hAnsi="Arial"/>
          <w:sz w:val="17"/>
          <w:szCs w:val="17"/>
          <w:color w:val="auto"/>
        </w:rPr>
        <w:t>. Schlumberger and Cameron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8.2, neither Schlumberger nor Cameron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Cameron agree to issue a mutually acceptable joint press release announcing this Agreement.</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10.5,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87" w:lineRule="exact"/>
        <w:rPr>
          <w:sz w:val="20"/>
          <w:szCs w:val="20"/>
          <w:color w:val="auto"/>
        </w:rPr>
      </w:pPr>
    </w:p>
    <w:p>
      <w:pPr>
        <w:jc w:val="both"/>
        <w:ind w:right="180" w:firstLine="456"/>
        <w:spacing w:after="0" w:line="320" w:lineRule="auto"/>
        <w:rPr>
          <w:sz w:val="20"/>
          <w:szCs w:val="20"/>
          <w:color w:val="auto"/>
        </w:rPr>
      </w:pPr>
      <w:r>
        <w:rPr>
          <w:rFonts w:ascii="Arial" w:cs="Arial" w:eastAsia="Arial" w:hAnsi="Arial"/>
          <w:sz w:val="15"/>
          <w:szCs w:val="15"/>
          <w:color w:val="auto"/>
        </w:rPr>
        <w:t xml:space="preserve">Section 8.13 </w:t>
      </w:r>
      <w:r>
        <w:rPr>
          <w:rFonts w:ascii="Arial" w:cs="Arial" w:eastAsia="Arial" w:hAnsi="Arial"/>
          <w:sz w:val="15"/>
          <w:szCs w:val="15"/>
          <w:i w:val="1"/>
          <w:iCs w:val="1"/>
          <w:color w:val="auto"/>
        </w:rPr>
        <w:t>Charter Provisions; Takeover Laws</w:t>
      </w:r>
      <w:r>
        <w:rPr>
          <w:rFonts w:ascii="Arial" w:cs="Arial" w:eastAsia="Arial" w:hAnsi="Arial"/>
          <w:sz w:val="15"/>
          <w:szCs w:val="15"/>
          <w:color w:val="auto"/>
        </w:rPr>
        <w:t>. If (a) the restrictions on business combinations set forth in Article Fifth of Cameron’s certificate of incorporation or (b) any “fair price,” “moratorium,” “business combination,” or “control share acquisition” statute or other similar statute or regulation is or shall become applicable to the transactions contemplated by this Agreement, Cameron and the Cameron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Stockholder Litigation</w:t>
      </w:r>
      <w:r>
        <w:rPr>
          <w:rFonts w:ascii="Arial" w:cs="Arial" w:eastAsia="Arial" w:hAnsi="Arial"/>
          <w:sz w:val="18"/>
          <w:szCs w:val="18"/>
          <w:color w:val="auto"/>
        </w:rPr>
        <w:t>. Cameron shall give Schlumberger the opportunity to participate in the defense or settlement of any stockholder litigation against Cameron and/or its directors or officers relating to the transactions contemplated by this Agreement. Cameron agrees that it shall not settle or offer to settle any litigation commenced on or after the date hereof against Cameron or any of its directors or officers by any stockholder of Cameron relating to this Agreement, the Merger, any other transaction contemplated by this Agreement or otherwise, without the prior written consent of Schlumberger (such consent not to be unreasonably withheld, conditioned or delayed).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97" w:lineRule="auto"/>
        <w:tabs>
          <w:tab w:leader="none" w:pos="70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From and after the Effective Time, the Surviving Entity (i) shall indemnify, defend and hold harmless each person who is, or at any time prior to the Effective Time has been, a director, officer or employee of Cameron or any of its Subsidiaries and each person who is, or at any time prior to the Effective Time, served at the request of Cameron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settlement) reasonably incurred or suffered by such person in connection with any action, suit or proceeding, whether civil, criminal, administrative or investigative (an “</w:t>
      </w:r>
      <w:r>
        <w:rPr>
          <w:rFonts w:ascii="Arial" w:cs="Arial" w:eastAsia="Arial" w:hAnsi="Arial"/>
          <w:sz w:val="18"/>
          <w:szCs w:val="18"/>
          <w:b w:val="1"/>
          <w:bCs w:val="1"/>
          <w:color w:val="auto"/>
        </w:rPr>
        <w:t>Action</w:t>
      </w:r>
      <w:r>
        <w:rPr>
          <w:rFonts w:ascii="Arial" w:cs="Arial" w:eastAsia="Arial" w:hAnsi="Arial"/>
          <w:sz w:val="18"/>
          <w:szCs w:val="18"/>
          <w:color w:val="auto"/>
        </w:rPr>
        <w:t xml:space="preserve">”), by reason of the fact that such Indemnified Party is or was a director, officer, employee or agent of Cameron, any of its Subsidiaries or any such corporation, partnership, joint venture, trust or other enterprise, to the fullest extent permitted by Applicable Law, and (ii) without limitation to clause (i), to the fullest extent permitted by Applicable Law, shall also advance expenses as incurred to the same such extent;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 to whom fees and expenses are advanced shall, if required by Applicable Law, provide an undertaking to repay such advances if it is ultimately determined that such person is not entitled to indemnification;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Surviving Entity shall not be required to pay the fees and expenses of more than one counsel (which counsel shall be reasonably acceptable to Schlumberger) in addition to local counsel for all Indemnified Parties in any single Action unless, in the good faith judgment of any of the Indemnified Parties, there is or may be a conflict of interest between two or more of such Indemnified Parties.</w:t>
      </w:r>
    </w:p>
    <w:p>
      <w:pPr>
        <w:spacing w:after="0" w:line="197" w:lineRule="exact"/>
        <w:rPr>
          <w:sz w:val="20"/>
          <w:szCs w:val="20"/>
          <w:color w:val="auto"/>
        </w:rPr>
      </w:pPr>
    </w:p>
    <w:p>
      <w:pPr>
        <w:ind w:right="60" w:firstLine="464"/>
        <w:spacing w:after="0" w:line="288" w:lineRule="auto"/>
        <w:tabs>
          <w:tab w:leader="none" w:pos="71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Cameron may purchase a “tail” directors’ and officers’ liability insurance policy covering the Indemnified Parties who are or at any time prior to the Effective Time covered by Cameron’s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8.15(b)(1) of the Cameron Disclosure Letter. If Cameron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Cameron’s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Cameron prior to the date hereof (the amount of which premium is set forth in Section 8.15(b)(2) of the Cameron Disclosure Letter), but in such case shall purchase as much coverage as reasonably practicable for such amount. In either case, Schlumberger US, Schlumberger and the Surviving Entity will maintain such policies in full force and effect and honor the obligations thereunder.</w:t>
      </w:r>
    </w:p>
    <w:p>
      <w:pPr>
        <w:spacing w:after="0" w:line="169" w:lineRule="exact"/>
        <w:rPr>
          <w:rFonts w:ascii="Arial" w:cs="Arial" w:eastAsia="Arial" w:hAnsi="Arial"/>
          <w:sz w:val="16"/>
          <w:szCs w:val="16"/>
          <w:color w:val="auto"/>
        </w:rPr>
      </w:pPr>
    </w:p>
    <w:p>
      <w:pPr>
        <w:ind w:right="60" w:firstLine="464"/>
        <w:spacing w:after="0" w:line="259" w:lineRule="auto"/>
        <w:tabs>
          <w:tab w:leader="none" w:pos="70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event Schlumberger US,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8.15.</w:t>
      </w:r>
    </w:p>
    <w:p>
      <w:pPr>
        <w:spacing w:after="0" w:line="186" w:lineRule="exact"/>
        <w:rPr>
          <w:rFonts w:ascii="Arial" w:cs="Arial" w:eastAsia="Arial" w:hAnsi="Arial"/>
          <w:sz w:val="18"/>
          <w:szCs w:val="18"/>
          <w:color w:val="auto"/>
        </w:rPr>
      </w:pPr>
    </w:p>
    <w:p>
      <w:pPr>
        <w:ind w:firstLine="464"/>
        <w:spacing w:after="0" w:line="293" w:lineRule="auto"/>
        <w:tabs>
          <w:tab w:leader="none" w:pos="71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rights of any Indemnified Party under this Section 8.15 will be in addition to any other rights such Indemnified Party may have under the organizational documents of Cameron, the Surviving Entity or any Subsidiary of Cameron, indemnification or employment agreements with Cameron or any Subsidiary of Cameron or under the DGCL or other Applicable Law. The provisions of this Section 8.15 will survive the consummation of the transactions contemplated hereby for a period of six years and are expressly intended to benefit, and be enforceable by, each of the Indemnified Parties and their respective heirs and representatives; provided, however, that in the event that any claim or claims for indemnification set forth in this Section 8.15 are asserted or made within such six year period, all rights to indemnification in respect of any such claim or claims will continue until disposition of all such claims.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97" w:lineRule="auto"/>
        <w:tabs>
          <w:tab w:leader="none" w:pos="70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Cameron Benefit Plans and compensation arrangements and agreements in accordance with their terms as in effect immediately prior to the Effective Time, including terms related to the ability to amend or terminate such plans. For a period of one year following the Effective Time, Schlumberger shall provide, or shall cause to be provided, to each current and former employee of Cameron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compensation and benefits that are no less favorable, in the aggregate, than the compensation and benefits provided to each such Covered Employee immediately prior to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Effective Time. Without limiting the foregoing, Schlumberger shall provide, or cause to be provided, to any Covered Employee whose employment is terminated for reasons other than cause prior to the second anniversary of the Effective Time severance benefits equal to the benefits provided under the applicable Cameron severance plan as in effect immediately prior to the date hereof.</w:t>
      </w:r>
    </w:p>
    <w:p>
      <w:pPr>
        <w:spacing w:after="0" w:line="181" w:lineRule="exact"/>
        <w:rPr>
          <w:sz w:val="20"/>
          <w:szCs w:val="20"/>
          <w:color w:val="auto"/>
        </w:rPr>
      </w:pPr>
    </w:p>
    <w:p>
      <w:pPr>
        <w:ind w:firstLine="464"/>
        <w:spacing w:after="0" w:line="285" w:lineRule="auto"/>
        <w:tabs>
          <w:tab w:leader="none" w:pos="71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or program eligibility or retiree welfare eligibility under any retiree welfare plan sponsored by Schlumberger or its Subsidiaries (other than under plans sponsored by Cameron and its Subsidiaries immediately prior to the Effective Date or a direct successor plan)) under the employee benefit plans of Schlumberger US,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Cameron and its Subsidiaries (and predecessors) prior to the Effective Time, to the same extent as such Covered Employee was entitled, prior to the Effective Time, to credit for such service under any similar Cameron employee benefit plan in which such Covered Employee participated or was eligible to participate immediately prior to the Effective Time (and to the extent there is no similar Cameron plan, service as recognized for purposes of Cameron’s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In addition, and without limiting the generality of the foregoing: (i) each Covered Employee shall be immediately eligible to participate, without any waiting time, in any and all New Plans for which the Covered Employee is otherwise made eligible to the extent coverage under such New Plan is comparable to a Cameron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Cameron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388" w:lineRule="exact"/>
        <w:rPr>
          <w:rFonts w:ascii="Arial" w:cs="Arial" w:eastAsia="Arial" w:hAnsi="Arial"/>
          <w:sz w:val="16"/>
          <w:szCs w:val="16"/>
          <w:color w:val="auto"/>
        </w:rPr>
      </w:pPr>
    </w:p>
    <w:p>
      <w:pPr>
        <w:jc w:val="both"/>
        <w:ind w:right="20" w:firstLine="464"/>
        <w:spacing w:after="0" w:line="264" w:lineRule="auto"/>
        <w:tabs>
          <w:tab w:leader="none" w:pos="70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Schlumberger and Cameron hereby acknowledge that a “change of control” or “change in control” (or term of similar import) within the meaning of each of the Cameron Benefit Plans identified on Section 8.16(c) of the Cameron Disclosure Letter will occur at or immediately prior to the Effective Time, as applicable.</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Short-term incentive bonuses (i.e., bonuses in respect of a performance period of one year or less) shall be established and paid in accordance with Section 8.16(d) of the Cameron Disclosure Letter.</w:t>
      </w:r>
    </w:p>
    <w:p>
      <w:pPr>
        <w:spacing w:after="0" w:line="170" w:lineRule="exact"/>
        <w:rPr>
          <w:rFonts w:ascii="Arial" w:cs="Arial" w:eastAsia="Arial" w:hAnsi="Arial"/>
          <w:sz w:val="18"/>
          <w:szCs w:val="18"/>
          <w:color w:val="auto"/>
        </w:rPr>
      </w:pPr>
    </w:p>
    <w:p>
      <w:pPr>
        <w:jc w:val="both"/>
        <w:ind w:right="80" w:firstLine="464"/>
        <w:spacing w:after="0" w:line="342" w:lineRule="auto"/>
        <w:tabs>
          <w:tab w:leader="none" w:pos="70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With respect to any Covered Employees based outside of the United States, Schlumberger’s obligations under this Section 8.16 shall be modified to the extent necessary to comply with Applicable Laws of the foreign countries and political subdivisions thereof in which such Covered Employees are based.</w:t>
      </w:r>
    </w:p>
    <w:p>
      <w:pPr>
        <w:spacing w:after="0" w:line="123" w:lineRule="exact"/>
        <w:rPr>
          <w:rFonts w:ascii="Arial" w:cs="Arial" w:eastAsia="Arial" w:hAnsi="Arial"/>
          <w:sz w:val="16"/>
          <w:szCs w:val="16"/>
          <w:color w:val="auto"/>
        </w:rPr>
      </w:pPr>
    </w:p>
    <w:p>
      <w:pPr>
        <w:ind w:right="40" w:firstLine="464"/>
        <w:spacing w:after="0" w:line="264" w:lineRule="auto"/>
        <w:tabs>
          <w:tab w:leader="none" w:pos="68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8.16, to amend, terminate or otherwise modify any employee benefit plan following the Effective Time.</w:t>
      </w:r>
    </w:p>
    <w:p>
      <w:pPr>
        <w:spacing w:after="0" w:line="181"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parties acknowledge and agree that all provisions contained in this Section 8.16 with respect to employees are included for the sole benefit of the parties to this Agreement, and that nothing in this Agreement, whether express or implied, shall create any third party beneficiary or other rights (i) in any other Person, including any employees, former employees, any participant in any Cameron Benefit Plan, or any dependent or beneficiary thereof, or (ii) to continued employment with Schlumberger or any Subsidiary.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Obligations of Schlumberger US</w:t>
      </w:r>
      <w:r>
        <w:rPr>
          <w:rFonts w:ascii="Arial" w:cs="Arial" w:eastAsia="Arial" w:hAnsi="Arial"/>
          <w:sz w:val="18"/>
          <w:szCs w:val="18"/>
          <w:color w:val="auto"/>
        </w:rPr>
        <w:t>. Schlumberger shall take all action necessary to cause Schlumberger US to perform its obligations under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62" w:lineRule="exact"/>
        <w:rPr>
          <w:sz w:val="20"/>
          <w:szCs w:val="20"/>
          <w:color w:val="auto"/>
        </w:rPr>
      </w:pPr>
    </w:p>
    <w:p>
      <w:pPr>
        <w:ind w:left="1140" w:hanging="237"/>
        <w:spacing w:after="0"/>
        <w:tabs>
          <w:tab w:leader="none" w:pos="11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Cameron Stockholder Approval shall have been obtained.</w:t>
      </w:r>
    </w:p>
    <w:p>
      <w:pPr>
        <w:spacing w:after="0" w:line="117" w:lineRule="exact"/>
        <w:rPr>
          <w:rFonts w:ascii="Arial" w:cs="Arial" w:eastAsia="Arial" w:hAnsi="Arial"/>
          <w:sz w:val="18"/>
          <w:szCs w:val="18"/>
          <w:color w:val="auto"/>
        </w:rPr>
      </w:pPr>
    </w:p>
    <w:p>
      <w:pPr>
        <w:ind w:left="460" w:right="20" w:firstLine="443"/>
        <w:spacing w:after="0" w:line="297" w:lineRule="auto"/>
        <w:tabs>
          <w:tab w:leader="none" w:pos="115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 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0" w:lineRule="exact"/>
        <w:rPr>
          <w:rFonts w:ascii="Arial" w:cs="Arial" w:eastAsia="Arial" w:hAnsi="Arial"/>
          <w:sz w:val="16"/>
          <w:szCs w:val="16"/>
          <w:color w:val="auto"/>
        </w:rPr>
      </w:pPr>
    </w:p>
    <w:p>
      <w:pPr>
        <w:ind w:left="460" w:right="20" w:firstLine="443"/>
        <w:spacing w:after="0" w:line="257" w:lineRule="auto"/>
        <w:tabs>
          <w:tab w:leader="none" w:pos="114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9.1(c) of the Cameron Disclosure Letter shall have been obtained, except for those waiting and other time periods and clearances or approvals the failure of which to expire, lapse, terminate or be obtained would not reasonably be expected to have a Cameron Material Adverse Effect or a Schlumberger Material Adverse Effect (after giving effect to the Merger).</w:t>
      </w:r>
    </w:p>
    <w:p>
      <w:pPr>
        <w:spacing w:after="0" w:line="80" w:lineRule="exact"/>
        <w:rPr>
          <w:rFonts w:ascii="Arial" w:cs="Arial" w:eastAsia="Arial" w:hAnsi="Arial"/>
          <w:sz w:val="18"/>
          <w:szCs w:val="18"/>
          <w:color w:val="auto"/>
        </w:rPr>
      </w:pPr>
    </w:p>
    <w:p>
      <w:pPr>
        <w:ind w:left="460" w:firstLine="443"/>
        <w:spacing w:after="0" w:line="272" w:lineRule="auto"/>
        <w:tabs>
          <w:tab w:leader="none" w:pos="115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9.1(c) (a “</w:t>
      </w:r>
      <w:r>
        <w:rPr>
          <w:rFonts w:ascii="Arial" w:cs="Arial" w:eastAsia="Arial" w:hAnsi="Arial"/>
          <w:sz w:val="17"/>
          <w:szCs w:val="17"/>
          <w:b w:val="1"/>
          <w:bCs w:val="1"/>
          <w:color w:val="auto"/>
        </w:rPr>
        <w:t>9.1(c) Jurisdiction</w:t>
      </w:r>
      <w:r>
        <w:rPr>
          <w:rFonts w:ascii="Arial" w:cs="Arial" w:eastAsia="Arial" w:hAnsi="Arial"/>
          <w:sz w:val="17"/>
          <w:szCs w:val="17"/>
          <w:color w:val="auto"/>
        </w:rPr>
        <w:t xml:space="preserve">”) shall prohibit or enjoin the consummation of the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party attempting to invoke this condition to delay the Closing shall have complied with Section 8.4 and 8.6, and with respect to other matters not covered by Section 8.4 and 8.6,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 9.1(c) Jurisdiction which prohibits or makes unlawful the consummation of the Merger.</w:t>
      </w:r>
    </w:p>
    <w:p>
      <w:pPr>
        <w:spacing w:after="0" w:line="69" w:lineRule="exact"/>
        <w:rPr>
          <w:rFonts w:ascii="Arial" w:cs="Arial" w:eastAsia="Arial" w:hAnsi="Arial"/>
          <w:sz w:val="17"/>
          <w:szCs w:val="17"/>
          <w:color w:val="auto"/>
        </w:rPr>
      </w:pPr>
    </w:p>
    <w:p>
      <w:pPr>
        <w:ind w:left="460" w:right="80" w:firstLine="443"/>
        <w:spacing w:after="0" w:line="342" w:lineRule="auto"/>
        <w:tabs>
          <w:tab w:leader="none" w:pos="114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be in effect and no proceedings for that purpose shall have been initiated or threatened by the SEC.</w:t>
      </w:r>
    </w:p>
    <w:p>
      <w:pPr>
        <w:spacing w:after="0" w:line="15" w:lineRule="exact"/>
        <w:rPr>
          <w:rFonts w:ascii="Arial" w:cs="Arial" w:eastAsia="Arial" w:hAnsi="Arial"/>
          <w:sz w:val="16"/>
          <w:szCs w:val="16"/>
          <w:color w:val="auto"/>
        </w:rPr>
      </w:pPr>
    </w:p>
    <w:p>
      <w:pPr>
        <w:ind w:left="460" w:right="120" w:firstLine="443"/>
        <w:spacing w:after="0" w:line="277" w:lineRule="auto"/>
        <w:tabs>
          <w:tab w:leader="none" w:pos="112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in the Merger shall have been authorized for listing on the NYSE, subject to official notice of issuance.</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 of Cameron to Effect the Merger</w:t>
      </w:r>
      <w:r>
        <w:rPr>
          <w:rFonts w:ascii="Arial" w:cs="Arial" w:eastAsia="Arial" w:hAnsi="Arial"/>
          <w:sz w:val="18"/>
          <w:szCs w:val="18"/>
          <w:color w:val="auto"/>
        </w:rPr>
        <w:t>. The obligation of Cameron to effect the Merger shall be subject to the satisfaction or waiver at or prior to the Closing Date of the following conditions:</w:t>
      </w:r>
    </w:p>
    <w:p>
      <w:pPr>
        <w:spacing w:after="0" w:line="62" w:lineRule="exact"/>
        <w:rPr>
          <w:sz w:val="20"/>
          <w:szCs w:val="20"/>
          <w:color w:val="auto"/>
        </w:rPr>
      </w:pPr>
    </w:p>
    <w:p>
      <w:pPr>
        <w:ind w:left="460" w:right="180" w:firstLine="443"/>
        <w:spacing w:after="0" w:line="312" w:lineRule="auto"/>
        <w:tabs>
          <w:tab w:leader="none" w:pos="114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Each of Schlumberger US, Merger Sub and Schlumberger shall have performed, in all material respects, its covenants and agreements contained in this Agreement required to be performed on or prior to the Closing Date, and Cameron shall have received a certificate of Schlumberger, executed on its behalf by its President or one of its Vice Presidents, dated the Closing Date, certifying to such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89" w:lineRule="auto"/>
        <w:tabs>
          <w:tab w:leader="none" w:pos="115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US, Merger Sub and Schlumberger (i) in Section 6.3 and Section 7.3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6.3 and Section 7.3)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Section 6.9 and Section 7.9, “Schlumberger Material Adverse Effect” set forth therein) has not had or would not reasonably be expected to have, individually or in the aggregate, a Schlumberger Material Adverse Effect. Cameron shall have received a certificate of Schlumberger, executed on its behalf by its President or one of its Vice Presidents, dated the Closing Date, certifying to such effect.</w:t>
      </w:r>
    </w:p>
    <w:p>
      <w:pPr>
        <w:spacing w:after="0" w:line="16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 of Schlumberger to Effect the Merger</w:t>
      </w:r>
      <w:r>
        <w:rPr>
          <w:rFonts w:ascii="Arial" w:cs="Arial" w:eastAsia="Arial" w:hAnsi="Arial"/>
          <w:sz w:val="18"/>
          <w:szCs w:val="18"/>
          <w:color w:val="auto"/>
        </w:rPr>
        <w:t>. The obligations of Schlumberger US, Merger Sub and Schlumberger to effect the Merger shall be subject to the satisfaction or waiver at or prior to the Closing Date of the following conditions:</w:t>
      </w:r>
    </w:p>
    <w:p>
      <w:pPr>
        <w:spacing w:after="0" w:line="62" w:lineRule="exact"/>
        <w:rPr>
          <w:sz w:val="20"/>
          <w:szCs w:val="20"/>
          <w:color w:val="auto"/>
        </w:rPr>
      </w:pPr>
    </w:p>
    <w:p>
      <w:pPr>
        <w:ind w:left="460" w:right="20" w:firstLine="443"/>
        <w:spacing w:after="0" w:line="264" w:lineRule="auto"/>
        <w:tabs>
          <w:tab w:leader="none" w:pos="114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Cameron shall have performed, in all material respects, its covenants and agreements contained in this Agreement required to be performed on or prior to the Closing Date, and Schlumberger shall have received a certificate of Cameron, executed on its behalf by its President or one of its Vice Presidents, dated the Closing Date, certifying to such effect.</w:t>
      </w:r>
    </w:p>
    <w:p>
      <w:pPr>
        <w:spacing w:after="0" w:line="73" w:lineRule="exact"/>
        <w:rPr>
          <w:rFonts w:ascii="Arial" w:cs="Arial" w:eastAsia="Arial" w:hAnsi="Arial"/>
          <w:sz w:val="18"/>
          <w:szCs w:val="18"/>
          <w:color w:val="auto"/>
        </w:rPr>
      </w:pPr>
    </w:p>
    <w:p>
      <w:pPr>
        <w:ind w:left="460" w:right="20" w:firstLine="443"/>
        <w:spacing w:after="0" w:line="270" w:lineRule="auto"/>
        <w:tabs>
          <w:tab w:leader="none" w:pos="1153"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representations and warranties of Cameron (i) in Section 5.3(a) and Section 5.3(c)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5.3(a) and Section 5.3(c))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the first sentence of Section 5.10, “Cameron Material Adverse Effect” set forth therein) has not had or would not reasonably be expected to have, individually or in the aggregate, a Cameron Material Adverse Effect. Schlumberger shall have received a certificate of Cameron, executed on its behalf by its President or one of its Vice Presidents, dated the Closing Date, certifying to such effect.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Termination by Mutual Consent</w:t>
      </w:r>
      <w:r>
        <w:rPr>
          <w:rFonts w:ascii="Arial" w:cs="Arial" w:eastAsia="Arial" w:hAnsi="Arial"/>
          <w:sz w:val="17"/>
          <w:szCs w:val="17"/>
          <w:color w:val="auto"/>
        </w:rPr>
        <w:t>. This Agreement may be terminated at any time prior to the Effective Time, whether before or after the receipt of the Cameron Stockholder Approval, by the mutual written consent of Cameron, Schlumberger US and Schlumberger.</w:t>
      </w:r>
    </w:p>
    <w:p>
      <w:pPr>
        <w:spacing w:after="0" w:line="14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Termination by Schlumberger or Cameron</w:t>
      </w:r>
      <w:r>
        <w:rPr>
          <w:rFonts w:ascii="Arial" w:cs="Arial" w:eastAsia="Arial" w:hAnsi="Arial"/>
          <w:sz w:val="17"/>
          <w:szCs w:val="17"/>
          <w:color w:val="auto"/>
        </w:rPr>
        <w:t>. This Agreement may be terminated at any time prior to the Effective Time, whether before or after the receipt of the Cameron Stockholder Approval, by action of the Cameron Board or the Board of Directors of Schlumberger if:</w:t>
      </w:r>
    </w:p>
    <w:p>
      <w:pPr>
        <w:spacing w:after="0" w:line="34" w:lineRule="exact"/>
        <w:rPr>
          <w:sz w:val="20"/>
          <w:szCs w:val="20"/>
          <w:color w:val="auto"/>
        </w:rPr>
      </w:pPr>
    </w:p>
    <w:p>
      <w:pPr>
        <w:ind w:left="460" w:right="40" w:firstLine="443"/>
        <w:spacing w:after="0" w:line="261" w:lineRule="auto"/>
        <w:tabs>
          <w:tab w:leader="none" w:pos="114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Merger shall not have been consummated by August 25, 2016 (the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pursuant to this Section 10.2(a) shall not be available to any party whose failure to perform or observe in any material respect any of its obligations under this Agreement in any manner shall have been the cause of, or resulted in, the failure of the Merger to occur on or before such date;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on the Initial Termination Date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condition to Closing set forth in Section 9.1(b), (c) or (d) (but for purposes of Section 9.1(d)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Cameron by written notice to the other to a date not later than November 25, 2016. As used in this Agreement, the term “</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Initial Termination Date, unless the Initial Termination Date has been extended pursuant to the last sentence of Section 8.2 or the foregoing proviso, in which case, the term “Termination Date” shall mean the date to which the Termination Date has been extended;</w:t>
      </w:r>
    </w:p>
    <w:p>
      <w:pPr>
        <w:spacing w:after="0" w:line="70" w:lineRule="exact"/>
        <w:rPr>
          <w:sz w:val="20"/>
          <w:szCs w:val="20"/>
          <w:color w:val="auto"/>
        </w:rPr>
      </w:pPr>
    </w:p>
    <w:p>
      <w:pPr>
        <w:ind w:left="460" w:right="440" w:firstLine="443"/>
        <w:spacing w:after="0" w:line="264" w:lineRule="auto"/>
        <w:tabs>
          <w:tab w:leader="none" w:pos="11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Cameron Stockholders Meeting (including adjournments and postponements) shall have concluded and the Cameron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10.2(b) shall not be available to Cameron if it has not materially complied with its obligations under Section 8.3; or</w:t>
      </w:r>
    </w:p>
    <w:p>
      <w:pPr>
        <w:spacing w:after="0" w:line="73"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a court of competent jurisdiction in the United States, the European Union or a 9.1(c)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10.2(c) shall have complied with Section 8.4 and Section 8.6 and, with respect to other matters not covered by Section 8.4 and Section 8.6, shall have used its reasonable best efforts to remove such injunction, order or decree.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Termination by Cameron</w:t>
      </w:r>
      <w:r>
        <w:rPr>
          <w:rFonts w:ascii="Arial" w:cs="Arial" w:eastAsia="Arial" w:hAnsi="Arial"/>
          <w:sz w:val="16"/>
          <w:szCs w:val="16"/>
          <w:color w:val="auto"/>
        </w:rPr>
        <w:t>. This Agreement may be terminated at any time prior to the Effective Time by action of the Cameron Board:</w:t>
      </w:r>
    </w:p>
    <w:p>
      <w:pPr>
        <w:spacing w:after="0" w:line="140" w:lineRule="exact"/>
        <w:rPr>
          <w:sz w:val="20"/>
          <w:szCs w:val="20"/>
          <w:color w:val="auto"/>
        </w:rPr>
      </w:pPr>
    </w:p>
    <w:p>
      <w:pPr>
        <w:ind w:left="460" w:right="60" w:firstLine="443"/>
        <w:spacing w:after="0" w:line="255" w:lineRule="auto"/>
        <w:tabs>
          <w:tab w:leader="none" w:pos="114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if there has been a breach by Schlumberger US or Schlumberger of any representation, warranty, covenant or agreement set forth in this Agreement or if any representation or warranty of Schlumberger US or Schlumberger shall have become untrue, in either case such that the conditions set forth in Section 9.2 would not be satisfied, and such breach or failure to be true and correct is not curable by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pursuant to this Section 10.3(a) shall not be available to Cameron if it, at such time, is in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any representation, warranty, covenant or agreement set forth in this Agreement such that the conditions set forth in Section 9.3(a) and Section 9.3(b) shall not be satisfied; or</w:t>
      </w:r>
    </w:p>
    <w:p>
      <w:pPr>
        <w:spacing w:after="0" w:line="85" w:lineRule="exact"/>
        <w:rPr>
          <w:rFonts w:ascii="Arial" w:cs="Arial" w:eastAsia="Arial" w:hAnsi="Arial"/>
          <w:sz w:val="18"/>
          <w:szCs w:val="18"/>
          <w:color w:val="auto"/>
        </w:rPr>
      </w:pPr>
    </w:p>
    <w:p>
      <w:pPr>
        <w:ind w:left="460" w:right="580" w:firstLine="443"/>
        <w:spacing w:after="0" w:line="264" w:lineRule="auto"/>
        <w:tabs>
          <w:tab w:leader="none" w:pos="115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at any time prior to obtaining the Cameron Stockholder Approval, in order to enter into any agreement, understanding or arrangement providing for a Superior Proposal in accordance with Section 8.3(b); </w:t>
      </w:r>
      <w:r>
        <w:rPr>
          <w:rFonts w:ascii="Arial" w:cs="Arial" w:eastAsia="Arial" w:hAnsi="Arial"/>
          <w:sz w:val="18"/>
          <w:szCs w:val="18"/>
          <w:i w:val="1"/>
          <w:iCs w:val="1"/>
          <w:color w:val="auto"/>
        </w:rPr>
        <w:t>provided</w:t>
      </w:r>
      <w:r>
        <w:rPr>
          <w:rFonts w:ascii="Arial" w:cs="Arial" w:eastAsia="Arial" w:hAnsi="Arial"/>
          <w:sz w:val="18"/>
          <w:szCs w:val="18"/>
          <w:color w:val="auto"/>
        </w:rPr>
        <w:t>, that Cameron shall concurrently with such termination pay to Schlumberger the Termination Fee in accordance with Section 10.5(a).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Termination by Schlumberger</w:t>
      </w:r>
      <w:r>
        <w:rPr>
          <w:rFonts w:ascii="Arial" w:cs="Arial" w:eastAsia="Arial" w:hAnsi="Arial"/>
          <w:sz w:val="17"/>
          <w:szCs w:val="17"/>
          <w:color w:val="auto"/>
        </w:rPr>
        <w:t>. This Agreement may be terminated at any time prior to the Effective Time by action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 of Schlumberger, if:</w:t>
      </w:r>
    </w:p>
    <w:p>
      <w:pPr>
        <w:spacing w:after="0" w:line="103" w:lineRule="exact"/>
        <w:rPr>
          <w:sz w:val="20"/>
          <w:szCs w:val="20"/>
          <w:color w:val="auto"/>
        </w:rPr>
      </w:pPr>
    </w:p>
    <w:p>
      <w:pPr>
        <w:ind w:left="460" w:right="80" w:firstLine="443"/>
        <w:spacing w:after="0" w:line="297" w:lineRule="auto"/>
        <w:tabs>
          <w:tab w:leader="none" w:pos="114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there has been a breach by Cameron of any representation, warranty, covenant or agreement set forth in this Agreement or if any representation or warranty of Cameron shall have become untrue, in either case such that the conditions set forth in Section 9.3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terminate this Agreement pursuant to this Section 10.4(a) shall not be available to Schlumberger if it, at such time, is in breach of any representation, warranty, covenant or agreement set forth in this Agreement such that any of the conditions set forth in Section 9.2(a) and Section 9.2(b) shall not be satisfied; or</w:t>
      </w:r>
    </w:p>
    <w:p>
      <w:pPr>
        <w:spacing w:after="0" w:line="50" w:lineRule="exact"/>
        <w:rPr>
          <w:rFonts w:ascii="Arial" w:cs="Arial" w:eastAsia="Arial" w:hAnsi="Arial"/>
          <w:sz w:val="16"/>
          <w:szCs w:val="16"/>
          <w:color w:val="auto"/>
        </w:rPr>
      </w:pPr>
    </w:p>
    <w:p>
      <w:pPr>
        <w:ind w:left="460" w:right="380" w:firstLine="443"/>
        <w:spacing w:after="0" w:line="277" w:lineRule="auto"/>
        <w:tabs>
          <w:tab w:leader="none" w:pos="115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Cameron Board shall have failed to recommend its approval or recommendation of this Agreement or the Merger or there has been a Change in Recommendation, whether or not permitted by the terms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13" w:lineRule="exact"/>
        <w:rPr>
          <w:sz w:val="20"/>
          <w:szCs w:val="20"/>
          <w:color w:val="auto"/>
        </w:rPr>
      </w:pPr>
    </w:p>
    <w:p>
      <w:pPr>
        <w:ind w:left="1140" w:hanging="237"/>
        <w:spacing w:after="0"/>
        <w:tabs>
          <w:tab w:leader="none" w:pos="11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Cameron shall pay Schlumberger US a fee of $321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20" w:right="320" w:firstLine="421"/>
        <w:spacing w:after="0" w:line="257" w:lineRule="auto"/>
        <w:tabs>
          <w:tab w:leader="none" w:pos="155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10.2(b), and (x) such termination occurs after an Acquisition Proposal shall have been made known to Cameron (including any of its Representatives) and communicated publicly or shall have been made directly to the stockholders of Cameron by any person, in each case such Acquisition Proposal shall not have been withdrawn, and (y) within one year after such termination, Cameron enters into a definitive agreement with respect to an Acquisition Proposal or an Acquisition Proposal is consummated;</w:t>
      </w:r>
    </w:p>
    <w:p>
      <w:pPr>
        <w:spacing w:after="0" w:line="80" w:lineRule="exact"/>
        <w:rPr>
          <w:rFonts w:ascii="Arial" w:cs="Arial" w:eastAsia="Arial" w:hAnsi="Arial"/>
          <w:sz w:val="18"/>
          <w:szCs w:val="18"/>
          <w:color w:val="auto"/>
        </w:rPr>
      </w:pPr>
    </w:p>
    <w:p>
      <w:pPr>
        <w:ind w:left="1600" w:hanging="259"/>
        <w:spacing w:after="0"/>
        <w:tabs>
          <w:tab w:leader="none" w:pos="16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10.3(b); or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10.4(b);</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which fee shall be payable: in the case of clause (i), upon the first to occur of such entering into a definitive agreement or consummation referred to in subclause (y) thereof; and in the case of clauses (ii) and (iii), upon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this Section 10.5(a), the references to “33%” in the definition of Acquisition Proposal shall be deemed to be references to “50%”. Any amount payable pursuant to this Section 10.5(a) shall be reduced by any amount paid pursuant to Section 10.5(b). Schlumberger US, Merger Sub and Schlumberger agree that in the event that the Termination Fee is paid or may be payable to Schlumberger US pursuant to this Section 10.5(a),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Persons</w:t>
      </w:r>
      <w:r>
        <w:rPr>
          <w:rFonts w:ascii="Arial" w:cs="Arial" w:eastAsia="Arial" w:hAnsi="Arial"/>
          <w:sz w:val="17"/>
          <w:szCs w:val="17"/>
          <w:color w:val="auto"/>
        </w:rPr>
        <w:t>”) against Cameron or any of its Related Persons for, and in no event will Schlumberger or any of its Related Persons be entitled to recover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US of the Termination Fee, neither Cameron nor any Related Person of Cameron shall have any further liability or obligation to Schlumberger or any of its Related Persons relating to or arising out of this Agreement or the transactions contemplated hereby (subject to Section 10.5(f)).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Without limiting the rights of Schlumberger US and Schlumberger under Section 10.5(f), if this Agreement is terminated (i) pursuant to</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10.2(b) and no Termination Fee is yet payable in respect thereof pursuant to Section 10.5(a), or (ii) pursuant to Section 10.4(a) because there has been a willful and material breach by Cameron of any covenant or agreement set forth herein, then Cameron shall reimburse Schlumberger US and Schlumberger for their actual costs and expenses incurred in connection with the transactions contemplated hereby in an amount not to exceed $10 million.</w:t>
      </w:r>
    </w:p>
    <w:p>
      <w:pPr>
        <w:spacing w:after="0" w:line="155" w:lineRule="exact"/>
        <w:rPr>
          <w:sz w:val="20"/>
          <w:szCs w:val="20"/>
          <w:color w:val="auto"/>
        </w:rPr>
      </w:pPr>
    </w:p>
    <w:p>
      <w:pPr>
        <w:ind w:right="20" w:firstLine="464"/>
        <w:spacing w:after="0" w:line="259" w:lineRule="auto"/>
        <w:tabs>
          <w:tab w:leader="none" w:pos="7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Without limiting the rights of Cameron under Section 10.5(f), if this Agreement is terminated by Cameron pursuant to Section 10.3(a) because there has been a willful and material breach by Schlumberger US or Schlumberger of any covenant or agreement set forth herein, then Schlumberger US shall reimburse Cameron for its actual costs and expenses incurred in connection with the transactions contemplated hereby in an amount not to exceed $10 million.</w:t>
      </w:r>
    </w:p>
    <w:p>
      <w:pPr>
        <w:spacing w:after="0" w:line="186"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payments under this Section 10.5 shall be made promptly upon becoming due by wire transfer of immediately available funds to an account designated by the receiving party.</w:t>
      </w:r>
    </w:p>
    <w:p>
      <w:pPr>
        <w:spacing w:after="0" w:line="170"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Each of Cameron, Schlumberger US and Schlumberger acknowledge that the agreements contained in this Section 10.5 are an integral part of the transactions contemplated by this Agreement, and that, without these agreements, neither Cameron, Schlumberger US nor Schlumberger would enter into this Agreement; accordingly, if either Cameron fails to pay, or Schlumberger US fails to pay, as applicable, any amount due pursuant to this Section 10.5, and, in order to obtain such payment, the party entitled to such payment commences a suit which results in a judgment against the party failing to pay for the fees to which reference is made in this Section 10.5,</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w:t>
      </w:r>
    </w:p>
    <w:p>
      <w:pPr>
        <w:spacing w:after="0" w:line="124" w:lineRule="exact"/>
        <w:rPr>
          <w:sz w:val="20"/>
          <w:szCs w:val="20"/>
          <w:color w:val="auto"/>
        </w:rPr>
      </w:pPr>
    </w:p>
    <w:p>
      <w:pPr>
        <w:ind w:right="40" w:firstLine="464"/>
        <w:spacing w:after="0" w:line="291" w:lineRule="auto"/>
        <w:tabs>
          <w:tab w:leader="none" w:pos="681"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10, all obligations of the parties hereto shall terminate, except the obligations of the parties pursuant to this Section 10.5, the last sentence of Section 8.10 and Section 8.12, Section 8.15 and Article 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relieve any party from any liability for any willful and material breach by such party of any of its representations, warranties, covenants or agreements set forth in this Agreement (it being understood that the failure of a party to effect the Closing when required under the terms of this Agreement shall constitute a willful and material breach),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Nonsurvival of Representations, Warranties and Agreements</w:t>
      </w:r>
      <w:r>
        <w:rPr>
          <w:rFonts w:ascii="Arial" w:cs="Arial" w:eastAsia="Arial" w:hAnsi="Arial"/>
          <w:sz w:val="16"/>
          <w:szCs w:val="16"/>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agreements contained in Article 4 and in Section 3.1, Section 3.2, Section 8.9, Section 8.15, Section 8.16 and Section 8.17 and this Article 11 shall survive the Effective Time.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(with proof of transmission), by overnight courier (with proof of service), hand delivery or by electronic mail transmission (with proof of transmission), addressed as follows: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if to Cameron: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(713) 513-3421</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Scott A. Barshay,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F. Schoen,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 Keith Hallam, III,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474-3700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sbarshay@cravath.com</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gschoen@cravath.com</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khallam@cravath.com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60"/>
          </w:cols>
          <w:pgMar w:left="240" w:top="460" w:right="2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if to Schlumberger US, Merger Sub or Schlumberger:</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(713) 375-3481</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Shell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77002-4995</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 David Kirkland, Jr.</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Tull R. Florey</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Andrew J. Ericksen</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(713) 229-7701</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david.kirkland@bakerbotts.com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tull.florey@bakerbotts.com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aj.ericksen@bakerbotts.com</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to such other address as any party shall specify by written notice so given. Any notice, request, instruction or other document given as provided above shall be deemed given to the receiving party upon actual receipt, if delivered personally; upon confirmation of successful transmission, if sent by facsimile or electronic mail transmission (provided that if given by facsimile or electronic mail transmission,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Assignment; Binding Effect</w:t>
      </w:r>
      <w:r>
        <w:rPr>
          <w:rFonts w:ascii="Arial" w:cs="Arial" w:eastAsia="Arial" w:hAnsi="Arial"/>
          <w:sz w:val="17"/>
          <w:szCs w:val="17"/>
          <w:color w:val="auto"/>
        </w:rPr>
        <w: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Notwithstanding anything contained in this Agreement to the contrary, except for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8.15, nothing in this Agreement, expressed or implied, is intended to confer standing to any person other than the parties hereto or their respective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heirs, successors, executors, administrators and assigns except, following the Effective Time, for the provisions of Section 4.1 and Section 8.15.</w:t>
      </w:r>
    </w:p>
    <w:p>
      <w:pPr>
        <w:spacing w:after="0" w:line="222" w:lineRule="exact"/>
        <w:rPr>
          <w:sz w:val="20"/>
          <w:szCs w:val="20"/>
          <w:color w:val="auto"/>
        </w:rPr>
      </w:pPr>
    </w:p>
    <w:p>
      <w:pPr>
        <w:jc w:val="both"/>
        <w:ind w:right="340" w:firstLine="456"/>
        <w:spacing w:after="0" w:line="279"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the exhibits to this Agreement, the Cameron Disclosure Letter, the Schlumberger US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7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be amended by the parties hereto, by action taken or authorized by their respective Boards of Directors, at any time before or after the Cameron Stockholder Approval, but after the Cameron Stockholder Approval has been obtained, no amendment shall be made which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by law or in accordance with the rules of any relevant stock exchange requires the further approval of stockholders without obtaining such further approval.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not be amended except by an instrument in writing signed on behalf of each of the parties hereto.</w:t>
      </w:r>
    </w:p>
    <w:p>
      <w:pPr>
        <w:spacing w:after="0" w:line="21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11.7,</w:t>
      </w:r>
    </w:p>
    <w:p>
      <w:pPr>
        <w:spacing w:after="0" w:line="6" w:lineRule="exact"/>
        <w:rPr>
          <w:sz w:val="20"/>
          <w:szCs w:val="20"/>
          <w:color w:val="auto"/>
        </w:rPr>
      </w:pPr>
    </w:p>
    <w:p>
      <w:pPr>
        <w:ind w:firstLine="8"/>
        <w:spacing w:after="0" w:line="251" w:lineRule="auto"/>
        <w:tabs>
          <w:tab w:leader="none" w:pos="25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DELIVERY OF COPIES THEREOF AS SET FORTH IN SECTION 11.2, SUCH SERVICE OF PROCESS TO BE EFFECTIVE WHEN DEEMED GIVEN PURSUANT TO SECTION 11.2. NOTHING HEREIN SHALL 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9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7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 section of the Cameron Disclosure Letter, the Schlumberger US Disclosure Letter or the Schlumberger Disclosure Letter shall be deemed disclosed for the purposes of the Section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113" w:lineRule="exact"/>
        <w:rPr>
          <w:sz w:val="20"/>
          <w:szCs w:val="20"/>
          <w:color w:val="auto"/>
        </w:rPr>
      </w:pPr>
    </w:p>
    <w:p>
      <w:pPr>
        <w:ind w:left="460" w:right="20" w:firstLine="443"/>
        <w:spacing w:after="0" w:line="266" w:lineRule="auto"/>
        <w:tabs>
          <w:tab w:leader="none" w:pos="114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Cameron or Schlumberger, as the case may be, shall mean the actual knowledge of its executive officers and senior management set forth in Section 11.11(a) of the Cameron Disclosure Letter in the case of Cameron and Section 11.11(a) of the Schlumberger Disclosure Letter in the case of Schlumberger.</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w:t>
      </w:r>
    </w:p>
    <w:p>
      <w:pPr>
        <w:spacing w:after="0" w:line="50" w:lineRule="exact"/>
        <w:rPr>
          <w:rFonts w:ascii="Arial" w:cs="Arial" w:eastAsia="Arial" w:hAnsi="Arial"/>
          <w:sz w:val="16"/>
          <w:szCs w:val="16"/>
          <w:color w:val="auto"/>
        </w:rPr>
      </w:pPr>
    </w:p>
    <w:p>
      <w:pPr>
        <w:ind w:left="460" w:right="20" w:firstLine="4"/>
        <w:spacing w:after="0" w:line="273" w:lineRule="auto"/>
        <w:tabs>
          <w:tab w:leader="none" w:pos="72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64" w:lineRule="exact"/>
        <w:rPr>
          <w:rFonts w:ascii="Arial" w:cs="Arial" w:eastAsia="Arial" w:hAnsi="Arial"/>
          <w:sz w:val="17"/>
          <w:szCs w:val="17"/>
          <w:color w:val="auto"/>
        </w:rPr>
      </w:pPr>
    </w:p>
    <w:p>
      <w:pPr>
        <w:ind w:left="460" w:right="540" w:firstLine="443"/>
        <w:spacing w:after="0" w:line="289" w:lineRule="auto"/>
        <w:tabs>
          <w:tab w:leader="none" w:pos="1143" w:val="left"/>
        </w:tabs>
        <w:numPr>
          <w:ilvl w:val="1"/>
          <w:numId w:val="28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Governmental Entity</w:t>
      </w:r>
      <w:r>
        <w:rPr>
          <w:rFonts w:ascii="Arial" w:cs="Arial" w:eastAsia="Arial" w:hAnsi="Arial"/>
          <w:sz w:val="17"/>
          <w:szCs w:val="17"/>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50" w:lineRule="exact"/>
        <w:rPr>
          <w:rFonts w:ascii="Arial" w:cs="Arial" w:eastAsia="Arial" w:hAnsi="Arial"/>
          <w:sz w:val="17"/>
          <w:szCs w:val="17"/>
          <w:color w:val="auto"/>
        </w:rPr>
      </w:pPr>
    </w:p>
    <w:p>
      <w:pPr>
        <w:ind w:left="460" w:right="20" w:firstLine="443"/>
        <w:spacing w:after="0" w:line="285" w:lineRule="auto"/>
        <w:tabs>
          <w:tab w:leader="none" w:pos="1153"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including changes in interest or exchange rates, (B) changes or conditions in the industries in which the person operates, including changes in or changes, effects, events or occurrences generally affecting the prices of oil, gas, natural gas, natural gas liquids or other commodities, (C) the announcement or the existence of, or compliance with, or taking any action required or permitted by this Agreement or the transactions contemplated hereby or any litigation referred to in Section 8.14,</w:t>
      </w:r>
    </w:p>
    <w:p>
      <w:pPr>
        <w:spacing w:after="0" w:line="3" w:lineRule="exact"/>
        <w:rPr>
          <w:rFonts w:ascii="Arial" w:cs="Arial" w:eastAsia="Arial" w:hAnsi="Arial"/>
          <w:sz w:val="16"/>
          <w:szCs w:val="16"/>
          <w:color w:val="auto"/>
        </w:rPr>
      </w:pPr>
    </w:p>
    <w:p>
      <w:pPr>
        <w:ind w:left="46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(D) taking any action by such person at the written request of Merger Sub, Schlumberger US or Schlumberger, in the case of Cameron, or of Cameron, in the case of Merger Sub, Schlumberger US or Schlumberger, (E) any weather-related or other force majeure event or outbreak or escalation of hostilities or acts of war (whether or not declared) or terrorism, (F) changes in Applicable Law or in GAAP or in accounting standards, or any changes in the interpretation or enforcement of any of the foregoing, or any changes in general legal, regulatory or political conditions, (G) any change in such person’s credit ratings, (H) any decline in the market price, or change in trading volume, of the capital stock of such person, or (I) any failure to meet any internal or public projections, forecasts, guidance, estimates, milestones, budgets or internal or published financial or operating predications of revenue, earnings, cash flow or cash position (it being understood that the exceptions in clauses (G), (H) and (I) shall not prevent or otherwise affect a determination that the underlying cause of any such change, decline or failure referred to therein (if not otherwise falling within any of the exceptions provided by clause (i) hereof) is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(A), (B), (E) and (F), to the extent the impact on the person in question and its Subsidiaries, taken as a whole, is disproportionate to the impact on other similarly situated entities, the incrementally disproportionate impact or impacts may be taken into account in determining whether there has been, or would reasonably be expected to be, a Material Adverse Effect or (ii) a material adverse effect on or material adverse change in the ability of the person to perform its obligations under this Agreement or to consummate the Merger and the other transactions contemplated by this Agreement. “</w:t>
      </w:r>
      <w:r>
        <w:rPr>
          <w:rFonts w:ascii="Arial" w:cs="Arial" w:eastAsia="Arial" w:hAnsi="Arial"/>
          <w:sz w:val="16"/>
          <w:szCs w:val="16"/>
          <w:b w:val="1"/>
          <w:bCs w:val="1"/>
          <w:color w:val="auto"/>
        </w:rPr>
        <w:t>Cameron Material Adverse Effect</w:t>
      </w:r>
      <w:r>
        <w:rPr>
          <w:rFonts w:ascii="Arial" w:cs="Arial" w:eastAsia="Arial" w:hAnsi="Arial"/>
          <w:sz w:val="16"/>
          <w:szCs w:val="16"/>
          <w:color w:val="auto"/>
        </w:rPr>
        <w:t>” and “</w:t>
      </w:r>
      <w:r>
        <w:rPr>
          <w:rFonts w:ascii="Arial" w:cs="Arial" w:eastAsia="Arial" w:hAnsi="Arial"/>
          <w:sz w:val="16"/>
          <w:szCs w:val="16"/>
          <w:b w:val="1"/>
          <w:bCs w:val="1"/>
          <w:color w:val="auto"/>
        </w:rPr>
        <w:t>Schlumberger Material Adverse Effect</w:t>
      </w:r>
      <w:r>
        <w:rPr>
          <w:rFonts w:ascii="Arial" w:cs="Arial" w:eastAsia="Arial" w:hAnsi="Arial"/>
          <w:sz w:val="16"/>
          <w:szCs w:val="16"/>
          <w:color w:val="auto"/>
        </w:rPr>
        <w:t>” mean a Material Adverse Effect with respect to Cameron and Schlumberger, respectively.</w:t>
      </w:r>
    </w:p>
    <w:p>
      <w:pPr>
        <w:spacing w:after="0" w:line="56" w:lineRule="exact"/>
        <w:rPr>
          <w:rFonts w:ascii="Arial" w:cs="Arial" w:eastAsia="Arial" w:hAnsi="Arial"/>
          <w:sz w:val="16"/>
          <w:szCs w:val="16"/>
          <w:color w:val="auto"/>
        </w:rPr>
      </w:pPr>
    </w:p>
    <w:p>
      <w:pPr>
        <w:ind w:left="1140" w:hanging="237"/>
        <w:spacing w:after="0"/>
        <w:tabs>
          <w:tab w:leader="none" w:pos="114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Lien</w:t>
      </w:r>
      <w:r>
        <w:rPr>
          <w:rFonts w:ascii="Arial" w:cs="Arial" w:eastAsia="Arial" w:hAnsi="Arial"/>
          <w:sz w:val="16"/>
          <w:szCs w:val="16"/>
          <w:color w:val="auto"/>
        </w:rPr>
        <w:t>” means (i) any liens for Taxes not yet due or which are being contested in good faith by appropriate proceedings,</w:t>
      </w:r>
    </w:p>
    <w:p>
      <w:pPr>
        <w:spacing w:after="0" w:line="50" w:lineRule="exact"/>
        <w:rPr>
          <w:rFonts w:ascii="Arial" w:cs="Arial" w:eastAsia="Arial" w:hAnsi="Arial"/>
          <w:sz w:val="16"/>
          <w:szCs w:val="16"/>
          <w:color w:val="auto"/>
        </w:rPr>
      </w:pPr>
    </w:p>
    <w:p>
      <w:pPr>
        <w:ind w:left="460" w:right="420" w:firstLine="4"/>
        <w:spacing w:after="0" w:line="290" w:lineRule="auto"/>
        <w:tabs>
          <w:tab w:leader="none" w:pos="725" w:val="left"/>
        </w:tabs>
        <w:numPr>
          <w:ilvl w:val="0"/>
          <w:numId w:val="282"/>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similar liens, (iii) pledges or deposits in connection with workers’ compensation, unemployment insurance, and other social security legislation or (iv) easements, rights-of-way, restrictions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and other similar encumbrances incurred in the ordinary course of business, which do not in any case materially detract from the utilization of the property subject thereto.</w:t>
      </w:r>
    </w:p>
    <w:p>
      <w:pPr>
        <w:spacing w:after="0" w:line="58" w:lineRule="exact"/>
        <w:rPr>
          <w:sz w:val="20"/>
          <w:szCs w:val="20"/>
          <w:color w:val="auto"/>
        </w:rPr>
      </w:pPr>
    </w:p>
    <w:p>
      <w:pPr>
        <w:ind w:left="460" w:right="340" w:firstLine="443"/>
        <w:spacing w:after="0" w:line="282" w:lineRule="auto"/>
        <w:tabs>
          <w:tab w:leader="none" w:pos="112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53" w:lineRule="exact"/>
        <w:rPr>
          <w:rFonts w:ascii="Arial" w:cs="Arial" w:eastAsia="Arial" w:hAnsi="Arial"/>
          <w:sz w:val="18"/>
          <w:szCs w:val="18"/>
          <w:color w:val="auto"/>
        </w:rPr>
      </w:pPr>
    </w:p>
    <w:p>
      <w:pPr>
        <w:ind w:left="460" w:firstLine="443"/>
        <w:spacing w:after="0" w:line="292" w:lineRule="auto"/>
        <w:tabs>
          <w:tab w:leader="none" w:pos="1153"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w:t>
      </w:r>
    </w:p>
    <w:p>
      <w:pPr>
        <w:spacing w:after="0" w:line="53" w:lineRule="exact"/>
        <w:rPr>
          <w:rFonts w:ascii="Arial" w:cs="Arial" w:eastAsia="Arial" w:hAnsi="Arial"/>
          <w:sz w:val="16"/>
          <w:szCs w:val="16"/>
          <w:color w:val="auto"/>
        </w:rPr>
      </w:pPr>
    </w:p>
    <w:p>
      <w:pPr>
        <w:ind w:left="460" w:firstLine="443"/>
        <w:spacing w:after="0" w:line="258" w:lineRule="auto"/>
        <w:tabs>
          <w:tab w:leader="none" w:pos="115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net income, gross income, gross receipts, sales, use, ad valorem, transfer, value added, registration, accumulated earnings, excess profits, franchise, profits, license, withholding, payroll, employment, unemployment, social security (or similar), excise, severance, stamp, occupation, premium, property, disability, capital stock, alternative or add-on minimum, estimated, or windfall profits taxes, customs duties or other taxes, fees, assessments or governmental charges of any kind whatsoever, together with any interest and any penalties, additions to tax or additional amounts imposed by any taxing authority.</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Extensions; Waiver</w:t>
      </w:r>
      <w:r>
        <w:rPr>
          <w:rFonts w:ascii="Arial" w:cs="Arial" w:eastAsia="Arial" w:hAnsi="Arial"/>
          <w:sz w:val="17"/>
          <w:szCs w:val="17"/>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7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i w:val="1"/>
          <w:iCs w:val="1"/>
          <w:color w:val="auto"/>
        </w:rPr>
        <w:t>Enforcement of Agreement</w:t>
      </w:r>
      <w:r>
        <w:rPr>
          <w:rFonts w:ascii="Arial" w:cs="Arial" w:eastAsia="Arial" w:hAnsi="Arial"/>
          <w:sz w:val="17"/>
          <w:szCs w:val="17"/>
          <w:color w:val="auto"/>
        </w:rPr>
        <w:t>. The parties hereto agree that irreparable damage for which monetary relief (including any fees payable pursuant to this Agreement), even if available, would not be an adequate remedy,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without proof of damages,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 The parties hereto agree not to assert that a remedy of specific enforcement is unenforceable, invalid, contrary to Law or inequitable for any reason, and not to assert that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remedy of monetary damages would provide an adequate remedy or that the parties otherwise have an adequate remedy at law. The parties hereto acknowledge and agree that any party hereto seeking an injunction or injunctions to prevent breaches of this Agreement and to enforce specifically the terms and provisions of this Agreement in accordance with this Section 11.14 shall not be required to provide any bond or other security in connection with any such order or injunction.</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US, MERGER SUB, SCHLUMBERGER AND CAMERON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00"/>
          </w:cols>
          <w:pgMar w:left="240" w:top="460" w:right="3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Yates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Yates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RAIN MERGER SUB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Vijay Kasibhatla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Vijay Kasibhatla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SCHLUMBERGER N.V.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Paal Kibsgaard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B. Moore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Jack B. Moore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262. Appraisal rights</w:t>
      </w:r>
    </w:p>
    <w:p>
      <w:pPr>
        <w:spacing w:after="0" w:line="135" w:lineRule="exact"/>
        <w:rPr>
          <w:sz w:val="20"/>
          <w:szCs w:val="20"/>
          <w:color w:val="auto"/>
        </w:rPr>
      </w:pPr>
    </w:p>
    <w:p>
      <w:pPr>
        <w:ind w:left="460" w:right="40" w:hanging="452"/>
        <w:spacing w:after="0" w:line="271" w:lineRule="auto"/>
        <w:tabs>
          <w:tab w:leader="none" w:pos="4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84" w:lineRule="exact"/>
        <w:rPr>
          <w:rFonts w:ascii="Arial" w:cs="Arial" w:eastAsia="Arial" w:hAnsi="Arial"/>
          <w:sz w:val="17"/>
          <w:szCs w:val="17"/>
          <w:color w:val="auto"/>
        </w:rPr>
      </w:pPr>
    </w:p>
    <w:p>
      <w:pPr>
        <w:ind w:left="460" w:right="100" w:hanging="452"/>
        <w:spacing w:after="0" w:line="264" w:lineRule="auto"/>
        <w:tabs>
          <w:tab w:leader="none" w:pos="4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 264 of this title:</w:t>
      </w:r>
    </w:p>
    <w:p>
      <w:pPr>
        <w:spacing w:after="0" w:line="86" w:lineRule="exact"/>
        <w:rPr>
          <w:rFonts w:ascii="Arial" w:cs="Arial" w:eastAsia="Arial" w:hAnsi="Arial"/>
          <w:sz w:val="18"/>
          <w:szCs w:val="18"/>
          <w:color w:val="auto"/>
        </w:rPr>
      </w:pPr>
    </w:p>
    <w:p>
      <w:pPr>
        <w:ind w:left="900" w:right="80" w:hanging="446"/>
        <w:spacing w:after="0" w:line="255" w:lineRule="auto"/>
        <w:tabs>
          <w:tab w:leader="none" w:pos="9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8"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284"/>
        </w:numPr>
        <w:rPr>
          <w:rFonts w:ascii="Arial" w:cs="Arial" w:eastAsia="Arial" w:hAnsi="Arial"/>
          <w:sz w:val="17"/>
          <w:szCs w:val="17"/>
          <w:color w:val="auto"/>
        </w:rPr>
      </w:pPr>
      <w:r>
        <w:rPr>
          <w:rFonts w:ascii="Arial" w:cs="Arial" w:eastAsia="Arial" w:hAnsi="Arial"/>
          <w:sz w:val="17"/>
          <w:szCs w:val="17"/>
          <w:color w:val="auto"/>
        </w:rPr>
        <w:t>Shares of stock of the corporation surviving or resulting from such merger or consolidation, or depository receipts in respect thereof;</w:t>
      </w:r>
    </w:p>
    <w:p>
      <w:pPr>
        <w:spacing w:after="0" w:line="142" w:lineRule="exact"/>
        <w:rPr>
          <w:rFonts w:ascii="Arial" w:cs="Arial" w:eastAsia="Arial" w:hAnsi="Arial"/>
          <w:sz w:val="17"/>
          <w:szCs w:val="17"/>
          <w:color w:val="auto"/>
        </w:rPr>
      </w:pPr>
    </w:p>
    <w:p>
      <w:pPr>
        <w:jc w:val="both"/>
        <w:ind w:left="1480" w:right="40" w:hanging="567"/>
        <w:spacing w:after="0" w:line="264" w:lineRule="auto"/>
        <w:tabs>
          <w:tab w:leader="none" w:pos="1480" w:val="left"/>
        </w:tabs>
        <w:numPr>
          <w:ilvl w:val="2"/>
          <w:numId w:val="284"/>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284"/>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paragraphs (b)(2)a. and b. of this section; or</w:t>
      </w:r>
    </w:p>
    <w:p>
      <w:pPr>
        <w:spacing w:after="0" w:line="153" w:lineRule="exact"/>
        <w:rPr>
          <w:rFonts w:ascii="Arial" w:cs="Arial" w:eastAsia="Arial" w:hAnsi="Arial"/>
          <w:sz w:val="16"/>
          <w:szCs w:val="16"/>
          <w:color w:val="auto"/>
        </w:rPr>
      </w:pPr>
    </w:p>
    <w:p>
      <w:pPr>
        <w:ind w:left="1480" w:right="720" w:hanging="567"/>
        <w:spacing w:after="0" w:line="277" w:lineRule="auto"/>
        <w:tabs>
          <w:tab w:leader="none" w:pos="1480" w:val="left"/>
        </w:tabs>
        <w:numPr>
          <w:ilvl w:val="2"/>
          <w:numId w:val="284"/>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75" w:lineRule="exact"/>
        <w:rPr>
          <w:rFonts w:ascii="Arial" w:cs="Arial" w:eastAsia="Arial" w:hAnsi="Arial"/>
          <w:sz w:val="18"/>
          <w:szCs w:val="18"/>
          <w:color w:val="auto"/>
        </w:rPr>
      </w:pPr>
    </w:p>
    <w:p>
      <w:pPr>
        <w:ind w:left="900" w:right="320" w:hanging="446"/>
        <w:spacing w:after="0" w:line="342" w:lineRule="auto"/>
        <w:tabs>
          <w:tab w:leader="none" w:pos="90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29" w:lineRule="exact"/>
        <w:rPr>
          <w:rFonts w:ascii="Arial" w:cs="Arial" w:eastAsia="Arial" w:hAnsi="Arial"/>
          <w:sz w:val="16"/>
          <w:szCs w:val="16"/>
          <w:color w:val="auto"/>
        </w:rPr>
      </w:pPr>
    </w:p>
    <w:p>
      <w:pPr>
        <w:ind w:left="900" w:right="240" w:hanging="446"/>
        <w:spacing w:after="0" w:line="264" w:lineRule="auto"/>
        <w:tabs>
          <w:tab w:leader="none" w:pos="9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practicable, with the word “amendment” substituted for the words “merger or consolidation,” and the word “corporation” substituted for the words “constituent corporation” and/or “surviving or resulting corporation.”</w:t>
      </w:r>
    </w:p>
    <w:p>
      <w:pPr>
        <w:spacing w:after="0" w:line="76" w:lineRule="exact"/>
        <w:rPr>
          <w:sz w:val="20"/>
          <w:szCs w:val="20"/>
          <w:color w:val="auto"/>
        </w:rPr>
      </w:pPr>
    </w:p>
    <w:p>
      <w:pPr>
        <w:ind w:left="460" w:right="240" w:hanging="452"/>
        <w:spacing w:after="0" w:line="302" w:lineRule="auto"/>
        <w:tabs>
          <w:tab w:leader="none" w:pos="4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30" w:lineRule="exact"/>
        <w:rPr>
          <w:rFonts w:ascii="Arial" w:cs="Arial" w:eastAsia="Arial" w:hAnsi="Arial"/>
          <w:sz w:val="18"/>
          <w:szCs w:val="18"/>
          <w:color w:val="auto"/>
        </w:rPr>
      </w:pPr>
    </w:p>
    <w:p>
      <w:pPr>
        <w:ind w:left="900" w:hanging="446"/>
        <w:spacing w:after="0" w:line="287" w:lineRule="auto"/>
        <w:tabs>
          <w:tab w:leader="none" w:pos="9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74" w:lineRule="exact"/>
        <w:rPr>
          <w:rFonts w:ascii="Arial" w:cs="Arial" w:eastAsia="Arial" w:hAnsi="Arial"/>
          <w:sz w:val="16"/>
          <w:szCs w:val="16"/>
          <w:color w:val="auto"/>
        </w:rPr>
      </w:pPr>
    </w:p>
    <w:p>
      <w:pPr>
        <w:ind w:left="900" w:right="20" w:hanging="446"/>
        <w:spacing w:after="0" w:line="285" w:lineRule="auto"/>
        <w:tabs>
          <w:tab w:leader="none" w:pos="9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tender or exchange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90" w:lineRule="auto"/>
        <w:rPr>
          <w:sz w:val="20"/>
          <w:szCs w:val="20"/>
          <w:color w:val="auto"/>
        </w:rPr>
      </w:pPr>
      <w:r>
        <w:rPr>
          <w:rFonts w:ascii="Arial" w:cs="Arial" w:eastAsia="Arial" w:hAnsi="Arial"/>
          <w:sz w:val="16"/>
          <w:szCs w:val="16"/>
          <w:color w:val="auto"/>
        </w:rPr>
        <w:t>251(h) of this title, later than the later of the consummation of the tender or exchange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72" w:lineRule="exact"/>
        <w:rPr>
          <w:sz w:val="20"/>
          <w:szCs w:val="20"/>
          <w:color w:val="auto"/>
        </w:rPr>
      </w:pPr>
    </w:p>
    <w:p>
      <w:pPr>
        <w:ind w:left="460" w:right="20" w:hanging="452"/>
        <w:spacing w:after="0" w:line="268" w:lineRule="auto"/>
        <w:tabs>
          <w:tab w:leader="none" w:pos="4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90" w:lineRule="exact"/>
        <w:rPr>
          <w:rFonts w:ascii="Arial" w:cs="Arial" w:eastAsia="Arial" w:hAnsi="Arial"/>
          <w:sz w:val="17"/>
          <w:szCs w:val="17"/>
          <w:color w:val="auto"/>
        </w:rPr>
      </w:pPr>
    </w:p>
    <w:p>
      <w:pPr>
        <w:ind w:left="460" w:hanging="452"/>
        <w:spacing w:after="0" w:line="289" w:lineRule="auto"/>
        <w:tabs>
          <w:tab w:leader="none" w:pos="4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2" w:lineRule="exact"/>
        <w:rPr>
          <w:rFonts w:ascii="Arial" w:cs="Arial" w:eastAsia="Arial" w:hAnsi="Arial"/>
          <w:sz w:val="16"/>
          <w:szCs w:val="16"/>
          <w:color w:val="auto"/>
        </w:rPr>
      </w:pPr>
    </w:p>
    <w:p>
      <w:pPr>
        <w:ind w:left="460" w:right="60" w:hanging="452"/>
        <w:spacing w:after="0" w:line="279" w:lineRule="auto"/>
        <w:tabs>
          <w:tab w:leader="none" w:pos="4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9" w:lineRule="auto"/>
        <w:tabs>
          <w:tab w:leader="none" w:pos="4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85" w:lineRule="exact"/>
        <w:rPr>
          <w:rFonts w:ascii="Arial" w:cs="Arial" w:eastAsia="Arial" w:hAnsi="Arial"/>
          <w:sz w:val="17"/>
          <w:szCs w:val="17"/>
          <w:color w:val="auto"/>
        </w:rPr>
      </w:pPr>
    </w:p>
    <w:p>
      <w:pPr>
        <w:ind w:left="460" w:hanging="452"/>
        <w:spacing w:after="0" w:line="257"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3"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92"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8" w:lineRule="exact"/>
        <w:rPr>
          <w:rFonts w:ascii="Arial" w:cs="Arial" w:eastAsia="Arial" w:hAnsi="Arial"/>
          <w:sz w:val="16"/>
          <w:szCs w:val="16"/>
          <w:color w:val="auto"/>
        </w:rPr>
      </w:pPr>
    </w:p>
    <w:p>
      <w:pPr>
        <w:ind w:left="460" w:right="80" w:hanging="452"/>
        <w:spacing w:after="0" w:line="308" w:lineRule="auto"/>
        <w:tabs>
          <w:tab w:leader="none" w:pos="4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You have asked us to advise you in your capacity as the Board of Directors (the “Board”) of Cameron International Corporation (the “Company”) with respect to the fairness, from a financial point of view, to the holders of Common Stock, par value $0.01 per share (“Company Common Stock”), of the Company of the Merger Consideration (as defined below) to be received by such holders in the Merger (as defined below) pursuant to the Agreement and Plan of Merger, dated August 25, 2015 (the “Agreement”), by and among Schlumberger Holdings Corporation (“US Holdings”), an indirect wholly owned subsidiary of Schlumberger N.V. (the “Acquiror”), Rain Merger Sub LLC, a wholly owned subsidiary of US Holdings (“Merger Sub”), the Acquiror and the Company. We understand that, among other things, pursuant to the Agreement, the Company will merge with Merger Sub (the “Merger”), each outstanding share of Company Common Stock will be converted into the right to receive 0.716 shares of common stock, par value $0.01 per share (“Acquiror Common Stock”), of the Acquiror (the “Stock Consideration”) and $14.44 in cash (the “Cash Consideration” and, together with the Stock Consideration, the “Merger Consideration”) and the Company will become a wholly owned subsidiary of the Acquiror.</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arriving at our opinion, we have reviewed the Agreement and certain publicly available business and financial information relating to the Company and the Acquiror. We have also reviewed certain other information relating to the Company and the Acquiror, including financial forecasts for the Company reviewed and discussed with us by the management of the Company (the “Company Projections”) and certain publicly available research analyst estimates with respect to future financial performance of the Acquiror (the “Acquiror Street Estimates”). We have also received guidance from management of the Company regarding the potential adverse financial implications of recent developments affecting the oil and gas industry, including the increased volatility and uncertainty regarding future oil and gas prices. We have also spoken with the managements of the Company and the Acquiror regarding the business and prospects of the Company and the Acquiror, respectively. We have also considered certain financial and stock market data of the Company and the Acquiror, and we have compared that data with similar data for other companies with publicly traded equity securities in businesses we deemed similar to those of the Company and the Acquiror, respectively, and we have considered, to the extent publicly available, the financial terms of certain other business combinations and other transactions which have been effected or announced. We also considered such other information, financial studies, analyses and investigations and financial, economic and market criteria which we deemed relevant.</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connection with our review we have not independently verified any of the foregoing information, and we have assumed and relied upon such information being complete and accurate in all respects. We have been advised by management of the Company that recent developments affecting the oil and gas industry, including the increased volatility and uncertainty regarding future oil and gas prices, have raised concerns that the Company Projections will be more difficult to achieve than management of the Company believed at the time the Company Projections were prepared. Nevertheless, although such developments and the resulting uncertainty make the Company’s future financial performance difficult to predict, management of the Company has advised us and we have assumed that the Company Projections continue to reflect the best currently available estimates and judgments of the management of the Company as to the future financial performance of the Company. With respect to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Acquiror Street Estimates that we have used and relied upon for purposes of our analyses and this opinion, management of the Acquiror has advised us and we have assumed that such Acquiror Street Estimates are reasonable estimates as to the future financial performance of the Acquiror. At the direction of management of the Company, we have assumed that the Company Projections and the Acquiror Street Estimates are a reasonable basis on which to evaluate the Company, the Acquiror and the Merger and we have used and relied upon such forecasts and estimates for purposes of our analyses and this opinion. We express no view or opinion with respect to the Company Projections or the Acquiror Street Estimates or the assumptions upon which they are based. We also have assumed, with your consent, that, in the course of obtaining any regulatory or third party consents, approvals or agreements in connection with the Merger, no delay, limitation, restriction or condition will be imposed that would have an adverse effect on the Company, the Acquiror or the contemplated benefits of the Merger. With your consent we have also assumed that the Merger will be consummated in compliance with all applicable laws and regulations and in accordance with the terms of the Agreement, without waiver, modification or amendment of any term, condition or agreement thereof that is material to our analyses or this opinion. We have not investigated or otherwise evaluated, and our opinion does not address, the potential effects of the Merger on the federal, state or other taxes or tax rates payable by the Company, the Acquiror or their respective security holders and, with your consent, we have assumed, that the Company and the Acquiror will not incur any gain or loss as a result of the merger and that, except as would not be material to our analyses or this opinion, such taxes and tax rates will not be adversely affected by or after giving effect to the Merger. In addition, we have not been requested to make, and have not made, an independent evaluation or appraisal of the assets or liabilities (contingent or otherwise) of the Company or the Acquiror, nor have we been furnished with any such evaluations or appraisals.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opinion addresses only the fairness, from a financial point of view, to the holders of Company Common Stock of the Merger Consideration to be received by such holders in the Merger pursuant to the Agreement and does not address any other aspect or implication (financial or otherwise) of the Merger or any agreement, arrangement or understanding entered into in connection therewith or otherwise, including, without limitation, the form and structure of the Merger and the Merger Consideration or the fairness of the amount or nature of, or any other aspect relating to, any compensation or consideration to be received by or otherwise payable to any officers, directors, employees, securityholders or affiliates of any party to the Merger, or class of such persons, relative to the Stock Consideration, the Cash Consideration, the Merger Consideration or otherwise. Furthermore, we are not expressing any advice or opinion regarding matters that require legal, regulatory, accounting, insurance, tax, environmental, executive compensation or other similar professional advice. We have assumed that the Company has or will obtain such advice or opinions from the appropriate professional sources. The issuance of this opinion was approved by our authorized internal committee.</w:t>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opinion is necessarily based upon information made available to us as of the date hereof and financial, economic, market and other conditions as they exist and can be evaluated on the date hereof. We have not undertaken, and are under no obligation, to update, revise, reaffirm or withdraw this opinion, or otherwise comment on or consider events occurring or coming to our attention after the date hereof. In addition, as you are aware, the financial projections and estimates that we have reviewed relating to the future financial performance of the Company and the Acquiror reflect certain assumptions regarding the oil and gas industry and the future commodity prices associated with the oil and gas industry that are subject to significant uncertainty and volatility and that, if different than assumed, could have a material impact on our analyses and this opinion. Our opinion does not address the relative merits of the Merger as compared to alternative transactions or strategies that might be available to the Company, nor does it address the underlying business decision of the Board or the Company to proceed with or effect the Merger. We are not expressing any opinion as to what the value of shares of Acquiror Common Stock actually will be when issued pursuant to the Merger or the price or range of prices at which shares of Acquiror Common Stock or Company Common Stock may be purchased or sold at any time. We were not requested to, and did not, solicit third party indications of interest in acquiring all or any part of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acted as financial advisor to the Company in connection with the Merger and will receive a fee for our services, the principal portion of which is contingent upon the consummation of the Merger. We also became entitled to receive a fee upon the rendering of our opinion. In addition, the Company has agreed to reimburse certain of our expenses and to indemnify us and certain related parties for certain liabilities and other items arising out of or related to our engagement. We and our affiliates have in the past provided other financial advice and services to the Company, the Acquiror and/or their respective affiliates for which we and our affiliates have received compensation including having acted as joint bookrunning lead managing underwriter of public offerings of debt securities by the Company in December, 2013 and June, 2014 and having acted as financial advisor to the Company in connection with the formation of a joint venture with the Acquiror that closed in June, 2013. We and our affiliates may in the future provide other financial advice and services to the Company, the Acquiror and/or their respective affiliates for which we and our affiliates would expect to receive compensation and are currently a lender to the Company. We are a full service securities firm engaged in securities trading and brokerage activities as well as providing investment banking and other financial services. In the ordinary course of business, we and our affiliates may acquire, hold or sell, for our and our affiliates’ own accounts and the accounts of customers, any currency or commodity that may be involved in the Merger and equity, debt and other securities and financial instruments (including bank loans and other obligations) of the Company, the Acquiror and any other company that may be involved in the Merger, as well as provide investment banking and other financial services to such companies and their affiliates.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It is understood that this letter is for the information of the Board (in its capacity as such) in connection with its consideration of the Merger and does not constitute a recommendation to the Board with respect to the proposed Merger or advice or a recommendation to any holder of Company Common Stock as to how such holder should vote or act on any matter relating to the proposed Merger.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holders of Company Common Stock in the Merger pursuant to the Agreement is fair, from a financial point of view, to such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9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a director of any subsidiary of Schlumberger or an officer appointed or elected by the board of directors of Schlumberger or of a subsidiary, or is or was any such officer or director of Schlumberger or of a subsidiary of Schlumberger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provided, however, that, except with respect to proceedings to enforce rights to indemnification and advancement, Schlumberger will indemnify any such person in connection with a proceeding (or part thereof) initiated by such person (including claims and counterclaims, whether such counterclaims are asserted by (a) such person, or (b) Schlumberger in a proceeding initiated by such person) only if such proceeding (or part thereof) was authorized by the Board of Directors of Schlumberger. Schlumberger is required to indemnify any present or former officer or director of Schlumberger to the fullest extent allowed by the preceding paragraphs in the event of a “Change of Control.” “Change of Control” means a change in control of Schlumberger, which will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7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 the fullest extent permitted by applicable law, Schlumberger will indemnify any current or former director or officer of Schlumberger who was or is a party or is threatened to be made a party to any threatened,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8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Schlumberger or a subsidiary of Schlumberger only as authorized by the Chief Executive Officer or by contract approved, or by-laws, resolution or other action adopted or taken, by the board of directors or by the stockholders.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Schlumberger or any subsidiary of Schlumberger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15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 21.</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445"/>
        </w:trPr>
        <w:tc>
          <w:tcPr>
            <w:tcW w:w="96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Agreement and Plan of Merger among Schlumberger Holdings Corporation, Rain Merger Sub LLC, Schlumberger Limited (Schlumberger</w:t>
            </w:r>
          </w:p>
        </w:tc>
      </w:tr>
      <w:tr>
        <w:trPr>
          <w:trHeight w:val="216"/>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N.V.) and Cameron International Corporation, dated August 25, 2015 (attached as Annex A to the proxy statement/prospectus that is part of</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this Registration Statement).</w:t>
            </w:r>
          </w:p>
        </w:tc>
      </w:tr>
      <w:tr>
        <w:trPr>
          <w:trHeight w:val="310"/>
        </w:trPr>
        <w:tc>
          <w:tcPr>
            <w:tcW w:w="96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10440" w:type="dxa"/>
            <w:vAlign w:val="bottom"/>
          </w:tcPr>
          <w:p>
            <w:pPr>
              <w:ind w:left="200"/>
              <w:spacing w:after="0"/>
              <w:rPr>
                <w:sz w:val="20"/>
                <w:szCs w:val="20"/>
                <w:color w:val="auto"/>
              </w:rPr>
            </w:pPr>
            <w:r>
              <w:rPr>
                <w:rFonts w:ascii="Arial" w:cs="Arial" w:eastAsia="Arial" w:hAnsi="Arial"/>
                <w:sz w:val="18"/>
                <w:szCs w:val="18"/>
                <w:color w:val="auto"/>
                <w:w w:val="95"/>
              </w:rPr>
              <w:t>Articles of Incorporation of Schlumberger Limited (Schlumberger N.V.), as last amended on April 6, 2011 (incorporated by reference to</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Exhibit 3 to Schlumberger’s Current Report on Form 8-K filed on April 7, 2011).</w:t>
            </w:r>
          </w:p>
        </w:tc>
      </w:tr>
      <w:tr>
        <w:trPr>
          <w:trHeight w:val="310"/>
        </w:trPr>
        <w:tc>
          <w:tcPr>
            <w:tcW w:w="96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May 12, 2015 (incorporated by reference</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to Exhibit 3.1 to Schlumberger’s Current Report on Form 8-K filed on May 14, 2015).</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rPr>
              <w:t>5.1*</w:t>
            </w:r>
          </w:p>
        </w:tc>
        <w:tc>
          <w:tcPr>
            <w:tcW w:w="10440" w:type="dxa"/>
            <w:vAlign w:val="bottom"/>
          </w:tcPr>
          <w:p>
            <w:pPr>
              <w:ind w:left="200"/>
              <w:spacing w:after="0"/>
              <w:rPr>
                <w:sz w:val="20"/>
                <w:szCs w:val="20"/>
                <w:color w:val="auto"/>
              </w:rPr>
            </w:pPr>
            <w:r>
              <w:rPr>
                <w:rFonts w:ascii="Arial" w:cs="Arial" w:eastAsia="Arial" w:hAnsi="Arial"/>
                <w:sz w:val="18"/>
                <w:szCs w:val="18"/>
                <w:color w:val="auto"/>
              </w:rPr>
              <w:t>Form of Opinion of STvB Advocaten (Curaçao) N.V.</w:t>
            </w:r>
          </w:p>
        </w:tc>
      </w:tr>
      <w:tr>
        <w:trPr>
          <w:trHeight w:val="31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21.1</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Subsidiaries of Schlumberger Limited (Schlumberger N.V.) (incorporated by reference to Exhibit 21 to Schlumberger’s Annual Report on</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Form 10-K for the year ended December 31, 2014).</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23.1*</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STvB Advocaten (Curaçao) N.V. (included in the opinion filed as Exhibit 5.1).</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23.2*</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Consent of PricewaterhouseCoopers LLP, independent registered public accounting firm for Schlumberger Limited (Schlumberger N.V.).</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23.3*</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Ernst &amp; Young LLP, independent registered public accounting firm for Cameron International Corporation.</w:t>
            </w:r>
          </w:p>
        </w:tc>
      </w:tr>
      <w:tr>
        <w:trPr>
          <w:trHeight w:val="324"/>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24.1**</w:t>
            </w:r>
          </w:p>
        </w:tc>
        <w:tc>
          <w:tcPr>
            <w:tcW w:w="10440" w:type="dxa"/>
            <w:vAlign w:val="bottom"/>
          </w:tcPr>
          <w:p>
            <w:pPr>
              <w:ind w:left="200"/>
              <w:spacing w:after="0"/>
              <w:rPr>
                <w:sz w:val="20"/>
                <w:szCs w:val="20"/>
                <w:color w:val="auto"/>
              </w:rPr>
            </w:pPr>
            <w:r>
              <w:rPr>
                <w:rFonts w:ascii="Arial" w:cs="Arial" w:eastAsia="Arial" w:hAnsi="Arial"/>
                <w:sz w:val="18"/>
                <w:szCs w:val="18"/>
                <w:color w:val="auto"/>
              </w:rPr>
              <w:t>Powers of Attorney.</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99.1*</w:t>
            </w:r>
          </w:p>
        </w:tc>
        <w:tc>
          <w:tcPr>
            <w:tcW w:w="10440" w:type="dxa"/>
            <w:vAlign w:val="bottom"/>
          </w:tcPr>
          <w:p>
            <w:pPr>
              <w:ind w:left="200"/>
              <w:spacing w:after="0"/>
              <w:rPr>
                <w:sz w:val="20"/>
                <w:szCs w:val="20"/>
                <w:color w:val="auto"/>
              </w:rPr>
            </w:pPr>
            <w:r>
              <w:rPr>
                <w:rFonts w:ascii="Arial" w:cs="Arial" w:eastAsia="Arial" w:hAnsi="Arial"/>
                <w:sz w:val="18"/>
                <w:szCs w:val="18"/>
                <w:color w:val="auto"/>
              </w:rPr>
              <w:t>Form of Proxy Card of Cameron International Corporation.</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99.2*</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Credit Suisse Securities (USA)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9760" w:firstLine="8"/>
        <w:spacing w:after="0" w:line="277" w:lineRule="auto"/>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512(a) Undertaking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720" w:hanging="256"/>
        <w:spacing w:after="0"/>
        <w:tabs>
          <w:tab w:leader="none" w:pos="7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120" w:firstLine="443"/>
        <w:spacing w:after="0" w:line="293" w:lineRule="auto"/>
        <w:tabs>
          <w:tab w:leader="none" w:pos="1163"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left="460" w:right="460" w:firstLine="443"/>
        <w:spacing w:after="0" w:line="277" w:lineRule="auto"/>
        <w:tabs>
          <w:tab w:leader="none" w:pos="1213"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20" w:firstLine="464"/>
        <w:spacing w:after="0" w:line="291" w:lineRule="auto"/>
        <w:tabs>
          <w:tab w:leader="none" w:pos="71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right="40" w:firstLine="464"/>
        <w:spacing w:after="0" w:line="302" w:lineRule="auto"/>
        <w:tabs>
          <w:tab w:leader="none" w:pos="71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rFonts w:ascii="Arial" w:cs="Arial" w:eastAsia="Arial" w:hAnsi="Arial"/>
          <w:sz w:val="16"/>
          <w:szCs w:val="16"/>
          <w:color w:val="auto"/>
        </w:rPr>
      </w:pPr>
    </w:p>
    <w:p>
      <w:pPr>
        <w:ind w:left="1120" w:hanging="217"/>
        <w:spacing w:after="0"/>
        <w:tabs>
          <w:tab w:leader="none" w:pos="11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0" w:firstLine="443"/>
        <w:spacing w:after="0" w:line="277" w:lineRule="auto"/>
        <w:tabs>
          <w:tab w:leader="none" w:pos="1163"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firstLine="443"/>
        <w:spacing w:after="0" w:line="277" w:lineRule="auto"/>
        <w:tabs>
          <w:tab w:leader="none" w:pos="121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512(b) Undertaking</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512(g) Undertaking</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64"/>
        <w:spacing w:after="0" w:line="279" w:lineRule="auto"/>
        <w:tabs>
          <w:tab w:leader="none" w:pos="71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rFonts w:ascii="Arial" w:cs="Arial" w:eastAsia="Arial" w:hAnsi="Arial"/>
          <w:sz w:val="17"/>
          <w:szCs w:val="17"/>
          <w:color w:val="auto"/>
        </w:rPr>
      </w:pPr>
    </w:p>
    <w:p>
      <w:pPr>
        <w:ind w:right="80" w:firstLine="464"/>
        <w:spacing w:after="0" w:line="276" w:lineRule="auto"/>
        <w:tabs>
          <w:tab w:leader="none" w:pos="71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registrant undertakes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512(h) Undertaking</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22(b) Undertaking</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22(c) Undertaking</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0"/>
          </w:cols>
          <w:pgMar w:left="240" w:top="460" w:right="6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Houston, State of Texas, on November 13, 2015.</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Howard Guild</w:t>
            </w:r>
          </w:p>
        </w:tc>
      </w:tr>
      <w:tr>
        <w:trPr>
          <w:trHeight w:val="209"/>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30"/>
        </w:trPr>
        <w:tc>
          <w:tcPr>
            <w:tcW w:w="520" w:type="dxa"/>
            <w:vAlign w:val="bottom"/>
          </w:tcPr>
          <w:p>
            <w:pPr>
              <w:spacing w:after="0"/>
              <w:rPr>
                <w:sz w:val="20"/>
                <w:szCs w:val="20"/>
                <w:color w:val="auto"/>
              </w:rPr>
            </w:pP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Chief Accounting Officer</w:t>
            </w:r>
          </w:p>
        </w:tc>
      </w:tr>
    </w:tbl>
    <w:p>
      <w:pPr>
        <w:spacing w:after="0" w:line="20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260" w:type="dxa"/>
            <w:vAlign w:val="bottom"/>
          </w:tcPr>
          <w:p>
            <w:pPr>
              <w:jc w:val="center"/>
              <w:ind w:right="51"/>
              <w:spacing w:after="0"/>
              <w:rPr>
                <w:sz w:val="20"/>
                <w:szCs w:val="20"/>
                <w:color w:val="auto"/>
              </w:rPr>
            </w:pPr>
            <w:r>
              <w:rPr>
                <w:rFonts w:ascii="Arial" w:cs="Arial" w:eastAsia="Arial" w:hAnsi="Arial"/>
                <w:sz w:val="14"/>
                <w:szCs w:val="14"/>
                <w:b w:val="1"/>
                <w:bCs w:val="1"/>
                <w:color w:val="auto"/>
                <w:w w:val="97"/>
              </w:rPr>
              <w:t>Title</w:t>
            </w:r>
          </w:p>
        </w:tc>
        <w:tc>
          <w:tcPr>
            <w:tcW w:w="1760" w:type="dxa"/>
            <w:vAlign w:val="bottom"/>
          </w:tcPr>
          <w:p>
            <w:pPr>
              <w:jc w:val="center"/>
              <w:ind w:left="211"/>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31"/>
              <w:spacing w:after="0"/>
              <w:rPr>
                <w:sz w:val="20"/>
                <w:szCs w:val="20"/>
                <w:color w:val="auto"/>
              </w:rPr>
            </w:pPr>
            <w:r>
              <w:rPr>
                <w:rFonts w:ascii="Arial" w:cs="Arial" w:eastAsia="Arial" w:hAnsi="Arial"/>
                <w:sz w:val="18"/>
                <w:szCs w:val="18"/>
                <w:color w:val="auto"/>
                <w:w w:val="92"/>
              </w:rPr>
              <w:t>Chairman of the Board, Chief Executive Officer and</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88"/>
              </w:rPr>
              <w:t>Paal Kibsgaard</w:t>
            </w:r>
          </w:p>
        </w:tc>
        <w:tc>
          <w:tcPr>
            <w:tcW w:w="4260" w:type="dxa"/>
            <w:vAlign w:val="bottom"/>
          </w:tcPr>
          <w:p>
            <w:pPr>
              <w:jc w:val="center"/>
              <w:spacing w:after="0" w:line="182" w:lineRule="exact"/>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76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91"/>
              <w:spacing w:after="0"/>
              <w:rPr>
                <w:sz w:val="20"/>
                <w:szCs w:val="20"/>
                <w:color w:val="auto"/>
              </w:rPr>
            </w:pPr>
            <w:r>
              <w:rPr>
                <w:rFonts w:ascii="Arial" w:cs="Arial" w:eastAsia="Arial" w:hAnsi="Arial"/>
                <w:sz w:val="18"/>
                <w:szCs w:val="18"/>
                <w:color w:val="auto"/>
                <w:w w:val="90"/>
              </w:rPr>
              <w:t>Executive Vice President and</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91"/>
              </w:rPr>
              <w:t>Simon Ayat</w:t>
            </w:r>
          </w:p>
        </w:tc>
        <w:tc>
          <w:tcPr>
            <w:tcW w:w="4260" w:type="dxa"/>
            <w:vAlign w:val="bottom"/>
          </w:tcPr>
          <w:p>
            <w:pPr>
              <w:jc w:val="center"/>
              <w:spacing w:after="0" w:line="182" w:lineRule="exact"/>
              <w:rPr>
                <w:sz w:val="20"/>
                <w:szCs w:val="20"/>
                <w:color w:val="auto"/>
              </w:rPr>
            </w:pPr>
            <w:r>
              <w:rPr>
                <w:rFonts w:ascii="Arial" w:cs="Arial" w:eastAsia="Arial" w:hAnsi="Arial"/>
                <w:sz w:val="18"/>
                <w:szCs w:val="18"/>
                <w:color w:val="auto"/>
                <w:w w:val="94"/>
              </w:rPr>
              <w:t>Chief Financial Officer</w:t>
            </w:r>
          </w:p>
        </w:tc>
        <w:tc>
          <w:tcPr>
            <w:tcW w:w="176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76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4"/>
              </w:rPr>
              <w:t>Chief Accounting Officer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Howard Guild</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Peter L.S. Currie</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V. Maureen Kempston Darkes</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Nikolay Kudryavtsev</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Michael E. Marks</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Indra K. Nooyi</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Lubna S. Olayan</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Leo Rafael Reif</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231"/>
              <w:spacing w:after="0"/>
              <w:rPr>
                <w:sz w:val="20"/>
                <w:szCs w:val="20"/>
                <w:color w:val="auto"/>
              </w:rPr>
            </w:pPr>
            <w:r>
              <w:rPr>
                <w:rFonts w:ascii="Arial" w:cs="Arial" w:eastAsia="Arial" w:hAnsi="Arial"/>
                <w:sz w:val="18"/>
                <w:szCs w:val="18"/>
                <w:color w:val="auto"/>
                <w:w w:val="91"/>
              </w:rPr>
              <w:t>November 13,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Tore I. Sandvold</w:t>
            </w:r>
          </w:p>
        </w:tc>
        <w:tc>
          <w:tcPr>
            <w:tcW w:w="426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Signature</w:t>
            </w:r>
          </w:p>
        </w:tc>
        <w:tc>
          <w:tcPr>
            <w:tcW w:w="3480" w:type="dxa"/>
            <w:vAlign w:val="bottom"/>
          </w:tcPr>
          <w:p>
            <w:pPr>
              <w:jc w:val="center"/>
              <w:ind w:left="559"/>
              <w:spacing w:after="0"/>
              <w:rPr>
                <w:sz w:val="20"/>
                <w:szCs w:val="20"/>
                <w:color w:val="auto"/>
              </w:rPr>
            </w:pPr>
            <w:r>
              <w:rPr>
                <w:rFonts w:ascii="Arial" w:cs="Arial" w:eastAsia="Arial" w:hAnsi="Arial"/>
                <w:sz w:val="14"/>
                <w:szCs w:val="14"/>
                <w:b w:val="1"/>
                <w:bCs w:val="1"/>
                <w:color w:val="auto"/>
                <w:w w:val="97"/>
              </w:rPr>
              <w:t>Title</w:t>
            </w:r>
          </w:p>
        </w:tc>
        <w:tc>
          <w:tcPr>
            <w:tcW w:w="2540" w:type="dxa"/>
            <w:vAlign w:val="bottom"/>
          </w:tcPr>
          <w:p>
            <w:pPr>
              <w:jc w:val="center"/>
              <w:ind w:left="999"/>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3480" w:type="dxa"/>
            <w:vAlign w:val="bottom"/>
          </w:tcPr>
          <w:p>
            <w:pPr>
              <w:jc w:val="center"/>
              <w:ind w:left="559"/>
              <w:spacing w:after="0"/>
              <w:rPr>
                <w:sz w:val="20"/>
                <w:szCs w:val="20"/>
                <w:color w:val="auto"/>
              </w:rPr>
            </w:pPr>
            <w:r>
              <w:rPr>
                <w:rFonts w:ascii="Arial" w:cs="Arial" w:eastAsia="Arial" w:hAnsi="Arial"/>
                <w:sz w:val="18"/>
                <w:szCs w:val="18"/>
                <w:color w:val="auto"/>
                <w:w w:val="95"/>
              </w:rPr>
              <w:t>Director</w:t>
            </w:r>
          </w:p>
        </w:tc>
        <w:tc>
          <w:tcPr>
            <w:tcW w:w="2540" w:type="dxa"/>
            <w:vAlign w:val="bottom"/>
          </w:tcPr>
          <w:p>
            <w:pPr>
              <w:jc w:val="center"/>
              <w:ind w:left="1019"/>
              <w:spacing w:after="0"/>
              <w:rPr>
                <w:sz w:val="20"/>
                <w:szCs w:val="20"/>
                <w:color w:val="auto"/>
              </w:rPr>
            </w:pPr>
            <w:r>
              <w:rPr>
                <w:rFonts w:ascii="Arial" w:cs="Arial" w:eastAsia="Arial" w:hAnsi="Arial"/>
                <w:sz w:val="18"/>
                <w:szCs w:val="18"/>
                <w:color w:val="auto"/>
                <w:w w:val="91"/>
              </w:rPr>
              <w:t>November 13, 2015</w:t>
            </w:r>
          </w:p>
        </w:tc>
      </w:tr>
      <w:tr>
        <w:trPr>
          <w:trHeight w:val="224"/>
        </w:trPr>
        <w:tc>
          <w:tcPr>
            <w:tcW w:w="560" w:type="dxa"/>
            <w:vAlign w:val="bottom"/>
          </w:tcPr>
          <w:p>
            <w:pPr>
              <w:spacing w:after="0"/>
              <w:rPr>
                <w:sz w:val="19"/>
                <w:szCs w:val="19"/>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Henri Seydoux</w:t>
            </w:r>
          </w:p>
        </w:tc>
        <w:tc>
          <w:tcPr>
            <w:tcW w:w="34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674"/>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/s/ Alexander C. Juden</w:t>
            </w:r>
          </w:p>
        </w:tc>
        <w:tc>
          <w:tcPr>
            <w:tcW w:w="34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Alexander C. Juden, Attorney-in-Fact</w:t>
            </w:r>
          </w:p>
        </w:tc>
        <w:tc>
          <w:tcPr>
            <w:tcW w:w="5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540" w:type="dxa"/>
            <w:vAlign w:val="bottom"/>
          </w:tcPr>
          <w:p>
            <w:pPr>
              <w:spacing w:after="0"/>
              <w:rPr>
                <w:sz w:val="19"/>
                <w:szCs w:val="19"/>
                <w:color w:val="auto"/>
              </w:rPr>
            </w:pPr>
          </w:p>
        </w:tc>
      </w:tr>
    </w:tbl>
    <w:p>
      <w:pPr>
        <w:sectPr>
          <w:pgSz w:w="11900" w:h="16838" w:orient="portrait"/>
          <w:cols w:equalWidth="0" w:num="1">
            <w:col w:w="11100"/>
          </w:cols>
          <w:pgMar w:left="240" w:top="460" w:right="5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58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Agreement and Plan of Merger among Schlumberger Holdings Corporation, Rain Merger Sub LLC, Schlumberger Limited (Schlumberger</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N.V.) and Cameron International Corporation, dated August 25, 2015 (attached as Annex A to the proxy statement/prospectus that is part of</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this Registration Statement).</w:t>
            </w:r>
          </w:p>
        </w:tc>
      </w:tr>
      <w:tr>
        <w:trPr>
          <w:trHeight w:val="310"/>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Articles of Incorporation of Schlumberger Limited (Schlumberger N.V.), as last amended on April 6, 2011 (incorporated by reference to</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Exhibit 3 to Schlumberger’s Current Report on Form 8-K filed on April 7, 2011).</w:t>
            </w:r>
          </w:p>
        </w:tc>
      </w:tr>
      <w:tr>
        <w:trPr>
          <w:trHeight w:val="310"/>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May 12, 2015 (incorporated by reference</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to Exhibit 3.1 to Schlumberger’s Current Report on Form 8-K filed on May 14, 2015).</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Opinion of STvB Advocaten (Curaçao) N.V.</w:t>
            </w:r>
          </w:p>
        </w:tc>
      </w:tr>
      <w:tr>
        <w:trPr>
          <w:trHeight w:val="310"/>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21.1</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Subsidiaries of Schlumberger Limited (Schlumberger N.V.) (incorporated by reference to Exhibit 21 to Schlumberger’s Annual Report on</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Form 10-K for the year ended December 31, 2014).</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23.1*</w:t>
            </w:r>
          </w:p>
        </w:tc>
        <w:tc>
          <w:tcPr>
            <w:tcW w:w="10580" w:type="dxa"/>
            <w:vAlign w:val="bottom"/>
          </w:tcPr>
          <w:p>
            <w:pPr>
              <w:ind w:left="340"/>
              <w:spacing w:after="0"/>
              <w:rPr>
                <w:sz w:val="20"/>
                <w:szCs w:val="20"/>
                <w:color w:val="auto"/>
              </w:rPr>
            </w:pPr>
            <w:r>
              <w:rPr>
                <w:rFonts w:ascii="Arial" w:cs="Arial" w:eastAsia="Arial" w:hAnsi="Arial"/>
                <w:sz w:val="18"/>
                <w:szCs w:val="18"/>
                <w:color w:val="auto"/>
              </w:rPr>
              <w:t>Consent of STvB Advocaten (Curaçao) N.V. (included in the opinion filed as Exhibit 5.1).</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23.2*</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Consent of PricewaterhouseCoopers LLP, independent registered public accounting firm for Schlumberger Limited (Schlumberger N.V.).</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23.3*</w:t>
            </w:r>
          </w:p>
        </w:tc>
        <w:tc>
          <w:tcPr>
            <w:tcW w:w="10580" w:type="dxa"/>
            <w:vAlign w:val="bottom"/>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 for Cameron International Corporation.</w:t>
            </w:r>
          </w:p>
        </w:tc>
      </w:tr>
      <w:tr>
        <w:trPr>
          <w:trHeight w:val="324"/>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97"/>
              </w:rPr>
              <w:t>24.1**</w:t>
            </w:r>
          </w:p>
        </w:tc>
        <w:tc>
          <w:tcPr>
            <w:tcW w:w="10580" w:type="dxa"/>
            <w:vAlign w:val="bottom"/>
          </w:tcPr>
          <w:p>
            <w:pPr>
              <w:ind w:left="340"/>
              <w:spacing w:after="0"/>
              <w:rPr>
                <w:sz w:val="20"/>
                <w:szCs w:val="20"/>
                <w:color w:val="auto"/>
              </w:rPr>
            </w:pPr>
            <w:r>
              <w:rPr>
                <w:rFonts w:ascii="Arial" w:cs="Arial" w:eastAsia="Arial" w:hAnsi="Arial"/>
                <w:sz w:val="18"/>
                <w:szCs w:val="18"/>
                <w:color w:val="auto"/>
              </w:rPr>
              <w:t>Powers of Attorney.</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99.1*</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Proxy Card of Cameron International Corporation.</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99.2*</w:t>
            </w:r>
          </w:p>
        </w:tc>
        <w:tc>
          <w:tcPr>
            <w:tcW w:w="10580" w:type="dxa"/>
            <w:vAlign w:val="bottom"/>
          </w:tcPr>
          <w:p>
            <w:pPr>
              <w:ind w:left="340"/>
              <w:spacing w:after="0"/>
              <w:rPr>
                <w:sz w:val="20"/>
                <w:szCs w:val="20"/>
                <w:color w:val="auto"/>
              </w:rPr>
            </w:pPr>
            <w:r>
              <w:rPr>
                <w:rFonts w:ascii="Arial" w:cs="Arial" w:eastAsia="Arial" w:hAnsi="Arial"/>
                <w:sz w:val="18"/>
                <w:szCs w:val="18"/>
                <w:color w:val="auto"/>
              </w:rPr>
              <w:t>Consent of Credit Suisse Securities (USA)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9760" w:firstLine="8"/>
        <w:spacing w:after="0" w:line="277" w:lineRule="auto"/>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ectPr>
          <w:pgSz w:w="11900" w:h="16838" w:orient="portrait"/>
          <w:cols w:equalWidth="0" w:num="1">
            <w:col w:w="11400"/>
          </w:cols>
          <w:pgMar w:left="240" w:top="460" w:right="25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STvB Advocaten]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Curaçao, November 13,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acted as legal counsel to Schlumberger N.V. (also referred to as Schlumberger Limited), a limited liability company organized under the laws of Curaçao (“Schlumberger”), in connection with the preparation of the filing by Schlumberger of a Registration Statement on Form S-4 (the “Registration Statement”) with the Securities and Exchange Commission under the Securities Act of 1933, as amended (the “Securities Act”), relating to the registration of shares of common stock, par value $0.01 per share (“Common Stock”), of Schlumberger (the “Shares”) to be issued in connection with the merger of Rain Merger Sub LLC, a wholly owned subsidiary of Schlumberger Holdings Corporation (“Merger Sub”), with and into Cameron International Corporation (“Cameron”), pursuant to the Agreement and Plan of Merger dated as of August 25, 2015 among Schlumberger Holdings Corporation, an indirect wholly owned subsidiary of Schlumberger, Merger Sub, Schlumberger and Cameron (the “Merger Agreement”). Certain legal matters in connection with the Shares are being passed on for you by us. At your request, this opinion is being furnished for filing as Exhibit 5 to the Registration Statement.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22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We have reviewed each of the Articles of Incorporation, the Amended and Restated Bylaws of Schlumberger, each as amended to date, and the Registration Statement; have familiarized ourselves with the matters discussed in the Registration Statement; and have examined all statutes and other records, instruments and corporate documents pertaining to Schlumberger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7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rendering this opinion, we have assumed that prior to the issuance of any of the Shares (i) the Registration Statement, as then amended, will have become effective under the Securities Act and such effectiveness shall not have been terminated or rescinded, (ii) the stockholders of Cameron will have adopted the Merger Agreement, and (iii) the other conditions to consummating the transactions contemplated by the Merger Agreement will have been satisfied and such transactions are consummated.</w:t>
      </w:r>
    </w:p>
    <w:p>
      <w:pPr>
        <w:sectPr>
          <w:pgSz w:w="11900" w:h="16838" w:orient="portrait"/>
          <w:cols w:equalWidth="0" w:num="1">
            <w:col w:w="11420"/>
          </w:cols>
          <w:pgMar w:left="240" w:top="121" w:right="239" w:bottom="1440" w:gutter="0" w:footer="0" w:header="0"/>
        </w:sectPr>
      </w:pPr>
    </w:p>
    <w:bookmarkStart w:id="219" w:name="page220"/>
    <w:bookmarkEnd w:id="2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our examination as aforesaid, we are of the opinion that:</w:t>
      </w:r>
    </w:p>
    <w:p>
      <w:pPr>
        <w:spacing w:after="0" w:line="117" w:lineRule="exact"/>
        <w:rPr>
          <w:sz w:val="20"/>
          <w:szCs w:val="20"/>
          <w:color w:val="auto"/>
        </w:rPr>
      </w:pPr>
    </w:p>
    <w:p>
      <w:pPr>
        <w:ind w:left="1080" w:hanging="177"/>
        <w:spacing w:after="0"/>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Shares have been duly authorized by all necessary corporate action on the part of Schlumberger.</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07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Upon issuance and delivery in accordance with the terms and conditions of the Merger Agreement, such Shares will be validly issued, fully paid and nonassessable.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addition, we hereby consent to the reference of us under the caption “Legal Matters” in the proxy statement/prospectus constituting a part of the Registration Statement. In giving this consent, we do not thereby concede that we are within the category of persons whose consent is required under Section 7 of the Securities Act or the rules and regulations of the Securities and Exchange Commission promulgated thereunder.</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STvB Advocaten (Curaçao) N.V.</w:t>
      </w:r>
    </w:p>
    <w:p>
      <w:pPr>
        <w:sectPr>
          <w:pgSz w:w="11900" w:h="16838" w:orient="portrait"/>
          <w:cols w:equalWidth="0" w:num="1">
            <w:col w:w="11220"/>
          </w:cols>
          <w:pgMar w:left="240" w:top="274" w:right="4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incorporation by reference in this Amendment No. 1 to the Registration Statement on Form S-4 of our report dated January 29, 2015 relating to the financial statements and the effectiveness of internal control over financial reporting, which appears in Schlumberger Limited’s Annual Report on Form 10-K for the year ended December 31, 2014.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ectPr>
          <w:pgSz w:w="11900" w:h="16838" w:orient="portrait"/>
          <w:cols w:equalWidth="0" w:num="1">
            <w:col w:w="11420"/>
          </w:cols>
          <w:pgMar w:left="240" w:top="125"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reference to our firm under the caption “Experts” in this proxy statement/prospectus, which is referred to and made part of Amendment No. 1 to the Registration Statement (Form S-4 No. 333-207260) filed by Schlumberger Limited for the issuance of Schlumberger Limited common stock and to the incorporation by reference therein of our reports dated February 20, 2015, with respect to the consolidated financial statements and schedule of Cameron International Corporation, and the effectiveness of internal control over financial reporting of Cameron International Corporation, included in its Annual Report (Form 10-K) for the year ended December 31, 2014, filed with the Securities and Exchange Commission.</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ectPr>
          <w:pgSz w:w="11900" w:h="16838" w:orient="portrait"/>
          <w:cols w:equalWidth="0" w:num="1">
            <w:col w:w="11420"/>
          </w:cols>
          <w:pgMar w:left="240" w:top="125"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405880" cy="17754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40588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80" w:type="dxa"/>
            <w:vAlign w:val="bottom"/>
          </w:tcPr>
          <w:p>
            <w:pPr>
              <w:ind w:left="600"/>
              <w:spacing w:after="0"/>
              <w:rPr>
                <w:sz w:val="20"/>
                <w:szCs w:val="20"/>
                <w:color w:val="auto"/>
              </w:rPr>
            </w:pPr>
            <w:r>
              <w:rPr>
                <w:rFonts w:ascii="Arial" w:cs="Arial" w:eastAsia="Arial" w:hAnsi="Arial"/>
                <w:sz w:val="22"/>
                <w:szCs w:val="22"/>
                <w:b w:val="1"/>
                <w:bCs w:val="1"/>
                <w:color w:val="auto"/>
              </w:rPr>
              <w:t>Electronic Voting Instructions</w:t>
            </w:r>
          </w:p>
        </w:tc>
        <w:tc>
          <w:tcPr>
            <w:tcW w:w="0" w:type="dxa"/>
            <w:vAlign w:val="bottom"/>
          </w:tcPr>
          <w:p>
            <w:pPr>
              <w:spacing w:after="0"/>
              <w:rPr>
                <w:sz w:val="1"/>
                <w:szCs w:val="1"/>
                <w:color w:val="auto"/>
              </w:rPr>
            </w:pPr>
          </w:p>
        </w:tc>
      </w:tr>
      <w:tr>
        <w:trPr>
          <w:trHeight w:val="314"/>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80" w:type="dxa"/>
            <w:vAlign w:val="bottom"/>
          </w:tcPr>
          <w:p>
            <w:pPr>
              <w:ind w:left="600"/>
              <w:spacing w:after="0"/>
              <w:rPr>
                <w:sz w:val="20"/>
                <w:szCs w:val="20"/>
                <w:color w:val="auto"/>
              </w:rPr>
            </w:pPr>
            <w:r>
              <w:rPr>
                <w:rFonts w:ascii="Arial" w:cs="Arial" w:eastAsia="Arial" w:hAnsi="Arial"/>
                <w:sz w:val="18"/>
                <w:szCs w:val="18"/>
                <w:b w:val="1"/>
                <w:bCs w:val="1"/>
                <w:color w:val="auto"/>
              </w:rPr>
              <w:t>Available 24 hours a day, 7 days a week!</w:t>
            </w: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80" w:type="dxa"/>
            <w:vAlign w:val="bottom"/>
          </w:tcPr>
          <w:p>
            <w:pPr>
              <w:ind w:left="600"/>
              <w:spacing w:after="0"/>
              <w:rPr>
                <w:sz w:val="20"/>
                <w:szCs w:val="20"/>
                <w:color w:val="auto"/>
              </w:rPr>
            </w:pPr>
            <w:r>
              <w:rPr>
                <w:rFonts w:ascii="Arial" w:cs="Arial" w:eastAsia="Arial" w:hAnsi="Arial"/>
                <w:sz w:val="14"/>
                <w:szCs w:val="14"/>
                <w:color w:val="auto"/>
                <w:w w:val="93"/>
              </w:rPr>
              <w:t>Instead of mailing your proxy, you may choose one of the three voting methods outlined below</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80" w:type="dxa"/>
            <w:vAlign w:val="bottom"/>
          </w:tcPr>
          <w:p>
            <w:pPr>
              <w:ind w:left="600"/>
              <w:spacing w:after="0"/>
              <w:rPr>
                <w:sz w:val="20"/>
                <w:szCs w:val="20"/>
                <w:color w:val="auto"/>
              </w:rPr>
            </w:pPr>
            <w:r>
              <w:rPr>
                <w:rFonts w:ascii="Arial" w:cs="Arial" w:eastAsia="Arial" w:hAnsi="Arial"/>
                <w:sz w:val="14"/>
                <w:szCs w:val="14"/>
                <w:color w:val="auto"/>
              </w:rPr>
              <w:t>to vote your proxy.</w:t>
            </w: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80" w:type="dxa"/>
            <w:vAlign w:val="bottom"/>
          </w:tcPr>
          <w:p>
            <w:pPr>
              <w:ind w:left="600"/>
              <w:spacing w:after="0"/>
              <w:rPr>
                <w:sz w:val="20"/>
                <w:szCs w:val="20"/>
                <w:color w:val="auto"/>
              </w:rPr>
            </w:pPr>
            <w:r>
              <w:rPr>
                <w:rFonts w:ascii="Arial" w:cs="Arial" w:eastAsia="Arial" w:hAnsi="Arial"/>
                <w:sz w:val="14"/>
                <w:szCs w:val="14"/>
                <w:color w:val="auto"/>
              </w:rPr>
              <w:t>VALIDATION DETAILS ARE LOCATED BELOW IN THE TITLE BAR.</w:t>
            </w: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80" w:type="dxa"/>
            <w:vAlign w:val="bottom"/>
          </w:tcPr>
          <w:p>
            <w:pPr>
              <w:ind w:left="600"/>
              <w:spacing w:after="0"/>
              <w:rPr>
                <w:sz w:val="20"/>
                <w:szCs w:val="20"/>
                <w:color w:val="auto"/>
              </w:rPr>
            </w:pPr>
            <w:r>
              <w:rPr>
                <w:rFonts w:ascii="Arial" w:cs="Arial" w:eastAsia="Arial" w:hAnsi="Arial"/>
                <w:sz w:val="14"/>
                <w:szCs w:val="14"/>
                <w:b w:val="1"/>
                <w:bCs w:val="1"/>
                <w:color w:val="auto"/>
                <w:w w:val="96"/>
              </w:rPr>
              <w:t>Proxies submitted by the Internet or telephone must be received by 1:00 a.m., Central</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80" w:type="dxa"/>
            <w:vAlign w:val="bottom"/>
          </w:tcPr>
          <w:p>
            <w:pPr>
              <w:ind w:left="600"/>
              <w:spacing w:after="0"/>
              <w:rPr>
                <w:sz w:val="20"/>
                <w:szCs w:val="20"/>
                <w:color w:val="auto"/>
              </w:rPr>
            </w:pPr>
            <w:r>
              <w:rPr>
                <w:rFonts w:ascii="Arial" w:cs="Arial" w:eastAsia="Arial" w:hAnsi="Arial"/>
                <w:sz w:val="14"/>
                <w:szCs w:val="14"/>
                <w:b w:val="1"/>
                <w:bCs w:val="1"/>
                <w:color w:val="auto"/>
              </w:rPr>
              <w:t>Standard Time, on December 17, 2015.</w:t>
            </w:r>
          </w:p>
        </w:tc>
        <w:tc>
          <w:tcPr>
            <w:tcW w:w="0" w:type="dxa"/>
            <w:vAlign w:val="bottom"/>
          </w:tcPr>
          <w:p>
            <w:pPr>
              <w:spacing w:after="0"/>
              <w:rPr>
                <w:sz w:val="1"/>
                <w:szCs w:val="1"/>
                <w:color w:val="auto"/>
              </w:rPr>
            </w:pPr>
          </w:p>
        </w:tc>
      </w:tr>
      <w:tr>
        <w:trPr>
          <w:trHeight w:val="323"/>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80" w:type="dxa"/>
            <w:vAlign w:val="bottom"/>
          </w:tcPr>
          <w:p>
            <w:pPr>
              <w:ind w:left="1980"/>
              <w:spacing w:after="0"/>
              <w:rPr>
                <w:sz w:val="20"/>
                <w:szCs w:val="20"/>
                <w:color w:val="auto"/>
              </w:rPr>
            </w:pPr>
            <w:r>
              <w:rPr>
                <w:rFonts w:ascii="Arial" w:cs="Arial" w:eastAsia="Arial" w:hAnsi="Arial"/>
                <w:sz w:val="18"/>
                <w:szCs w:val="18"/>
                <w:b w:val="1"/>
                <w:bCs w:val="1"/>
                <w:color w:val="auto"/>
              </w:rPr>
              <w:t>Vote by QR Code</w:t>
            </w:r>
          </w:p>
        </w:tc>
        <w:tc>
          <w:tcPr>
            <w:tcW w:w="0" w:type="dxa"/>
            <w:vAlign w:val="bottom"/>
          </w:tcPr>
          <w:p>
            <w:pPr>
              <w:spacing w:after="0"/>
              <w:rPr>
                <w:sz w:val="1"/>
                <w:szCs w:val="1"/>
                <w:color w:val="auto"/>
              </w:rPr>
            </w:pPr>
          </w:p>
        </w:tc>
      </w:tr>
      <w:tr>
        <w:trPr>
          <w:trHeight w:val="285"/>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80" w:type="dxa"/>
            <w:vAlign w:val="bottom"/>
          </w:tcPr>
          <w:p>
            <w:pPr>
              <w:ind w:left="1980"/>
              <w:spacing w:after="0"/>
              <w:rPr>
                <w:sz w:val="20"/>
                <w:szCs w:val="20"/>
                <w:color w:val="auto"/>
              </w:rPr>
            </w:pPr>
            <w:r>
              <w:rPr>
                <w:rFonts w:ascii="Arial" w:cs="Arial" w:eastAsia="Arial" w:hAnsi="Arial"/>
                <w:sz w:val="14"/>
                <w:szCs w:val="14"/>
                <w:color w:val="auto"/>
              </w:rPr>
              <w:t>•   Scan the QR code with your smartphone</w:t>
            </w:r>
          </w:p>
        </w:tc>
        <w:tc>
          <w:tcPr>
            <w:tcW w:w="0" w:type="dxa"/>
            <w:vAlign w:val="bottom"/>
          </w:tcPr>
          <w:p>
            <w:pPr>
              <w:spacing w:after="0"/>
              <w:rPr>
                <w:sz w:val="1"/>
                <w:szCs w:val="1"/>
                <w:color w:val="auto"/>
              </w:rPr>
            </w:pPr>
          </w:p>
        </w:tc>
      </w:tr>
      <w:tr>
        <w:trPr>
          <w:trHeight w:val="323"/>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80" w:type="dxa"/>
            <w:vAlign w:val="bottom"/>
          </w:tcPr>
          <w:p>
            <w:pPr>
              <w:ind w:left="1980"/>
              <w:spacing w:after="0"/>
              <w:rPr>
                <w:sz w:val="20"/>
                <w:szCs w:val="20"/>
                <w:color w:val="auto"/>
              </w:rPr>
            </w:pPr>
            <w:r>
              <w:rPr>
                <w:rFonts w:ascii="Arial" w:cs="Arial" w:eastAsia="Arial" w:hAnsi="Arial"/>
                <w:sz w:val="18"/>
                <w:szCs w:val="18"/>
                <w:b w:val="1"/>
                <w:bCs w:val="1"/>
                <w:color w:val="auto"/>
              </w:rPr>
              <w:t>Vote by Internet</w:t>
            </w:r>
          </w:p>
        </w:tc>
        <w:tc>
          <w:tcPr>
            <w:tcW w:w="0" w:type="dxa"/>
            <w:vAlign w:val="bottom"/>
          </w:tcPr>
          <w:p>
            <w:pPr>
              <w:spacing w:after="0"/>
              <w:rPr>
                <w:sz w:val="1"/>
                <w:szCs w:val="1"/>
                <w:color w:val="auto"/>
              </w:rPr>
            </w:pPr>
          </w:p>
        </w:tc>
      </w:tr>
      <w:tr>
        <w:trPr>
          <w:trHeight w:val="247"/>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80" w:type="dxa"/>
            <w:vAlign w:val="bottom"/>
          </w:tcPr>
          <w:p>
            <w:pPr>
              <w:ind w:left="1980"/>
              <w:spacing w:after="0"/>
              <w:rPr>
                <w:sz w:val="20"/>
                <w:szCs w:val="20"/>
                <w:color w:val="auto"/>
              </w:rPr>
            </w:pPr>
            <w:r>
              <w:rPr>
                <w:rFonts w:ascii="Arial" w:cs="Arial" w:eastAsia="Arial" w:hAnsi="Arial"/>
                <w:sz w:val="14"/>
                <w:szCs w:val="14"/>
                <w:color w:val="auto"/>
              </w:rPr>
              <w:t>•   Log on to the Internet and go to</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80" w:type="dxa"/>
            <w:vAlign w:val="bottom"/>
          </w:tcPr>
          <w:p>
            <w:pPr>
              <w:ind w:left="2200"/>
              <w:spacing w:after="0"/>
              <w:rPr>
                <w:sz w:val="20"/>
                <w:szCs w:val="20"/>
                <w:color w:val="auto"/>
              </w:rPr>
            </w:pPr>
            <w:r>
              <w:rPr>
                <w:rFonts w:ascii="Arial" w:cs="Arial" w:eastAsia="Arial" w:hAnsi="Arial"/>
                <w:sz w:val="14"/>
                <w:szCs w:val="14"/>
                <w:b w:val="1"/>
                <w:bCs w:val="1"/>
                <w:color w:val="auto"/>
              </w:rPr>
              <w:t>www.envisionreports.com/CAM</w:t>
            </w: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80" w:type="dxa"/>
            <w:vAlign w:val="bottom"/>
          </w:tcPr>
          <w:p>
            <w:pPr>
              <w:ind w:left="1980"/>
              <w:spacing w:after="0"/>
              <w:rPr>
                <w:sz w:val="20"/>
                <w:szCs w:val="20"/>
                <w:color w:val="auto"/>
              </w:rPr>
            </w:pPr>
            <w:r>
              <w:rPr>
                <w:rFonts w:ascii="Arial" w:cs="Arial" w:eastAsia="Arial" w:hAnsi="Arial"/>
                <w:sz w:val="14"/>
                <w:szCs w:val="14"/>
                <w:color w:val="auto"/>
              </w:rPr>
              <w:t>• Follow the steps outlined on the secure website</w:t>
            </w:r>
          </w:p>
        </w:tc>
        <w:tc>
          <w:tcPr>
            <w:tcW w:w="0" w:type="dxa"/>
            <w:vAlign w:val="bottom"/>
          </w:tcPr>
          <w:p>
            <w:pPr>
              <w:spacing w:after="0"/>
              <w:rPr>
                <w:sz w:val="1"/>
                <w:szCs w:val="1"/>
                <w:color w:val="auto"/>
              </w:rPr>
            </w:pPr>
          </w:p>
        </w:tc>
      </w:tr>
      <w:tr>
        <w:trPr>
          <w:trHeight w:val="323"/>
        </w:trPr>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vMerge w:val="restart"/>
          </w:tcPr>
          <w:p>
            <w:pPr>
              <w:ind w:left="180"/>
              <w:spacing w:after="0" w:line="431" w:lineRule="exact"/>
              <w:rPr>
                <w:sz w:val="20"/>
                <w:szCs w:val="20"/>
                <w:color w:val="auto"/>
              </w:rPr>
            </w:pPr>
            <w:r>
              <w:rPr>
                <w:rFonts w:ascii="MS PGothic" w:cs="MS PGothic" w:eastAsia="MS PGothic" w:hAnsi="MS PGothic"/>
                <w:sz w:val="43"/>
                <w:szCs w:val="43"/>
                <w:color w:val="auto"/>
              </w:rPr>
              <w:t>☒</w:t>
            </w:r>
          </w:p>
        </w:tc>
        <w:tc>
          <w:tcPr>
            <w:tcW w:w="6080" w:type="dxa"/>
            <w:vAlign w:val="bottom"/>
          </w:tcPr>
          <w:p>
            <w:pPr>
              <w:ind w:left="620"/>
              <w:spacing w:after="0"/>
              <w:rPr>
                <w:sz w:val="20"/>
                <w:szCs w:val="20"/>
                <w:color w:val="auto"/>
              </w:rPr>
            </w:pPr>
            <w:r>
              <w:rPr>
                <w:rFonts w:ascii="Arial" w:cs="Arial" w:eastAsia="Arial" w:hAnsi="Arial"/>
                <w:sz w:val="18"/>
                <w:szCs w:val="18"/>
                <w:b w:val="1"/>
                <w:bCs w:val="1"/>
                <w:color w:val="auto"/>
              </w:rPr>
              <w:t>Vote by telephone</w:t>
            </w:r>
          </w:p>
        </w:tc>
        <w:tc>
          <w:tcPr>
            <w:tcW w:w="0" w:type="dxa"/>
            <w:vAlign w:val="bottom"/>
          </w:tcPr>
          <w:p>
            <w:pPr>
              <w:spacing w:after="0"/>
              <w:rPr>
                <w:sz w:val="1"/>
                <w:szCs w:val="1"/>
                <w:color w:val="auto"/>
              </w:rPr>
            </w:pPr>
          </w:p>
        </w:tc>
      </w:tr>
      <w:tr>
        <w:trPr>
          <w:trHeight w:val="189"/>
        </w:trPr>
        <w:tc>
          <w:tcPr>
            <w:tcW w:w="4040" w:type="dxa"/>
            <w:vAlign w:val="bottom"/>
            <w:gridSpan w:val="3"/>
          </w:tcPr>
          <w:p>
            <w:pPr>
              <w:spacing w:after="0"/>
              <w:rPr>
                <w:sz w:val="20"/>
                <w:szCs w:val="20"/>
                <w:color w:val="auto"/>
              </w:rPr>
            </w:pPr>
            <w:r>
              <w:rPr>
                <w:rFonts w:ascii="Arial" w:cs="Arial" w:eastAsia="Arial" w:hAnsi="Arial"/>
                <w:sz w:val="14"/>
                <w:szCs w:val="14"/>
                <w:color w:val="auto"/>
                <w:w w:val="97"/>
              </w:rPr>
              <w:t xml:space="preserve">Using a </w:t>
            </w:r>
            <w:r>
              <w:rPr>
                <w:rFonts w:ascii="Arial" w:cs="Arial" w:eastAsia="Arial" w:hAnsi="Arial"/>
                <w:sz w:val="14"/>
                <w:szCs w:val="14"/>
                <w:b w:val="1"/>
                <w:bCs w:val="1"/>
                <w:color w:val="auto"/>
                <w:w w:val="97"/>
              </w:rPr>
              <w:t>black ink</w:t>
            </w:r>
            <w:r>
              <w:rPr>
                <w:rFonts w:ascii="Arial" w:cs="Arial" w:eastAsia="Arial" w:hAnsi="Arial"/>
                <w:sz w:val="14"/>
                <w:szCs w:val="14"/>
                <w:color w:val="auto"/>
                <w:w w:val="97"/>
              </w:rPr>
              <w:t xml:space="preserve"> pen, mark your votes with an </w:t>
            </w:r>
            <w:r>
              <w:rPr>
                <w:rFonts w:ascii="Arial" w:cs="Arial" w:eastAsia="Arial" w:hAnsi="Arial"/>
                <w:sz w:val="14"/>
                <w:szCs w:val="14"/>
                <w:b w:val="1"/>
                <w:bCs w:val="1"/>
                <w:color w:val="auto"/>
                <w:w w:val="97"/>
              </w:rPr>
              <w:t>X</w:t>
            </w:r>
            <w:r>
              <w:rPr>
                <w:rFonts w:ascii="Arial" w:cs="Arial" w:eastAsia="Arial" w:hAnsi="Arial"/>
                <w:sz w:val="14"/>
                <w:szCs w:val="14"/>
                <w:color w:val="auto"/>
                <w:w w:val="97"/>
              </w:rPr>
              <w:t xml:space="preserve"> as shown in this</w:t>
            </w:r>
          </w:p>
        </w:tc>
        <w:tc>
          <w:tcPr>
            <w:tcW w:w="1160" w:type="dxa"/>
            <w:vAlign w:val="bottom"/>
            <w:vMerge w:val="continue"/>
          </w:tcPr>
          <w:p>
            <w:pPr>
              <w:spacing w:after="0"/>
              <w:rPr>
                <w:sz w:val="16"/>
                <w:szCs w:val="16"/>
                <w:color w:val="auto"/>
              </w:rPr>
            </w:pPr>
          </w:p>
        </w:tc>
        <w:tc>
          <w:tcPr>
            <w:tcW w:w="6080" w:type="dxa"/>
            <w:vAlign w:val="bottom"/>
            <w:vMerge w:val="restart"/>
          </w:tcPr>
          <w:p>
            <w:pPr>
              <w:ind w:left="620"/>
              <w:spacing w:after="0"/>
              <w:rPr>
                <w:sz w:val="20"/>
                <w:szCs w:val="20"/>
                <w:color w:val="auto"/>
              </w:rPr>
            </w:pPr>
            <w:r>
              <w:rPr>
                <w:rFonts w:ascii="Arial" w:cs="Arial" w:eastAsia="Arial" w:hAnsi="Arial"/>
                <w:sz w:val="14"/>
                <w:szCs w:val="14"/>
                <w:color w:val="auto"/>
              </w:rPr>
              <w:t>•   Call toll free 1-800-652-VOTE (8683) within the USA, US territories &amp;</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6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040" w:type="dxa"/>
            <w:vAlign w:val="bottom"/>
            <w:gridSpan w:val="3"/>
            <w:vMerge w:val="restart"/>
          </w:tcPr>
          <w:p>
            <w:pPr>
              <w:spacing w:after="0"/>
              <w:rPr>
                <w:sz w:val="20"/>
                <w:szCs w:val="20"/>
                <w:color w:val="auto"/>
              </w:rPr>
            </w:pPr>
            <w:r>
              <w:rPr>
                <w:rFonts w:ascii="Arial" w:cs="Arial" w:eastAsia="Arial" w:hAnsi="Arial"/>
                <w:sz w:val="14"/>
                <w:szCs w:val="14"/>
                <w:color w:val="auto"/>
              </w:rPr>
              <w:t>example. Please do not write outside the designated areas.</w:t>
            </w:r>
          </w:p>
        </w:tc>
        <w:tc>
          <w:tcPr>
            <w:tcW w:w="1160" w:type="dxa"/>
            <w:vAlign w:val="bottom"/>
            <w:vMerge w:val="continue"/>
          </w:tcPr>
          <w:p>
            <w:pPr>
              <w:spacing w:after="0"/>
              <w:rPr>
                <w:sz w:val="2"/>
                <w:szCs w:val="2"/>
                <w:color w:val="auto"/>
              </w:rPr>
            </w:pPr>
          </w:p>
        </w:tc>
        <w:tc>
          <w:tcPr>
            <w:tcW w:w="6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6080" w:type="dxa"/>
            <w:vAlign w:val="bottom"/>
            <w:vMerge w:val="restart"/>
          </w:tcPr>
          <w:p>
            <w:pPr>
              <w:ind w:left="820"/>
              <w:spacing w:after="0"/>
              <w:rPr>
                <w:sz w:val="20"/>
                <w:szCs w:val="20"/>
                <w:color w:val="auto"/>
              </w:rPr>
            </w:pPr>
            <w:r>
              <w:rPr>
                <w:rFonts w:ascii="Arial" w:cs="Arial" w:eastAsia="Arial" w:hAnsi="Arial"/>
                <w:sz w:val="14"/>
                <w:szCs w:val="14"/>
                <w:color w:val="auto"/>
              </w:rPr>
              <w:t>Canada on a touch tone telephone</w:t>
            </w: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80" w:type="dxa"/>
            <w:vAlign w:val="bottom"/>
          </w:tcPr>
          <w:p>
            <w:pPr>
              <w:ind w:left="620"/>
              <w:spacing w:after="0"/>
              <w:rPr>
                <w:sz w:val="20"/>
                <w:szCs w:val="20"/>
                <w:color w:val="auto"/>
              </w:rPr>
            </w:pPr>
            <w:r>
              <w:rPr>
                <w:rFonts w:ascii="Arial" w:cs="Arial" w:eastAsia="Arial" w:hAnsi="Arial"/>
                <w:sz w:val="14"/>
                <w:szCs w:val="14"/>
                <w:color w:val="auto"/>
              </w:rPr>
              <w:t>•   Follow the instructions provided by the recorded message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9015" cy="3517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89015" cy="3517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-1543685</wp:posOffset>
            </wp:positionV>
            <wp:extent cx="582930" cy="6000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29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20" w:right="20"/>
        <w:spacing w:after="0" w:line="239"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 - - - - - - - - - - - - - - - - - - - - - - - - - - - - - - - - - - - - - - - - - - - - - - - - - - - - - - - - - - - - - - - - - - - - - - - - - - - - - - - - - -</w:t>
      </w:r>
    </w:p>
    <w:p>
      <w:pPr>
        <w:spacing w:after="0" w:line="30" w:lineRule="exact"/>
        <w:rPr>
          <w:sz w:val="20"/>
          <w:szCs w:val="20"/>
          <w:color w:val="auto"/>
        </w:rPr>
      </w:pPr>
    </w:p>
    <w:p>
      <w:pPr>
        <w:ind w:left="320" w:hanging="276"/>
        <w:spacing w:after="0"/>
        <w:tabs>
          <w:tab w:leader="none" w:pos="320" w:val="left"/>
        </w:tabs>
        <w:numPr>
          <w:ilvl w:val="0"/>
          <w:numId w:val="294"/>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 The Board recommends a vote FOR Proposals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890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86" w:lineRule="exact"/>
        <w:rPr>
          <w:sz w:val="20"/>
          <w:szCs w:val="20"/>
          <w:color w:val="auto"/>
        </w:rPr>
      </w:pPr>
    </w:p>
    <w:p>
      <w:pPr>
        <w:ind w:left="9320"/>
        <w:spacing w:after="0"/>
        <w:tabs>
          <w:tab w:leader="none" w:pos="9760" w:val="left"/>
          <w:tab w:leader="none" w:pos="10440" w:val="left"/>
          <w:tab w:leader="none" w:pos="11140" w:val="left"/>
        </w:tabs>
        <w:rPr>
          <w:sz w:val="20"/>
          <w:szCs w:val="20"/>
          <w:color w:val="auto"/>
        </w:rPr>
      </w:pPr>
      <w:r>
        <w:rPr>
          <w:rFonts w:ascii="Arial" w:cs="Arial" w:eastAsia="Arial" w:hAnsi="Arial"/>
          <w:sz w:val="14"/>
          <w:szCs w:val="14"/>
          <w:b w:val="1"/>
          <w:bCs w:val="1"/>
          <w:color w:val="auto"/>
        </w:rPr>
        <w:t>For</w:t>
        <w:tab/>
        <w:t>Against</w:t>
        <w:tab/>
        <w:t>Abstain</w:t>
      </w:r>
      <w:r>
        <w:rPr>
          <w:sz w:val="20"/>
          <w:szCs w:val="20"/>
          <w:color w:val="auto"/>
        </w:rPr>
        <w:tab/>
      </w:r>
      <w:r>
        <w:rPr>
          <w:rFonts w:ascii="Arial" w:cs="Arial" w:eastAsia="Arial" w:hAnsi="Arial"/>
          <w:sz w:val="43"/>
          <w:szCs w:val="43"/>
          <w:b w:val="1"/>
          <w:bCs w:val="1"/>
          <w:color w:val="auto"/>
        </w:rPr>
        <w:t>+</w:t>
      </w:r>
    </w:p>
    <w:p>
      <w:pPr>
        <w:sectPr>
          <w:pgSz w:w="11900" w:h="16838" w:orient="portrait"/>
          <w:cols w:equalWidth="0" w:num="1">
            <w:col w:w="11420"/>
          </w:cols>
          <w:pgMar w:left="240" w:top="125" w:right="239" w:bottom="1440" w:gutter="0" w:footer="0" w:header="0"/>
        </w:sectPr>
      </w:pPr>
    </w:p>
    <w:p>
      <w:pPr>
        <w:spacing w:after="0" w:line="42" w:lineRule="exact"/>
        <w:rPr>
          <w:sz w:val="20"/>
          <w:szCs w:val="20"/>
          <w:color w:val="auto"/>
        </w:rPr>
      </w:pPr>
    </w:p>
    <w:p>
      <w:pPr>
        <w:ind w:left="340" w:right="80" w:hanging="332"/>
        <w:spacing w:after="0" w:line="232" w:lineRule="auto"/>
        <w:tabs>
          <w:tab w:leader="none" w:pos="34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To adopt the Agreement and Plan of Merger, dated as of August 25, 2015, among Schlumberger Holdings Corporation, an indirect wholly-owned subsidiary of Schlumberger Limited, Rain Merger Sub LLC, a direct wholly-owned subsidiary of Schlumberger Holdings Corporation, Schlumberger Limited and Cameron International Corporation, as such agreement may be amended from time to time.</w:t>
      </w:r>
    </w:p>
    <w:p>
      <w:pPr>
        <w:spacing w:after="0" w:line="74" w:lineRule="exact"/>
        <w:rPr>
          <w:rFonts w:ascii="Arial" w:cs="Arial" w:eastAsia="Arial" w:hAnsi="Arial"/>
          <w:sz w:val="14"/>
          <w:szCs w:val="14"/>
          <w:color w:val="auto"/>
        </w:rPr>
      </w:pPr>
    </w:p>
    <w:p>
      <w:pPr>
        <w:ind w:left="340" w:right="320" w:hanging="332"/>
        <w:spacing w:after="0" w:line="253" w:lineRule="auto"/>
        <w:tabs>
          <w:tab w:leader="none" w:pos="34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To approve, by non-binding, advisory vote, the compensation that may become payable to Cameron International Corporation’s named executive officers in connection with the merger contemplated by the Agreement and Plan of Merger.</w:t>
      </w:r>
    </w:p>
    <w:p>
      <w:pPr>
        <w:spacing w:after="0" w:line="65" w:lineRule="exact"/>
        <w:rPr>
          <w:rFonts w:ascii="Arial" w:cs="Arial" w:eastAsia="Arial" w:hAnsi="Arial"/>
          <w:sz w:val="14"/>
          <w:szCs w:val="14"/>
          <w:color w:val="auto"/>
        </w:rPr>
      </w:pPr>
    </w:p>
    <w:p>
      <w:pPr>
        <w:ind w:left="340" w:hanging="332"/>
        <w:spacing w:after="0" w:line="253" w:lineRule="auto"/>
        <w:tabs>
          <w:tab w:leader="none" w:pos="34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To approve the adjournment of the special meeting of stockholders, if necessary, to solicit additional proxies if there are not sufficient votes to approve the proposal to adopt the merger agreement at the time of the special meeting of stockholders.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9"/>
        </w:trPr>
        <w:tc>
          <w:tcPr>
            <w:tcW w:w="38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73"/>
        </w:trPr>
        <w:tc>
          <w:tcPr>
            <w:tcW w:w="38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05"/>
        </w:trPr>
        <w:tc>
          <w:tcPr>
            <w:tcW w:w="38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16" w:lineRule="exact"/>
        <w:rPr>
          <w:sz w:val="20"/>
          <w:szCs w:val="20"/>
          <w:color w:val="auto"/>
        </w:rPr>
      </w:pPr>
    </w:p>
    <w:p>
      <w:pPr>
        <w:sectPr>
          <w:pgSz w:w="11900" w:h="16838" w:orient="portrait"/>
          <w:cols w:equalWidth="0" w:num="2">
            <w:col w:w="9020" w:space="320"/>
            <w:col w:w="2080"/>
          </w:cols>
          <w:pgMar w:left="240" w:top="125" w:right="239" w:bottom="1440" w:gutter="0" w:footer="0" w:header="0"/>
          <w:type w:val="continuous"/>
        </w:sectPr>
      </w:pPr>
    </w:p>
    <w:p>
      <w:pPr>
        <w:spacing w:after="0" w:line="258"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FFFFFF"/>
        </w:rPr>
        <w:t>B</w:t>
      </w:r>
      <w:r>
        <w:rPr>
          <w:sz w:val="20"/>
          <w:szCs w:val="20"/>
          <w:color w:val="auto"/>
        </w:rPr>
        <w:tab/>
      </w: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4605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tc>
        <w:tc>
          <w:tcPr>
            <w:tcW w:w="4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2580" w:type="dxa"/>
            <w:vAlign w:val="bottom"/>
          </w:tcPr>
          <w:p>
            <w:pPr>
              <w:ind w:left="280"/>
              <w:spacing w:after="0"/>
              <w:rPr>
                <w:sz w:val="20"/>
                <w:szCs w:val="20"/>
                <w:color w:val="auto"/>
              </w:rPr>
            </w:pPr>
            <w:r>
              <w:rPr>
                <w:rFonts w:ascii="Arial" w:cs="Arial" w:eastAsia="Arial" w:hAnsi="Arial"/>
                <w:sz w:val="14"/>
                <w:szCs w:val="14"/>
                <w:b w:val="1"/>
                <w:bCs w:val="1"/>
                <w:color w:val="auto"/>
              </w:rPr>
              <w:t>Meeting Attendance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580" w:type="dxa"/>
            <w:vAlign w:val="bottom"/>
          </w:tcPr>
          <w:p>
            <w:pPr>
              <w:ind w:left="280"/>
              <w:spacing w:after="0" w:line="129" w:lineRule="exact"/>
              <w:rPr>
                <w:sz w:val="20"/>
                <w:szCs w:val="20"/>
                <w:color w:val="auto"/>
              </w:rPr>
            </w:pPr>
            <w:r>
              <w:rPr>
                <w:rFonts w:ascii="Arial" w:cs="Arial" w:eastAsia="Arial" w:hAnsi="Arial"/>
                <w:sz w:val="14"/>
                <w:szCs w:val="14"/>
                <w:color w:val="auto"/>
              </w:rPr>
              <w:t>Mark the box to the right if you plan</w:t>
            </w:r>
          </w:p>
        </w:tc>
        <w:tc>
          <w:tcPr>
            <w:tcW w:w="40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82"/>
        </w:trPr>
        <w:tc>
          <w:tcPr>
            <w:tcW w:w="4200" w:type="dxa"/>
            <w:vAlign w:val="bottom"/>
            <w:tcBorders>
              <w:left w:val="single" w:sz="8" w:color="auto"/>
              <w:righ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spacing w:after="0"/>
              <w:rPr>
                <w:sz w:val="15"/>
                <w:szCs w:val="15"/>
                <w:color w:val="auto"/>
              </w:rPr>
            </w:pPr>
          </w:p>
        </w:tc>
        <w:tc>
          <w:tcPr>
            <w:tcW w:w="2580" w:type="dxa"/>
            <w:vAlign w:val="bottom"/>
          </w:tcPr>
          <w:p>
            <w:pPr>
              <w:ind w:left="280"/>
              <w:spacing w:after="0"/>
              <w:rPr>
                <w:sz w:val="20"/>
                <w:szCs w:val="20"/>
                <w:color w:val="auto"/>
              </w:rPr>
            </w:pPr>
            <w:r>
              <w:rPr>
                <w:rFonts w:ascii="Arial" w:cs="Arial" w:eastAsia="Arial" w:hAnsi="Arial"/>
                <w:sz w:val="14"/>
                <w:szCs w:val="14"/>
                <w:color w:val="auto"/>
              </w:rPr>
              <w:t>to attend the Special Meeting.</w:t>
            </w: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00" w:type="dxa"/>
            <w:vAlign w:val="bottom"/>
            <w:tcBorders>
              <w:left w:val="single" w:sz="8" w:color="auto"/>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98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4200" w:type="dxa"/>
            <w:vAlign w:val="bottom"/>
            <w:tcBorders>
              <w:left w:val="single" w:sz="8" w:color="auto"/>
              <w:bottom w:val="single" w:sz="8" w:color="auto"/>
              <w:righ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hanging="295"/>
        <w:spacing w:after="0"/>
        <w:tabs>
          <w:tab w:leader="none" w:pos="360" w:val="left"/>
        </w:tabs>
        <w:numPr>
          <w:ilvl w:val="0"/>
          <w:numId w:val="296"/>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54305"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4305" cy="137160"/>
                    </a:xfrm>
                    <a:prstGeom prst="rect">
                      <a:avLst/>
                    </a:prstGeom>
                    <a:noFill/>
                  </pic:spPr>
                </pic:pic>
              </a:graphicData>
            </a:graphic>
          </wp:anchor>
        </w:drawing>
      </w:r>
    </w:p>
    <w:p>
      <w:pPr>
        <w:spacing w:after="0" w:line="56"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420"/>
          </w:cols>
          <w:pgMar w:left="240" w:top="125" w:right="2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Date (mm/dd/yyyy) — Please print date below.</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tabs>
          <w:tab w:leader="none" w:pos="410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58" w:lineRule="exact"/>
        <w:rPr>
          <w:sz w:val="20"/>
          <w:szCs w:val="20"/>
          <w:color w:val="auto"/>
        </w:rPr>
      </w:pPr>
    </w:p>
    <w:p>
      <w:pPr>
        <w:sectPr>
          <w:pgSz w:w="11900" w:h="16838" w:orient="portrait"/>
          <w:cols w:equalWidth="0" w:num="2">
            <w:col w:w="2900" w:space="720"/>
            <w:col w:w="7800"/>
          </w:cols>
          <w:pgMar w:left="240" w:top="125" w:right="239" w:bottom="1440" w:gutter="0" w:footer="0" w:header="0"/>
          <w:type w:val="continuous"/>
        </w:sectPr>
      </w:pPr>
    </w:p>
    <w:p>
      <w:pPr>
        <w:ind w:left="1180"/>
        <w:spacing w:after="0"/>
        <w:tabs>
          <w:tab w:leader="none" w:pos="2120" w:val="left"/>
        </w:tabs>
        <w:rPr>
          <w:sz w:val="20"/>
          <w:szCs w:val="20"/>
          <w:color w:val="auto"/>
        </w:rPr>
      </w:pPr>
      <w:r>
        <w:rPr>
          <w:rFonts w:ascii="Arial" w:cs="Arial" w:eastAsia="Arial" w:hAnsi="Arial"/>
          <w:sz w:val="54"/>
          <w:szCs w:val="54"/>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54875" cy="437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875" cy="43751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198755</wp:posOffset>
            </wp:positionV>
            <wp:extent cx="6089015" cy="6172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89015" cy="61722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Cameron International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 a.m. CST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17,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Cameron’s Corporate Headquarters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1333 West Loop South, Suite 1700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77027</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 government-issued picture identification will be required to enter the special meeting. If you are the representative of a corporate or institutional 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180"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b w:val="1"/>
          <w:bCs w:val="1"/>
          <w:color w:val="auto"/>
        </w:rPr>
        <w:t>This is your proxy. Your vote is important. It is also important that your shares are represented at this meeting, whether or not you attend the meeting in person. To make sure your shares are represented, we urge you to complete and mail the proxy card.</w:t>
      </w:r>
    </w:p>
    <w:p>
      <w:pPr>
        <w:spacing w:after="0" w:line="138"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December 17, 2015. The Proxy Statement/Prospectus is available at </w:t>
      </w:r>
      <w:r>
        <w:rPr>
          <w:rFonts w:ascii="Arial" w:cs="Arial" w:eastAsia="Arial" w:hAnsi="Arial"/>
          <w:sz w:val="18"/>
          <w:szCs w:val="18"/>
          <w:b w:val="1"/>
          <w:bCs w:val="1"/>
          <w:u w:val="single" w:color="auto"/>
          <w:color w:val="auto"/>
        </w:rPr>
        <w:t>http://www.c-a-m.com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line="239"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 - - - - - - - - - - - - - - - - - - - - - - - -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853440</wp:posOffset>
            </wp:positionV>
            <wp:extent cx="724662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2066925" cy="523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6692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Cameron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on behalf of the Board of Directors for the Special Meeting of Stockholders to be held on December 17, 2015.</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undersigned stockholder(s) of Cameron International Corporation, a Delaware corporation, hereby appoints Jack B. Moore and Grace B. Holmes, with full power of substitution in each, as the agents, attorneys and proxies of the undersigned, for and in the name, place and stead of the undersigned, to attend and vote at the Special Meeting of Stockholders of Cameron International Corporation to be held on December 17, 2015, at 10:00 a.m. CST at Cameron’s corporate headquarters, 1333 West Loop South, Suite 1700, Houston, Texas 77027 and at any adjournment or postponement thereof, and to vote as specified in this proxy all of the shares of common stock of Cameron International Corporation which the undersigned would be entitled to vote if personally present at such Special Meeting of Stockholders. The undersigned hereby revokes all prior proxies with respect to the matters set forth herein.</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shares of common stock of Cameron International Corporation are held in the Cameron Retirement Savings Plans, you may direct the trustee of the Cameron Retirement Savings Plans as to how to vote such shares by mailing this proxy card or by sending your voting instructions via telephone or Internet. The trustee will vote those shares as instructed if proper instructions are received before the close of business on December 15, 2015. The trustee will vote shares as to which the trustee has not received instructions in the same proportion as those votes cast by plan participants submitting voting instructions considered as a group.</w:t>
      </w:r>
    </w:p>
    <w:p>
      <w:pPr>
        <w:spacing w:after="0" w:line="18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by the undersigned on the reverse side. If no direction is made, this proxy will be voted FOR proposals 1, 2 and 3. This proxy also delegates discretionary authority with respect to any other business which may properly come before the meeting or any adjournment or postponement thereof.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proposals 1, 2 and 3.</w:t>
      </w:r>
    </w:p>
    <w:p>
      <w:pPr>
        <w:spacing w:after="0" w:line="229" w:lineRule="exact"/>
        <w:rPr>
          <w:sz w:val="20"/>
          <w:szCs w:val="20"/>
          <w:color w:val="auto"/>
        </w:rPr>
      </w:pPr>
    </w:p>
    <w:p>
      <w:pPr>
        <w:ind w:right="2140"/>
        <w:spacing w:after="0" w:line="528" w:lineRule="auto"/>
        <w:rPr>
          <w:sz w:val="20"/>
          <w:szCs w:val="20"/>
          <w:color w:val="auto"/>
        </w:rPr>
      </w:pPr>
      <w:r>
        <w:rPr>
          <w:rFonts w:ascii="Arial" w:cs="Arial" w:eastAsia="Arial" w:hAnsi="Arial"/>
          <w:sz w:val="18"/>
          <w:szCs w:val="18"/>
          <w:color w:val="auto"/>
        </w:rPr>
        <w:t>The undersigned acknowledges receipt of the Notice of Special Meeting of Stockholders and of the Proxy Statement/Prospectus. (Please sign and date on the reverse side.)</w:t>
      </w:r>
    </w:p>
    <w:p>
      <w:pPr>
        <w:sectPr>
          <w:pgSz w:w="11900" w:h="16838" w:orient="portrait"/>
          <w:cols w:equalWidth="0" w:num="1">
            <w:col w:w="11420"/>
          </w:cols>
          <w:pgMar w:left="240" w:top="270"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CREDIT SUISSE SECURITIES (USA)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38" w:lineRule="exact"/>
        <w:rPr>
          <w:sz w:val="20"/>
          <w:szCs w:val="20"/>
          <w:color w:val="auto"/>
        </w:rPr>
      </w:pPr>
    </w:p>
    <w:p>
      <w:pPr>
        <w:ind w:left="460" w:right="440" w:hanging="459"/>
        <w:spacing w:after="0" w:line="342" w:lineRule="auto"/>
        <w:tabs>
          <w:tab w:leader="none" w:pos="440" w:val="left"/>
        </w:tabs>
        <w:rPr>
          <w:sz w:val="20"/>
          <w:szCs w:val="20"/>
          <w:color w:val="auto"/>
        </w:rPr>
      </w:pPr>
      <w:r>
        <w:rPr>
          <w:rFonts w:ascii="Arial" w:cs="Arial" w:eastAsia="Arial" w:hAnsi="Arial"/>
          <w:sz w:val="16"/>
          <w:szCs w:val="16"/>
          <w:color w:val="auto"/>
        </w:rPr>
        <w:t>RE:</w:t>
        <w:tab/>
        <w:t>Proxy Statement of Cameron International Corporation (“Cameron”)/Prospectus of Schlumberger N.V. (Schlumberger Limited) (“Schlumberger”) which forms part of Amendment No. 1 to the Registration Statement on Form S-4 of Schlumberger (the “Registration Statement”).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hereby consent to the inclusion of our opinion letter, dated August 25, 2015, to the Board of Directors of Cameron as Annex C to the Proxy Statement/Prospectus included in Amendment No. 1 to the Registration Statement (the “Proxy Statement/Prospectus”) filed with the Securities and Exchange Commission as of the date hereof and the references to our firm and our opinion in such Proxy Statement/Prospectus under the headings “</w:t>
      </w:r>
      <w:r>
        <w:rPr>
          <w:rFonts w:ascii="Arial" w:cs="Arial" w:eastAsia="Arial" w:hAnsi="Arial"/>
          <w:sz w:val="17"/>
          <w:szCs w:val="17"/>
          <w:i w:val="1"/>
          <w:iCs w:val="1"/>
          <w:color w:val="auto"/>
        </w:rPr>
        <w:t>SUMMARY—</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of Cameron’s Financial Advisor,</w:t>
      </w:r>
      <w:r>
        <w:rPr>
          <w:rFonts w:ascii="Arial" w:cs="Arial" w:eastAsia="Arial" w:hAnsi="Arial"/>
          <w:sz w:val="17"/>
          <w:szCs w:val="17"/>
          <w:color w:val="auto"/>
        </w:rPr>
        <w:t>” “</w:t>
      </w:r>
      <w:r>
        <w:rPr>
          <w:rFonts w:ascii="Arial" w:cs="Arial" w:eastAsia="Arial" w:hAnsi="Arial"/>
          <w:sz w:val="17"/>
          <w:szCs w:val="17"/>
          <w:i w:val="1"/>
          <w:iCs w:val="1"/>
          <w:color w:val="auto"/>
        </w:rPr>
        <w:t>THE MERGER—Background of the Merger,</w:t>
      </w:r>
      <w:r>
        <w:rPr>
          <w:rFonts w:ascii="Arial" w:cs="Arial" w:eastAsia="Arial" w:hAnsi="Arial"/>
          <w:sz w:val="17"/>
          <w:szCs w:val="17"/>
          <w:color w:val="auto"/>
        </w:rPr>
        <w:t>” “</w:t>
      </w:r>
      <w:r>
        <w:rPr>
          <w:rFonts w:ascii="Arial" w:cs="Arial" w:eastAsia="Arial" w:hAnsi="Arial"/>
          <w:sz w:val="17"/>
          <w:szCs w:val="17"/>
          <w:i w:val="1"/>
          <w:iCs w:val="1"/>
          <w:color w:val="auto"/>
        </w:rPr>
        <w:t>THE MERGER— Cameron’s Reasons for the Merger; Recommendation of the Cameron Board of Directors,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“THE MERGER— Opinion of Cameron’s Financial Advisor.</w:t>
      </w:r>
      <w:r>
        <w:rPr>
          <w:rFonts w:ascii="Arial" w:cs="Arial" w:eastAsia="Arial" w:hAnsi="Arial"/>
          <w:sz w:val="17"/>
          <w:szCs w:val="17"/>
          <w:color w:val="auto"/>
        </w:rPr>
        <w:t>” The foregoing consent applies only</w:t>
      </w:r>
      <w:r>
        <w:rPr>
          <w:rFonts w:ascii="Arial" w:cs="Arial" w:eastAsia="Arial" w:hAnsi="Arial"/>
          <w:sz w:val="17"/>
          <w:szCs w:val="17"/>
          <w:i w:val="1"/>
          <w:iCs w:val="1"/>
          <w:color w:val="auto"/>
        </w:rPr>
        <w:t xml:space="preserve"> </w:t>
      </w:r>
      <w:r>
        <w:rPr>
          <w:rFonts w:ascii="Arial" w:cs="Arial" w:eastAsia="Arial" w:hAnsi="Arial"/>
          <w:sz w:val="17"/>
          <w:szCs w:val="17"/>
          <w:color w:val="auto"/>
        </w:rPr>
        <w:t>to Amendment No. 1 to the Registration Statement being filed with the Securities and Exchange Commission as of the date hereof and not to any other amendments or supplements thereto, and our opinion is not to be used, circulated, quoted or otherwise referred to for any other purpose, nor is it to be filed with, included in or referred to in whole or in part in any other registration statement (including any amendments to the above-mentioned Registration Statement), proxy statement or any other document, except in accordance with our prior written consent.</w:t>
      </w:r>
    </w:p>
    <w:p>
      <w:pPr>
        <w:spacing w:after="0" w:line="18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giving our consent, we do not admit that we come within the category of persons whose consent is required under Section 7 of the Securities Act of 1933, as amended, or the rules and regulations of the Securities and Exchange Commission thereunder, nor do we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9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Dated: November 13, 2015</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CREDIT SUISSE SECURITIES (USA) LLC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1)"/>
      <w:numFmt w:val="decimal"/>
      <w:start w:val="1"/>
    </w:lvl>
  </w:abstractNum>
  <w:abstractNum w:abstractNumId="1">
    <w:nsid w:val="1A0DDE32"/>
    <w:multiLevelType w:val="hybridMultilevel"/>
    <w:lvl w:ilvl="0">
      <w:lvlJc w:val="left"/>
      <w:lvlText w:val="•"/>
      <w:numFmt w:val="bullet"/>
      <w:start w:val="1"/>
    </w:lvl>
  </w:abstractNum>
  <w:abstractNum w:abstractNumId="2">
    <w:nsid w:val="65968C1C"/>
    <w:multiLevelType w:val="hybridMultilevel"/>
    <w:lvl w:ilvl="0">
      <w:lvlJc w:val="left"/>
      <w:lvlText w:val="%1."/>
      <w:numFmt w:val="decimal"/>
      <w:start w:val="1"/>
    </w:lvl>
  </w:abstractNum>
  <w:abstractNum w:abstractNumId="3">
    <w:nsid w:val="46263DEC"/>
    <w:multiLevelType w:val="hybridMultilevel"/>
    <w:lvl w:ilvl="0">
      <w:lvlJc w:val="left"/>
      <w:lvlText w:val="%1:"/>
      <w:numFmt w:val="upperLetter"/>
      <w:start w:val="17"/>
    </w:lvl>
  </w:abstractNum>
  <w:abstractNum w:abstractNumId="4">
    <w:nsid w:val="260D8C4A"/>
    <w:multiLevelType w:val="hybridMultilevel"/>
    <w:lvl w:ilvl="0">
      <w:lvlJc w:val="left"/>
      <w:lvlText w:val="%1:"/>
      <w:numFmt w:val="upperLetter"/>
      <w:start w:val="1"/>
    </w:lvl>
  </w:abstractNum>
  <w:abstractNum w:abstractNumId="5">
    <w:nsid w:val="73D4D3C4"/>
    <w:multiLevelType w:val="hybridMultilevel"/>
    <w:lvl w:ilvl="0">
      <w:lvlJc w:val="left"/>
      <w:lvlText w:val="%1:"/>
      <w:numFmt w:val="upperLetter"/>
      <w:start w:val="17"/>
    </w:lvl>
  </w:abstractNum>
  <w:abstractNum w:abstractNumId="6">
    <w:nsid w:val="746F2E30"/>
    <w:multiLevelType w:val="hybridMultilevel"/>
    <w:lvl w:ilvl="0">
      <w:lvlJc w:val="left"/>
      <w:lvlText w:val="%1:"/>
      <w:numFmt w:val="upperLetter"/>
      <w:start w:val="1"/>
    </w:lvl>
  </w:abstractNum>
  <w:abstractNum w:abstractNumId="7">
    <w:nsid w:val="6FDE8AF6"/>
    <w:multiLevelType w:val="hybridMultilevel"/>
    <w:lvl w:ilvl="0">
      <w:lvlJc w:val="left"/>
      <w:lvlText w:val="%1:"/>
      <w:numFmt w:val="upperLetter"/>
      <w:start w:val="17"/>
    </w:lvl>
  </w:abstractNum>
  <w:abstractNum w:abstractNumId="8">
    <w:nsid w:val="3FC32E20"/>
    <w:multiLevelType w:val="hybridMultilevel"/>
    <w:lvl w:ilvl="0">
      <w:lvlJc w:val="left"/>
      <w:lvlText w:val="%1:"/>
      <w:numFmt w:val="upperLetter"/>
      <w:start w:val="1"/>
    </w:lvl>
    <w:lvl w:ilvl="1">
      <w:lvlJc w:val="left"/>
      <w:lvlText w:val="•"/>
      <w:numFmt w:val="bullet"/>
      <w:start w:val="1"/>
    </w:lvl>
  </w:abstractNum>
  <w:abstractNum w:abstractNumId="9">
    <w:nsid w:val="49C0E823"/>
    <w:multiLevelType w:val="hybridMultilevel"/>
    <w:lvl w:ilvl="0">
      <w:lvlJc w:val="left"/>
      <w:lvlText w:val="%1:"/>
      <w:numFmt w:val="upperLetter"/>
      <w:start w:val="16"/>
    </w:lvl>
    <w:lvl w:ilvl="1">
      <w:lvlJc w:val="left"/>
      <w:lvlText w:val="•"/>
      <w:numFmt w:val="bullet"/>
      <w:start w:val="1"/>
    </w:lvl>
  </w:abstractNum>
  <w:abstractNum w:abstractNumId="10">
    <w:nsid w:val="14D53685"/>
    <w:multiLevelType w:val="hybridMultilevel"/>
    <w:lvl w:ilvl="0">
      <w:lvlJc w:val="left"/>
      <w:lvlText w:val="%1:"/>
      <w:numFmt w:val="upperLetter"/>
      <w:start w:val="1"/>
    </w:lvl>
  </w:abstractNum>
  <w:abstractNum w:abstractNumId="11">
    <w:nsid w:val="230F856C"/>
    <w:multiLevelType w:val="hybridMultilevel"/>
    <w:lvl w:ilvl="0">
      <w:lvlJc w:val="left"/>
      <w:lvlText w:val="%1:"/>
      <w:numFmt w:val="upperLetter"/>
      <w:start w:val="17"/>
    </w:lvl>
  </w:abstractNum>
  <w:abstractNum w:abstractNumId="12">
    <w:nsid w:val="6EAA85FB"/>
    <w:multiLevelType w:val="hybridMultilevel"/>
    <w:lvl w:ilvl="0">
      <w:lvlJc w:val="left"/>
      <w:lvlText w:val="%1:"/>
      <w:numFmt w:val="upperLetter"/>
      <w:start w:val="1"/>
    </w:lvl>
  </w:abstractNum>
  <w:abstractNum w:abstractNumId="13">
    <w:nsid w:val="3F06ECB2"/>
    <w:multiLevelType w:val="hybridMultilevel"/>
    <w:lvl w:ilvl="0">
      <w:lvlJc w:val="left"/>
      <w:lvlText w:val="%1:"/>
      <w:numFmt w:val="upperLetter"/>
      <w:start w:val="17"/>
    </w:lvl>
  </w:abstractNum>
  <w:abstractNum w:abstractNumId="14">
    <w:nsid w:val="3B594807"/>
    <w:multiLevelType w:val="hybridMultilevel"/>
    <w:lvl w:ilvl="0">
      <w:lvlJc w:val="left"/>
      <w:lvlText w:val="%1:"/>
      <w:numFmt w:val="upperLetter"/>
      <w:start w:val="1"/>
    </w:lvl>
  </w:abstractNum>
  <w:abstractNum w:abstractNumId="15">
    <w:nsid w:val="6CAA2304"/>
    <w:multiLevelType w:val="hybridMultilevel"/>
    <w:lvl w:ilvl="0">
      <w:lvlJc w:val="left"/>
      <w:lvlText w:val="%1:"/>
      <w:numFmt w:val="upperLetter"/>
      <w:start w:val="17"/>
    </w:lvl>
  </w:abstractNum>
  <w:abstractNum w:abstractNumId="16">
    <w:nsid w:val="3F7C2FF4"/>
    <w:multiLevelType w:val="hybridMultilevel"/>
    <w:lvl w:ilvl="0">
      <w:lvlJc w:val="left"/>
      <w:lvlText w:val="%1:"/>
      <w:numFmt w:val="upperLetter"/>
      <w:start w:val="1"/>
    </w:lvl>
  </w:abstractNum>
  <w:abstractNum w:abstractNumId="17">
    <w:nsid w:val="25413BEC"/>
    <w:multiLevelType w:val="hybridMultilevel"/>
    <w:lvl w:ilvl="0">
      <w:lvlJc w:val="left"/>
      <w:lvlText w:val="%1:"/>
      <w:numFmt w:val="upperLetter"/>
      <w:start w:val="17"/>
    </w:lvl>
  </w:abstractNum>
  <w:abstractNum w:abstractNumId="18">
    <w:nsid w:val="17180B0B"/>
    <w:multiLevelType w:val="hybridMultilevel"/>
    <w:lvl w:ilvl="0">
      <w:lvlJc w:val="left"/>
      <w:lvlText w:val="%1:"/>
      <w:numFmt w:val="upperLetter"/>
      <w:start w:val="1"/>
    </w:lvl>
  </w:abstractNum>
  <w:abstractNum w:abstractNumId="19">
    <w:nsid w:val="579328B9"/>
    <w:multiLevelType w:val="hybridMultilevel"/>
    <w:lvl w:ilvl="0">
      <w:lvlJc w:val="left"/>
      <w:lvlText w:val="%1:"/>
      <w:numFmt w:val="upperLetter"/>
      <w:start w:val="17"/>
    </w:lvl>
  </w:abstractNum>
  <w:abstractNum w:abstractNumId="20">
    <w:nsid w:val="5D205E20"/>
    <w:multiLevelType w:val="hybridMultilevel"/>
    <w:lvl w:ilvl="0">
      <w:lvlJc w:val="left"/>
      <w:lvlText w:val="%1:"/>
      <w:numFmt w:val="upperLetter"/>
      <w:start w:val="1"/>
    </w:lvl>
  </w:abstractNum>
  <w:abstractNum w:abstractNumId="21">
    <w:nsid w:val="11CCA8BA"/>
    <w:multiLevelType w:val="hybridMultilevel"/>
    <w:lvl w:ilvl="0">
      <w:lvlJc w:val="left"/>
      <w:lvlText w:val="%1:"/>
      <w:numFmt w:val="upperLetter"/>
      <w:start w:val="17"/>
    </w:lvl>
  </w:abstractNum>
  <w:abstractNum w:abstractNumId="22">
    <w:nsid w:val="4D32AB86"/>
    <w:multiLevelType w:val="hybridMultilevel"/>
    <w:lvl w:ilvl="0">
      <w:lvlJc w:val="left"/>
      <w:lvlText w:val="%1:"/>
      <w:numFmt w:val="upperLetter"/>
      <w:start w:val="1"/>
    </w:lvl>
  </w:abstractNum>
  <w:abstractNum w:abstractNumId="23">
    <w:nsid w:val="3F07ACC3"/>
    <w:multiLevelType w:val="hybridMultilevel"/>
    <w:lvl w:ilvl="0">
      <w:lvlJc w:val="left"/>
      <w:lvlText w:val="%1:"/>
      <w:numFmt w:val="upperLetter"/>
      <w:start w:val="17"/>
    </w:lvl>
  </w:abstractNum>
  <w:abstractNum w:abstractNumId="24">
    <w:nsid w:val="6B47F63E"/>
    <w:multiLevelType w:val="hybridMultilevel"/>
    <w:lvl w:ilvl="0">
      <w:lvlJc w:val="left"/>
      <w:lvlText w:val="%1:"/>
      <w:numFmt w:val="upperLetter"/>
      <w:start w:val="1"/>
    </w:lvl>
  </w:abstractNum>
  <w:abstractNum w:abstractNumId="25">
    <w:nsid w:val="5CB44A05"/>
    <w:multiLevelType w:val="hybridMultilevel"/>
    <w:lvl w:ilvl="0">
      <w:lvlJc w:val="left"/>
      <w:lvlText w:val="%1:"/>
      <w:numFmt w:val="upperLetter"/>
      <w:start w:val="17"/>
    </w:lvl>
  </w:abstractNum>
  <w:abstractNum w:abstractNumId="26">
    <w:nsid w:val="16CF80F1"/>
    <w:multiLevelType w:val="hybridMultilevel"/>
    <w:lvl w:ilvl="0">
      <w:lvlJc w:val="left"/>
      <w:lvlText w:val="%1:"/>
      <w:numFmt w:val="upperLetter"/>
      <w:start w:val="1"/>
    </w:lvl>
  </w:abstractNum>
  <w:abstractNum w:abstractNumId="27">
    <w:nsid w:val="1C695DEC"/>
    <w:multiLevelType w:val="hybridMultilevel"/>
    <w:lvl w:ilvl="0">
      <w:lvlJc w:val="left"/>
      <w:lvlText w:val="%1:"/>
      <w:numFmt w:val="upperLetter"/>
      <w:start w:val="17"/>
    </w:lvl>
  </w:abstractNum>
  <w:abstractNum w:abstractNumId="28">
    <w:nsid w:val="3FCFAED9"/>
    <w:multiLevelType w:val="hybridMultilevel"/>
    <w:lvl w:ilvl="0">
      <w:lvlJc w:val="left"/>
      <w:lvlText w:val="%1:"/>
      <w:numFmt w:val="upperLetter"/>
      <w:start w:val="1"/>
    </w:lvl>
  </w:abstractNum>
  <w:abstractNum w:abstractNumId="29">
    <w:nsid w:val="F856867"/>
    <w:multiLevelType w:val="hybridMultilevel"/>
    <w:lvl w:ilvl="0">
      <w:lvlJc w:val="left"/>
      <w:lvlText w:val="%1:"/>
      <w:numFmt w:val="upperLetter"/>
      <w:start w:val="17"/>
    </w:lvl>
  </w:abstractNum>
  <w:abstractNum w:abstractNumId="30">
    <w:nsid w:val="11B1CC33"/>
    <w:multiLevelType w:val="hybridMultilevel"/>
    <w:lvl w:ilvl="0">
      <w:lvlJc w:val="left"/>
      <w:lvlText w:val="%1:"/>
      <w:numFmt w:val="upperLetter"/>
      <w:start w:val="1"/>
    </w:lvl>
  </w:abstractNum>
  <w:abstractNum w:abstractNumId="31">
    <w:nsid w:val="2E22FBB7"/>
    <w:multiLevelType w:val="hybridMultilevel"/>
    <w:lvl w:ilvl="0">
      <w:lvlJc w:val="left"/>
      <w:lvlText w:val="%1:"/>
      <w:numFmt w:val="upperLetter"/>
      <w:start w:val="17"/>
    </w:lvl>
  </w:abstractNum>
  <w:abstractNum w:abstractNumId="32">
    <w:nsid w:val="29934699"/>
    <w:multiLevelType w:val="hybridMultilevel"/>
    <w:lvl w:ilvl="0">
      <w:lvlJc w:val="left"/>
      <w:lvlText w:val="%1:"/>
      <w:numFmt w:val="upperLetter"/>
      <w:start w:val="1"/>
    </w:lvl>
  </w:abstractNum>
  <w:abstractNum w:abstractNumId="33">
    <w:nsid w:val="77485850"/>
    <w:multiLevelType w:val="hybridMultilevel"/>
    <w:lvl w:ilvl="0">
      <w:lvlJc w:val="left"/>
      <w:lvlText w:val="%1:"/>
      <w:numFmt w:val="upperLetter"/>
      <w:start w:val="17"/>
    </w:lvl>
  </w:abstractNum>
  <w:abstractNum w:abstractNumId="34">
    <w:nsid w:val="744939A3"/>
    <w:multiLevelType w:val="hybridMultilevel"/>
    <w:lvl w:ilvl="0">
      <w:lvlJc w:val="left"/>
      <w:lvlText w:val="%1:"/>
      <w:numFmt w:val="upperLetter"/>
      <w:start w:val="1"/>
    </w:lvl>
  </w:abstractNum>
  <w:abstractNum w:abstractNumId="35">
    <w:nsid w:val="4FA0D2E3"/>
    <w:multiLevelType w:val="hybridMultilevel"/>
    <w:lvl w:ilvl="0">
      <w:lvlJc w:val="left"/>
      <w:lvlText w:val="%1:"/>
      <w:numFmt w:val="upperLetter"/>
      <w:start w:val="17"/>
    </w:lvl>
  </w:abstractNum>
  <w:abstractNum w:abstractNumId="36">
    <w:nsid w:val="6B1D2C14"/>
    <w:multiLevelType w:val="hybridMultilevel"/>
    <w:lvl w:ilvl="0">
      <w:lvlJc w:val="left"/>
      <w:lvlText w:val="%1:"/>
      <w:numFmt w:val="upperLetter"/>
      <w:start w:val="1"/>
    </w:lvl>
  </w:abstractNum>
  <w:abstractNum w:abstractNumId="37">
    <w:nsid w:val="68B867D3"/>
    <w:multiLevelType w:val="hybridMultilevel"/>
    <w:lvl w:ilvl="0">
      <w:lvlJc w:val="left"/>
      <w:lvlText w:val="%1:"/>
      <w:numFmt w:val="upperLetter"/>
      <w:start w:val="17"/>
    </w:lvl>
  </w:abstractNum>
  <w:abstractNum w:abstractNumId="38">
    <w:nsid w:val="3F7F5DD9"/>
    <w:multiLevelType w:val="hybridMultilevel"/>
    <w:lvl w:ilvl="0">
      <w:lvlJc w:val="left"/>
      <w:lvlText w:val="%1:"/>
      <w:numFmt w:val="upperLetter"/>
      <w:start w:val="1"/>
    </w:lvl>
  </w:abstractNum>
  <w:abstractNum w:abstractNumId="39">
    <w:nsid w:val="2AE05A34"/>
    <w:multiLevelType w:val="hybridMultilevel"/>
    <w:lvl w:ilvl="0">
      <w:lvlJc w:val="left"/>
      <w:lvlText w:val="%1:"/>
      <w:numFmt w:val="upperLetter"/>
      <w:start w:val="17"/>
    </w:lvl>
  </w:abstractNum>
  <w:abstractNum w:abstractNumId="40">
    <w:nsid w:val="32794FF7"/>
    <w:multiLevelType w:val="hybridMultilevel"/>
    <w:lvl w:ilvl="0">
      <w:lvlJc w:val="left"/>
      <w:lvlText w:val="%1:"/>
      <w:numFmt w:val="upperLetter"/>
      <w:start w:val="1"/>
    </w:lvl>
  </w:abstractNum>
  <w:abstractNum w:abstractNumId="41">
    <w:nsid w:val="5454945E"/>
    <w:multiLevelType w:val="hybridMultilevel"/>
    <w:lvl w:ilvl="0">
      <w:lvlJc w:val="left"/>
      <w:lvlText w:val="%1:"/>
      <w:numFmt w:val="upperLetter"/>
      <w:start w:val="17"/>
    </w:lvl>
  </w:abstractNum>
  <w:abstractNum w:abstractNumId="42">
    <w:nsid w:val="4DEFDFA0"/>
    <w:multiLevelType w:val="hybridMultilevel"/>
    <w:lvl w:ilvl="0">
      <w:lvlJc w:val="left"/>
      <w:lvlText w:val="%1:"/>
      <w:numFmt w:val="upperLetter"/>
      <w:start w:val="1"/>
    </w:lvl>
  </w:abstractNum>
  <w:abstractNum w:abstractNumId="43">
    <w:nsid w:val="2123D5F2"/>
    <w:multiLevelType w:val="hybridMultilevel"/>
    <w:lvl w:ilvl="0">
      <w:lvlJc w:val="left"/>
      <w:lvlText w:val="%1:"/>
      <w:numFmt w:val="upperLetter"/>
      <w:start w:val="17"/>
    </w:lvl>
  </w:abstractNum>
  <w:abstractNum w:abstractNumId="44">
    <w:nsid w:val="135B8110"/>
    <w:multiLevelType w:val="hybridMultilevel"/>
    <w:lvl w:ilvl="0">
      <w:lvlJc w:val="left"/>
      <w:lvlText w:val="%1:"/>
      <w:numFmt w:val="upperLetter"/>
      <w:start w:val="1"/>
    </w:lvl>
  </w:abstractNum>
  <w:abstractNum w:abstractNumId="45">
    <w:nsid w:val="94927A8"/>
    <w:multiLevelType w:val="hybridMultilevel"/>
    <w:lvl w:ilvl="0">
      <w:lvlJc w:val="left"/>
      <w:lvlText w:val="%1:"/>
      <w:numFmt w:val="upperLetter"/>
      <w:start w:val="17"/>
    </w:lvl>
  </w:abstractNum>
  <w:abstractNum w:abstractNumId="46">
    <w:nsid w:val="DCDF8F6"/>
    <w:multiLevelType w:val="hybridMultilevel"/>
    <w:lvl w:ilvl="0">
      <w:lvlJc w:val="left"/>
      <w:lvlText w:val="%1:"/>
      <w:numFmt w:val="upperLetter"/>
      <w:start w:val="1"/>
    </w:lvl>
  </w:abstractNum>
  <w:abstractNum w:abstractNumId="47">
    <w:nsid w:val="52D7B105"/>
    <w:multiLevelType w:val="hybridMultilevel"/>
    <w:lvl w:ilvl="0">
      <w:lvlJc w:val="left"/>
      <w:lvlText w:val="%1:"/>
      <w:numFmt w:val="upperLetter"/>
      <w:start w:val="17"/>
    </w:lvl>
  </w:abstractNum>
  <w:abstractNum w:abstractNumId="48">
    <w:nsid w:val="2E8A6394"/>
    <w:multiLevelType w:val="hybridMultilevel"/>
    <w:lvl w:ilvl="0">
      <w:lvlJc w:val="left"/>
      <w:lvlText w:val="%1:"/>
      <w:numFmt w:val="upperLetter"/>
      <w:start w:val="1"/>
    </w:lvl>
  </w:abstractNum>
  <w:abstractNum w:abstractNumId="49">
    <w:nsid w:val="24E60401"/>
    <w:multiLevelType w:val="hybridMultilevel"/>
    <w:lvl w:ilvl="0">
      <w:lvlJc w:val="left"/>
      <w:lvlText w:val="%1:"/>
      <w:numFmt w:val="upperLetter"/>
      <w:start w:val="17"/>
    </w:lvl>
  </w:abstractNum>
  <w:abstractNum w:abstractNumId="50">
    <w:nsid w:val="2A6AD9BE"/>
    <w:multiLevelType w:val="hybridMultilevel"/>
    <w:lvl w:ilvl="0">
      <w:lvlJc w:val="left"/>
      <w:lvlText w:val="%1:"/>
      <w:numFmt w:val="upperLetter"/>
      <w:start w:val="1"/>
    </w:lvl>
  </w:abstractNum>
  <w:abstractNum w:abstractNumId="51">
    <w:nsid w:val="BAAC1B4"/>
    <w:multiLevelType w:val="hybridMultilevel"/>
    <w:lvl w:ilvl="0">
      <w:lvlJc w:val="left"/>
      <w:lvlText w:val="%1:"/>
      <w:numFmt w:val="upperLetter"/>
      <w:start w:val="17"/>
    </w:lvl>
  </w:abstractNum>
  <w:abstractNum w:abstractNumId="52">
    <w:nsid w:val="36B2ACBC"/>
    <w:multiLevelType w:val="hybridMultilevel"/>
    <w:lvl w:ilvl="0">
      <w:lvlJc w:val="left"/>
      <w:lvlText w:val="%1:"/>
      <w:numFmt w:val="upperLetter"/>
      <w:start w:val="1"/>
    </w:lvl>
  </w:abstractNum>
  <w:abstractNum w:abstractNumId="53">
    <w:nsid w:val="779D8544"/>
    <w:multiLevelType w:val="hybridMultilevel"/>
    <w:lvl w:ilvl="0">
      <w:lvlJc w:val="left"/>
      <w:lvlText w:val="%1:"/>
      <w:numFmt w:val="upperLetter"/>
      <w:start w:val="17"/>
    </w:lvl>
  </w:abstractNum>
  <w:abstractNum w:abstractNumId="54">
    <w:nsid w:val="4AB26E78"/>
    <w:multiLevelType w:val="hybridMultilevel"/>
    <w:lvl w:ilvl="0">
      <w:lvlJc w:val="left"/>
      <w:lvlText w:val="%1:"/>
      <w:numFmt w:val="upperLetter"/>
      <w:start w:val="1"/>
    </w:lvl>
  </w:abstractNum>
  <w:abstractNum w:abstractNumId="55">
    <w:nsid w:val="21FAA2FA"/>
    <w:multiLevelType w:val="hybridMultilevel"/>
    <w:lvl w:ilvl="0">
      <w:lvlJc w:val="left"/>
      <w:lvlText w:val="%1:"/>
      <w:numFmt w:val="upperLetter"/>
      <w:start w:val="17"/>
    </w:lvl>
  </w:abstractNum>
  <w:abstractNum w:abstractNumId="56">
    <w:nsid w:val="5451CF49"/>
    <w:multiLevelType w:val="hybridMultilevel"/>
    <w:lvl w:ilvl="0">
      <w:lvlJc w:val="left"/>
      <w:lvlText w:val="%1:"/>
      <w:numFmt w:val="upperLetter"/>
      <w:start w:val="1"/>
    </w:lvl>
  </w:abstractNum>
  <w:abstractNum w:abstractNumId="57">
    <w:nsid w:val="6181EF69"/>
    <w:multiLevelType w:val="hybridMultilevel"/>
    <w:lvl w:ilvl="0">
      <w:lvlJc w:val="left"/>
      <w:lvlText w:val="%1:"/>
      <w:numFmt w:val="upperLetter"/>
      <w:start w:val="17"/>
    </w:lvl>
  </w:abstractNum>
  <w:abstractNum w:abstractNumId="58">
    <w:nsid w:val="3E6400E6"/>
    <w:multiLevelType w:val="hybridMultilevel"/>
    <w:lvl w:ilvl="0">
      <w:lvlJc w:val="left"/>
      <w:lvlText w:val="%1:"/>
      <w:numFmt w:val="upperLetter"/>
      <w:start w:val="1"/>
    </w:lvl>
  </w:abstractNum>
  <w:abstractNum w:abstractNumId="59">
    <w:nsid w:val="14217E23"/>
    <w:multiLevelType w:val="hybridMultilevel"/>
    <w:lvl w:ilvl="0">
      <w:lvlJc w:val="left"/>
      <w:lvlText w:val="%1:"/>
      <w:numFmt w:val="upperLetter"/>
      <w:start w:val="17"/>
    </w:lvl>
  </w:abstractNum>
  <w:abstractNum w:abstractNumId="60">
    <w:nsid w:val="710757D0"/>
    <w:multiLevelType w:val="hybridMultilevel"/>
    <w:lvl w:ilvl="0">
      <w:lvlJc w:val="left"/>
      <w:lvlText w:val="%1:"/>
      <w:numFmt w:val="upperLetter"/>
      <w:start w:val="1"/>
    </w:lvl>
    <w:lvl w:ilvl="1">
      <w:lvlJc w:val="left"/>
      <w:lvlText w:val="•"/>
      <w:numFmt w:val="bullet"/>
      <w:start w:val="1"/>
    </w:lvl>
  </w:abstractNum>
  <w:abstractNum w:abstractNumId="61">
    <w:nsid w:val="5015CD1A"/>
    <w:multiLevelType w:val="hybridMultilevel"/>
    <w:lvl w:ilvl="0">
      <w:lvlJc w:val="left"/>
      <w:lvlText w:val="%1:"/>
      <w:numFmt w:val="upperLetter"/>
      <w:start w:val="17"/>
    </w:lvl>
  </w:abstractNum>
  <w:abstractNum w:abstractNumId="62">
    <w:nsid w:val="424479DA"/>
    <w:multiLevelType w:val="hybridMultilevel"/>
    <w:lvl w:ilvl="0">
      <w:lvlJc w:val="left"/>
      <w:lvlText w:val="%1:"/>
      <w:numFmt w:val="upperLetter"/>
      <w:start w:val="1"/>
    </w:lvl>
  </w:abstractNum>
  <w:abstractNum w:abstractNumId="63">
    <w:nsid w:val="1A9A9E69"/>
    <w:multiLevelType w:val="hybridMultilevel"/>
    <w:lvl w:ilvl="0">
      <w:lvlJc w:val="left"/>
      <w:lvlText w:val="%1:"/>
      <w:numFmt w:val="upperLetter"/>
      <w:start w:val="17"/>
    </w:lvl>
  </w:abstractNum>
  <w:abstractNum w:abstractNumId="64">
    <w:nsid w:val="475E256A"/>
    <w:multiLevelType w:val="hybridMultilevel"/>
    <w:lvl w:ilvl="0">
      <w:lvlJc w:val="left"/>
      <w:lvlText w:val="%1:"/>
      <w:numFmt w:val="upperLetter"/>
      <w:start w:val="1"/>
    </w:lvl>
  </w:abstractNum>
  <w:abstractNum w:abstractNumId="65">
    <w:nsid w:val="368DB37E"/>
    <w:multiLevelType w:val="hybridMultilevel"/>
    <w:lvl w:ilvl="0">
      <w:lvlJc w:val="left"/>
      <w:lvlText w:val="%1:"/>
      <w:numFmt w:val="upperLetter"/>
      <w:start w:val="17"/>
    </w:lvl>
  </w:abstractNum>
  <w:abstractNum w:abstractNumId="66">
    <w:nsid w:val="6A3B714C"/>
    <w:multiLevelType w:val="hybridMultilevel"/>
    <w:lvl w:ilvl="0">
      <w:lvlJc w:val="left"/>
      <w:lvlText w:val="%1:"/>
      <w:numFmt w:val="upperLetter"/>
      <w:start w:val="1"/>
    </w:lvl>
  </w:abstractNum>
  <w:abstractNum w:abstractNumId="67">
    <w:nsid w:val="327B517E"/>
    <w:multiLevelType w:val="hybridMultilevel"/>
    <w:lvl w:ilvl="0">
      <w:lvlJc w:val="left"/>
      <w:lvlText w:val="%1:"/>
      <w:numFmt w:val="upperLetter"/>
      <w:start w:val="17"/>
    </w:lvl>
  </w:abstractNum>
  <w:abstractNum w:abstractNumId="68">
    <w:nsid w:val="1F461B51"/>
    <w:multiLevelType w:val="hybridMultilevel"/>
    <w:lvl w:ilvl="0">
      <w:lvlJc w:val="left"/>
      <w:lvlText w:val="%1:"/>
      <w:numFmt w:val="upperLetter"/>
      <w:start w:val="1"/>
    </w:lvl>
  </w:abstractNum>
  <w:abstractNum w:abstractNumId="69">
    <w:nsid w:val="29BACF25"/>
    <w:multiLevelType w:val="hybridMultilevel"/>
    <w:lvl w:ilvl="0">
      <w:lvlJc w:val="left"/>
      <w:lvlText w:val="%1:"/>
      <w:numFmt w:val="upperLetter"/>
      <w:start w:val="17"/>
    </w:lvl>
  </w:abstractNum>
  <w:abstractNum w:abstractNumId="70">
    <w:nsid w:val="5D5BABB3"/>
    <w:multiLevelType w:val="hybridMultilevel"/>
    <w:lvl w:ilvl="0">
      <w:lvlJc w:val="left"/>
      <w:lvlText w:val="%1:"/>
      <w:numFmt w:val="upperLetter"/>
      <w:start w:val="1"/>
    </w:lvl>
  </w:abstractNum>
  <w:abstractNum w:abstractNumId="71">
    <w:nsid w:val="51BF6B48"/>
    <w:multiLevelType w:val="hybridMultilevel"/>
    <w:lvl w:ilvl="0">
      <w:lvlJc w:val="left"/>
      <w:lvlText w:val="%1:"/>
      <w:numFmt w:val="upperLetter"/>
      <w:start w:val="17"/>
    </w:lvl>
  </w:abstractNum>
  <w:abstractNum w:abstractNumId="72">
    <w:nsid w:val="7E0F6384"/>
    <w:multiLevelType w:val="hybridMultilevel"/>
    <w:lvl w:ilvl="0">
      <w:lvlJc w:val="left"/>
      <w:lvlText w:val="%1:"/>
      <w:numFmt w:val="upperLetter"/>
      <w:start w:val="1"/>
    </w:lvl>
  </w:abstractNum>
  <w:abstractNum w:abstractNumId="73">
    <w:nsid w:val="2B4B8B53"/>
    <w:multiLevelType w:val="hybridMultilevel"/>
    <w:lvl w:ilvl="0">
      <w:lvlJc w:val="left"/>
      <w:lvlText w:val="%1:"/>
      <w:numFmt w:val="upperLetter"/>
      <w:start w:val="17"/>
    </w:lvl>
  </w:abstractNum>
  <w:abstractNum w:abstractNumId="74">
    <w:nsid w:val="72E3413A"/>
    <w:multiLevelType w:val="hybridMultilevel"/>
    <w:lvl w:ilvl="0">
      <w:lvlJc w:val="left"/>
      <w:lvlText w:val="%1:"/>
      <w:numFmt w:val="upperLetter"/>
      <w:start w:val="1"/>
    </w:lvl>
  </w:abstractNum>
  <w:abstractNum w:abstractNumId="75">
    <w:nsid w:val="116AE494"/>
    <w:multiLevelType w:val="hybridMultilevel"/>
    <w:lvl w:ilvl="0">
      <w:lvlJc w:val="left"/>
      <w:lvlText w:val="%1:"/>
      <w:numFmt w:val="upperLetter"/>
      <w:start w:val="17"/>
    </w:lvl>
  </w:abstractNum>
  <w:abstractNum w:abstractNumId="76">
    <w:nsid w:val="3494B2FB"/>
    <w:multiLevelType w:val="hybridMultilevel"/>
    <w:lvl w:ilvl="0">
      <w:lvlJc w:val="left"/>
      <w:lvlText w:val="%1:"/>
      <w:numFmt w:val="upperLetter"/>
      <w:start w:val="1"/>
    </w:lvl>
  </w:abstractNum>
  <w:abstractNum w:abstractNumId="77">
    <w:nsid w:val="B13A31"/>
    <w:multiLevelType w:val="hybridMultilevel"/>
    <w:lvl w:ilvl="0">
      <w:lvlJc w:val="left"/>
      <w:lvlText w:val="%1:"/>
      <w:numFmt w:val="upperLetter"/>
      <w:start w:val="17"/>
    </w:lvl>
  </w:abstractNum>
  <w:abstractNum w:abstractNumId="78">
    <w:nsid w:val="64429599"/>
    <w:multiLevelType w:val="hybridMultilevel"/>
    <w:lvl w:ilvl="0">
      <w:lvlJc w:val="left"/>
      <w:lvlText w:val="%1:"/>
      <w:numFmt w:val="upperLetter"/>
      <w:start w:val="1"/>
    </w:lvl>
  </w:abstractNum>
  <w:abstractNum w:abstractNumId="79">
    <w:nsid w:val="631F1690"/>
    <w:multiLevelType w:val="hybridMultilevel"/>
    <w:lvl w:ilvl="0">
      <w:lvlJc w:val="left"/>
      <w:lvlText w:val="%1:"/>
      <w:numFmt w:val="upperLetter"/>
      <w:start w:val="17"/>
    </w:lvl>
  </w:abstractNum>
  <w:abstractNum w:abstractNumId="80">
    <w:nsid w:val="25973E32"/>
    <w:multiLevelType w:val="hybridMultilevel"/>
    <w:lvl w:ilvl="0">
      <w:lvlJc w:val="left"/>
      <w:lvlText w:val="%1:"/>
      <w:numFmt w:val="upperLetter"/>
      <w:start w:val="1"/>
    </w:lvl>
  </w:abstractNum>
  <w:abstractNum w:abstractNumId="81">
    <w:nsid w:val="EAD6F57"/>
    <w:multiLevelType w:val="hybridMultilevel"/>
    <w:lvl w:ilvl="0">
      <w:lvlJc w:val="left"/>
      <w:lvlText w:val="%1:"/>
      <w:numFmt w:val="upperLetter"/>
      <w:start w:val="17"/>
    </w:lvl>
  </w:abstractNum>
  <w:abstractNum w:abstractNumId="82">
    <w:nsid w:val="6EC9D844"/>
    <w:multiLevelType w:val="hybridMultilevel"/>
    <w:lvl w:ilvl="0">
      <w:lvlJc w:val="left"/>
      <w:lvlText w:val="%1:"/>
      <w:numFmt w:val="upperLetter"/>
      <w:start w:val="1"/>
    </w:lvl>
    <w:lvl w:ilvl="1">
      <w:lvlJc w:val="left"/>
      <w:lvlText w:val="•"/>
      <w:numFmt w:val="bullet"/>
      <w:start w:val="1"/>
    </w:lvl>
  </w:abstractNum>
  <w:abstractNum w:abstractNumId="83">
    <w:nsid w:val="5C49EAEE"/>
    <w:multiLevelType w:val="hybridMultilevel"/>
    <w:lvl w:ilvl="0">
      <w:lvlJc w:val="left"/>
      <w:lvlText w:val="•"/>
      <w:numFmt w:val="bullet"/>
      <w:start w:val="1"/>
    </w:lvl>
  </w:abstractNum>
  <w:abstractNum w:abstractNumId="84">
    <w:nsid w:val="64AF49B"/>
    <w:multiLevelType w:val="hybridMultilevel"/>
    <w:lvl w:ilvl="0">
      <w:lvlJc w:val="left"/>
      <w:lvlText w:val="%1:"/>
      <w:numFmt w:val="upperLetter"/>
      <w:start w:val="17"/>
    </w:lvl>
  </w:abstractNum>
  <w:abstractNum w:abstractNumId="85">
    <w:nsid w:val="397C46BC"/>
    <w:multiLevelType w:val="hybridMultilevel"/>
    <w:lvl w:ilvl="0">
      <w:lvlJc w:val="left"/>
      <w:lvlText w:val="%1:"/>
      <w:numFmt w:val="upperLetter"/>
      <w:start w:val="1"/>
    </w:lvl>
  </w:abstractNum>
  <w:abstractNum w:abstractNumId="86">
    <w:nsid w:val="7E448DE9"/>
    <w:multiLevelType w:val="hybridMultilevel"/>
    <w:lvl w:ilvl="0">
      <w:lvlJc w:val="left"/>
      <w:lvlText w:val="%1:"/>
      <w:numFmt w:val="upperLetter"/>
      <w:start w:val="17"/>
    </w:lvl>
  </w:abstractNum>
  <w:abstractNum w:abstractNumId="87">
    <w:nsid w:val="5A9CC3E5"/>
    <w:multiLevelType w:val="hybridMultilevel"/>
    <w:lvl w:ilvl="0">
      <w:lvlJc w:val="left"/>
      <w:lvlText w:val="%1:"/>
      <w:numFmt w:val="upperLetter"/>
      <w:start w:val="1"/>
    </w:lvl>
  </w:abstractNum>
  <w:abstractNum w:abstractNumId="88">
    <w:nsid w:val="1AFE3625"/>
    <w:multiLevelType w:val="hybridMultilevel"/>
    <w:lvl w:ilvl="0">
      <w:lvlJc w:val="left"/>
      <w:lvlText w:val="•"/>
      <w:numFmt w:val="bullet"/>
      <w:start w:val="1"/>
    </w:lvl>
  </w:abstractNum>
  <w:abstractNum w:abstractNumId="89">
    <w:nsid w:val="3CA88ECF"/>
    <w:multiLevelType w:val="hybridMultilevel"/>
    <w:lvl w:ilvl="0">
      <w:lvlJc w:val="left"/>
      <w:lvlText w:val="•"/>
      <w:numFmt w:val="bullet"/>
      <w:start w:val="1"/>
    </w:lvl>
  </w:abstractNum>
  <w:abstractNum w:abstractNumId="90">
    <w:nsid w:val="6EBE4208"/>
    <w:multiLevelType w:val="hybridMultilevel"/>
    <w:lvl w:ilvl="0">
      <w:lvlJc w:val="left"/>
      <w:lvlText w:val="•"/>
      <w:numFmt w:val="bullet"/>
      <w:start w:val="1"/>
    </w:lvl>
  </w:abstractNum>
  <w:abstractNum w:abstractNumId="91">
    <w:nsid w:val="C058DF5"/>
    <w:multiLevelType w:val="hybridMultilevel"/>
    <w:lvl w:ilvl="0">
      <w:lvlJc w:val="left"/>
      <w:lvlText w:val="•"/>
      <w:numFmt w:val="bullet"/>
      <w:start w:val="1"/>
    </w:lvl>
  </w:abstractNum>
  <w:abstractNum w:abstractNumId="92">
    <w:nsid w:val="CBE5BE9"/>
    <w:multiLevelType w:val="hybridMultilevel"/>
    <w:lvl w:ilvl="0">
      <w:lvlJc w:val="left"/>
      <w:lvlText w:val="•"/>
      <w:numFmt w:val="bullet"/>
      <w:start w:val="1"/>
    </w:lvl>
  </w:abstractNum>
  <w:abstractNum w:abstractNumId="93">
    <w:nsid w:val="3102BBE2"/>
    <w:multiLevelType w:val="hybridMultilevel"/>
    <w:lvl w:ilvl="0">
      <w:lvlJc w:val="left"/>
      <w:lvlText w:val="•"/>
      <w:numFmt w:val="bullet"/>
      <w:start w:val="1"/>
    </w:lvl>
    <w:lvl w:ilvl="1">
      <w:lvlJc w:val="left"/>
      <w:lvlText w:val="•"/>
      <w:numFmt w:val="bullet"/>
      <w:start w:val="1"/>
    </w:lvl>
  </w:abstractNum>
  <w:abstractNum w:abstractNumId="94">
    <w:nsid w:val="26A02C5E"/>
    <w:multiLevelType w:val="hybridMultilevel"/>
    <w:lvl w:ilvl="0">
      <w:lvlJc w:val="left"/>
      <w:lvlText w:val="•"/>
      <w:numFmt w:val="bullet"/>
      <w:start w:val="1"/>
    </w:lvl>
    <w:lvl w:ilvl="1">
      <w:lvlJc w:val="left"/>
      <w:lvlText w:val="•"/>
      <w:numFmt w:val="bullet"/>
      <w:start w:val="1"/>
    </w:lvl>
  </w:abstractNum>
  <w:abstractNum w:abstractNumId="95">
    <w:nsid w:val="541C8153"/>
    <w:multiLevelType w:val="hybridMultilevel"/>
    <w:lvl w:ilvl="0">
      <w:lvlJc w:val="left"/>
      <w:lvlText w:val="(%1)"/>
      <w:numFmt w:val="decimal"/>
      <w:start w:val="1"/>
    </w:lvl>
  </w:abstractNum>
  <w:abstractNum w:abstractNumId="96">
    <w:nsid w:val="67906F60"/>
    <w:multiLevelType w:val="hybridMultilevel"/>
    <w:lvl w:ilvl="0">
      <w:lvlJc w:val="left"/>
      <w:lvlText w:val="(%1)"/>
      <w:numFmt w:val="decimal"/>
      <w:start w:val="1"/>
    </w:lvl>
  </w:abstractNum>
  <w:abstractNum w:abstractNumId="97">
    <w:nsid w:val="10DB9DAA"/>
    <w:multiLevelType w:val="hybridMultilevel"/>
    <w:lvl w:ilvl="0">
      <w:lvlJc w:val="left"/>
      <w:lvlText w:val="(%1)"/>
      <w:numFmt w:val="decimal"/>
      <w:start w:val="1"/>
    </w:lvl>
  </w:abstractNum>
  <w:abstractNum w:abstractNumId="98">
    <w:nsid w:val="697D2D2"/>
    <w:multiLevelType w:val="hybridMultilevel"/>
    <w:lvl w:ilvl="0">
      <w:lvlJc w:val="left"/>
      <w:lvlText w:val="•"/>
      <w:numFmt w:val="bullet"/>
      <w:start w:val="1"/>
    </w:lvl>
  </w:abstractNum>
  <w:abstractNum w:abstractNumId="99">
    <w:nsid w:val="6D68AB2"/>
    <w:multiLevelType w:val="hybridMultilevel"/>
    <w:lvl w:ilvl="0">
      <w:lvlJc w:val="left"/>
      <w:lvlText w:val="•"/>
      <w:numFmt w:val="bullet"/>
      <w:start w:val="1"/>
    </w:lvl>
  </w:abstractNum>
  <w:abstractNum w:abstractNumId="100">
    <w:nsid w:val="3A966CD0"/>
    <w:multiLevelType w:val="hybridMultilevel"/>
    <w:lvl w:ilvl="0">
      <w:lvlJc w:val="left"/>
      <w:lvlText w:val="•"/>
      <w:numFmt w:val="bullet"/>
      <w:start w:val="1"/>
    </w:lvl>
  </w:abstractNum>
  <w:abstractNum w:abstractNumId="101">
    <w:nsid w:val="63F37E85"/>
    <w:multiLevelType w:val="hybridMultilevel"/>
    <w:lvl w:ilvl="0">
      <w:lvlJc w:val="left"/>
      <w:lvlText w:val="(%1)"/>
      <w:numFmt w:val="upperLetter"/>
      <w:start w:val="2"/>
    </w:lvl>
  </w:abstractNum>
  <w:abstractNum w:abstractNumId="102">
    <w:nsid w:val="5895F5FA"/>
    <w:multiLevelType w:val="hybridMultilevel"/>
    <w:lvl w:ilvl="0">
      <w:lvlJc w:val="left"/>
      <w:lvlText w:val="•"/>
      <w:numFmt w:val="bullet"/>
      <w:start w:val="1"/>
    </w:lvl>
  </w:abstractNum>
  <w:abstractNum w:abstractNumId="103">
    <w:nsid w:val="38A5D054"/>
    <w:multiLevelType w:val="hybridMultilevel"/>
    <w:lvl w:ilvl="0">
      <w:lvlJc w:val="left"/>
      <w:lvlText w:val="•"/>
      <w:numFmt w:val="bullet"/>
      <w:start w:val="1"/>
    </w:lvl>
  </w:abstractNum>
  <w:abstractNum w:abstractNumId="104">
    <w:nsid w:val="F3F09D8"/>
    <w:multiLevelType w:val="hybridMultilevel"/>
    <w:lvl w:ilvl="0">
      <w:lvlJc w:val="left"/>
      <w:lvlText w:val="•"/>
      <w:numFmt w:val="bullet"/>
      <w:start w:val="1"/>
    </w:lvl>
  </w:abstractNum>
  <w:abstractNum w:abstractNumId="105">
    <w:nsid w:val="4B793735"/>
    <w:multiLevelType w:val="hybridMultilevel"/>
    <w:lvl w:ilvl="0">
      <w:lvlJc w:val="left"/>
      <w:lvlText w:val="•"/>
      <w:numFmt w:val="bullet"/>
      <w:start w:val="1"/>
    </w:lvl>
  </w:abstractNum>
  <w:abstractNum w:abstractNumId="106">
    <w:nsid w:val="4A10B4E8"/>
    <w:multiLevelType w:val="hybridMultilevel"/>
    <w:lvl w:ilvl="0">
      <w:lvlJc w:val="left"/>
      <w:lvlText w:val="•"/>
      <w:numFmt w:val="bullet"/>
      <w:start w:val="1"/>
    </w:lvl>
  </w:abstractNum>
  <w:abstractNum w:abstractNumId="107">
    <w:nsid w:val="43D3BCD4"/>
    <w:multiLevelType w:val="hybridMultilevel"/>
    <w:lvl w:ilvl="0">
      <w:lvlJc w:val="left"/>
      <w:lvlText w:val="•"/>
      <w:numFmt w:val="bullet"/>
      <w:start w:val="1"/>
    </w:lvl>
  </w:abstractNum>
  <w:abstractNum w:abstractNumId="108">
    <w:nsid w:val="4C2A7166"/>
    <w:multiLevelType w:val="hybridMultilevel"/>
    <w:lvl w:ilvl="0">
      <w:lvlJc w:val="left"/>
      <w:lvlText w:val="•"/>
      <w:numFmt w:val="bullet"/>
      <w:start w:val="1"/>
    </w:lvl>
  </w:abstractNum>
  <w:abstractNum w:abstractNumId="109">
    <w:nsid w:val="2E534A82"/>
    <w:multiLevelType w:val="hybridMultilevel"/>
    <w:lvl w:ilvl="0">
      <w:lvlJc w:val="left"/>
      <w:lvlText w:val="•"/>
      <w:numFmt w:val="bullet"/>
      <w:start w:val="1"/>
    </w:lvl>
  </w:abstractNum>
  <w:abstractNum w:abstractNumId="110">
    <w:nsid w:val="26F2D364"/>
    <w:multiLevelType w:val="hybridMultilevel"/>
    <w:lvl w:ilvl="0">
      <w:lvlJc w:val="left"/>
      <w:lvlText w:val="•"/>
      <w:numFmt w:val="bullet"/>
      <w:start w:val="1"/>
    </w:lvl>
    <w:lvl w:ilvl="1">
      <w:lvlJc w:val="left"/>
      <w:lvlText w:val="•"/>
      <w:numFmt w:val="bullet"/>
      <w:start w:val="1"/>
    </w:lvl>
  </w:abstractNum>
  <w:abstractNum w:abstractNumId="111">
    <w:nsid w:val="71C1AF98"/>
    <w:multiLevelType w:val="hybridMultilevel"/>
    <w:lvl w:ilvl="0">
      <w:lvlJc w:val="left"/>
      <w:lvlText w:val="•"/>
      <w:numFmt w:val="bullet"/>
      <w:start w:val="1"/>
    </w:lvl>
  </w:abstractNum>
  <w:abstractNum w:abstractNumId="112">
    <w:nsid w:val="3D00B9D9"/>
    <w:multiLevelType w:val="hybridMultilevel"/>
    <w:lvl w:ilvl="0">
      <w:lvlJc w:val="left"/>
      <w:lvlText w:val="•"/>
      <w:numFmt w:val="bullet"/>
      <w:start w:val="1"/>
    </w:lvl>
  </w:abstractNum>
  <w:abstractNum w:abstractNumId="113">
    <w:nsid w:val="15BCABA8"/>
    <w:multiLevelType w:val="hybridMultilevel"/>
    <w:lvl w:ilvl="0">
      <w:lvlJc w:val="left"/>
      <w:lvlText w:val="•"/>
      <w:numFmt w:val="bullet"/>
      <w:start w:val="1"/>
    </w:lvl>
  </w:abstractNum>
  <w:abstractNum w:abstractNumId="114">
    <w:nsid w:val="4E0B9A87"/>
    <w:multiLevelType w:val="hybridMultilevel"/>
    <w:lvl w:ilvl="0">
      <w:lvlJc w:val="left"/>
      <w:lvlText w:val="•"/>
      <w:numFmt w:val="bullet"/>
      <w:start w:val="1"/>
    </w:lvl>
  </w:abstractNum>
  <w:abstractNum w:abstractNumId="115">
    <w:nsid w:val="434BAE75"/>
    <w:multiLevelType w:val="hybridMultilevel"/>
    <w:lvl w:ilvl="0">
      <w:lvlJc w:val="left"/>
      <w:lvlText w:val="•"/>
      <w:numFmt w:val="bullet"/>
      <w:start w:val="1"/>
    </w:lvl>
  </w:abstractNum>
  <w:abstractNum w:abstractNumId="116">
    <w:nsid w:val="4F38F265"/>
    <w:multiLevelType w:val="hybridMultilevel"/>
    <w:lvl w:ilvl="0">
      <w:lvlJc w:val="left"/>
      <w:lvlText w:val="•"/>
      <w:numFmt w:val="bullet"/>
      <w:start w:val="1"/>
    </w:lvl>
  </w:abstractNum>
  <w:abstractNum w:abstractNumId="117">
    <w:nsid w:val="4C502870"/>
    <w:multiLevelType w:val="hybridMultilevel"/>
    <w:lvl w:ilvl="0">
      <w:lvlJc w:val="left"/>
      <w:lvlText w:val="(%1)"/>
      <w:numFmt w:val="decimal"/>
      <w:start w:val="1"/>
    </w:lvl>
  </w:abstractNum>
  <w:abstractNum w:abstractNumId="118">
    <w:nsid w:val="1DE8725A"/>
    <w:multiLevelType w:val="hybridMultilevel"/>
    <w:lvl w:ilvl="0">
      <w:lvlJc w:val="left"/>
      <w:lvlText w:val="(%1)"/>
      <w:numFmt w:val="decimal"/>
      <w:start w:val="1"/>
    </w:lvl>
  </w:abstractNum>
  <w:abstractNum w:abstractNumId="119">
    <w:nsid w:val="6A37288A"/>
    <w:multiLevelType w:val="hybridMultilevel"/>
    <w:lvl w:ilvl="0">
      <w:lvlJc w:val="left"/>
      <w:lvlText w:val="(%1)"/>
      <w:numFmt w:val="decimal"/>
      <w:start w:val="5"/>
    </w:lvl>
  </w:abstractNum>
  <w:abstractNum w:abstractNumId="120">
    <w:nsid w:val="8F8B73F"/>
    <w:multiLevelType w:val="hybridMultilevel"/>
    <w:lvl w:ilvl="0">
      <w:lvlJc w:val="left"/>
      <w:lvlText w:val="•"/>
      <w:numFmt w:val="bullet"/>
      <w:start w:val="1"/>
    </w:lvl>
  </w:abstractNum>
  <w:abstractNum w:abstractNumId="121">
    <w:nsid w:val="CA6B462"/>
    <w:multiLevelType w:val="hybridMultilevel"/>
    <w:lvl w:ilvl="0">
      <w:lvlJc w:val="left"/>
      <w:lvlText w:val="(%1)"/>
      <w:numFmt w:val="decimal"/>
      <w:start w:val="1"/>
    </w:lvl>
  </w:abstractNum>
  <w:abstractNum w:abstractNumId="122">
    <w:nsid w:val="763CB680"/>
    <w:multiLevelType w:val="hybridMultilevel"/>
    <w:lvl w:ilvl="0">
      <w:lvlJc w:val="left"/>
      <w:lvlText w:val="(%1)"/>
      <w:numFmt w:val="decimal"/>
      <w:start w:val="4"/>
    </w:lvl>
  </w:abstractNum>
  <w:abstractNum w:abstractNumId="123">
    <w:nsid w:val="15B71329"/>
    <w:multiLevelType w:val="hybridMultilevel"/>
    <w:lvl w:ilvl="0">
      <w:lvlJc w:val="left"/>
      <w:lvlText w:val="•"/>
      <w:numFmt w:val="bullet"/>
      <w:start w:val="1"/>
    </w:lvl>
  </w:abstractNum>
  <w:abstractNum w:abstractNumId="124">
    <w:nsid w:val="3DA97044"/>
    <w:multiLevelType w:val="hybridMultilevel"/>
    <w:lvl w:ilvl="0">
      <w:lvlJc w:val="left"/>
      <w:lvlText w:val="•"/>
      <w:numFmt w:val="bullet"/>
      <w:start w:val="1"/>
    </w:lvl>
  </w:abstractNum>
  <w:abstractNum w:abstractNumId="125">
    <w:nsid w:val="1CDCE2DE"/>
    <w:multiLevelType w:val="hybridMultilevel"/>
    <w:lvl w:ilvl="0">
      <w:lvlJc w:val="left"/>
      <w:lvlText w:val="•"/>
      <w:numFmt w:val="bullet"/>
      <w:start w:val="1"/>
    </w:lvl>
  </w:abstractNum>
  <w:abstractNum w:abstractNumId="126">
    <w:nsid w:val="69D3947C"/>
    <w:multiLevelType w:val="hybridMultilevel"/>
    <w:lvl w:ilvl="0">
      <w:lvlJc w:val="left"/>
      <w:lvlText w:val="•"/>
      <w:numFmt w:val="bullet"/>
      <w:start w:val="1"/>
    </w:lvl>
  </w:abstractNum>
  <w:abstractNum w:abstractNumId="127">
    <w:nsid w:val="2539DFA5"/>
    <w:multiLevelType w:val="hybridMultilevel"/>
    <w:lvl w:ilvl="0">
      <w:lvlJc w:val="left"/>
      <w:lvlText w:val="•"/>
      <w:numFmt w:val="bullet"/>
      <w:start w:val="1"/>
    </w:lvl>
  </w:abstractNum>
  <w:abstractNum w:abstractNumId="128">
    <w:nsid w:val="2DB88089"/>
    <w:multiLevelType w:val="hybridMultilevel"/>
    <w:lvl w:ilvl="0">
      <w:lvlJc w:val="left"/>
      <w:lvlText w:val="•"/>
      <w:numFmt w:val="bullet"/>
      <w:start w:val="1"/>
    </w:lvl>
  </w:abstractNum>
  <w:abstractNum w:abstractNumId="129">
    <w:nsid w:val="706B674E"/>
    <w:multiLevelType w:val="hybridMultilevel"/>
    <w:lvl w:ilvl="0">
      <w:lvlJc w:val="left"/>
      <w:lvlText w:val="•"/>
      <w:numFmt w:val="bullet"/>
      <w:start w:val="1"/>
    </w:lvl>
  </w:abstractNum>
  <w:abstractNum w:abstractNumId="130">
    <w:nsid w:val="2C106A57"/>
    <w:multiLevelType w:val="hybridMultilevel"/>
    <w:lvl w:ilvl="0">
      <w:lvlJc w:val="left"/>
      <w:lvlText w:val="•"/>
      <w:numFmt w:val="bullet"/>
      <w:start w:val="1"/>
    </w:lvl>
  </w:abstractNum>
  <w:abstractNum w:abstractNumId="131">
    <w:nsid w:val="684EED59"/>
    <w:multiLevelType w:val="hybridMultilevel"/>
    <w:lvl w:ilvl="0">
      <w:lvlJc w:val="left"/>
      <w:lvlText w:val="•"/>
      <w:numFmt w:val="bullet"/>
      <w:start w:val="1"/>
    </w:lvl>
  </w:abstractNum>
  <w:abstractNum w:abstractNumId="132">
    <w:nsid w:val="545EE5D3"/>
    <w:multiLevelType w:val="hybridMultilevel"/>
    <w:lvl w:ilvl="0">
      <w:lvlJc w:val="left"/>
      <w:lvlText w:val="•"/>
      <w:numFmt w:val="bullet"/>
      <w:start w:val="1"/>
    </w:lvl>
  </w:abstractNum>
  <w:abstractNum w:abstractNumId="133">
    <w:nsid w:val="4A66051"/>
    <w:multiLevelType w:val="hybridMultilevel"/>
    <w:lvl w:ilvl="0">
      <w:lvlJc w:val="left"/>
      <w:lvlText w:val="•"/>
      <w:numFmt w:val="bullet"/>
      <w:start w:val="1"/>
    </w:lvl>
    <w:lvl w:ilvl="1">
      <w:lvlJc w:val="left"/>
      <w:lvlText w:val="•"/>
      <w:numFmt w:val="bullet"/>
      <w:start w:val="1"/>
    </w:lvl>
  </w:abstractNum>
  <w:abstractNum w:abstractNumId="134">
    <w:nsid w:val="20F4BDAD"/>
    <w:multiLevelType w:val="hybridMultilevel"/>
    <w:lvl w:ilvl="0">
      <w:lvlJc w:val="left"/>
      <w:lvlText w:val="•"/>
      <w:numFmt w:val="bullet"/>
      <w:start w:val="1"/>
    </w:lvl>
  </w:abstractNum>
  <w:abstractNum w:abstractNumId="135">
    <w:nsid w:val="639DEFAC"/>
    <w:multiLevelType w:val="hybridMultilevel"/>
    <w:lvl w:ilvl="0">
      <w:lvlJc w:val="left"/>
      <w:lvlText w:val="•"/>
      <w:numFmt w:val="bullet"/>
      <w:start w:val="1"/>
    </w:lvl>
  </w:abstractNum>
  <w:abstractNum w:abstractNumId="136">
    <w:nsid w:val="501F9786"/>
    <w:multiLevelType w:val="hybridMultilevel"/>
    <w:lvl w:ilvl="0">
      <w:lvlJc w:val="left"/>
      <w:lvlText w:val="•"/>
      <w:numFmt w:val="bullet"/>
      <w:start w:val="1"/>
    </w:lvl>
  </w:abstractNum>
  <w:abstractNum w:abstractNumId="137">
    <w:nsid w:val="6B057295"/>
    <w:multiLevelType w:val="hybridMultilevel"/>
    <w:lvl w:ilvl="0">
      <w:lvlJc w:val="left"/>
      <w:lvlText w:val="•"/>
      <w:numFmt w:val="bullet"/>
      <w:start w:val="1"/>
    </w:lvl>
    <w:lvl w:ilvl="1">
      <w:lvlJc w:val="left"/>
      <w:lvlText w:val="•"/>
      <w:numFmt w:val="bullet"/>
      <w:start w:val="1"/>
    </w:lvl>
  </w:abstractNum>
  <w:abstractNum w:abstractNumId="138">
    <w:nsid w:val="2771AC80"/>
    <w:multiLevelType w:val="hybridMultilevel"/>
    <w:lvl w:ilvl="0">
      <w:lvlJc w:val="left"/>
      <w:lvlText w:val="•"/>
      <w:numFmt w:val="bullet"/>
      <w:start w:val="1"/>
    </w:lvl>
  </w:abstractNum>
  <w:abstractNum w:abstractNumId="139">
    <w:nsid w:val="1C4A08EC"/>
    <w:multiLevelType w:val="hybridMultilevel"/>
    <w:lvl w:ilvl="0">
      <w:lvlJc w:val="left"/>
      <w:lvlText w:val="•"/>
      <w:numFmt w:val="bullet"/>
      <w:start w:val="1"/>
    </w:lvl>
  </w:abstractNum>
  <w:abstractNum w:abstractNumId="140">
    <w:nsid w:val="1958BD17"/>
    <w:multiLevelType w:val="hybridMultilevel"/>
    <w:lvl w:ilvl="0">
      <w:lvlJc w:val="left"/>
      <w:lvlText w:val="•"/>
      <w:numFmt w:val="bullet"/>
      <w:start w:val="1"/>
    </w:lvl>
  </w:abstractNum>
  <w:abstractNum w:abstractNumId="141">
    <w:nsid w:val="4E647FE4"/>
    <w:multiLevelType w:val="hybridMultilevel"/>
    <w:lvl w:ilvl="0">
      <w:lvlJc w:val="left"/>
      <w:lvlText w:val="•"/>
      <w:numFmt w:val="bullet"/>
      <w:start w:val="1"/>
    </w:lvl>
  </w:abstractNum>
  <w:abstractNum w:abstractNumId="142">
    <w:nsid w:val="E0BB885"/>
    <w:multiLevelType w:val="hybridMultilevel"/>
    <w:lvl w:ilvl="0">
      <w:lvlJc w:val="left"/>
      <w:lvlText w:val="•"/>
      <w:numFmt w:val="bullet"/>
      <w:start w:val="1"/>
    </w:lvl>
  </w:abstractNum>
  <w:abstractNum w:abstractNumId="143">
    <w:nsid w:val="565976F1"/>
    <w:multiLevelType w:val="hybridMultilevel"/>
    <w:lvl w:ilvl="0">
      <w:lvlJc w:val="left"/>
      <w:lvlText w:val="•"/>
      <w:numFmt w:val="bullet"/>
      <w:start w:val="1"/>
    </w:lvl>
  </w:abstractNum>
  <w:abstractNum w:abstractNumId="144">
    <w:nsid w:val="64212B8C"/>
    <w:multiLevelType w:val="hybridMultilevel"/>
    <w:lvl w:ilvl="0">
      <w:lvlJc w:val="left"/>
      <w:lvlText w:val="(%1)"/>
      <w:numFmt w:val="decimal"/>
      <w:start w:val="2"/>
    </w:lvl>
  </w:abstractNum>
  <w:abstractNum w:abstractNumId="145">
    <w:nsid w:val="5C17530C"/>
    <w:multiLevelType w:val="hybridMultilevel"/>
    <w:lvl w:ilvl="0">
      <w:lvlJc w:val="left"/>
      <w:lvlText w:val="•"/>
      <w:numFmt w:val="bullet"/>
      <w:start w:val="1"/>
    </w:lvl>
  </w:abstractNum>
  <w:abstractNum w:abstractNumId="146">
    <w:nsid w:val="19A52566"/>
    <w:multiLevelType w:val="hybridMultilevel"/>
    <w:lvl w:ilvl="0">
      <w:lvlJc w:val="left"/>
      <w:lvlText w:val="•"/>
      <w:numFmt w:val="bullet"/>
      <w:start w:val="1"/>
    </w:lvl>
  </w:abstractNum>
  <w:abstractNum w:abstractNumId="147">
    <w:nsid w:val="335A1DF1"/>
    <w:multiLevelType w:val="hybridMultilevel"/>
    <w:lvl w:ilvl="0">
      <w:lvlJc w:val="left"/>
      <w:lvlText w:val="•"/>
      <w:numFmt w:val="bullet"/>
      <w:start w:val="1"/>
    </w:lvl>
  </w:abstractNum>
  <w:abstractNum w:abstractNumId="148">
    <w:nsid w:val="28677B7C"/>
    <w:multiLevelType w:val="hybridMultilevel"/>
    <w:lvl w:ilvl="0">
      <w:lvlJc w:val="left"/>
      <w:lvlText w:val="•"/>
      <w:numFmt w:val="bullet"/>
      <w:start w:val="1"/>
    </w:lvl>
  </w:abstractNum>
  <w:abstractNum w:abstractNumId="149">
    <w:nsid w:val="378D97C0"/>
    <w:multiLevelType w:val="hybridMultilevel"/>
    <w:lvl w:ilvl="0">
      <w:lvlJc w:val="left"/>
      <w:lvlText w:val="•"/>
      <w:numFmt w:val="bullet"/>
      <w:start w:val="1"/>
    </w:lvl>
    <w:lvl w:ilvl="1">
      <w:lvlJc w:val="left"/>
      <w:lvlText w:val="•"/>
      <w:numFmt w:val="bullet"/>
      <w:start w:val="1"/>
    </w:lvl>
  </w:abstractNum>
  <w:abstractNum w:abstractNumId="150">
    <w:nsid w:val="1D91467C"/>
    <w:multiLevelType w:val="hybridMultilevel"/>
    <w:lvl w:ilvl="0">
      <w:lvlJc w:val="left"/>
      <w:lvlText w:val="•"/>
      <w:numFmt w:val="bullet"/>
      <w:start w:val="1"/>
    </w:lvl>
    <w:lvl w:ilvl="1">
      <w:lvlJc w:val="left"/>
      <w:lvlText w:val="•"/>
      <w:numFmt w:val="bullet"/>
      <w:start w:val="1"/>
    </w:lvl>
  </w:abstractNum>
  <w:abstractNum w:abstractNumId="151">
    <w:nsid w:val="316032BB"/>
    <w:multiLevelType w:val="hybridMultilevel"/>
    <w:lvl w:ilvl="0">
      <w:lvlJc w:val="left"/>
      <w:lvlText w:val="•"/>
      <w:numFmt w:val="bullet"/>
      <w:start w:val="1"/>
    </w:lvl>
    <w:lvl w:ilvl="1">
      <w:lvlJc w:val="left"/>
      <w:lvlText w:val="•"/>
      <w:numFmt w:val="bullet"/>
      <w:start w:val="1"/>
    </w:lvl>
  </w:abstractNum>
  <w:abstractNum w:abstractNumId="152">
    <w:nsid w:val="44344C22"/>
    <w:multiLevelType w:val="hybridMultilevel"/>
    <w:lvl w:ilvl="0">
      <w:lvlJc w:val="left"/>
      <w:lvlText w:val="•"/>
      <w:numFmt w:val="bullet"/>
      <w:start w:val="1"/>
    </w:lvl>
  </w:abstractNum>
  <w:abstractNum w:abstractNumId="153">
    <w:nsid w:val="13CDFCFC"/>
    <w:multiLevelType w:val="hybridMultilevel"/>
    <w:lvl w:ilvl="0">
      <w:lvlJc w:val="left"/>
      <w:lvlText w:val="•"/>
      <w:numFmt w:val="bullet"/>
      <w:start w:val="1"/>
    </w:lvl>
  </w:abstractNum>
  <w:abstractNum w:abstractNumId="154">
    <w:nsid w:val="471745E4"/>
    <w:multiLevelType w:val="hybridMultilevel"/>
    <w:lvl w:ilvl="0">
      <w:lvlJc w:val="left"/>
      <w:lvlText w:val="(%1)"/>
      <w:numFmt w:val="decimal"/>
      <w:start w:val="1"/>
    </w:lvl>
    <w:lvl w:ilvl="1">
      <w:lvlJc w:val="left"/>
      <w:lvlText w:val="•"/>
      <w:numFmt w:val="bullet"/>
      <w:start w:val="1"/>
    </w:lvl>
  </w:abstractNum>
  <w:abstractNum w:abstractNumId="155">
    <w:nsid w:val="1DDBC66"/>
    <w:multiLevelType w:val="hybridMultilevel"/>
    <w:lvl w:ilvl="0">
      <w:lvlJc w:val="left"/>
      <w:lvlText w:val="•"/>
      <w:numFmt w:val="bullet"/>
      <w:start w:val="1"/>
    </w:lvl>
  </w:abstractNum>
  <w:abstractNum w:abstractNumId="156">
    <w:nsid w:val="30AADFDA"/>
    <w:multiLevelType w:val="hybridMultilevel"/>
    <w:lvl w:ilvl="0">
      <w:lvlJc w:val="left"/>
      <w:lvlText w:val="(%1)"/>
      <w:numFmt w:val="lowerLetter"/>
      <w:start w:val="1"/>
    </w:lvl>
  </w:abstractNum>
  <w:abstractNum w:abstractNumId="157">
    <w:nsid w:val="30EADA61"/>
    <w:multiLevelType w:val="hybridMultilevel"/>
    <w:lvl w:ilvl="0">
      <w:lvlJc w:val="left"/>
      <w:lvlText w:val="(%1)"/>
      <w:numFmt w:val="lowerLetter"/>
      <w:start w:val="2"/>
    </w:lvl>
  </w:abstractNum>
  <w:abstractNum w:abstractNumId="158">
    <w:nsid w:val="27179C0B"/>
    <w:multiLevelType w:val="hybridMultilevel"/>
    <w:lvl w:ilvl="0">
      <w:lvlJc w:val="left"/>
      <w:lvlText w:val="(%1)"/>
      <w:numFmt w:val="upperLetter"/>
      <w:start w:val="1"/>
    </w:lvl>
  </w:abstractNum>
  <w:abstractNum w:abstractNumId="159">
    <w:nsid w:val="5E636063"/>
    <w:multiLevelType w:val="hybridMultilevel"/>
    <w:lvl w:ilvl="0">
      <w:lvlJc w:val="left"/>
      <w:lvlText w:val="(%1)"/>
      <w:numFmt w:val="upperLetter"/>
      <w:start w:val="10"/>
    </w:lvl>
  </w:abstractNum>
  <w:abstractNum w:abstractNumId="160">
    <w:nsid w:val="215641AF"/>
    <w:multiLevelType w:val="hybridMultilevel"/>
    <w:lvl w:ilvl="0">
      <w:lvlJc w:val="left"/>
      <w:lvlText w:val="(%1)"/>
      <w:numFmt w:val="upperLetter"/>
      <w:start w:val="11"/>
    </w:lvl>
  </w:abstractNum>
  <w:abstractNum w:abstractNumId="161">
    <w:nsid w:val="53280662"/>
    <w:multiLevelType w:val="hybridMultilevel"/>
    <w:lvl w:ilvl="0">
      <w:lvlJc w:val="left"/>
      <w:lvlText w:val="(%1)"/>
      <w:numFmt w:val="upperLetter"/>
      <w:start w:val="13"/>
    </w:lvl>
  </w:abstractNum>
  <w:abstractNum w:abstractNumId="162">
    <w:nsid w:val="46B24DBC"/>
    <w:multiLevelType w:val="hybridMultilevel"/>
    <w:lvl w:ilvl="0">
      <w:lvlJc w:val="left"/>
      <w:lvlText w:val="(%1)"/>
      <w:numFmt w:val="upperLetter"/>
      <w:start w:val="27"/>
    </w:lvl>
  </w:abstractNum>
  <w:abstractNum w:abstractNumId="163">
    <w:nsid w:val="75B52783"/>
    <w:multiLevelType w:val="hybridMultilevel"/>
    <w:lvl w:ilvl="0">
      <w:lvlJc w:val="left"/>
      <w:lvlText w:val="(%1)"/>
      <w:numFmt w:val="upperLetter"/>
      <w:start w:val="34"/>
    </w:lvl>
  </w:abstractNum>
  <w:abstractNum w:abstractNumId="164">
    <w:nsid w:val="57CE66B4"/>
    <w:multiLevelType w:val="hybridMultilevel"/>
    <w:lvl w:ilvl="0">
      <w:lvlJc w:val="left"/>
      <w:lvlText w:val="(%1)"/>
      <w:numFmt w:val="lowerLetter"/>
      <w:start w:val="2"/>
    </w:lvl>
  </w:abstractNum>
  <w:abstractNum w:abstractNumId="165">
    <w:nsid w:val="67A70B69"/>
    <w:multiLevelType w:val="hybridMultilevel"/>
    <w:lvl w:ilvl="0">
      <w:lvlJc w:val="left"/>
      <w:lvlText w:val="(%1)"/>
      <w:numFmt w:val="lowerLetter"/>
      <w:start w:val="4"/>
    </w:lvl>
  </w:abstractNum>
  <w:abstractNum w:abstractNumId="166">
    <w:nsid w:val="5953172F"/>
    <w:multiLevelType w:val="hybridMultilevel"/>
    <w:lvl w:ilvl="0">
      <w:lvlJc w:val="left"/>
      <w:lvlText w:val="(%1)"/>
      <w:numFmt w:val="decimal"/>
      <w:start w:val="1"/>
    </w:lvl>
  </w:abstractNum>
  <w:abstractNum w:abstractNumId="167">
    <w:nsid w:val="27EDFE3A"/>
    <w:multiLevelType w:val="hybridMultilevel"/>
    <w:lvl w:ilvl="0">
      <w:lvlJc w:val="left"/>
      <w:lvlText w:val="*"/>
      <w:numFmt w:val="bullet"/>
      <w:start w:val="1"/>
    </w:lvl>
  </w:abstractNum>
  <w:abstractNum w:abstractNumId="168">
    <w:nsid w:val="52AC7DFF"/>
    <w:multiLevelType w:val="hybridMultilevel"/>
    <w:lvl w:ilvl="0">
      <w:lvlJc w:val="left"/>
      <w:lvlText w:val="(%1)"/>
      <w:numFmt w:val="decimal"/>
      <w:start w:val="1"/>
    </w:lvl>
  </w:abstractNum>
  <w:abstractNum w:abstractNumId="169">
    <w:nsid w:val="C4C3AF"/>
    <w:multiLevelType w:val="hybridMultilevel"/>
    <w:lvl w:ilvl="0">
      <w:lvlJc w:val="left"/>
      <w:lvlText w:val="(%1)"/>
      <w:numFmt w:val="decimal"/>
      <w:start w:val="713"/>
    </w:lvl>
  </w:abstractNum>
  <w:abstractNum w:abstractNumId="170">
    <w:nsid w:val="44380727"/>
    <w:multiLevelType w:val="hybridMultilevel"/>
    <w:lvl w:ilvl="0">
      <w:lvlJc w:val="left"/>
      <w:lvlText w:val="•"/>
      <w:numFmt w:val="bullet"/>
      <w:start w:val="1"/>
    </w:lvl>
  </w:abstractNum>
  <w:abstractNum w:abstractNumId="171">
    <w:nsid w:val="6C053B16"/>
    <w:multiLevelType w:val="hybridMultilevel"/>
    <w:lvl w:ilvl="0">
      <w:lvlJc w:val="left"/>
      <w:lvlText w:val="•"/>
      <w:numFmt w:val="bullet"/>
      <w:start w:val="1"/>
    </w:lvl>
  </w:abstractNum>
  <w:abstractNum w:abstractNumId="172">
    <w:nsid w:val="4F294393"/>
    <w:multiLevelType w:val="hybridMultilevel"/>
    <w:lvl w:ilvl="0">
      <w:lvlJc w:val="left"/>
      <w:lvlText w:val="•"/>
      <w:numFmt w:val="bullet"/>
      <w:start w:val="1"/>
    </w:lvl>
  </w:abstractNum>
  <w:abstractNum w:abstractNumId="173">
    <w:nsid w:val="5243BFAC"/>
    <w:multiLevelType w:val="hybridMultilevel"/>
    <w:lvl w:ilvl="0">
      <w:lvlJc w:val="left"/>
      <w:lvlText w:val="(%1)"/>
      <w:numFmt w:val="lowerLetter"/>
      <w:start w:val="1"/>
    </w:lvl>
  </w:abstractNum>
  <w:abstractNum w:abstractNumId="174">
    <w:nsid w:val="425EB207"/>
    <w:multiLevelType w:val="hybridMultilevel"/>
    <w:lvl w:ilvl="0">
      <w:lvlJc w:val="left"/>
      <w:lvlText w:val="(%1)"/>
      <w:numFmt w:val="lowerLetter"/>
      <w:start w:val="1"/>
    </w:lvl>
  </w:abstractNum>
  <w:abstractNum w:abstractNumId="175">
    <w:nsid w:val="334A6F1F"/>
    <w:multiLevelType w:val="hybridMultilevel"/>
    <w:lvl w:ilvl="0">
      <w:lvlJc w:val="left"/>
      <w:lvlText w:val="(%1)"/>
      <w:numFmt w:val="lowerLetter"/>
      <w:start w:val="2"/>
    </w:lvl>
  </w:abstractNum>
  <w:abstractNum w:abstractNumId="176">
    <w:nsid w:val="2E5B12B8"/>
    <w:multiLevelType w:val="hybridMultilevel"/>
    <w:lvl w:ilvl="0">
      <w:lvlJc w:val="left"/>
      <w:lvlText w:val="(%1)"/>
      <w:numFmt w:val="decimal"/>
      <w:start w:val="1"/>
    </w:lvl>
    <w:lvl w:ilvl="1">
      <w:lvlJc w:val="left"/>
      <w:lvlText w:val="(%2)"/>
      <w:numFmt w:val="lowerLetter"/>
      <w:start w:val="7"/>
    </w:lvl>
  </w:abstractNum>
  <w:abstractNum w:abstractNumId="177">
    <w:nsid w:val="5C03D76D"/>
    <w:multiLevelType w:val="hybridMultilevel"/>
    <w:lvl w:ilvl="0">
      <w:lvlJc w:val="left"/>
      <w:lvlText w:val="(%1)"/>
      <w:numFmt w:val="lowerLetter"/>
      <w:start w:val="10"/>
    </w:lvl>
  </w:abstractNum>
  <w:abstractNum w:abstractNumId="178">
    <w:nsid w:val="66A48D11"/>
    <w:multiLevelType w:val="hybridMultilevel"/>
    <w:lvl w:ilvl="0">
      <w:lvlJc w:val="left"/>
      <w:lvlText w:val="(%1)"/>
      <w:numFmt w:val="lowerLetter"/>
      <w:start w:val="1"/>
    </w:lvl>
  </w:abstractNum>
  <w:abstractNum w:abstractNumId="179">
    <w:nsid w:val="56C28E34"/>
    <w:multiLevelType w:val="hybridMultilevel"/>
    <w:lvl w:ilvl="0">
      <w:lvlJc w:val="left"/>
      <w:lvlText w:val="(%1)"/>
      <w:numFmt w:val="lowerLetter"/>
      <w:start w:val="2"/>
    </w:lvl>
  </w:abstractNum>
  <w:abstractNum w:abstractNumId="180">
    <w:nsid w:val="13916F2D"/>
    <w:multiLevelType w:val="hybridMultilevel"/>
    <w:lvl w:ilvl="0">
      <w:lvlJc w:val="left"/>
      <w:lvlText w:val="(%1)"/>
      <w:numFmt w:val="lowerLetter"/>
      <w:start w:val="5"/>
    </w:lvl>
    <w:lvl w:ilvl="1">
      <w:lvlJc w:val="left"/>
      <w:lvlText w:val="(%2)"/>
      <w:numFmt w:val="lowerRoman"/>
      <w:start w:val="1"/>
    </w:lvl>
  </w:abstractNum>
  <w:abstractNum w:abstractNumId="181">
    <w:nsid w:val="435D38D"/>
    <w:multiLevelType w:val="hybridMultilevel"/>
    <w:lvl w:ilvl="0">
      <w:lvlJc w:val="left"/>
      <w:lvlText w:val="(%1)"/>
      <w:numFmt w:val="lowerLetter"/>
      <w:start w:val="10"/>
    </w:lvl>
  </w:abstractNum>
  <w:abstractNum w:abstractNumId="182">
    <w:nsid w:val="822C0EF"/>
    <w:multiLevelType w:val="hybridMultilevel"/>
    <w:lvl w:ilvl="0">
      <w:lvlJc w:val="left"/>
      <w:lvlText w:val="%1"/>
      <w:numFmt w:val="lowerLetter"/>
      <w:start w:val="1"/>
    </w:lvl>
    <w:lvl w:ilvl="1">
      <w:lvlJc w:val="left"/>
      <w:lvlText w:val="(%2)"/>
      <w:numFmt w:val="lowerLetter"/>
      <w:start w:val="1"/>
    </w:lvl>
  </w:abstractNum>
  <w:abstractNum w:abstractNumId="183">
    <w:nsid w:val="57C5BB4F"/>
    <w:multiLevelType w:val="hybridMultilevel"/>
    <w:lvl w:ilvl="0">
      <w:lvlJc w:val="left"/>
      <w:lvlText w:val="(%1)"/>
      <w:numFmt w:val="lowerLetter"/>
      <w:start w:val="9"/>
    </w:lvl>
    <w:lvl w:ilvl="1">
      <w:lvlJc w:val="left"/>
      <w:lvlText w:val="%2"/>
      <w:numFmt w:val="lowerLetter"/>
      <w:start w:val="1"/>
    </w:lvl>
  </w:abstractNum>
  <w:abstractNum w:abstractNumId="184">
    <w:nsid w:val="1803D089"/>
    <w:multiLevelType w:val="hybridMultilevel"/>
    <w:lvl w:ilvl="0">
      <w:lvlJc w:val="left"/>
      <w:lvlText w:val="%1"/>
      <w:numFmt w:val="lowerLetter"/>
      <w:start w:val="1"/>
    </w:lvl>
    <w:lvl w:ilvl="1">
      <w:lvlJc w:val="left"/>
      <w:lvlText w:val="(%2)"/>
      <w:numFmt w:val="lowerLetter"/>
      <w:start w:val="1"/>
    </w:lvl>
  </w:abstractNum>
  <w:abstractNum w:abstractNumId="185">
    <w:nsid w:val="4F3A06D4"/>
    <w:multiLevelType w:val="hybridMultilevel"/>
    <w:lvl w:ilvl="0">
      <w:lvlJc w:val="left"/>
      <w:lvlText w:val="(%1)"/>
      <w:numFmt w:val="lowerLetter"/>
      <w:start w:val="22"/>
    </w:lvl>
    <w:lvl w:ilvl="1">
      <w:lvlJc w:val="left"/>
      <w:lvlText w:val="(%2)"/>
      <w:numFmt w:val="lowerLetter"/>
      <w:start w:val="2"/>
    </w:lvl>
  </w:abstractNum>
  <w:abstractNum w:abstractNumId="186">
    <w:nsid w:val="59A377B6"/>
    <w:multiLevelType w:val="hybridMultilevel"/>
    <w:lvl w:ilvl="0">
      <w:lvlJc w:val="left"/>
      <w:lvlText w:val="(%1)"/>
      <w:numFmt w:val="lowerLetter"/>
      <w:start w:val="3"/>
    </w:lvl>
  </w:abstractNum>
  <w:abstractNum w:abstractNumId="187">
    <w:nsid w:val="48AEB063"/>
    <w:multiLevelType w:val="hybridMultilevel"/>
    <w:lvl w:ilvl="0">
      <w:lvlJc w:val="left"/>
      <w:lvlText w:val="(%1)"/>
      <w:numFmt w:val="lowerLetter"/>
      <w:start w:val="1"/>
    </w:lvl>
  </w:abstractNum>
  <w:abstractNum w:abstractNumId="188">
    <w:nsid w:val="24E135"/>
    <w:multiLevelType w:val="hybridMultilevel"/>
    <w:lvl w:ilvl="0">
      <w:lvlJc w:val="left"/>
      <w:lvlText w:val="%1"/>
      <w:numFmt w:val="lowerLetter"/>
      <w:start w:val="1"/>
    </w:lvl>
    <w:lvl w:ilvl="1">
      <w:lvlJc w:val="left"/>
      <w:lvlText w:val="(%2)"/>
      <w:numFmt w:val="lowerLetter"/>
      <w:start w:val="1"/>
    </w:lvl>
  </w:abstractNum>
  <w:abstractNum w:abstractNumId="189">
    <w:nsid w:val="BB13C1"/>
    <w:multiLevelType w:val="hybridMultilevel"/>
    <w:lvl w:ilvl="0">
      <w:lvlJc w:val="left"/>
      <w:lvlText w:val="(%1)"/>
      <w:numFmt w:val="lowerLetter"/>
      <w:start w:val="35"/>
    </w:lvl>
    <w:lvl w:ilvl="1">
      <w:lvlJc w:val="left"/>
      <w:lvlText w:val="%2"/>
      <w:numFmt w:val="lowerLetter"/>
      <w:start w:val="1"/>
    </w:lvl>
  </w:abstractNum>
  <w:abstractNum w:abstractNumId="190">
    <w:nsid w:val="271210C7"/>
    <w:multiLevelType w:val="hybridMultilevel"/>
    <w:lvl w:ilvl="0">
      <w:lvlJc w:val="left"/>
      <w:lvlText w:val="(%1)"/>
      <w:numFmt w:val="lowerLetter"/>
      <w:start w:val="1"/>
    </w:lvl>
  </w:abstractNum>
  <w:abstractNum w:abstractNumId="191">
    <w:nsid w:val="217B22E4"/>
    <w:multiLevelType w:val="hybridMultilevel"/>
    <w:lvl w:ilvl="0">
      <w:lvlJc w:val="left"/>
      <w:lvlText w:val="%1"/>
      <w:numFmt w:val="upperLetter"/>
      <w:start w:val="1"/>
    </w:lvl>
    <w:lvl w:ilvl="1">
      <w:lvlJc w:val="left"/>
      <w:lvlText w:val="(%2)"/>
      <w:numFmt w:val="lowerLetter"/>
      <w:start w:val="2"/>
    </w:lvl>
  </w:abstractNum>
  <w:abstractNum w:abstractNumId="192">
    <w:nsid w:val="53E31A24"/>
    <w:multiLevelType w:val="hybridMultilevel"/>
    <w:lvl w:ilvl="0">
      <w:lvlJc w:val="left"/>
      <w:lvlText w:val="(%1)"/>
      <w:numFmt w:val="upperLetter"/>
      <w:start w:val="2"/>
    </w:lvl>
    <w:lvl w:ilvl="1">
      <w:lvlJc w:val="left"/>
      <w:lvlText w:val="(%2)"/>
      <w:numFmt w:val="lowerLetter"/>
      <w:start w:val="4"/>
    </w:lvl>
  </w:abstractNum>
  <w:abstractNum w:abstractNumId="193">
    <w:nsid w:val="6DC45E83"/>
    <w:multiLevelType w:val="hybridMultilevel"/>
    <w:lvl w:ilvl="0">
      <w:lvlJc w:val="left"/>
      <w:lvlText w:val="(%1)"/>
      <w:numFmt w:val="lowerLetter"/>
      <w:start w:val="1"/>
    </w:lvl>
  </w:abstractNum>
  <w:abstractNum w:abstractNumId="194">
    <w:nsid w:val="17304A67"/>
    <w:multiLevelType w:val="hybridMultilevel"/>
    <w:lvl w:ilvl="0">
      <w:lvlJc w:val="left"/>
      <w:lvlText w:val="(%1)"/>
      <w:numFmt w:val="lowerLetter"/>
      <w:start w:val="4"/>
    </w:lvl>
  </w:abstractNum>
  <w:abstractNum w:abstractNumId="195">
    <w:nsid w:val="2BB180D8"/>
    <w:multiLevelType w:val="hybridMultilevel"/>
    <w:lvl w:ilvl="0">
      <w:lvlJc w:val="left"/>
      <w:lvlText w:val="%1"/>
      <w:numFmt w:val="lowerLetter"/>
      <w:start w:val="1"/>
    </w:lvl>
    <w:lvl w:ilvl="1">
      <w:lvlJc w:val="left"/>
      <w:lvlText w:val="(%2)"/>
      <w:numFmt w:val="lowerLetter"/>
      <w:start w:val="1"/>
    </w:lvl>
  </w:abstractNum>
  <w:abstractNum w:abstractNumId="196">
    <w:nsid w:val="556B69ED"/>
    <w:multiLevelType w:val="hybridMultilevel"/>
    <w:lvl w:ilvl="0">
      <w:lvlJc w:val="left"/>
      <w:lvlText w:val="(%1)"/>
      <w:numFmt w:val="lowerLetter"/>
      <w:start w:val="35"/>
    </w:lvl>
    <w:lvl w:ilvl="1">
      <w:lvlJc w:val="left"/>
      <w:lvlText w:val="(%2)"/>
      <w:numFmt w:val="lowerLetter"/>
      <w:start w:val="2"/>
    </w:lvl>
  </w:abstractNum>
  <w:abstractNum w:abstractNumId="197">
    <w:nsid w:val="70836196"/>
    <w:multiLevelType w:val="hybridMultilevel"/>
    <w:lvl w:ilvl="0">
      <w:lvlJc w:val="left"/>
      <w:lvlText w:val="%1"/>
      <w:numFmt w:val="lowerLetter"/>
      <w:start w:val="1"/>
    </w:lvl>
    <w:lvl w:ilvl="1">
      <w:lvlJc w:val="left"/>
      <w:lvlText w:val="(%2)"/>
      <w:numFmt w:val="lowerLetter"/>
      <w:start w:val="1"/>
    </w:lvl>
  </w:abstractNum>
  <w:abstractNum w:abstractNumId="198">
    <w:nsid w:val="539F7F12"/>
    <w:multiLevelType w:val="hybridMultilevel"/>
    <w:lvl w:ilvl="0">
      <w:lvlJc w:val="left"/>
      <w:lvlText w:val="(%1)"/>
      <w:numFmt w:val="lowerLetter"/>
      <w:start w:val="35"/>
    </w:lvl>
    <w:lvl w:ilvl="1">
      <w:lvlJc w:val="left"/>
      <w:lvlText w:val="(%2)"/>
      <w:numFmt w:val="lowerLetter"/>
      <w:start w:val="2"/>
    </w:lvl>
  </w:abstractNum>
  <w:abstractNum w:abstractNumId="199">
    <w:nsid w:val="2817E7EC"/>
    <w:multiLevelType w:val="hybridMultilevel"/>
    <w:lvl w:ilvl="0">
      <w:lvlJc w:val="left"/>
      <w:lvlText w:val="(%1)"/>
      <w:numFmt w:val="lowerLetter"/>
      <w:start w:val="10"/>
    </w:lvl>
  </w:abstractNum>
  <w:abstractNum w:abstractNumId="200">
    <w:nsid w:val="71482545"/>
    <w:multiLevelType w:val="hybridMultilevel"/>
    <w:lvl w:ilvl="0">
      <w:lvlJc w:val="left"/>
      <w:lvlText w:val="%1"/>
      <w:numFmt w:val="lowerRoman"/>
      <w:start w:val="1"/>
    </w:lvl>
    <w:lvl w:ilvl="1">
      <w:lvlJc w:val="left"/>
      <w:lvlText w:val="(%2)"/>
      <w:numFmt w:val="lowerLetter"/>
      <w:start w:val="1"/>
    </w:lvl>
  </w:abstractNum>
  <w:abstractNum w:abstractNumId="201">
    <w:nsid w:val="17D78639"/>
    <w:multiLevelType w:val="hybridMultilevel"/>
    <w:lvl w:ilvl="0">
      <w:lvlJc w:val="left"/>
      <w:lvlText w:val="(%1)"/>
      <w:numFmt w:val="lowerRoman"/>
      <w:start w:val="9"/>
    </w:lvl>
    <w:lvl w:ilvl="1">
      <w:lvlJc w:val="left"/>
      <w:lvlText w:val="(%2)"/>
      <w:numFmt w:val="lowerLetter"/>
      <w:start w:val="2"/>
    </w:lvl>
  </w:abstractNum>
  <w:abstractNum w:abstractNumId="202">
    <w:nsid w:val="141D2302"/>
    <w:multiLevelType w:val="hybridMultilevel"/>
    <w:lvl w:ilvl="0">
      <w:lvlJc w:val="left"/>
      <w:lvlText w:val="(%1)"/>
      <w:numFmt w:val="lowerRoman"/>
      <w:start w:val="1"/>
    </w:lvl>
  </w:abstractNum>
  <w:abstractNum w:abstractNumId="203">
    <w:nsid w:val="407168D8"/>
    <w:multiLevelType w:val="hybridMultilevel"/>
    <w:lvl w:ilvl="0">
      <w:lvlJc w:val="left"/>
      <w:lvlText w:val="%1"/>
      <w:numFmt w:val="upperLetter"/>
      <w:start w:val="1"/>
    </w:lvl>
    <w:lvl w:ilvl="1">
      <w:lvlJc w:val="left"/>
      <w:lvlText w:val="(%2)"/>
      <w:numFmt w:val="lowerRoman"/>
      <w:start w:val="4"/>
    </w:lvl>
  </w:abstractNum>
  <w:abstractNum w:abstractNumId="204">
    <w:nsid w:val="6A1B45E5"/>
    <w:multiLevelType w:val="hybridMultilevel"/>
    <w:lvl w:ilvl="0">
      <w:lvlJc w:val="left"/>
      <w:lvlText w:val="(%1)"/>
      <w:numFmt w:val="upperLetter"/>
      <w:start w:val="4"/>
    </w:lvl>
    <w:lvl w:ilvl="1">
      <w:lvlJc w:val="left"/>
      <w:lvlText w:val="(%2)"/>
      <w:numFmt w:val="lowerRoman"/>
      <w:start w:val="11"/>
    </w:lvl>
  </w:abstractNum>
  <w:abstractNum w:abstractNumId="205">
    <w:nsid w:val="567BD50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4"/>
    </w:lvl>
  </w:abstractNum>
  <w:abstractNum w:abstractNumId="206">
    <w:nsid w:val="73BBD7F8"/>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07">
    <w:nsid w:val="1876589D"/>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abstractNum>
  <w:abstractNum w:abstractNumId="208">
    <w:nsid w:val="327FAC77"/>
    <w:multiLevelType w:val="hybridMultilevel"/>
    <w:lvl w:ilvl="0">
      <w:lvlJc w:val="left"/>
      <w:lvlText w:val="(%1)"/>
      <w:numFmt w:val="lowerLetter"/>
      <w:start w:val="1"/>
    </w:lvl>
  </w:abstractNum>
  <w:abstractNum w:abstractNumId="209">
    <w:nsid w:val="5A606509"/>
    <w:multiLevelType w:val="hybridMultilevel"/>
    <w:lvl w:ilvl="0">
      <w:lvlJc w:val="left"/>
      <w:lvlText w:val="(%1)"/>
      <w:numFmt w:val="lowerLetter"/>
      <w:start w:val="1"/>
    </w:lvl>
  </w:abstractNum>
  <w:abstractNum w:abstractNumId="210">
    <w:nsid w:val="6F38E6D1"/>
    <w:multiLevelType w:val="hybridMultilevel"/>
    <w:lvl w:ilvl="0">
      <w:lvlJc w:val="left"/>
      <w:lvlText w:val="(%1)"/>
      <w:numFmt w:val="lowerLetter"/>
      <w:start w:val="1"/>
    </w:lvl>
  </w:abstractNum>
  <w:abstractNum w:abstractNumId="211">
    <w:nsid w:val="46111BA5"/>
    <w:multiLevelType w:val="hybridMultilevel"/>
    <w:lvl w:ilvl="0">
      <w:lvlJc w:val="left"/>
      <w:lvlText w:val="(%1)"/>
      <w:numFmt w:val="lowerLetter"/>
      <w:start w:val="1"/>
    </w:lvl>
  </w:abstractNum>
  <w:abstractNum w:abstractNumId="212">
    <w:nsid w:val="5E963896"/>
    <w:multiLevelType w:val="hybridMultilevel"/>
    <w:lvl w:ilvl="0">
      <w:lvlJc w:val="left"/>
      <w:lvlText w:val="(%1)"/>
      <w:numFmt w:val="lowerLetter"/>
      <w:start w:val="5"/>
    </w:lvl>
  </w:abstractNum>
  <w:abstractNum w:abstractNumId="213">
    <w:nsid w:val="775BA7C1"/>
    <w:multiLevelType w:val="hybridMultilevel"/>
    <w:lvl w:ilvl="0">
      <w:lvlJc w:val="left"/>
      <w:lvlText w:val="%1"/>
      <w:numFmt w:val="upperLetter"/>
      <w:start w:val="1"/>
    </w:lvl>
    <w:lvl w:ilvl="1">
      <w:lvlJc w:val="left"/>
      <w:lvlText w:val="(%2)"/>
      <w:numFmt w:val="lowerLetter"/>
      <w:start w:val="1"/>
    </w:lvl>
  </w:abstractNum>
  <w:abstractNum w:abstractNumId="214">
    <w:nsid w:val="1DD6D6F4"/>
    <w:multiLevelType w:val="hybridMultilevel"/>
    <w:lvl w:ilvl="0">
      <w:lvlJc w:val="left"/>
      <w:lvlText w:val="(%1)"/>
      <w:numFmt w:val="upperLetter"/>
      <w:start w:val="1"/>
    </w:lvl>
    <w:lvl w:ilvl="1">
      <w:lvlJc w:val="left"/>
      <w:lvlText w:val="(%2)"/>
      <w:numFmt w:val="lowerLetter"/>
      <w:start w:val="2"/>
    </w:lvl>
  </w:abstractNum>
  <w:abstractNum w:abstractNumId="215">
    <w:nsid w:val="769A091F"/>
    <w:multiLevelType w:val="hybridMultilevel"/>
    <w:lvl w:ilvl="0">
      <w:lvlJc w:val="left"/>
      <w:lvlText w:val="(%1)"/>
      <w:numFmt w:val="lowerLetter"/>
      <w:start w:val="1"/>
    </w:lvl>
  </w:abstractNum>
  <w:abstractNum w:abstractNumId="216">
    <w:nsid w:val="4695AE95"/>
    <w:multiLevelType w:val="hybridMultilevel"/>
    <w:lvl w:ilvl="0">
      <w:lvlJc w:val="left"/>
      <w:lvlText w:val="(%1)"/>
      <w:numFmt w:val="lowerLetter"/>
      <w:start w:val="1"/>
    </w:lvl>
  </w:abstractNum>
  <w:abstractNum w:abstractNumId="217">
    <w:nsid w:val="777A4EAA"/>
    <w:multiLevelType w:val="hybridMultilevel"/>
    <w:lvl w:ilvl="0">
      <w:lvlJc w:val="left"/>
      <w:lvlText w:val="%1"/>
      <w:numFmt w:val="lowerLetter"/>
      <w:start w:val="1"/>
    </w:lvl>
    <w:lvl w:ilvl="1">
      <w:lvlJc w:val="left"/>
      <w:lvlText w:val="(%2)"/>
      <w:numFmt w:val="lowerLetter"/>
      <w:start w:val="1"/>
    </w:lvl>
  </w:abstractNum>
  <w:abstractNum w:abstractNumId="218">
    <w:nsid w:val="3F48B982"/>
    <w:multiLevelType w:val="hybridMultilevel"/>
    <w:lvl w:ilvl="0">
      <w:lvlJc w:val="left"/>
      <w:lvlText w:val="(%1)"/>
      <w:numFmt w:val="lowerLetter"/>
      <w:start w:val="9"/>
    </w:lvl>
    <w:lvl w:ilvl="1">
      <w:lvlJc w:val="left"/>
      <w:lvlText w:val="(%2)"/>
      <w:numFmt w:val="lowerLetter"/>
      <w:start w:val="2"/>
    </w:lvl>
  </w:abstractNum>
  <w:abstractNum w:abstractNumId="219">
    <w:nsid w:val="46BA8FCA"/>
    <w:multiLevelType w:val="hybridMultilevel"/>
    <w:lvl w:ilvl="0">
      <w:lvlJc w:val="left"/>
      <w:lvlText w:val="(%1)"/>
      <w:numFmt w:val="lowerRoman"/>
      <w:start w:val="2"/>
    </w:lvl>
  </w:abstractNum>
  <w:abstractNum w:abstractNumId="220">
    <w:nsid w:val="7835626C"/>
    <w:multiLevelType w:val="hybridMultilevel"/>
    <w:lvl w:ilvl="0">
      <w:lvlJc w:val="left"/>
      <w:lvlText w:val="(%1)"/>
      <w:numFmt w:val="lowerLetter"/>
      <w:start w:val="1"/>
    </w:lvl>
  </w:abstractNum>
  <w:abstractNum w:abstractNumId="221">
    <w:nsid w:val="665ACA49"/>
    <w:multiLevelType w:val="hybridMultilevel"/>
    <w:lvl w:ilvl="0">
      <w:lvlJc w:val="left"/>
      <w:lvlText w:val="(%1)"/>
      <w:numFmt w:val="lowerLetter"/>
      <w:start w:val="1"/>
    </w:lvl>
  </w:abstractNum>
  <w:abstractNum w:abstractNumId="222">
    <w:nsid w:val="6835B2AE"/>
    <w:multiLevelType w:val="hybridMultilevel"/>
    <w:lvl w:ilvl="0">
      <w:lvlJc w:val="left"/>
      <w:lvlText w:val="(%1)"/>
      <w:numFmt w:val="lowerLetter"/>
      <w:start w:val="1"/>
    </w:lvl>
  </w:abstractNum>
  <w:abstractNum w:abstractNumId="223">
    <w:nsid w:val="4C187C90"/>
    <w:multiLevelType w:val="hybridMultilevel"/>
    <w:lvl w:ilvl="0">
      <w:lvlJc w:val="left"/>
      <w:lvlText w:val="(%1)"/>
      <w:numFmt w:val="upperLetter"/>
      <w:start w:val="1"/>
    </w:lvl>
    <w:lvl w:ilvl="1">
      <w:lvlJc w:val="left"/>
      <w:lvlText w:val="(%2)"/>
      <w:numFmt w:val="lowerLetter"/>
      <w:start w:val="2"/>
    </w:lvl>
  </w:abstractNum>
  <w:abstractNum w:abstractNumId="224">
    <w:nsid w:val="541F28CD"/>
    <w:multiLevelType w:val="hybridMultilevel"/>
    <w:lvl w:ilvl="0">
      <w:lvlJc w:val="left"/>
      <w:lvlText w:val="(%1)"/>
      <w:numFmt w:val="lowerLetter"/>
      <w:start w:val="1"/>
    </w:lvl>
  </w:abstractNum>
  <w:abstractNum w:abstractNumId="225">
    <w:nsid w:val="7F65FD16"/>
    <w:multiLevelType w:val="hybridMultilevel"/>
    <w:lvl w:ilvl="0">
      <w:lvlJc w:val="left"/>
      <w:lvlText w:val="(%1)"/>
      <w:numFmt w:val="lowerLetter"/>
      <w:start w:val="3"/>
    </w:lvl>
  </w:abstractNum>
  <w:abstractNum w:abstractNumId="226">
    <w:nsid w:val="77C9FD68"/>
    <w:multiLevelType w:val="hybridMultilevel"/>
    <w:lvl w:ilvl="0">
      <w:lvlJc w:val="left"/>
      <w:lvlText w:val="(%1)"/>
      <w:numFmt w:val="lowerLetter"/>
      <w:start w:val="1"/>
    </w:lvl>
  </w:abstractNum>
  <w:abstractNum w:abstractNumId="227">
    <w:nsid w:val="298A92BA"/>
    <w:multiLevelType w:val="hybridMultilevel"/>
    <w:lvl w:ilvl="0">
      <w:lvlJc w:val="left"/>
      <w:lvlText w:val="%1"/>
      <w:numFmt w:val="lowerLetter"/>
      <w:start w:val="1"/>
    </w:lvl>
    <w:lvl w:ilvl="1">
      <w:lvlJc w:val="left"/>
      <w:lvlText w:val="(%2)"/>
      <w:numFmt w:val="lowerLetter"/>
      <w:start w:val="1"/>
    </w:lvl>
  </w:abstractNum>
  <w:abstractNum w:abstractNumId="228">
    <w:nsid w:val="6FE95EAC"/>
    <w:multiLevelType w:val="hybridMultilevel"/>
    <w:lvl w:ilvl="0">
      <w:lvlJc w:val="left"/>
      <w:lvlText w:val="(%1)"/>
      <w:numFmt w:val="lowerLetter"/>
      <w:start w:val="61"/>
    </w:lvl>
    <w:lvl w:ilvl="1">
      <w:lvlJc w:val="left"/>
      <w:lvlText w:val="(%2)"/>
      <w:numFmt w:val="lowerLetter"/>
      <w:start w:val="2"/>
    </w:lvl>
  </w:abstractNum>
  <w:abstractNum w:abstractNumId="229">
    <w:nsid w:val="4B697C7A"/>
    <w:multiLevelType w:val="hybridMultilevel"/>
    <w:lvl w:ilvl="0">
      <w:lvlJc w:val="left"/>
      <w:lvlText w:val="(%1)"/>
      <w:numFmt w:val="lowerRoman"/>
      <w:start w:val="2"/>
    </w:lvl>
  </w:abstractNum>
  <w:abstractNum w:abstractNumId="230">
    <w:nsid w:val="51A27AA6"/>
    <w:multiLevelType w:val="hybridMultilevel"/>
    <w:lvl w:ilvl="0">
      <w:lvlJc w:val="left"/>
      <w:lvlText w:val="(%1)"/>
      <w:numFmt w:val="lowerRoman"/>
      <w:start w:val="6"/>
    </w:lvl>
  </w:abstractNum>
  <w:abstractNum w:abstractNumId="231">
    <w:nsid w:val="613183F2"/>
    <w:multiLevelType w:val="hybridMultilevel"/>
    <w:lvl w:ilvl="0">
      <w:lvlJc w:val="left"/>
      <w:lvlText w:val="(%1)"/>
      <w:numFmt w:val="lowerLetter"/>
      <w:start w:val="1"/>
    </w:lvl>
  </w:abstractNum>
  <w:abstractNum w:abstractNumId="232">
    <w:nsid w:val="634102B4"/>
    <w:multiLevelType w:val="hybridMultilevel"/>
    <w:lvl w:ilvl="0">
      <w:lvlJc w:val="left"/>
      <w:lvlText w:val="%1"/>
      <w:numFmt w:val="lowerLetter"/>
      <w:start w:val="1"/>
    </w:lvl>
    <w:lvl w:ilvl="1">
      <w:lvlJc w:val="left"/>
      <w:lvlText w:val="(%2)"/>
      <w:numFmt w:val="lowerLetter"/>
      <w:start w:val="1"/>
    </w:lvl>
  </w:abstractNum>
  <w:abstractNum w:abstractNumId="233">
    <w:nsid w:val="65BF9DA8"/>
    <w:multiLevelType w:val="hybridMultilevel"/>
    <w:lvl w:ilvl="0">
      <w:lvlJc w:val="left"/>
      <w:lvlText w:val="(%1)"/>
      <w:numFmt w:val="lowerLetter"/>
      <w:start w:val="35"/>
    </w:lvl>
    <w:lvl w:ilvl="1">
      <w:lvlJc w:val="left"/>
      <w:lvlText w:val="%2"/>
      <w:numFmt w:val="lowerLetter"/>
      <w:start w:val="1"/>
    </w:lvl>
  </w:abstractNum>
  <w:abstractNum w:abstractNumId="234">
    <w:nsid w:val="21A2ECCA"/>
    <w:multiLevelType w:val="hybridMultilevel"/>
    <w:lvl w:ilvl="0">
      <w:lvlJc w:val="left"/>
      <w:lvlText w:val="(%1)"/>
      <w:numFmt w:val="lowerLetter"/>
      <w:start w:val="2"/>
    </w:lvl>
  </w:abstractNum>
  <w:abstractNum w:abstractNumId="235">
    <w:nsid w:val="4D5C4899"/>
    <w:multiLevelType w:val="hybridMultilevel"/>
    <w:lvl w:ilvl="0">
      <w:lvlJc w:val="left"/>
      <w:lvlText w:val="(%1)"/>
      <w:numFmt w:val="lowerLetter"/>
      <w:start w:val="1"/>
    </w:lvl>
  </w:abstractNum>
  <w:abstractNum w:abstractNumId="236">
    <w:nsid w:val="3C3B72B2"/>
    <w:multiLevelType w:val="hybridMultilevel"/>
    <w:lvl w:ilvl="0">
      <w:lvlJc w:val="left"/>
      <w:lvlText w:val="(%1)"/>
      <w:numFmt w:val="lowerLetter"/>
      <w:start w:val="2"/>
    </w:lvl>
  </w:abstractNum>
  <w:abstractNum w:abstractNumId="237">
    <w:nsid w:val="155EC4C2"/>
    <w:multiLevelType w:val="hybridMultilevel"/>
    <w:lvl w:ilvl="0">
      <w:lvlJc w:val="left"/>
      <w:lvlText w:val="(%1)"/>
      <w:numFmt w:val="lowerLetter"/>
      <w:start w:val="1"/>
    </w:lvl>
  </w:abstractNum>
  <w:abstractNum w:abstractNumId="238">
    <w:nsid w:val="65D2A137"/>
    <w:multiLevelType w:val="hybridMultilevel"/>
    <w:lvl w:ilvl="0">
      <w:lvlJc w:val="left"/>
      <w:lvlText w:val="(%1)"/>
      <w:numFmt w:val="lowerLetter"/>
      <w:start w:val="2"/>
    </w:lvl>
  </w:abstractNum>
  <w:abstractNum w:abstractNumId="239">
    <w:nsid w:val="6EBB1F2A"/>
    <w:multiLevelType w:val="hybridMultilevel"/>
    <w:lvl w:ilvl="0">
      <w:lvlJc w:val="left"/>
      <w:lvlText w:val="(%1)"/>
      <w:numFmt w:val="lowerLetter"/>
      <w:start w:val="1"/>
    </w:lvl>
  </w:abstractNum>
  <w:abstractNum w:abstractNumId="240">
    <w:nsid w:val="6FBF29CB"/>
    <w:multiLevelType w:val="hybridMultilevel"/>
    <w:lvl w:ilvl="0">
      <w:lvlJc w:val="left"/>
      <w:lvlText w:val="(%1)"/>
      <w:numFmt w:val="lowerLetter"/>
      <w:start w:val="4"/>
    </w:lvl>
  </w:abstractNum>
  <w:abstractNum w:abstractNumId="241">
    <w:nsid w:val="550B8808"/>
    <w:multiLevelType w:val="hybridMultilevel"/>
    <w:lvl w:ilvl="0">
      <w:lvlJc w:val="left"/>
      <w:lvlText w:val="(%1)"/>
      <w:numFmt w:val="lowerLetter"/>
      <w:start w:val="1"/>
    </w:lvl>
    <w:lvl w:ilvl="1">
      <w:lvlJc w:val="left"/>
      <w:lvlText w:val="(%2)"/>
      <w:numFmt w:val="lowerRoman"/>
      <w:start w:val="1"/>
    </w:lvl>
  </w:abstractNum>
  <w:abstractNum w:abstractNumId="242">
    <w:nsid w:val="34CC3ACF"/>
    <w:multiLevelType w:val="hybridMultilevel"/>
    <w:lvl w:ilvl="0">
      <w:lvlJc w:val="left"/>
      <w:lvlText w:val="%1"/>
      <w:numFmt w:val="decimal"/>
      <w:start w:val="1"/>
    </w:lvl>
    <w:lvl w:ilvl="1">
      <w:lvlJc w:val="left"/>
      <w:lvlText w:val="(%2)"/>
      <w:numFmt w:val="lowerRoman"/>
      <w:start w:val="4"/>
    </w:lvl>
  </w:abstractNum>
  <w:abstractNum w:abstractNumId="243">
    <w:nsid w:val="4E556261"/>
    <w:multiLevelType w:val="hybridMultilevel"/>
    <w:lvl w:ilvl="0">
      <w:lvlJc w:val="left"/>
      <w:lvlText w:val="(%1)"/>
      <w:numFmt w:val="decimal"/>
      <w:start w:val="1"/>
    </w:lvl>
    <w:lvl w:ilvl="1">
      <w:lvlJc w:val="left"/>
      <w:lvlText w:val="%2"/>
      <w:numFmt w:val="lowerRoman"/>
      <w:start w:val="1"/>
    </w:lvl>
  </w:abstractNum>
  <w:abstractNum w:abstractNumId="244">
    <w:nsid w:val="4C672FC9"/>
    <w:multiLevelType w:val="hybridMultilevel"/>
    <w:lvl w:ilvl="0">
      <w:lvlJc w:val="left"/>
      <w:lvlText w:val="(%1)"/>
      <w:numFmt w:val="decimal"/>
      <w:start w:val="3"/>
    </w:lvl>
    <w:lvl w:ilvl="1">
      <w:lvlJc w:val="left"/>
      <w:lvlText w:val="(%2)"/>
      <w:numFmt w:val="lowerRoman"/>
      <w:start w:val="5"/>
    </w:lvl>
  </w:abstractNum>
  <w:abstractNum w:abstractNumId="245">
    <w:nsid w:val="52A311C3"/>
    <w:multiLevelType w:val="hybridMultilevel"/>
    <w:lvl w:ilvl="0">
      <w:lvlJc w:val="left"/>
      <w:lvlText w:val="(%1)"/>
      <w:numFmt w:val="lowerRoman"/>
      <w:start w:val="7"/>
    </w:lvl>
  </w:abstractNum>
  <w:abstractNum w:abstractNumId="246">
    <w:nsid w:val="44EF6B80"/>
    <w:multiLevelType w:val="hybridMultilevel"/>
    <w:lvl w:ilvl="0">
      <w:lvlJc w:val="left"/>
      <w:lvlText w:val="(%1)"/>
      <w:numFmt w:val="lowerRoman"/>
      <w:start w:val="15"/>
    </w:lvl>
  </w:abstractNum>
  <w:abstractNum w:abstractNumId="247">
    <w:nsid w:val="12FCDE5E"/>
    <w:multiLevelType w:val="hybridMultilevel"/>
    <w:lvl w:ilvl="0">
      <w:lvlJc w:val="left"/>
      <w:lvlText w:val="(%1)"/>
      <w:numFmt w:val="lowerRoman"/>
      <w:start w:val="24"/>
    </w:lvl>
  </w:abstractNum>
  <w:abstractNum w:abstractNumId="248">
    <w:nsid w:val="4A1D606E"/>
    <w:multiLevelType w:val="hybridMultilevel"/>
    <w:lvl w:ilvl="0">
      <w:lvlJc w:val="left"/>
      <w:lvlText w:val="(%1)"/>
      <w:numFmt w:val="lowerLetter"/>
      <w:start w:val="3"/>
    </w:lvl>
  </w:abstractNum>
  <w:abstractNum w:abstractNumId="249">
    <w:nsid w:val="4382503"/>
    <w:multiLevelType w:val="hybridMultilevel"/>
    <w:lvl w:ilvl="0">
      <w:lvlJc w:val="left"/>
      <w:lvlText w:val="(%1)"/>
      <w:numFmt w:val="lowerRoman"/>
      <w:start w:val="1"/>
    </w:lvl>
  </w:abstractNum>
  <w:abstractNum w:abstractNumId="250">
    <w:nsid w:val="59B76E28"/>
    <w:multiLevelType w:val="hybridMultilevel"/>
    <w:lvl w:ilvl="0">
      <w:lvlJc w:val="left"/>
      <w:lvlText w:val="(%1)"/>
      <w:numFmt w:val="lowerRoman"/>
      <w:start w:val="6"/>
    </w:lvl>
  </w:abstractNum>
  <w:abstractNum w:abstractNumId="251">
    <w:nsid w:val="4252C2DA"/>
    <w:multiLevelType w:val="hybridMultilevel"/>
    <w:lvl w:ilvl="0">
      <w:lvlJc w:val="left"/>
      <w:lvlText w:val="(%1)"/>
      <w:numFmt w:val="lowerLetter"/>
      <w:start w:val="1"/>
    </w:lvl>
  </w:abstractNum>
  <w:abstractNum w:abstractNumId="252">
    <w:nsid w:val="6A92EF4C"/>
    <w:multiLevelType w:val="hybridMultilevel"/>
    <w:lvl w:ilvl="0">
      <w:lvlJc w:val="left"/>
      <w:lvlText w:val="%1"/>
      <w:numFmt w:val="lowerLetter"/>
      <w:start w:val="1"/>
    </w:lvl>
    <w:lvl w:ilvl="1">
      <w:lvlJc w:val="left"/>
      <w:lvlText w:val="(%2)"/>
      <w:numFmt w:val="lowerLetter"/>
      <w:start w:val="2"/>
    </w:lvl>
  </w:abstractNum>
  <w:abstractNum w:abstractNumId="253">
    <w:nsid w:val="41ED20D7"/>
    <w:multiLevelType w:val="hybridMultilevel"/>
    <w:lvl w:ilvl="0">
      <w:lvlJc w:val="left"/>
      <w:lvlText w:val="(%1)"/>
      <w:numFmt w:val="lowerLetter"/>
      <w:start w:val="35"/>
    </w:lvl>
    <w:lvl w:ilvl="1">
      <w:lvlJc w:val="left"/>
      <w:lvlText w:val="%2"/>
      <w:numFmt w:val="lowerLetter"/>
      <w:start w:val="1"/>
    </w:lvl>
  </w:abstractNum>
  <w:abstractNum w:abstractNumId="254">
    <w:nsid w:val="E6B3F6A"/>
    <w:multiLevelType w:val="hybridMultilevel"/>
    <w:lvl w:ilvl="0">
      <w:lvlJc w:val="left"/>
      <w:lvlText w:val="(%1)"/>
      <w:numFmt w:val="lowerLetter"/>
      <w:start w:val="35"/>
    </w:lvl>
    <w:lvl w:ilvl="1">
      <w:lvlJc w:val="left"/>
      <w:lvlText w:val="(%2)"/>
      <w:numFmt w:val="lowerLetter"/>
      <w:start w:val="3"/>
    </w:lvl>
  </w:abstractNum>
  <w:abstractNum w:abstractNumId="255">
    <w:nsid w:val="3EB21819"/>
    <w:multiLevelType w:val="hybridMultilevel"/>
    <w:lvl w:ilvl="0">
      <w:lvlJc w:val="left"/>
      <w:lvlText w:val="(%1)"/>
      <w:numFmt w:val="lowerLetter"/>
      <w:start w:val="4"/>
    </w:lvl>
  </w:abstractNum>
  <w:abstractNum w:abstractNumId="256">
    <w:nsid w:val="41531DED"/>
    <w:multiLevelType w:val="hybridMultilevel"/>
    <w:lvl w:ilvl="0">
      <w:lvlJc w:val="left"/>
      <w:lvlText w:val="(%1)"/>
      <w:numFmt w:val="lowerLetter"/>
      <w:start w:val="7"/>
    </w:lvl>
  </w:abstractNum>
  <w:abstractNum w:abstractNumId="257">
    <w:nsid w:val="6353CD2"/>
    <w:multiLevelType w:val="hybridMultilevel"/>
    <w:lvl w:ilvl="0">
      <w:lvlJc w:val="left"/>
      <w:lvlText w:val="(%1)"/>
      <w:numFmt w:val="lowerLetter"/>
      <w:start w:val="1"/>
    </w:lvl>
  </w:abstractNum>
  <w:abstractNum w:abstractNumId="258">
    <w:nsid w:val="683CAAD3"/>
    <w:multiLevelType w:val="hybridMultilevel"/>
    <w:lvl w:ilvl="0">
      <w:lvlJc w:val="left"/>
      <w:lvlText w:val="(%1)"/>
      <w:numFmt w:val="lowerLetter"/>
      <w:start w:val="1"/>
    </w:lvl>
  </w:abstractNum>
  <w:abstractNum w:abstractNumId="259">
    <w:nsid w:val="313C7C99"/>
    <w:multiLevelType w:val="hybridMultilevel"/>
    <w:lvl w:ilvl="0">
      <w:lvlJc w:val="left"/>
      <w:lvlText w:val="(%1)"/>
      <w:numFmt w:val="lowerLetter"/>
      <w:start w:val="2"/>
    </w:lvl>
    <w:lvl w:ilvl="1">
      <w:lvlJc w:val="left"/>
      <w:lvlText w:val="(%2)"/>
      <w:numFmt w:val="lowerRoman"/>
      <w:start w:val="1"/>
    </w:lvl>
  </w:abstractNum>
  <w:abstractNum w:abstractNumId="260">
    <w:nsid w:val="519EB94C"/>
    <w:multiLevelType w:val="hybridMultilevel"/>
    <w:lvl w:ilvl="0">
      <w:lvlJc w:val="left"/>
      <w:lvlText w:val="%1"/>
      <w:numFmt w:val="lowerLetter"/>
      <w:start w:val="1"/>
    </w:lvl>
    <w:lvl w:ilvl="1">
      <w:lvlJc w:val="left"/>
      <w:lvlText w:val="(%2)"/>
      <w:numFmt w:val="lowerRoman"/>
      <w:start w:val="7"/>
    </w:lvl>
  </w:abstractNum>
  <w:abstractNum w:abstractNumId="261">
    <w:nsid w:val="39DF2579"/>
    <w:multiLevelType w:val="hybridMultilevel"/>
    <w:lvl w:ilvl="0">
      <w:lvlJc w:val="left"/>
      <w:lvlText w:val="(%1)"/>
      <w:numFmt w:val="lowerLetter"/>
      <w:start w:val="3"/>
    </w:lvl>
    <w:lvl w:ilvl="1">
      <w:lvlJc w:val="left"/>
      <w:lvlText w:val="%2"/>
      <w:numFmt w:val="lowerRoman"/>
      <w:start w:val="1"/>
    </w:lvl>
  </w:abstractNum>
  <w:abstractNum w:abstractNumId="262">
    <w:nsid w:val="126E008B"/>
    <w:multiLevelType w:val="hybridMultilevel"/>
    <w:lvl w:ilvl="0">
      <w:lvlJc w:val="left"/>
      <w:lvlText w:val="(%1)"/>
      <w:numFmt w:val="lowerLetter"/>
      <w:start w:val="6"/>
    </w:lvl>
  </w:abstractNum>
  <w:abstractNum w:abstractNumId="263">
    <w:nsid w:val="34DFBC00"/>
    <w:multiLevelType w:val="hybridMultilevel"/>
    <w:lvl w:ilvl="0">
      <w:lvlJc w:val="left"/>
      <w:lvlText w:val="(%1)"/>
      <w:numFmt w:val="lowerLetter"/>
      <w:start w:val="1"/>
    </w:lvl>
  </w:abstractNum>
  <w:abstractNum w:abstractNumId="264">
    <w:nsid w:val="1F9EC322"/>
    <w:multiLevelType w:val="hybridMultilevel"/>
    <w:lvl w:ilvl="0">
      <w:lvlJc w:val="left"/>
      <w:lvlText w:val="(%1)"/>
      <w:numFmt w:val="lowerLetter"/>
      <w:start w:val="2"/>
    </w:lvl>
  </w:abstractNum>
  <w:abstractNum w:abstractNumId="265">
    <w:nsid w:val="3410ED56"/>
    <w:multiLevelType w:val="hybridMultilevel"/>
    <w:lvl w:ilvl="0">
      <w:lvlJc w:val="left"/>
      <w:lvlText w:val="(%1)"/>
      <w:numFmt w:val="lowerLetter"/>
      <w:start w:val="1"/>
    </w:lvl>
  </w:abstractNum>
  <w:abstractNum w:abstractNumId="266">
    <w:nsid w:val="23C049A"/>
    <w:multiLevelType w:val="hybridMultilevel"/>
    <w:lvl w:ilvl="0">
      <w:lvlJc w:val="left"/>
      <w:lvlText w:val="(%1)"/>
      <w:numFmt w:val="lowerLetter"/>
      <w:start w:val="2"/>
    </w:lvl>
  </w:abstractNum>
  <w:abstractNum w:abstractNumId="267">
    <w:nsid w:val="5BDA35D4"/>
    <w:multiLevelType w:val="hybridMultilevel"/>
    <w:lvl w:ilvl="0">
      <w:lvlJc w:val="left"/>
      <w:lvlText w:val="(%1)"/>
      <w:numFmt w:val="lowerLetter"/>
      <w:start w:val="1"/>
    </w:lvl>
  </w:abstractNum>
  <w:abstractNum w:abstractNumId="268">
    <w:nsid w:val="496FB218"/>
    <w:multiLevelType w:val="hybridMultilevel"/>
    <w:lvl w:ilvl="0">
      <w:lvlJc w:val="left"/>
      <w:lvlText w:val="(%1)"/>
      <w:numFmt w:val="lowerLetter"/>
      <w:start w:val="1"/>
    </w:lvl>
  </w:abstractNum>
  <w:abstractNum w:abstractNumId="269">
    <w:nsid w:val="680EA5D1"/>
    <w:multiLevelType w:val="hybridMultilevel"/>
    <w:lvl w:ilvl="0">
      <w:lvlJc w:val="left"/>
      <w:lvlText w:val="(%1)"/>
      <w:numFmt w:val="lowerLetter"/>
      <w:start w:val="2"/>
    </w:lvl>
  </w:abstractNum>
  <w:abstractNum w:abstractNumId="270">
    <w:nsid w:val="4A9554FE"/>
    <w:multiLevelType w:val="hybridMultilevel"/>
    <w:lvl w:ilvl="0">
      <w:lvlJc w:val="left"/>
      <w:lvlText w:val="(%1)"/>
      <w:numFmt w:val="lowerLetter"/>
      <w:start w:val="1"/>
    </w:lvl>
  </w:abstractNum>
  <w:abstractNum w:abstractNumId="271">
    <w:nsid w:val="392EDBE4"/>
    <w:multiLevelType w:val="hybridMultilevel"/>
    <w:lvl w:ilvl="0">
      <w:lvlJc w:val="left"/>
      <w:lvlText w:val="(%1)"/>
      <w:numFmt w:val="lowerLetter"/>
      <w:start w:val="1"/>
    </w:lvl>
  </w:abstractNum>
  <w:abstractNum w:abstractNumId="272">
    <w:nsid w:val="3D1A2DD9"/>
    <w:multiLevelType w:val="hybridMultilevel"/>
    <w:lvl w:ilvl="0">
      <w:lvlJc w:val="left"/>
      <w:lvlText w:val="(%1)"/>
      <w:numFmt w:val="lowerLetter"/>
      <w:start w:val="2"/>
    </w:lvl>
  </w:abstractNum>
  <w:abstractNum w:abstractNumId="273">
    <w:nsid w:val="7F618FCD"/>
    <w:multiLevelType w:val="hybridMultilevel"/>
    <w:lvl w:ilvl="0">
      <w:lvlJc w:val="left"/>
      <w:lvlText w:val="(%1)"/>
      <w:numFmt w:val="lowerLetter"/>
      <w:start w:val="1"/>
    </w:lvl>
  </w:abstractNum>
  <w:abstractNum w:abstractNumId="274">
    <w:nsid w:val="7843E45"/>
    <w:multiLevelType w:val="hybridMultilevel"/>
    <w:lvl w:ilvl="0">
      <w:lvlJc w:val="left"/>
      <w:lvlText w:val="(%1)"/>
      <w:numFmt w:val="lowerLetter"/>
      <w:start w:val="1"/>
    </w:lvl>
  </w:abstractNum>
  <w:abstractNum w:abstractNumId="275">
    <w:nsid w:val="9815DA3"/>
    <w:multiLevelType w:val="hybridMultilevel"/>
    <w:lvl w:ilvl="0">
      <w:lvlJc w:val="left"/>
      <w:lvlText w:val="(%1)"/>
      <w:numFmt w:val="lowerLetter"/>
      <w:start w:val="1"/>
    </w:lvl>
    <w:lvl w:ilvl="1">
      <w:lvlJc w:val="left"/>
      <w:lvlText w:val="(%2)"/>
      <w:numFmt w:val="lowerRoman"/>
      <w:start w:val="1"/>
    </w:lvl>
  </w:abstractNum>
  <w:abstractNum w:abstractNumId="276">
    <w:nsid w:val="5204A191"/>
    <w:multiLevelType w:val="hybridMultilevel"/>
    <w:lvl w:ilvl="0">
      <w:lvlJc w:val="left"/>
      <w:lvlText w:val="(%1)"/>
      <w:numFmt w:val="lowerLetter"/>
      <w:start w:val="3"/>
    </w:lvl>
  </w:abstractNum>
  <w:abstractNum w:abstractNumId="277">
    <w:nsid w:val="4C73A9C6"/>
    <w:multiLevelType w:val="hybridMultilevel"/>
    <w:lvl w:ilvl="0">
      <w:lvlJc w:val="left"/>
      <w:lvlText w:val="(%1)"/>
      <w:numFmt w:val="lowerLetter"/>
      <w:start w:val="6"/>
    </w:lvl>
  </w:abstractNum>
  <w:abstractNum w:abstractNumId="278">
    <w:nsid w:val="1C7E3C01"/>
    <w:multiLevelType w:val="hybridMultilevel"/>
    <w:lvl w:ilvl="0">
      <w:lvlJc w:val="left"/>
      <w:lvlText w:val="(%1)"/>
      <w:numFmt w:val="lowerLetter"/>
      <w:start w:val="2"/>
    </w:lvl>
  </w:abstractNum>
  <w:abstractNum w:abstractNumId="279">
    <w:nsid w:val="1C2201FF"/>
    <w:multiLevelType w:val="hybridMultilevel"/>
    <w:lvl w:ilvl="0">
      <w:lvlJc w:val="left"/>
      <w:lvlText w:val="%1"/>
      <w:numFmt w:val="lowerLetter"/>
      <w:start w:val="1"/>
    </w:lvl>
    <w:lvl w:ilvl="1">
      <w:lvlJc w:val="left"/>
      <w:lvlText w:val="(%2)"/>
      <w:numFmt w:val="lowerLetter"/>
      <w:start w:val="1"/>
    </w:lvl>
  </w:abstractNum>
  <w:abstractNum w:abstractNumId="280">
    <w:nsid w:val="50ABCEC9"/>
    <w:multiLevelType w:val="hybridMultilevel"/>
    <w:lvl w:ilvl="0">
      <w:lvlJc w:val="left"/>
      <w:lvlText w:val="(%1)"/>
      <w:numFmt w:val="lowerLetter"/>
      <w:start w:val="35"/>
    </w:lvl>
    <w:lvl w:ilvl="1">
      <w:lvlJc w:val="left"/>
      <w:lvlText w:val="(%2)"/>
      <w:numFmt w:val="lowerLetter"/>
      <w:start w:val="3"/>
    </w:lvl>
  </w:abstractNum>
  <w:abstractNum w:abstractNumId="281">
    <w:nsid w:val="7635AA2A"/>
    <w:multiLevelType w:val="hybridMultilevel"/>
    <w:lvl w:ilvl="0">
      <w:lvlJc w:val="left"/>
      <w:lvlText w:val="(%1)"/>
      <w:numFmt w:val="lowerLetter"/>
      <w:start w:val="35"/>
    </w:lvl>
    <w:lvl w:ilvl="1">
      <w:lvlJc w:val="left"/>
      <w:lvlText w:val="%2"/>
      <w:numFmt w:val="lowerLetter"/>
      <w:start w:val="1"/>
    </w:lvl>
  </w:abstractNum>
  <w:abstractNum w:abstractNumId="282">
    <w:nsid w:val="5E74C4D9"/>
    <w:multiLevelType w:val="hybridMultilevel"/>
    <w:lvl w:ilvl="0">
      <w:lvlJc w:val="left"/>
      <w:lvlText w:val="(%1)"/>
      <w:numFmt w:val="lowerLetter"/>
      <w:start w:val="6"/>
    </w:lvl>
  </w:abstractNum>
  <w:abstractNum w:abstractNumId="283">
    <w:nsid w:val="3B3EBE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4">
    <w:nsid w:val="3822CB01"/>
    <w:multiLevelType w:val="hybridMultilevel"/>
    <w:lvl w:ilvl="0">
      <w:lvlJc w:val="left"/>
      <w:lvlText w:val="(%1)"/>
      <w:numFmt w:val="lowerLetter"/>
      <w:start w:val="3"/>
    </w:lvl>
    <w:lvl w:ilvl="1">
      <w:lvlJc w:val="left"/>
      <w:lvlText w:val="(%2)"/>
      <w:numFmt w:val="decimal"/>
      <w:start w:val="1"/>
    </w:lvl>
  </w:abstractNum>
  <w:abstractNum w:abstractNumId="285">
    <w:nsid w:val="6CE00443"/>
    <w:multiLevelType w:val="hybridMultilevel"/>
    <w:lvl w:ilvl="0">
      <w:lvlJc w:val="left"/>
      <w:lvlText w:val="(%1)"/>
      <w:numFmt w:val="lowerLetter"/>
      <w:start w:val="5"/>
    </w:lvl>
  </w:abstractNum>
  <w:abstractNum w:abstractNumId="286">
    <w:nsid w:val="79F0D62F"/>
    <w:multiLevelType w:val="hybridMultilevel"/>
    <w:lvl w:ilvl="0">
      <w:lvlJc w:val="left"/>
      <w:lvlText w:val="(%1)"/>
      <w:numFmt w:val="lowerLetter"/>
      <w:start w:val="8"/>
    </w:lvl>
  </w:abstractNum>
  <w:abstractNum w:abstractNumId="287">
    <w:nsid w:val="7975E8EE"/>
    <w:multiLevelType w:val="hybridMultilevel"/>
    <w:lvl w:ilvl="0">
      <w:lvlJc w:val="left"/>
      <w:lvlText w:val="*"/>
      <w:numFmt w:val="bullet"/>
      <w:start w:val="1"/>
    </w:lvl>
  </w:abstractNum>
  <w:abstractNum w:abstractNumId="288">
    <w:nsid w:val="73154115"/>
    <w:multiLevelType w:val="hybridMultilevel"/>
    <w:lvl w:ilvl="0">
      <w:lvlJc w:val="left"/>
      <w:lvlText w:val="(%1)"/>
      <w:numFmt w:val="decimal"/>
      <w:start w:val="1"/>
    </w:lvl>
    <w:lvl w:ilvl="1">
      <w:lvlJc w:val="left"/>
      <w:lvlText w:val="(%2)"/>
      <w:numFmt w:val="lowerRoman"/>
      <w:start w:val="1"/>
    </w:lvl>
  </w:abstractNum>
  <w:abstractNum w:abstractNumId="289">
    <w:nsid w:val="622D8102"/>
    <w:multiLevelType w:val="hybridMultilevel"/>
    <w:lvl w:ilvl="0">
      <w:lvlJc w:val="left"/>
      <w:lvlText w:val="(%1)"/>
      <w:numFmt w:val="lowerRoman"/>
      <w:start w:val="3"/>
    </w:lvl>
  </w:abstractNum>
  <w:abstractNum w:abstractNumId="290">
    <w:nsid w:val="2AB26587"/>
    <w:multiLevelType w:val="hybridMultilevel"/>
    <w:lvl w:ilvl="0">
      <w:lvlJc w:val="left"/>
      <w:lvlText w:val="(%1)"/>
      <w:numFmt w:val="decimal"/>
      <w:start w:val="1"/>
    </w:lvl>
  </w:abstractNum>
  <w:abstractNum w:abstractNumId="291">
    <w:nsid w:val="44B3FA61"/>
    <w:multiLevelType w:val="hybridMultilevel"/>
    <w:lvl w:ilvl="0">
      <w:lvlJc w:val="left"/>
      <w:lvlText w:val="*"/>
      <w:numFmt w:val="bullet"/>
      <w:start w:val="1"/>
    </w:lvl>
  </w:abstractNum>
  <w:abstractNum w:abstractNumId="292">
    <w:nsid w:val="1C0CA67C"/>
    <w:multiLevelType w:val="hybridMultilevel"/>
    <w:lvl w:ilvl="0">
      <w:lvlJc w:val="left"/>
      <w:lvlText w:val="%1."/>
      <w:numFmt w:val="decimal"/>
      <w:start w:val="1"/>
    </w:lvl>
  </w:abstractNum>
  <w:abstractNum w:abstractNumId="293">
    <w:nsid w:val="3D206613"/>
    <w:multiLevelType w:val="hybridMultilevel"/>
    <w:lvl w:ilvl="0">
      <w:lvlJc w:val="left"/>
      <w:lvlText w:val="A"/>
      <w:numFmt w:val="bullet"/>
      <w:start w:val="1"/>
    </w:lvl>
  </w:abstractNum>
  <w:abstractNum w:abstractNumId="294">
    <w:nsid w:val="7993B662"/>
    <w:multiLevelType w:val="hybridMultilevel"/>
    <w:lvl w:ilvl="0">
      <w:lvlJc w:val="left"/>
      <w:lvlText w:val="%1."/>
      <w:numFmt w:val="decimal"/>
      <w:start w:val="1"/>
    </w:lvl>
  </w:abstractNum>
  <w:abstractNum w:abstractNumId="295">
    <w:nsid w:val="3BAB699E"/>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2019-12-05T15:27:45Z</dcterms:created>
  <dcterms:modified xsi:type="dcterms:W3CDTF">2019-12-05T15:27:45Z</dcterms:modified>
</cp:coreProperties>
</file>