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jc w:val="right"/>
        <w:spacing w:after="0" w:line="235" w:lineRule="auto"/>
        <w:rPr>
          <w:sz w:val="20"/>
          <w:szCs w:val="20"/>
          <w:color w:val="auto"/>
        </w:rPr>
      </w:pPr>
      <w:r>
        <w:rPr>
          <w:rFonts w:ascii="Arial" w:cs="Arial" w:eastAsia="Arial" w:hAnsi="Arial"/>
          <w:sz w:val="18"/>
          <w:szCs w:val="18"/>
          <w:b w:val="1"/>
          <w:bCs w:val="1"/>
          <w:color w:val="auto"/>
        </w:rPr>
        <w:t>Filer’s SEC File No.: 001-38441</w:t>
      </w:r>
    </w:p>
    <w:p>
      <w:pPr>
        <w:jc w:val="right"/>
        <w:spacing w:after="0"/>
        <w:rPr>
          <w:sz w:val="20"/>
          <w:szCs w:val="20"/>
          <w:color w:val="auto"/>
        </w:rPr>
      </w:pPr>
      <w:r>
        <w:rPr>
          <w:rFonts w:ascii="Arial" w:cs="Arial" w:eastAsia="Arial" w:hAnsi="Arial"/>
          <w:sz w:val="18"/>
          <w:szCs w:val="18"/>
          <w:b w:val="1"/>
          <w:bCs w:val="1"/>
          <w:color w:val="auto"/>
        </w:rPr>
        <w:t>Date: July 19, 2024</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SLB Announces Second-Quarter 2024 Results</w:t>
      </w:r>
    </w:p>
    <w:p>
      <w:pPr>
        <w:spacing w:after="0" w:line="117"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$9.14 billion increased 5% sequentially and 13%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EPS of $0.77 increased 4% sequentially and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EPS, excluding charges and credits, of $0.85 increased 13% sequentially and 18%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attributable to SLB of $1.11 billion increased 4% sequentially and 8%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EBITDA of $2.29 billion increased 11% sequentially and 17%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flow from operations was $1.44 billion and free cash flow was $776 million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approved quarterly cash dividend of $0.275 per share</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LONDON, July 19, 2024—</w:t>
      </w:r>
      <w:r>
        <w:rPr>
          <w:rFonts w:ascii="Arial" w:cs="Arial" w:eastAsia="Arial" w:hAnsi="Arial"/>
          <w:sz w:val="18"/>
          <w:szCs w:val="18"/>
          <w:color w:val="auto"/>
        </w:rPr>
        <w:t>SLB (NYSE: SLB) today announced results for the second-quarter 2024.</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Second-Quarter Results</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 except per share amounts)</w:t>
            </w:r>
          </w:p>
        </w:tc>
      </w:tr>
      <w:tr>
        <w:trPr>
          <w:trHeight w:val="171"/>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340" w:type="dxa"/>
            <w:vAlign w:val="bottom"/>
          </w:tcPr>
          <w:p>
            <w:pPr>
              <w:spacing w:after="0"/>
              <w:rPr>
                <w:sz w:val="12"/>
                <w:szCs w:val="12"/>
                <w:color w:val="auto"/>
              </w:rPr>
            </w:pPr>
          </w:p>
        </w:tc>
        <w:tc>
          <w:tcPr>
            <w:tcW w:w="94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220" w:type="dxa"/>
            <w:vAlign w:val="bottom"/>
          </w:tcPr>
          <w:p>
            <w:pPr>
              <w:spacing w:after="0"/>
              <w:rPr>
                <w:sz w:val="12"/>
                <w:szCs w:val="12"/>
                <w:color w:val="auto"/>
              </w:rPr>
            </w:pPr>
          </w:p>
        </w:tc>
        <w:tc>
          <w:tcPr>
            <w:tcW w:w="1140" w:type="dxa"/>
            <w:vAlign w:val="bottom"/>
            <w:gridSpan w:val="3"/>
          </w:tcPr>
          <w:p>
            <w:pPr>
              <w:jc w:val="center"/>
              <w:ind w:right="580"/>
              <w:spacing w:after="0" w:line="147" w:lineRule="exact"/>
              <w:rPr>
                <w:sz w:val="20"/>
                <w:szCs w:val="20"/>
                <w:color w:val="auto"/>
              </w:rPr>
            </w:pPr>
            <w:r>
              <w:rPr>
                <w:rFonts w:ascii="Arial" w:cs="Arial" w:eastAsia="Arial" w:hAnsi="Arial"/>
                <w:sz w:val="14"/>
                <w:szCs w:val="14"/>
                <w:color w:val="auto"/>
              </w:rPr>
              <w:t>Mar. 31,</w:t>
            </w: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rPr>
              <w:t>2024</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Sequential</w:t>
            </w:r>
          </w:p>
        </w:tc>
        <w:tc>
          <w:tcPr>
            <w:tcW w:w="3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9,139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8,707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8,099</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1,421</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1,357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1,293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1,112</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1,068</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1,033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tcPr>
          <w:p>
            <w:pPr>
              <w:jc w:val="center"/>
              <w:ind w:left="292"/>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0.77</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99"/>
              </w:rPr>
              <w:t>7%</w:t>
            </w:r>
          </w:p>
        </w:tc>
      </w:tr>
      <w:tr>
        <w:trPr>
          <w:trHeight w:val="310"/>
        </w:trPr>
        <w:tc>
          <w:tcPr>
            <w:tcW w:w="43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2,288</w:t>
            </w:r>
          </w:p>
        </w:tc>
        <w:tc>
          <w:tcPr>
            <w:tcW w:w="3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2,057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1,962</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11%</w:t>
            </w:r>
          </w:p>
        </w:tc>
        <w:tc>
          <w:tcPr>
            <w:tcW w:w="19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17%</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142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81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1,854</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1,649</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1,581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17%</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20.3%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135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76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1,224</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1,082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1,033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19%</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0.85</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18%</w:t>
            </w:r>
          </w:p>
        </w:tc>
      </w:tr>
      <w:tr>
        <w:trPr>
          <w:trHeight w:val="310"/>
        </w:trPr>
        <w:tc>
          <w:tcPr>
            <w:tcW w:w="43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7,452</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7,056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6,297</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92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18%</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1,644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1,598</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1,746</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56</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10"/>
        </w:trPr>
        <w:tc>
          <w:tcPr>
            <w:tcW w:w="4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9,139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8,707</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8,099</w:t>
            </w:r>
          </w:p>
        </w:tc>
        <w:tc>
          <w:tcPr>
            <w:tcW w:w="5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3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13%</w:t>
            </w: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229"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1,050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3,411</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3,025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9,139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8,707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8,099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322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742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731</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278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18%</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1,854</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1,581</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34.0%</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435 bps</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-304 bps</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125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0 bps</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146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361 bps</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135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76 bps</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international second-quarter 2024 revenue increased 11% year on year; and Production Systems second-quarter 2024 revenue increased 10% year on year.</w:t>
      </w:r>
    </w:p>
    <w:p>
      <w:pPr>
        <w:spacing w:after="0" w:line="201" w:lineRule="exact"/>
        <w:rPr>
          <w:sz w:val="20"/>
          <w:szCs w:val="20"/>
          <w:color w:val="auto"/>
        </w:rPr>
      </w:pPr>
    </w:p>
    <w:p>
      <w:pPr>
        <w:ind w:left="4" w:right="1640" w:hanging="4"/>
        <w:spacing w:after="0" w:line="522"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“Divisions” and Supplementary Information for details. n/m = not meaningful</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Broad-Based Growth Driven by the International Markets</w:t>
      </w:r>
    </w:p>
    <w:p>
      <w:pPr>
        <w:spacing w:after="0" w:line="104" w:lineRule="exact"/>
        <w:rPr>
          <w:sz w:val="20"/>
          <w:szCs w:val="20"/>
          <w:color w:val="auto"/>
        </w:rPr>
      </w:pPr>
    </w:p>
    <w:p>
      <w:pPr>
        <w:ind w:left="4" w:right="200"/>
        <w:spacing w:after="0" w:line="244" w:lineRule="auto"/>
        <w:rPr>
          <w:sz w:val="20"/>
          <w:szCs w:val="20"/>
          <w:color w:val="auto"/>
        </w:rPr>
      </w:pPr>
      <w:r>
        <w:rPr>
          <w:rFonts w:ascii="Arial" w:cs="Arial" w:eastAsia="Arial" w:hAnsi="Arial"/>
          <w:sz w:val="18"/>
          <w:szCs w:val="18"/>
          <w:color w:val="auto"/>
        </w:rPr>
        <w:t>SLB CEO Olivier Le Peuch commented, “We achieved solid second-quarter results, with broad-based international revenue growth and margin expansion across all Divisions. Our Core business continued to build on its positive momentum and our digital business accelerated, resulting in our highest quarterly international revenue since 2014. These results demonstrate SLB’s strong position in key, resilient markets, as we continue to benefit from elevated activity in the Middle East &amp; Asia, particularly in gas, and our clients’ increased investments in deepwater basins, exploration, and digital.</w:t>
      </w:r>
    </w:p>
    <w:p>
      <w:pPr>
        <w:spacing w:after="0" w:line="176"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“Sequentially, revenue grew 5%, led by the Middle East &amp; Asia, which increased 6%. The increase in this area was driven by capacity expansions, gas development projects, and production and recovery, with a majority of GeoUnits in the area achieving record revenue. We also continued to benefit from our enhanced offshore exposure, particularly in deepwater basins across Latin America, Europe &amp; Africa, and in the US Gulf of Mexico.</w:t>
      </w:r>
    </w:p>
    <w:p>
      <w:pPr>
        <w:sectPr>
          <w:pgSz w:w="11900" w:h="16838" w:orient="portrait"/>
          <w:cols w:equalWidth="0" w:num="1">
            <w:col w:w="11024"/>
          </w:cols>
          <w:pgMar w:left="436" w:top="27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Production Systems, Reservoir Performance, and Digital Lead the Way</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Core Divisions—Reservoir Performance, Well Construction, and Production Systems—grew combined revenue by 4% sequentially and expanded pretax segment operating margin by 120 basis points (bps). This strong performance was driven by the international markets, where revenue once again reached a new cycle high.</w:t>
      </w:r>
    </w:p>
    <w:p>
      <w:pPr>
        <w:spacing w:after="0" w:line="16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“Sequentially, Production Systems grew by 7% and Reservoir Performance increased by 5%, with growth led by subsea production systems and with artificial lift, valves, surface production systems, intervention, and stimulation each posting their highest quarterly revenue of the cycle. This was the result of strong activity in Europe &amp; Africa, Latin America, and the Middle East &amp; Asia, stemming from the combination of long-cycle development activity and the acceleration of production and recovery investments. Meanwhile, Well Construction also grew sequentially with measurements and fluids each posting cycle-high quarterly revenue. This was supported by land activity and offshore developments in the Middle East &amp; Asia and Latin America, partially offset by lower drilling in US land.</w:t>
      </w:r>
    </w:p>
    <w:p>
      <w:pPr>
        <w:spacing w:after="0" w:line="1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“Our Digital &amp; Integration Division also performed well, with revenue increasing 10% sequentially. This was entirely driven by high-margin growth in digital, where revenue reached a new quarterly high and remains on track to achieve our high-teens growth ambition for the full year. Our strong results were fueled by exploration data license sales and the increased adoption of our Cloud, AI, and Edge technology platforms.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“Overall, our financial performance in the second quarter was strong as our adjusted EBITDA margin expanded 142 bps sequentially, cash flow from operations was $1.44 billion, and free cash flow was $776 million.</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“Additionally, during the first half of the year, we returned $1.49 billion to shareholders through stock repurchases and dividends, and we are on track to return $3.0 billion to shareholders in 2024.</w:t>
      </w:r>
    </w:p>
    <w:p>
      <w:pPr>
        <w:spacing w:after="0" w:line="15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“Thank you to the SLB team for delivering such a strong performance this quarter. I look forward to building on these positive results throughout the rest of the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Margins with Further Opportunities Ahead</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“Throughout the cycle, SLB has consistently achieved industry-leading financial results by leveraging our differentiated operating footprint and leading technical and digital offerings. As we continue to navigate this cycle, we are poised to capture quality revenue growth and unlock further margin expansion through increased technology deployment and digital adoption, as well as a heightened focus on operating efficiency and the optimization of our support structure.</w:t>
      </w:r>
    </w:p>
    <w:p>
      <w:pPr>
        <w:spacing w:after="0" w:line="174" w:lineRule="exact"/>
        <w:rPr>
          <w:sz w:val="20"/>
          <w:szCs w:val="20"/>
          <w:color w:val="auto"/>
        </w:rPr>
      </w:pPr>
    </w:p>
    <w:p>
      <w:pPr>
        <w:jc w:val="both"/>
        <w:ind w:right="300"/>
        <w:spacing w:after="0" w:line="301" w:lineRule="auto"/>
        <w:rPr>
          <w:sz w:val="20"/>
          <w:szCs w:val="20"/>
          <w:color w:val="auto"/>
        </w:rPr>
      </w:pPr>
      <w:r>
        <w:rPr>
          <w:rFonts w:ascii="Arial" w:cs="Arial" w:eastAsia="Arial" w:hAnsi="Arial"/>
          <w:sz w:val="17"/>
          <w:szCs w:val="17"/>
          <w:color w:val="auto"/>
        </w:rPr>
        <w:t>“Looking ahead to the second half of the year, we expect ongoing momentum in the international markets, strong digital sales, and our cost efficiency programs will enable us to expand margins and deliver our ambition to grow full-year adjusted EBITDA in the mid-teens.</w:t>
      </w:r>
    </w:p>
    <w:p>
      <w:pPr>
        <w:sectPr>
          <w:pgSz w:w="11900" w:h="16838" w:orient="portrait"/>
          <w:cols w:equalWidth="0" w:num="1">
            <w:col w:w="11000"/>
          </w:cols>
          <w:pgMar w:left="440" w:top="269" w:right="459" w:bottom="1440" w:gutter="0" w:footer="0" w:header="0"/>
        </w:sectPr>
      </w:pPr>
    </w:p>
    <w:bookmarkStart w:id="3" w:name="page4"/>
    <w:bookmarkEnd w:id="3"/>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“Beyond 2024, the fundamentals of this cycle remain in place, and there is a long tailwind of growth opportunities, including long-cycle gas and deepwater projects, production and recovery activity, and the secular trends of digital and decarbonization. This represents a strong backdrop to continue our margin expansion and cash generation journey.</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strategy across our three engines of growth—Core, Digital, and New Energy—is built to harness each of these opportunities, and we are only becoming stronger through our elevated digital offerings, the additional capabilities of OneSubsea, and the announced pending acquisition of ChampionX. </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business environment favors SLB’s strengths. With our continued performance and ongoing emphasis on capital discipline and cost efficiency, we remain well positioned to outperform the market and deliver on our commitment to returns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quarter, SLB repurchased 9.9 million shares of its common stock for a total purchase price of $465 million. For the first half of the year, SLB repurchased a total of 15.3 million shares of its common stock for a total purchase price of $735 million.</w:t>
      </w:r>
    </w:p>
    <w:p>
      <w:pPr>
        <w:spacing w:after="0" w:line="15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On May 29, 2024, SLB issued $500 million of 5.000% Senior Notes due 2027, $500 million of 5.000% Senior Notes due 2029, and $500 million of 5.000% Senior Notes due 2034.</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14, 2024, SLB and Aker Carbon Capture (ACC) announced the closing of their previously announced joint venture. The new company combines technology portfolios, expertise, and operations platforms to support accelerated carbon capture adoption for industrial decarbonization at scale. Following the transaction, SLB owns 80% of the combined business and ACC owns 20%.</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July 18, 2024, SLB’s Board of Directors approved a quarterly cash dividend of $0.275 per share of outstanding common stock, payable on October 10, 2024, to stockholders of record on September 4, 2024.</w:t>
      </w:r>
    </w:p>
    <w:p>
      <w:pPr>
        <w:sectPr>
          <w:pgSz w:w="11900" w:h="16838" w:orient="portrait"/>
          <w:cols w:equalWidth="0" w:num="1">
            <w:col w:w="11000"/>
          </w:cols>
          <w:pgMar w:left="440" w:top="269"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Second-Quarter Revenue by Geographical Area</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Jun. 30,</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rPr>
              <w:t>Mar.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Jun.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$1,644</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$1,598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$1,746</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1,742</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1,654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1,624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2,442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2,322</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2,031</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3,268</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3,080</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2,642</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9,139</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8,707</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8,099</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$7,452</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$7,056</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$6,297</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$1,644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$1,598</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$1,746</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and international second-quarter 2024 revenue increased 11% year on year.</w:t>
      </w:r>
    </w:p>
    <w:p>
      <w:pPr>
        <w:spacing w:after="0" w:line="201" w:lineRule="exact"/>
        <w:rPr>
          <w:sz w:val="20"/>
          <w:szCs w:val="20"/>
          <w:color w:val="auto"/>
        </w:rPr>
      </w:pPr>
    </w:p>
    <w:p>
      <w:pPr>
        <w:ind w:left="4" w:right="7620" w:hanging="4"/>
        <w:spacing w:after="0" w:line="522"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left="4" w:right="300"/>
        <w:spacing w:after="0" w:line="247"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$1.74 billion increased 5% sequentially due to higher sales of production systems in Brazil and robust stimulation and intervention activity in Argentina. Digital revenue grew in the double digits, offset by lower Asset Performance Solutions (APS) revenue. Year on year, revenue increased 7% due to higher sales of production systems in Brazil and robust drilling activity in Argentina, partially offset by lower drilling revenue in Mexico.</w:t>
      </w:r>
    </w:p>
    <w:p>
      <w:pPr>
        <w:spacing w:after="0" w:line="174" w:lineRule="exact"/>
        <w:rPr>
          <w:sz w:val="20"/>
          <w:szCs w:val="20"/>
          <w:color w:val="auto"/>
        </w:rPr>
      </w:pPr>
    </w:p>
    <w:p>
      <w:pPr>
        <w:ind w:left="4" w:right="160"/>
        <w:spacing w:after="0" w:line="244"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$2.44 billion increased 5% sequentially due to higher sales of production systems in Scandinavia and</w:t>
      </w:r>
      <w:r>
        <w:rPr>
          <w:rFonts w:ascii="Arial" w:cs="Arial" w:eastAsia="Arial" w:hAnsi="Arial"/>
          <w:sz w:val="18"/>
          <w:szCs w:val="18"/>
          <w:b w:val="1"/>
          <w:bCs w:val="1"/>
          <w:color w:val="auto"/>
        </w:rPr>
        <w:t xml:space="preserve"> </w:t>
      </w:r>
      <w:r>
        <w:rPr>
          <w:rFonts w:ascii="Arial" w:cs="Arial" w:eastAsia="Arial" w:hAnsi="Arial"/>
          <w:sz w:val="18"/>
          <w:szCs w:val="18"/>
          <w:color w:val="auto"/>
        </w:rPr>
        <w:t>West Africa and increased artificial lift revenue in North Africa from new projects. Sequential growth was boosted by a more than 20% increase in digital revenue. Year on year, revenue increased 20% driven by the acquired Aker subsea business, primarily in Scandinavia, and increased offshore exploration, drilling, and production activity in Angola, Central and East Africa. Double-digit growth in digital revenue also contributed to the year-on-year growth.</w:t>
      </w:r>
    </w:p>
    <w:p>
      <w:pPr>
        <w:spacing w:after="0" w:line="176" w:lineRule="exact"/>
        <w:rPr>
          <w:sz w:val="20"/>
          <w:szCs w:val="20"/>
          <w:color w:val="auto"/>
        </w:rPr>
      </w:pPr>
    </w:p>
    <w:p>
      <w:pPr>
        <w:ind w:left="4" w:right="60"/>
        <w:spacing w:after="0" w:line="242"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$3.27 billion increased 6% sequentially due to increased sales of production systems and increased intervention and evaluation activity in Saudi Arabia. Higher digital revenue across the area and increased drilling in Iraq, United Arab Emirates, China, and East Asia also contributed to the sequential growth. Year on year, revenue increased 24% due to higher drilling, intervention, and evaluation activity as well as increased sales of production systems in Saudi Arabia. Higher drilling in United Arab Emirates, Egypt, East Asia, Indonesia, and China, as well as the acquired Aker subsea business in Australia, also contributed to the year-on-year growth.</w:t>
      </w:r>
    </w:p>
    <w:p>
      <w:pPr>
        <w:sectPr>
          <w:pgSz w:w="11900" w:h="16838" w:orient="portrait"/>
          <w:cols w:equalWidth="0" w:num="1">
            <w:col w:w="11024"/>
          </w:cols>
          <w:pgMar w:left="436" w:top="26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North America</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$ 1.64 billion increased 3% sequentially due to higher revenue in North America offshore driven by higher</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revenue, mainly sales of exploration data licenses and increased drilling. The sequential growth was partially offset by lower drilling revenue in US land and lower sales of production systems in the US Gulf of Mexico. Year on year, revenue declined 6% due to lower drilling in US land and reduced sales of production systems in the US Gulf of Mexico.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Mar. 31,</w:t>
            </w:r>
          </w:p>
        </w:tc>
        <w:tc>
          <w:tcPr>
            <w:tcW w:w="5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2024</w:t>
            </w:r>
          </w:p>
        </w:tc>
        <w:tc>
          <w:tcPr>
            <w:tcW w:w="480" w:type="dxa"/>
            <w:vAlign w:val="bottom"/>
          </w:tcPr>
          <w:p>
            <w:pPr>
              <w:spacing w:after="0"/>
              <w:rPr>
                <w:sz w:val="14"/>
                <w:szCs w:val="1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40" w:type="dxa"/>
            <w:vAlign w:val="bottom"/>
            <w:gridSpan w:val="2"/>
          </w:tcPr>
          <w:p>
            <w:pPr>
              <w:ind w:left="2020"/>
              <w:spacing w:after="0" w:line="202" w:lineRule="exact"/>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757</w:t>
            </w:r>
          </w:p>
        </w:tc>
        <w:tc>
          <w:tcPr>
            <w:tcW w:w="2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717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712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160" w:type="dxa"/>
            <w:vAlign w:val="bottom"/>
            <w:gridSpan w:val="2"/>
          </w:tcPr>
          <w:p>
            <w:pPr>
              <w:jc w:val="center"/>
              <w:ind w:left="295"/>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23%</w:t>
            </w:r>
          </w:p>
        </w:tc>
        <w:tc>
          <w:tcPr>
            <w:tcW w:w="1160" w:type="dxa"/>
            <w:vAlign w:val="bottom"/>
            <w:gridSpan w:val="2"/>
            <w:shd w:val="clear" w:color="auto" w:fill="CCEEFF"/>
          </w:tcPr>
          <w:p>
            <w:pPr>
              <w:jc w:val="center"/>
              <w:ind w:left="275"/>
              <w:spacing w:after="0" w:line="202" w:lineRule="exact"/>
              <w:rPr>
                <w:sz w:val="20"/>
                <w:szCs w:val="20"/>
                <w:color w:val="auto"/>
              </w:rPr>
            </w:pPr>
            <w:r>
              <w:rPr>
                <w:rFonts w:ascii="Arial" w:cs="Arial" w:eastAsia="Arial" w:hAnsi="Arial"/>
                <w:sz w:val="18"/>
                <w:szCs w:val="18"/>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1,050</w:t>
            </w:r>
          </w:p>
        </w:tc>
        <w:tc>
          <w:tcPr>
            <w:tcW w:w="3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947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shd w:val="clear" w:color="auto" w:fill="CCEEFF"/>
          </w:tcPr>
          <w:p>
            <w:pPr>
              <w:jc w:val="center"/>
              <w:ind w:left="295"/>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254</w:t>
            </w:r>
          </w:p>
        </w:tc>
        <w:tc>
          <w:tcPr>
            <w:tcW w:w="48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322</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28%</w:t>
            </w:r>
          </w:p>
        </w:tc>
        <w:tc>
          <w:tcPr>
            <w:tcW w:w="3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31.0%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435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-304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Digital &amp; Integration revenue of $1.05 billion increased 10% sequentially due to higher digital revenue while APS revenue was flat. Growth in digital revenue was driven by the increased adoption of our Cloud, AI, and Edge technology platforms and higher exploration data license sales. Year on year, revenue increased 11% due to digital growing in line with our ambition of full-year growth in the high-teens while APS revenue was flat.</w:t>
      </w:r>
    </w:p>
    <w:p>
      <w:pPr>
        <w:spacing w:after="0" w:line="17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Digital &amp; Integration pretax operating margin of 31% expanded 435 bps sequentially, mostly due to improved profitability in digital following strong exploration data license sales and higher uptake of digital solutions. Year on year, pretax operating margin contracted 304 bps due to lower profitability in APS from the effects of higher APS amortization expense and lower gas prices.</w:t>
      </w:r>
    </w:p>
    <w:p>
      <w:pPr>
        <w:sectPr>
          <w:pgSz w:w="11900" w:h="16838" w:orient="portrait"/>
          <w:cols w:equalWidth="0" w:num="1">
            <w:col w:w="11020"/>
          </w:cols>
          <w:pgMar w:left="440"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1,684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1,592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1,512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376</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306</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11%</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Reservoir Performance revenue of $1.82 billion grew 5% sequentially due to increased intervention and stimulation activity across all geographic areas. While approximately 70% of the revenue growth came from the Middle East &amp; Asia, this growth was widespread across land and offshore and generally from production activity. Year on year, revenue increased 11% due to increased stimulation and intervention activity, with approximately 80% of the revenue growth coming from the Middle East &amp; Asia.</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Reservoir Performance pretax operating margin of 21% expanded 98 bps sequentially with profitability improving across the international markets driven by higher activity. Year on year, pretax operating margin expanded 205 bps on improved profitability in the international markets driven by higher activity and improved pricing from increased technology intensity.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2,768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2,707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2,582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592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721</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59</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3,411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3,368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742</w:t>
            </w:r>
          </w:p>
        </w:tc>
        <w:tc>
          <w:tcPr>
            <w:tcW w:w="4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690</w:t>
            </w:r>
          </w:p>
        </w:tc>
        <w:tc>
          <w:tcPr>
            <w:tcW w:w="5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731</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7%</w:t>
            </w:r>
          </w:p>
        </w:tc>
        <w:tc>
          <w:tcPr>
            <w:tcW w:w="320" w:type="dxa"/>
            <w:vAlign w:val="bottom"/>
          </w:tcPr>
          <w:p>
            <w:pPr>
              <w:spacing w:after="0"/>
              <w:rPr>
                <w:sz w:val="17"/>
                <w:szCs w:val="17"/>
                <w:color w:val="auto"/>
              </w:rPr>
            </w:pPr>
          </w:p>
        </w:tc>
        <w:tc>
          <w:tcPr>
            <w:tcW w:w="840" w:type="dxa"/>
            <w:vAlign w:val="bottom"/>
          </w:tcPr>
          <w:p>
            <w:pPr>
              <w:jc w:val="center"/>
              <w:ind w:left="15"/>
              <w:spacing w:after="0" w:line="196"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Well Construction revenue of $ 3.41 billion increased 1% sequentially and year on year with record quarterly revenue in measurements and fluids. This was supported by ongoing land activity and offshore developments in the Middle East &amp; Asia and Latin America, partially offset by lower drilling in US land.</w:t>
      </w:r>
    </w:p>
    <w:p>
      <w:pPr>
        <w:sectPr>
          <w:pgSz w:w="11900" w:h="16838" w:orient="portrait"/>
          <w:cols w:equalWidth="0" w:num="1">
            <w:col w:w="11020"/>
          </w:cols>
          <w:pgMar w:left="440" w:top="269" w:right="439" w:bottom="1440" w:gutter="0" w:footer="0" w:header="0"/>
        </w:sectPr>
      </w:pPr>
    </w:p>
    <w:bookmarkStart w:id="7" w:name="page8"/>
    <w:bookmarkEnd w:id="7"/>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 pretax operating margin of 22% expanded 125 bps sequentially due to international activity increases in measurements and fluids. Year on year, pretax operating margin was flat as improved profitability internationally was offset by margin contraction in North America as a result of lower drilling activity.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2,378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2,164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1,628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640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679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7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3,025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473</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278</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18%</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361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and Production Systems second-quarter 2024 revenue increased 10% year on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Production Systems revenue of $3.03 billion increased 7% sequentially with growth led by subsea production systems and with artificial lift, valves, and surface production systems posting record quarterly revenue in this cycle. Sequential growth was driven by the international markets with strong activity in Europe &amp; Africa, followed by Latin America and the Middle East &amp; Asia. Year on year, revenue grew 31%, mainly due to the acquisition of the Aker subsea business. Excluding the effects of the Aker subsea acquisition, revenue grew 10% year on year driven by a 16% increase in international sales. Organic year-on-year growth was led by strong international sales of artificial lift, surface production systems, completions, and valves, partially offset by reduced sales of midstream production systems.</w:t>
      </w:r>
    </w:p>
    <w:p>
      <w:pPr>
        <w:spacing w:after="0" w:line="165" w:lineRule="exact"/>
        <w:rPr>
          <w:sz w:val="20"/>
          <w:szCs w:val="20"/>
          <w:color w:val="auto"/>
        </w:rPr>
      </w:pPr>
    </w:p>
    <w:p>
      <w:pPr>
        <w:jc w:val="both"/>
        <w:ind w:right="520"/>
        <w:spacing w:after="0" w:line="247" w:lineRule="auto"/>
        <w:rPr>
          <w:sz w:val="20"/>
          <w:szCs w:val="20"/>
          <w:color w:val="auto"/>
        </w:rPr>
      </w:pPr>
      <w:r>
        <w:rPr>
          <w:rFonts w:ascii="Arial" w:cs="Arial" w:eastAsia="Arial" w:hAnsi="Arial"/>
          <w:sz w:val="18"/>
          <w:szCs w:val="18"/>
          <w:color w:val="auto"/>
        </w:rPr>
        <w:t>Production Systems pretax operating margin of 16% expanded 146 bps sequentially with improved profitability in subsea production systems and artificial lift. Year on year, pretax operating margin expanded 361 bps due to improved profitability in subsea production systems, artificial lift, and surface production systems. The margin expansions were driven by activity mix, execution efficiency, and conversion of improved-price backlog.</w:t>
      </w:r>
    </w:p>
    <w:p>
      <w:pPr>
        <w:sectPr>
          <w:pgSz w:w="11900" w:h="16838" w:orient="portrait"/>
          <w:cols w:equalWidth="0" w:num="1">
            <w:col w:w="11020"/>
          </w:cols>
          <w:pgMar w:left="440" w:top="269"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core strengths,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right="40" w:hanging="424"/>
        <w:spacing w:after="0" w:line="21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Kingdom of Saudi Arabia, Saudi Aramco awarded SLB a long-term contract for unconventional gas directional drilling services and drilling bits, in support of Aramco’s strategic goal to increase gas production by more than 60% by 2030, compared to 2021 levels. SLB will provide innovative fit-for-basin technologies, services, and best-in-class practices developed in collaboration with Aramco. Cutting edge technologies, including the NeoSteer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at-bit-rotary-steerable system and unique drilling bits developed and manufactured in Saudi Arabia, complemented with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advanced drilling automation will continue to deliver record-breaking performances and mitigate operation risks.</w:t>
      </w:r>
    </w:p>
    <w:p>
      <w:pPr>
        <w:spacing w:after="0" w:line="88" w:lineRule="exact"/>
        <w:rPr>
          <w:rFonts w:ascii="Arial" w:cs="Arial" w:eastAsia="Arial" w:hAnsi="Arial"/>
          <w:sz w:val="18"/>
          <w:szCs w:val="18"/>
          <w:color w:val="auto"/>
        </w:rPr>
      </w:pPr>
    </w:p>
    <w:p>
      <w:pPr>
        <w:ind w:left="424" w:right="20" w:hanging="424"/>
        <w:spacing w:after="0" w:line="20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Qatar, a customer awarded SLB a five-year contract for directional drilling, measurement-while-drilling, and logging-while-drilling services. The contract will extend the deployment of the GeoSphere HD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high-definition reservoir mapping-while-drilling service and the GeoSphere 360</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3D reservoir mapping-while-drilling service for proactive steering, waterfront identification, and acquisition of valuable information for subsurface modeling.</w:t>
      </w:r>
    </w:p>
    <w:p>
      <w:pPr>
        <w:spacing w:after="0" w:line="88" w:lineRule="exact"/>
        <w:rPr>
          <w:rFonts w:ascii="Arial" w:cs="Arial" w:eastAsia="Arial" w:hAnsi="Arial"/>
          <w:sz w:val="18"/>
          <w:szCs w:val="18"/>
          <w:color w:val="auto"/>
        </w:rPr>
      </w:pPr>
    </w:p>
    <w:p>
      <w:pPr>
        <w:ind w:left="424" w:right="20" w:hanging="424"/>
        <w:spacing w:after="0" w:line="21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Egypt, SLB received a contract to integrate well construction solutions and technologies for the exploration and appraisal of five wells targeting the eastern Mediterranean hub with opportunity to expand the contract to include more wells. SLB will provide leading shoe-to-shoe solutions, which include the use of the AxeBlade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ridged diamond element bit cutter technology, Rhino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multicycle hydraulic underreamers, SonicScope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multipole sonic-while-drilling service, StethoScope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formation pressure-while-drilling service, and Orbit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rising stem ball valves.</w:t>
      </w:r>
    </w:p>
    <w:p>
      <w:pPr>
        <w:spacing w:after="0" w:line="4" w:lineRule="exact"/>
        <w:rPr>
          <w:rFonts w:ascii="Arial" w:cs="Arial" w:eastAsia="Arial" w:hAnsi="Arial"/>
          <w:sz w:val="18"/>
          <w:szCs w:val="18"/>
          <w:color w:val="auto"/>
        </w:rPr>
      </w:pPr>
    </w:p>
    <w:p>
      <w:pPr>
        <w:ind w:left="424" w:hanging="424"/>
        <w:spacing w:after="0" w:line="239"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Offshore Norway, Equinor awarded SLB OneSubsea a contract for the front-end engineering design of a 12-well, all-electric subsea production systems project in the Fram Sør Field. The project will fast-track wide-scale global adoption of electric subsea technology, setting new standards for increased operator control, subsea operational efficiency, and reduced offshore emissions. As part of the agreement, future engineering, procurement, and construction will be directly awarded to SLB OneSubsea conditional on a final investment decision.</w:t>
      </w:r>
    </w:p>
    <w:p>
      <w:pPr>
        <w:spacing w:after="0" w:line="85" w:lineRule="exact"/>
        <w:rPr>
          <w:rFonts w:ascii="Arial" w:cs="Arial" w:eastAsia="Arial" w:hAnsi="Arial"/>
          <w:sz w:val="18"/>
          <w:szCs w:val="18"/>
          <w:color w:val="auto"/>
        </w:rPr>
      </w:pPr>
    </w:p>
    <w:p>
      <w:pPr>
        <w:ind w:left="424" w:right="40" w:hanging="424"/>
        <w:spacing w:after="0" w:line="244"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Also offshore Norway, Equinor awarded SLB OneSubsea a contract for the execution of the second stage of Phase 3 for Equinor’s Troll project in the North Sea. To accelerate field delivery of the subsea tieback to existing infrastructure, SLB OneSubsea will leverage configurable solutions compliant with NCS2017+ for standardized subsea production systems for application in the Norwegian Continental Shelf. The objective for Troll Phase 3, Stage 2 is to accelerate production from the reservoir of approximately 55 billion standard cubic meters of gas.</w:t>
      </w:r>
    </w:p>
    <w:p>
      <w:pPr>
        <w:spacing w:after="0" w:line="81" w:lineRule="exact"/>
        <w:rPr>
          <w:rFonts w:ascii="Arial" w:cs="Arial" w:eastAsia="Arial" w:hAnsi="Arial"/>
          <w:sz w:val="18"/>
          <w:szCs w:val="18"/>
          <w:color w:val="auto"/>
        </w:rPr>
      </w:pPr>
    </w:p>
    <w:p>
      <w:pPr>
        <w:ind w:left="424" w:right="300" w:hanging="424"/>
        <w:spacing w:after="0" w:line="275"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Also offshore Norway, OKEA awarded SLB OneSubsea and Subsea7 an integrated engineering, procurement, construction, and installation contract. The alliance will develop the Bestla (formerly known as Brasse) Project in the North Sea, offshore Norway, specifically to accelerate the subsea tieback delivery to aging platforms for profitable and sustainable marginal field development.</w:t>
      </w:r>
    </w:p>
    <w:p>
      <w:pPr>
        <w:sectPr>
          <w:pgSz w:w="11900" w:h="16838" w:orient="portrait"/>
          <w:cols w:equalWidth="0" w:num="1">
            <w:col w:w="10984"/>
          </w:cols>
          <w:pgMar w:left="436" w:top="269" w:right="479" w:bottom="1440" w:gutter="0" w:footer="0" w:header="0"/>
        </w:sectPr>
      </w:pPr>
    </w:p>
    <w:bookmarkStart w:id="9" w:name="page10"/>
    <w:bookmarkEnd w:id="9"/>
    <w:p>
      <w:pPr>
        <w:ind w:left="424" w:right="40" w:hanging="424"/>
        <w:spacing w:after="0" w:line="244"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Offshore Angola, TotalEnergies awarded SLB OneSubsea a contract for a 13-well subsea production system scope, including associated equipment and services, in the development of the Kaminho project. The project will be developed by TotalEnergies and its Block 20/11 partners in two phases for the Cameia and Golfinho discoveries. During the Kaminho project’s first phase of development for the Cameia field, SLB OneSubsea will collaborate with TotalEnergies to deploy a highly configurable subsea production platform with standardized vertical monobore subsea tree, wellhead, and controls system.</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Technology and Performance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hanging="424"/>
        <w:spacing w:after="0" w:line="22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US Gulf of Mexico (GOM), SLB and Shell Offshore Inc. deployed Wellbore Insights on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to enable record-setting formation flowback volumes for deep reading pressure transients on wireline. The solution enables cloud-based, wellbore dynamics modeling workflows and prejob planning in addition to real-time updates from the wellsite. Shell was able to significantly increase the volume of reservoir fluid that could be safely introduced during the sampling and testing operation, improving accuracy and enhancing the radius of investigation. Shell received a better forecast of reservoir production and avoided a costly wiper trip, which eliminated more than 400 metric tons of CO</w:t>
      </w:r>
      <w:r>
        <w:rPr>
          <w:rFonts w:ascii="Arial" w:cs="Arial" w:eastAsia="Arial" w:hAnsi="Arial"/>
          <w:sz w:val="13"/>
          <w:szCs w:val="13"/>
          <w:color w:val="auto"/>
        </w:rPr>
        <w:t>2</w:t>
      </w:r>
      <w:r>
        <w:rPr>
          <w:rFonts w:ascii="Arial" w:cs="Arial" w:eastAsia="Arial" w:hAnsi="Arial"/>
          <w:sz w:val="18"/>
          <w:szCs w:val="18"/>
          <w:color w:val="auto"/>
        </w:rPr>
        <w:t>e and saved 72 hours of rig-time costs.</w:t>
      </w:r>
    </w:p>
    <w:p>
      <w:pPr>
        <w:spacing w:after="0" w:line="85" w:lineRule="exact"/>
        <w:rPr>
          <w:rFonts w:ascii="Arial" w:cs="Arial" w:eastAsia="Arial" w:hAnsi="Arial"/>
          <w:sz w:val="18"/>
          <w:szCs w:val="18"/>
          <w:color w:val="auto"/>
        </w:rPr>
      </w:pPr>
    </w:p>
    <w:p>
      <w:pPr>
        <w:ind w:left="424" w:right="240" w:hanging="424"/>
        <w:spacing w:after="0" w:line="20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Mexico, SLB and Pemex deployed OpenPath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customizable acid stimulation service for the first time in its strategic fields that target deep, hot, and heterogeneous carbonate reservoirs. The initial implementation of the technology, in a well with</w:t>
      </w:r>
    </w:p>
    <w:p>
      <w:pPr>
        <w:spacing w:after="0" w:line="1" w:lineRule="exact"/>
        <w:rPr>
          <w:rFonts w:ascii="Arial" w:cs="Arial" w:eastAsia="Arial" w:hAnsi="Arial"/>
          <w:sz w:val="18"/>
          <w:szCs w:val="18"/>
          <w:color w:val="auto"/>
        </w:rPr>
      </w:pPr>
    </w:p>
    <w:p>
      <w:pPr>
        <w:ind w:left="424" w:right="500"/>
        <w:spacing w:after="0" w:line="242" w:lineRule="auto"/>
        <w:rPr>
          <w:rFonts w:ascii="Arial" w:cs="Arial" w:eastAsia="Arial" w:hAnsi="Arial"/>
          <w:sz w:val="18"/>
          <w:szCs w:val="18"/>
          <w:color w:val="auto"/>
        </w:rPr>
      </w:pPr>
      <w:r>
        <w:rPr>
          <w:rFonts w:ascii="Arial" w:cs="Arial" w:eastAsia="Arial" w:hAnsi="Arial"/>
          <w:sz w:val="18"/>
          <w:szCs w:val="18"/>
          <w:color w:val="auto"/>
        </w:rPr>
        <w:t>365-degrees-Fahrenheit bottomhole static temperature, resulted in a 3.6-fold production increase. Based on these results and additional successful treatments, Pemex has transitioned to OpenPath Flex service as the preferred stimulation system in its strategic fields.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Decarbonization</w:t>
      </w:r>
    </w:p>
    <w:p>
      <w:pPr>
        <w:spacing w:after="0" w:line="104" w:lineRule="exact"/>
        <w:rPr>
          <w:sz w:val="20"/>
          <w:szCs w:val="20"/>
          <w:color w:val="auto"/>
        </w:rPr>
      </w:pPr>
    </w:p>
    <w:p>
      <w:pPr>
        <w:ind w:left="4" w:right="640"/>
        <w:spacing w:after="0" w:line="271" w:lineRule="auto"/>
        <w:rPr>
          <w:sz w:val="20"/>
          <w:szCs w:val="20"/>
          <w:color w:val="auto"/>
        </w:rPr>
      </w:pPr>
      <w:r>
        <w:rPr>
          <w:rFonts w:ascii="Arial" w:cs="Arial" w:eastAsia="Arial" w:hAnsi="Arial"/>
          <w:sz w:val="18"/>
          <w:szCs w:val="18"/>
          <w:color w:val="auto"/>
        </w:rPr>
        <w:t>SLB is focused on developing and implementing technologies that can reduce emissions and environmental impact with practical, quantifiably proven solutions. Highlights include the following:</w:t>
      </w:r>
    </w:p>
    <w:p>
      <w:pPr>
        <w:spacing w:after="0" w:line="59" w:lineRule="exact"/>
        <w:rPr>
          <w:sz w:val="20"/>
          <w:szCs w:val="20"/>
          <w:color w:val="auto"/>
        </w:rPr>
      </w:pPr>
    </w:p>
    <w:p>
      <w:pPr>
        <w:ind w:left="424" w:right="100" w:hanging="424"/>
        <w:spacing w:after="0" w:line="22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Morocco, Eni used SLB aqueous fluid solutions to positively impact both performance and sustainability goals for a recent challenging exploration well. Deploying HydraGlyde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high-performance water-based drilling fluid system, SLB ensured 18 days of well stability in a high-temperature 12.25-inch section, which saved time in operations and enabled 100% of the fluid to be recycled between sections.</w:t>
      </w:r>
    </w:p>
    <w:p>
      <w:pPr>
        <w:spacing w:after="0" w:line="88" w:lineRule="exact"/>
        <w:rPr>
          <w:rFonts w:ascii="Arial" w:cs="Arial" w:eastAsia="Arial" w:hAnsi="Arial"/>
          <w:sz w:val="18"/>
          <w:szCs w:val="18"/>
          <w:color w:val="auto"/>
        </w:rPr>
      </w:pPr>
    </w:p>
    <w:p>
      <w:pPr>
        <w:ind w:left="424" w:right="260" w:hanging="424"/>
        <w:spacing w:after="0" w:line="22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United Arab Emirates, SLB and Abu Dhabi National Oil Company (ADNOC) Onshore successfully deployed the EcoShield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low-carbon geopolymer cement-free system, paving the way to decarbonize cementing operations. This first deployment in Abu Dhabi eliminated conventional Class G cement and used sustainable, locally sourced materials during the cementing of conductor casing. This operation achieved an estimated 85% reduction in CO</w:t>
      </w:r>
      <w:r>
        <w:rPr>
          <w:rFonts w:ascii="Arial" w:cs="Arial" w:eastAsia="Arial" w:hAnsi="Arial"/>
          <w:sz w:val="13"/>
          <w:szCs w:val="13"/>
          <w:color w:val="auto"/>
        </w:rPr>
        <w:t>2</w:t>
      </w:r>
      <w:r>
        <w:rPr>
          <w:rFonts w:ascii="Arial" w:cs="Arial" w:eastAsia="Arial" w:hAnsi="Arial"/>
          <w:sz w:val="18"/>
          <w:szCs w:val="18"/>
          <w:color w:val="auto"/>
        </w:rPr>
        <w:t xml:space="preserve"> emissions compared with conventional conductor casing cement and represents a major milestone on the oil and gas industry’s path to net zero. Because of this success, ADNOC and SLB are looking to expand technology application in surface casing jobs and beyond.</w:t>
      </w:r>
    </w:p>
    <w:p>
      <w:pPr>
        <w:sectPr>
          <w:pgSz w:w="11900" w:h="16838" w:orient="portrait"/>
          <w:cols w:equalWidth="0" w:num="1">
            <w:col w:w="10924"/>
          </w:cols>
          <w:pgMar w:left="436" w:top="269" w:right="5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SLB is deploying digital technology at scale, partnering with customers to migrate their technology and workflows into the cloud, embrace new AI-enabled capabilities, and leverage insights to elevate their performance. Notable highlights include the following:</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17" w:lineRule="exact"/>
        <w:rPr>
          <w:sz w:val="20"/>
          <w:szCs w:val="20"/>
          <w:color w:val="auto"/>
        </w:rPr>
      </w:pPr>
    </w:p>
    <w:p>
      <w:pPr>
        <w:ind w:left="424" w:right="300" w:hanging="424"/>
        <w:spacing w:after="0" w:line="226"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SLB and TotalEnergies announced a 10-year partnership to codevelop scalable digital solutions for enabling access to energy resources, with improved performance and efficiency. The partnership establishes a flexible framework for the companies to work together on addressing key challenges across the energy value chain, including carbon capture, utilization, and sequestration (CCUS). The companies will integrate advanced digital capabilities, including AI, with new and existing applications on SLB’s extensible Delfi digital platform, adhering to the Open Group’s OSDU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Technical Standard, and will initially focus on subsurface digital solutions for reservoir engineering and geoscience modeling and interpretation, leveraging Delfi on-demand reservoir simulation.</w:t>
      </w:r>
    </w:p>
    <w:p>
      <w:pPr>
        <w:spacing w:after="0" w:line="87"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Norway, Aker BP has awarded SLB a digital transformation contract to codevelop a digital platform. This long-term partnership aims to digitally transform Aker BP’s subsurface workflows, reducing costs, shortening planning cycles, and increasing production. The Delfi digital platform and Open Group’s OSDU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Technical Standard will be used as key enablers for the transformation of the company’s subsurface workflows.</w:t>
      </w:r>
    </w:p>
    <w:p>
      <w:pPr>
        <w:spacing w:after="0" w:line="88" w:lineRule="exact"/>
        <w:rPr>
          <w:rFonts w:ascii="Arial" w:cs="Arial" w:eastAsia="Arial" w:hAnsi="Arial"/>
          <w:sz w:val="18"/>
          <w:szCs w:val="18"/>
          <w:color w:val="auto"/>
        </w:rPr>
      </w:pPr>
    </w:p>
    <w:p>
      <w:pPr>
        <w:ind w:left="424" w:right="40"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Azerbaijan, an operator awarded SLB a contract for 3D and 4D ocean-bottom node seismic processing over one of the production assets in the Caspian Sea. The scope includes the seismic processing of baseline and monitoring surveys that will be acquired from 2024 to 2028. The Omega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geophysical data processing software, supported by cloud-compute scalability, will be used to deliver high-quality 4D insights in short turnaround times to allow bp to monitor asset production.</w:t>
      </w:r>
    </w:p>
    <w:p>
      <w:pPr>
        <w:spacing w:after="0" w:line="88"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Offshore Eastern Canada, Hibernia Management and Development Company Ltd. (HMDC) and ExxonMobil Canada awarded SLB contracts for the Hibernia and Hebron 3D and 4D seismic processing projects. The results from this project are anticipated to maximize value from both fields. In these projects, SLB’s innovative and collaborative science-based solutions will help progress the energy sector.</w:t>
      </w:r>
    </w:p>
    <w:p>
      <w:pPr>
        <w:spacing w:after="0" w:line="79" w:lineRule="exact"/>
        <w:rPr>
          <w:rFonts w:ascii="Arial" w:cs="Arial" w:eastAsia="Arial" w:hAnsi="Arial"/>
          <w:sz w:val="18"/>
          <w:szCs w:val="18"/>
          <w:color w:val="auto"/>
        </w:rPr>
      </w:pPr>
    </w:p>
    <w:p>
      <w:pPr>
        <w:ind w:left="424" w:hanging="424"/>
        <w:spacing w:after="0" w:line="231"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Oman, ARA Petroleum Exploration and Production (ARA), part of the wider Zubair Corporation, awarded SLB a five-year contract to enhance ARA’s reservoir engineering capabilities. Aligning with its strategic goals to boost efficiency and productivity, SLB will help to maximize production from small fields with future discovery technologies. The partnership will integrate technologies to support business growth, provide insights on field development plans, and evaluate new discoveries. Advanced wellbore imaging in the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wellbore software will increase subsurface understanding,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machine learning will improve modeling, and Intersect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high-resolution reservoir simulator will deliver precise forecasting.</w:t>
      </w:r>
    </w:p>
    <w:p>
      <w:pPr>
        <w:sectPr>
          <w:pgSz w:w="11900" w:h="16838" w:orient="portrait"/>
          <w:cols w:equalWidth="0" w:num="1">
            <w:col w:w="11004"/>
          </w:cols>
          <w:pgMar w:left="436" w:top="269"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04" w:lineRule="exact"/>
        <w:rPr>
          <w:sz w:val="20"/>
          <w:szCs w:val="20"/>
          <w:color w:val="auto"/>
        </w:rPr>
      </w:pPr>
    </w:p>
    <w:p>
      <w:pPr>
        <w:ind w:left="4" w:right="98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480" w:hanging="424"/>
        <w:spacing w:after="0" w:line="232"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Indonesia, SLB has secured a contract from INPEX Masela, Ltd., a subsidiary of INPEX Corporation, to support the national strategic project for carbon capture and sequestration in Abadi Field. SLB will deploy a suite of its subsurface and production software—including Olga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dynamic multiphase flow simulator, Intersect high-resolution reservoir simulator, and Visage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finite-element geomechanics simulator—to help identify the reservoir’s compaction, caprock integrity, and surface subsidence risks.</w:t>
      </w:r>
    </w:p>
    <w:p>
      <w:pPr>
        <w:spacing w:after="0" w:line="86" w:lineRule="exact"/>
        <w:rPr>
          <w:rFonts w:ascii="Arial" w:cs="Arial" w:eastAsia="Arial" w:hAnsi="Arial"/>
          <w:sz w:val="17"/>
          <w:szCs w:val="17"/>
          <w:color w:val="auto"/>
        </w:rPr>
      </w:pPr>
    </w:p>
    <w:p>
      <w:pPr>
        <w:ind w:left="424" w:right="60" w:hanging="424"/>
        <w:spacing w:after="0" w:line="24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Australia, SLB was awarded a contract by Chevron Australia for wireline evaluation services to support a project to optimize the Gorgon Carbon Capture and Storage (CCS) system on Barrow Island. The project aims to expand the system’s capacity to manage water found within the reservoir where carbon dioxide is stored, reducing reservoir pressure and enabling increased carbon dioxide injection rates. Gorgon CCS is one of the world’s largest operational CCS projects and, as of July 2024, has safely stored more than 9.7 million tons of CO2e.</w:t>
      </w:r>
    </w:p>
    <w:p>
      <w:pPr>
        <w:spacing w:after="0" w:line="81" w:lineRule="exact"/>
        <w:rPr>
          <w:rFonts w:ascii="Arial" w:cs="Arial" w:eastAsia="Arial" w:hAnsi="Arial"/>
          <w:sz w:val="18"/>
          <w:szCs w:val="18"/>
          <w:color w:val="auto"/>
        </w:rPr>
      </w:pPr>
    </w:p>
    <w:p>
      <w:pPr>
        <w:ind w:left="424" w:right="60"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Pakistan, Oil and Gas Development Company Limited (OGDCL) has partnered with SLB to develop a strategy for utilizing geothermal resources in hydrocarbon fields across Pakistan. As part of the collaboration, SLB will help OGDCL develop a plan for evaluation of the geothermal potential of 25 fields in the northern, southern, and central fields in Pakistan. SLB experts together with the OGDCL team will assess surface, subsurface, and well data of the fields to identify focus areas. The scope of the initial OGDCL pilot project includes screening, evaluation, and selection of nine fields for detailed analysis, estimation of geothermal potential, wellbore modeling, and determination of next steps.</w:t>
      </w:r>
    </w:p>
    <w:p>
      <w:pPr>
        <w:spacing w:after="0" w:line="84" w:lineRule="exact"/>
        <w:rPr>
          <w:rFonts w:ascii="Arial" w:cs="Arial" w:eastAsia="Arial" w:hAnsi="Arial"/>
          <w:sz w:val="18"/>
          <w:szCs w:val="18"/>
          <w:color w:val="auto"/>
        </w:rPr>
      </w:pPr>
    </w:p>
    <w:p>
      <w:pPr>
        <w:ind w:left="424" w:right="52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Indonesia, a geothermal operator has awarded SLB a four-year integrated drilling well services contract for geothermal development. SLB will provide integrated project management, well construction, and third-party services, including air drilling, fishing, and liner adapters.</w:t>
      </w:r>
    </w:p>
    <w:p>
      <w:pPr>
        <w:spacing w:after="0" w:line="74" w:lineRule="exact"/>
        <w:rPr>
          <w:rFonts w:ascii="Arial" w:cs="Arial" w:eastAsia="Arial" w:hAnsi="Arial"/>
          <w:sz w:val="18"/>
          <w:szCs w:val="18"/>
          <w:color w:val="auto"/>
        </w:rPr>
      </w:pPr>
    </w:p>
    <w:p>
      <w:pPr>
        <w:ind w:left="424" w:right="60" w:hanging="424"/>
        <w:spacing w:after="0" w:line="242"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United States, SLB and Ormat Technologies, Inc. have partnered to develop and deliver integrated geothermal projects that offer operators a comprehensive suite of solutions, from exploration and resource assessment to power plant commissioning and operation. This strategic collaboration combines the SLB industry-leading expertise in reservoir characterization, well completion, and production technologies with Ormat’s industry-leading expertise in geothermal fields and project development; power plant design; manufacturing; operations; and engineering, procurement, and construction capabilities. The focus will be on both traditional geothermal systems and enhanced geothermal systems.</w:t>
      </w:r>
    </w:p>
    <w:p>
      <w:pPr>
        <w:spacing w:after="0" w:line="84" w:lineRule="exact"/>
        <w:rPr>
          <w:rFonts w:ascii="Arial" w:cs="Arial" w:eastAsia="Arial" w:hAnsi="Arial"/>
          <w:sz w:val="18"/>
          <w:szCs w:val="18"/>
          <w:color w:val="auto"/>
        </w:rPr>
      </w:pPr>
    </w:p>
    <w:p>
      <w:pPr>
        <w:ind w:left="424" w:hanging="424"/>
        <w:spacing w:after="0" w:line="24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in the United States, SLB New Energy launched a new commercially available 3D basin model report of the Smackover lithium formation in Arkansas and Texas, covering an area of more than 17 million-acres and focusing on the Smackover carbonate ramp for lithium sweet spots of close to six million acres. The Smackover report was created reviewing more than 6,800 well logs. This is the first lithium basin report developed through a combination of SLB subsurface expertise and lithium-brine knowledge using advanced digital technology for modeling and simulation, such as Petromod basin modeling software</w:t>
      </w:r>
    </w:p>
    <w:p>
      <w:pPr>
        <w:sectPr>
          <w:pgSz w:w="11900" w:h="16838" w:orient="portrait"/>
          <w:cols w:equalWidth="0" w:num="1">
            <w:col w:w="10984"/>
          </w:cols>
          <w:pgMar w:left="436" w:top="269" w:right="479" w:bottom="1440" w:gutter="0" w:footer="0" w:header="0"/>
        </w:sectPr>
      </w:pPr>
    </w:p>
    <w:bookmarkStart w:id="12" w:name="page13"/>
    <w:bookmarkEnd w:id="12"/>
    <w:p>
      <w:pPr>
        <w:ind w:left="424"/>
        <w:spacing w:after="0" w:line="21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and innovative proprietary workflows for lithium resources characterization. This multiclient report combines public data—well logs, porosity data, temperature, geochemistry—to generate models of the estimated lithium resources in place to accelerate, optimize, and derisk the exploration workflow and Smackover projects development.</w:t>
      </w:r>
    </w:p>
    <w:p>
      <w:pPr>
        <w:spacing w:after="0" w:line="87" w:lineRule="exact"/>
        <w:rPr>
          <w:sz w:val="20"/>
          <w:szCs w:val="20"/>
          <w:color w:val="auto"/>
        </w:rPr>
      </w:pPr>
    </w:p>
    <w:p>
      <w:pPr>
        <w:ind w:left="424" w:right="20" w:hanging="424"/>
        <w:spacing w:after="0" w:line="24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in the United States, SLB and Pantera Minerals partnered to advance the previously identified leads and multiple reentry wells into drill-ready prospects in the Smackover lithium asset in Arkansas. Using industry-leading subsurface expertise and digital technology, SLB will combine 2D seismic, gravity, and magnetic data to create a 3D static model that defines the extent of the Upper Smackover Formation and the location of faults. The model will identify optimal well locations for future well planning and designs, as well as provide resource estimation in the Arkansas Smackover formation.</w:t>
      </w:r>
    </w:p>
    <w:p>
      <w:pPr>
        <w:sectPr>
          <w:pgSz w:w="11900" w:h="16838" w:orient="portrait"/>
          <w:cols w:equalWidth="0" w:num="1">
            <w:col w:w="11004"/>
          </w:cols>
          <w:pgMar w:left="436" w:top="269"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540" w:type="dxa"/>
            <w:vAlign w:val="bottom"/>
            <w:vMerge w:val="restart"/>
          </w:tcPr>
          <w:p>
            <w:pPr>
              <w:spacing w:after="0"/>
              <w:rPr>
                <w:sz w:val="20"/>
                <w:szCs w:val="20"/>
                <w:color w:val="auto"/>
              </w:rPr>
            </w:pPr>
            <w:r>
              <w:rPr>
                <w:rFonts w:ascii="Arial" w:cs="Arial" w:eastAsia="Arial" w:hAnsi="Arial"/>
                <w:sz w:val="14"/>
                <w:szCs w:val="14"/>
                <w:color w:val="auto"/>
              </w:rPr>
              <w:t>Periods Ended June 30,</w:t>
            </w:r>
          </w:p>
        </w:tc>
        <w:tc>
          <w:tcPr>
            <w:tcW w:w="6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4"/>
                <w:szCs w:val="14"/>
                <w:color w:val="auto"/>
              </w:rPr>
            </w:pPr>
          </w:p>
        </w:tc>
        <w:tc>
          <w:tcPr>
            <w:tcW w:w="1440" w:type="dxa"/>
            <w:vAlign w:val="bottom"/>
            <w:gridSpan w:val="6"/>
          </w:tcPr>
          <w:p>
            <w:pPr>
              <w:ind w:left="28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9,139</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8,099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17,846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15,835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7,262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6,502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14,270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12,787</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1,145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1,047</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1,443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See section entitled “Charges &amp; Credits” for details.</w:t>
      </w:r>
    </w:p>
    <w:p>
      <w:pPr>
        <w:ind w:left="424" w:hanging="424"/>
        <w:spacing w:after="0" w:line="183" w:lineRule="auto"/>
        <w:tabs>
          <w:tab w:leader="none" w:pos="424"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Jun. 30,</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4,003</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4,504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1,405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1,678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7,335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14,530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3,198</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4,115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49,373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10,099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867</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1,033</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12,409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12,156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2,528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27,093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22,280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49,373</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9"/>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Components of Liquidity</w:t>
            </w:r>
          </w:p>
        </w:tc>
        <w:tc>
          <w:tcPr>
            <w:tcW w:w="4020" w:type="dxa"/>
            <w:vAlign w:val="bottom"/>
            <w:gridSpan w:val="2"/>
            <w:vMerge w:val="restart"/>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color w:val="auto"/>
                <w:w w:val="97"/>
              </w:rPr>
              <w:t>Mar. 31,</w:t>
            </w:r>
          </w:p>
        </w:tc>
        <w:tc>
          <w:tcPr>
            <w:tcW w:w="3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Jun.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5"/>
          </w:tcPr>
          <w:p>
            <w:pPr>
              <w:jc w:val="right"/>
              <w:ind w:right="141"/>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40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1"/>
              <w:spacing w:after="0" w:line="158" w:lineRule="exact"/>
              <w:rPr>
                <w:sz w:val="20"/>
                <w:szCs w:val="20"/>
                <w:color w:val="auto"/>
              </w:rPr>
            </w:pPr>
            <w:r>
              <w:rPr>
                <w:rFonts w:ascii="Arial" w:cs="Arial" w:eastAsia="Arial" w:hAnsi="Arial"/>
                <w:sz w:val="14"/>
                <w:szCs w:val="14"/>
                <w:color w:val="auto"/>
              </w:rPr>
              <w:t>2024</w:t>
            </w:r>
          </w:p>
        </w:tc>
        <w:tc>
          <w:tcPr>
            <w:tcW w:w="80" w:type="dxa"/>
            <w:vAlign w:val="bottom"/>
          </w:tcPr>
          <w:p>
            <w:pPr>
              <w:spacing w:after="0"/>
              <w:rPr>
                <w:sz w:val="15"/>
                <w:szCs w:val="15"/>
                <w:color w:val="auto"/>
              </w:rPr>
            </w:pPr>
          </w:p>
        </w:tc>
        <w:tc>
          <w:tcPr>
            <w:tcW w:w="960" w:type="dxa"/>
            <w:vAlign w:val="bottom"/>
            <w:gridSpan w:val="3"/>
          </w:tcPr>
          <w:p>
            <w:pPr>
              <w:jc w:val="right"/>
              <w:ind w:right="41"/>
              <w:spacing w:after="0" w:line="158" w:lineRule="exact"/>
              <w:rPr>
                <w:sz w:val="20"/>
                <w:szCs w:val="20"/>
                <w:color w:val="auto"/>
              </w:rPr>
            </w:pPr>
            <w:r>
              <w:rPr>
                <w:rFonts w:ascii="Arial" w:cs="Arial" w:eastAsia="Arial" w:hAnsi="Arial"/>
                <w:sz w:val="14"/>
                <w:szCs w:val="14"/>
                <w:color w:val="auto"/>
              </w:rPr>
              <w:t>2023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55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4,003</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3,491</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  3,194</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58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1"/>
              <w:spacing w:after="0" w:line="202" w:lineRule="exact"/>
              <w:rPr>
                <w:sz w:val="20"/>
                <w:szCs w:val="20"/>
                <w:color w:val="auto"/>
              </w:rPr>
            </w:pPr>
            <w:r>
              <w:rPr>
                <w:rFonts w:ascii="Arial" w:cs="Arial" w:eastAsia="Arial" w:hAnsi="Arial"/>
                <w:sz w:val="18"/>
                <w:szCs w:val="18"/>
                <w:b w:val="1"/>
                <w:bCs w:val="1"/>
                <w:color w:val="auto"/>
              </w:rPr>
              <w:t>(1,033)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(1,430)</w:t>
            </w:r>
          </w:p>
        </w:tc>
        <w:tc>
          <w:tcPr>
            <w:tcW w:w="11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(1,993)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w w:val="98"/>
              </w:rPr>
              <w:t>(12,156)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(10,740)</w:t>
            </w:r>
          </w:p>
        </w:tc>
        <w:tc>
          <w:tcPr>
            <w:tcW w:w="11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(11,342)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(10,842)</w:t>
            </w:r>
          </w:p>
        </w:tc>
        <w:tc>
          <w:tcPr>
            <w:tcW w:w="0" w:type="dxa"/>
            <w:vAlign w:val="bottom"/>
          </w:tcPr>
          <w:p>
            <w:pPr>
              <w:spacing w:after="0"/>
              <w:rPr>
                <w:sz w:val="1"/>
                <w:szCs w:val="1"/>
                <w:color w:val="auto"/>
              </w:rPr>
            </w:pPr>
          </w:p>
        </w:tc>
      </w:tr>
      <w:tr>
        <w:trPr>
          <w:trHeight w:val="209"/>
        </w:trPr>
        <w:tc>
          <w:tcPr>
            <w:tcW w:w="6020" w:type="dxa"/>
            <w:vAlign w:val="bottom"/>
            <w:gridSpan w:val="5"/>
          </w:tcPr>
          <w:p>
            <w:pPr>
              <w:ind w:left="44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(9,186</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(8,679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(10,141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2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Six</w:t>
            </w:r>
          </w:p>
        </w:tc>
        <w:tc>
          <w:tcPr>
            <w:tcW w:w="96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rPr>
              <w:t>Second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Six</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0" w:type="dxa"/>
            <w:vAlign w:val="bottom"/>
            <w:vMerge w:val="restart"/>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Periods Ended June 30,</w:t>
            </w:r>
          </w:p>
        </w:tc>
        <w:tc>
          <w:tcPr>
            <w:tcW w:w="36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Months</w:t>
            </w:r>
          </w:p>
        </w:tc>
        <w:tc>
          <w:tcPr>
            <w:tcW w:w="96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6"/>
          </w:tcPr>
          <w:p>
            <w:pPr>
              <w:jc w:val="right"/>
              <w:ind w:right="60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4"/>
          </w:tcPr>
          <w:p>
            <w:pPr>
              <w:jc w:val="right"/>
              <w:ind w:right="72"/>
              <w:spacing w:after="0" w:line="158"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$ 2,243</w:t>
            </w: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$ 1,145</w:t>
            </w: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1,990</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139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2,382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(2,044)</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(558)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(1,286)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Cash flow from operations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(862)</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(463)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(881)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(256)</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(135)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(253)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(91)</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580" w:type="dxa"/>
            <w:vAlign w:val="bottom"/>
            <w:gridSpan w:val="4"/>
          </w:tcPr>
          <w:p>
            <w:pPr>
              <w:ind w:left="440"/>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b w:val="1"/>
                <w:bCs w:val="1"/>
                <w:color w:val="auto"/>
                <w:vertAlign w:val="superscript"/>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776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(751)</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(394)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(605)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(735)</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(465)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120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(505)</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(478)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(262)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(76)</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41"/>
              <w:spacing w:after="0" w:line="202" w:lineRule="exact"/>
              <w:rPr>
                <w:sz w:val="20"/>
                <w:szCs w:val="20"/>
                <w:color w:val="auto"/>
              </w:rPr>
            </w:pPr>
            <w:r>
              <w:rPr>
                <w:rFonts w:ascii="Arial" w:cs="Arial" w:eastAsia="Arial" w:hAnsi="Arial"/>
                <w:sz w:val="18"/>
                <w:szCs w:val="18"/>
                <w:b w:val="1"/>
                <w:bCs w:val="1"/>
                <w:color w:val="auto"/>
                <w:w w:val="96"/>
              </w:rPr>
              <w:t>— </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b w:val="1"/>
                <w:bCs w:val="1"/>
                <w:color w:val="auto"/>
                <w:w w:val="88"/>
              </w:rPr>
              <w:t>— 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1"/>
              <w:spacing w:after="0" w:line="202" w:lineRule="exact"/>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2"/>
          </w:tcPr>
          <w:p>
            <w:pPr>
              <w:jc w:val="right"/>
              <w:ind w:right="301"/>
              <w:spacing w:after="0" w:line="202" w:lineRule="exact"/>
              <w:rPr>
                <w:sz w:val="20"/>
                <w:szCs w:val="20"/>
                <w:color w:val="auto"/>
              </w:rPr>
            </w:pPr>
            <w:r>
              <w:rPr>
                <w:rFonts w:ascii="Arial" w:cs="Arial" w:eastAsia="Arial" w:hAnsi="Arial"/>
                <w:sz w:val="18"/>
                <w:szCs w:val="18"/>
                <w:b w:val="1"/>
                <w:bCs w:val="1"/>
                <w:color w:val="auto"/>
                <w:w w:val="88"/>
              </w:rPr>
              <w:t>— 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(144)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(19)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6840" w:type="dxa"/>
            <w:vAlign w:val="bottom"/>
            <w:gridSpan w:val="8"/>
          </w:tcPr>
          <w:p>
            <w:pPr>
              <w:ind w:left="440"/>
              <w:spacing w:after="0" w:line="191" w:lineRule="exact"/>
              <w:rPr>
                <w:sz w:val="20"/>
                <w:szCs w:val="20"/>
                <w:color w:val="auto"/>
              </w:rPr>
            </w:pPr>
            <w:r>
              <w:rPr>
                <w:rFonts w:ascii="Arial" w:cs="Arial" w:eastAsia="Arial" w:hAnsi="Arial"/>
                <w:sz w:val="18"/>
                <w:szCs w:val="18"/>
                <w:b w:val="1"/>
                <w:bCs w:val="1"/>
                <w:color w:val="auto"/>
              </w:rPr>
              <w:t>Increase in net debt before impact of changes in foreign exchange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40" w:type="dxa"/>
            <w:vAlign w:val="bottom"/>
            <w:gridSpan w:val="3"/>
          </w:tcPr>
          <w:p>
            <w:pPr>
              <w:ind w:left="180"/>
              <w:spacing w:after="0"/>
              <w:rPr>
                <w:sz w:val="20"/>
                <w:szCs w:val="20"/>
                <w:color w:val="auto"/>
              </w:rPr>
            </w:pPr>
            <w:r>
              <w:rPr>
                <w:rFonts w:ascii="Arial" w:cs="Arial" w:eastAsia="Arial" w:hAnsi="Arial"/>
                <w:sz w:val="18"/>
                <w:szCs w:val="18"/>
                <w:b w:val="1"/>
                <w:bCs w:val="1"/>
                <w:color w:val="auto"/>
              </w:rPr>
              <w:t>rates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5"/>
          </w:tcPr>
          <w:p>
            <w:pPr>
              <w:jc w:val="right"/>
              <w:ind w:right="161"/>
              <w:spacing w:after="0"/>
              <w:rPr>
                <w:sz w:val="20"/>
                <w:szCs w:val="20"/>
                <w:color w:val="auto"/>
              </w:rPr>
            </w:pPr>
            <w:r>
              <w:rPr>
                <w:rFonts w:ascii="Arial" w:cs="Arial" w:eastAsia="Arial" w:hAnsi="Arial"/>
                <w:sz w:val="18"/>
                <w:szCs w:val="18"/>
                <w:b w:val="1"/>
                <w:bCs w:val="1"/>
                <w:color w:val="auto"/>
              </w:rPr>
              <w:t>(1,381)</w:t>
            </w:r>
          </w:p>
        </w:tc>
        <w:tc>
          <w:tcPr>
            <w:tcW w:w="80" w:type="dxa"/>
            <w:vAlign w:val="bottom"/>
          </w:tcPr>
          <w:p>
            <w:pPr>
              <w:spacing w:after="0"/>
              <w:rPr>
                <w:sz w:val="19"/>
                <w:szCs w:val="19"/>
                <w:color w:val="auto"/>
              </w:rPr>
            </w:pPr>
          </w:p>
        </w:tc>
        <w:tc>
          <w:tcPr>
            <w:tcW w:w="96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rPr>
              <w:t>(582)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41"/>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171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(170)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Increase in Net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(7,976)</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(8,679)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(9,332)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Net Debt, end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(9,186</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(9,186</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(10,141</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rPr>
              <w:t>Second Quarter 2024</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9"/>
              </w:rPr>
              <w:t>$ 1,112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Cost-out program </w:t>
            </w:r>
            <w:r>
              <w:rPr>
                <w:rFonts w:ascii="Arial" w:cs="Arial" w:eastAsia="Arial" w:hAnsi="Arial"/>
                <w:sz w:val="23"/>
                <w:szCs w:val="23"/>
                <w:color w:val="auto"/>
                <w:vertAlign w:val="superscript"/>
              </w:rPr>
              <w:t>(1)</w:t>
            </w:r>
          </w:p>
        </w:tc>
        <w:tc>
          <w:tcPr>
            <w:tcW w:w="26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6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94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2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6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0.85</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rPr>
              <w:t>First Quarter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$1,357</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$1,068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2000" w:type="dxa"/>
            <w:vAlign w:val="bottom"/>
            <w:gridSpan w:val="2"/>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2000" w:type="dxa"/>
            <w:vAlign w:val="bottom"/>
            <w:gridSpan w:val="2"/>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265</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8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0.75</w:t>
            </w: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680"/>
              <w:spacing w:after="0"/>
              <w:rPr>
                <w:sz w:val="20"/>
                <w:szCs w:val="20"/>
                <w:color w:val="auto"/>
              </w:rPr>
            </w:pPr>
            <w:r>
              <w:rPr>
                <w:rFonts w:ascii="Arial" w:cs="Arial" w:eastAsia="Arial" w:hAnsi="Arial"/>
                <w:sz w:val="14"/>
                <w:szCs w:val="14"/>
                <w:b w:val="1"/>
                <w:bCs w:val="1"/>
                <w:color w:val="auto"/>
              </w:rPr>
              <w:t>Six Months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$2,778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$2,180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$1.51</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Cost-out program </w:t>
            </w:r>
            <w:r>
              <w:rPr>
                <w:rFonts w:ascii="Arial" w:cs="Arial" w:eastAsia="Arial" w:hAnsi="Arial"/>
                <w:sz w:val="23"/>
                <w:szCs w:val="23"/>
                <w:color w:val="auto"/>
                <w:vertAlign w:val="superscript"/>
              </w:rPr>
              <w:t>(1)</w:t>
            </w:r>
          </w:p>
        </w:tc>
        <w:tc>
          <w:tcPr>
            <w:tcW w:w="26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6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94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2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6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1.60</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jc w:val="right"/>
              <w:ind w:right="840"/>
              <w:spacing w:after="0"/>
              <w:rPr>
                <w:sz w:val="20"/>
                <w:szCs w:val="20"/>
                <w:color w:val="auto"/>
              </w:rPr>
            </w:pPr>
            <w:r>
              <w:rPr>
                <w:rFonts w:ascii="Arial" w:cs="Arial" w:eastAsia="Arial" w:hAnsi="Arial"/>
                <w:sz w:val="14"/>
                <w:szCs w:val="14"/>
                <w:b w:val="1"/>
                <w:bCs w:val="1"/>
                <w:color w:val="auto"/>
              </w:rPr>
              <w:t>Six Months 2023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660" w:type="dxa"/>
            <w:vAlign w:val="bottom"/>
            <w:gridSpan w:val="4"/>
          </w:tcPr>
          <w:p>
            <w:pPr>
              <w:jc w:val="right"/>
              <w:ind w:right="34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$2,454</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$464</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99"/>
              </w:rPr>
              <w:t>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$1,967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$ 1.36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(4)</w:t>
            </w:r>
          </w:p>
        </w:tc>
        <w:tc>
          <w:tcPr>
            <w:tcW w:w="1720" w:type="dxa"/>
            <w:vAlign w:val="bottom"/>
          </w:tcPr>
          <w:p>
            <w:pPr>
              <w:spacing w:after="0"/>
              <w:rPr>
                <w:sz w:val="17"/>
                <w:szCs w:val="17"/>
                <w:color w:val="auto"/>
              </w:rPr>
            </w:pPr>
          </w:p>
        </w:tc>
        <w:tc>
          <w:tcPr>
            <w:tcW w:w="8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66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r>
      <w:tr>
        <w:trPr>
          <w:trHeight w:val="27"/>
        </w:trPr>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17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2,418</w:t>
            </w:r>
          </w:p>
        </w:tc>
        <w:tc>
          <w:tcPr>
            <w:tcW w:w="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14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w:t>
            </w: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9"/>
              </w:rPr>
              <w:t>23</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1,939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$ 1.34</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right="640" w:hanging="424"/>
        <w:spacing w:after="0" w:line="187"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$15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$16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right="640" w:hanging="424"/>
        <w:spacing w:after="0" w:line="187"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$29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$27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3"/>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were no charges or credits during the second quarter of 2023.</w:t>
      </w:r>
    </w:p>
    <w:p>
      <w:pPr>
        <w:sectPr>
          <w:pgSz w:w="11900" w:h="16838" w:orient="portrait"/>
          <w:cols w:equalWidth="0" w:num="1">
            <w:col w:w="11024"/>
          </w:cols>
          <w:pgMar w:left="436" w:top="269"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500" w:type="dxa"/>
            <w:vAlign w:val="bottom"/>
            <w:gridSpan w:val="8"/>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10"/>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gridSpan w:val="7"/>
          </w:tcPr>
          <w:p>
            <w:pPr>
              <w:jc w:val="right"/>
              <w:ind w:right="360"/>
              <w:spacing w:after="0" w:line="155" w:lineRule="exact"/>
              <w:rPr>
                <w:sz w:val="20"/>
                <w:szCs w:val="20"/>
                <w:color w:val="auto"/>
              </w:rPr>
            </w:pPr>
            <w:r>
              <w:rPr>
                <w:rFonts w:ascii="Arial" w:cs="Arial" w:eastAsia="Arial" w:hAnsi="Arial"/>
                <w:sz w:val="14"/>
                <w:szCs w:val="14"/>
                <w:b w:val="1"/>
                <w:bCs w:val="1"/>
                <w:color w:val="auto"/>
              </w:rPr>
              <w:t>Jun. 30, 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8"/>
          </w:tcPr>
          <w:p>
            <w:pPr>
              <w:jc w:val="center"/>
              <w:ind w:right="340"/>
              <w:spacing w:after="0" w:line="155" w:lineRule="exact"/>
              <w:rPr>
                <w:sz w:val="20"/>
                <w:szCs w:val="20"/>
                <w:color w:val="auto"/>
              </w:rPr>
            </w:pPr>
            <w:r>
              <w:rPr>
                <w:rFonts w:ascii="Arial" w:cs="Arial" w:eastAsia="Arial" w:hAnsi="Arial"/>
                <w:sz w:val="14"/>
                <w:szCs w:val="14"/>
                <w:color w:val="auto"/>
              </w:rPr>
              <w:t>Mar. 31, 2024</w:t>
            </w:r>
          </w:p>
        </w:tc>
        <w:tc>
          <w:tcPr>
            <w:tcW w:w="20" w:type="dxa"/>
            <w:vAlign w:val="bottom"/>
          </w:tcPr>
          <w:p>
            <w:pPr>
              <w:spacing w:after="0"/>
              <w:rPr>
                <w:sz w:val="13"/>
                <w:szCs w:val="13"/>
                <w:color w:val="auto"/>
              </w:rPr>
            </w:pPr>
          </w:p>
        </w:tc>
        <w:tc>
          <w:tcPr>
            <w:tcW w:w="1380" w:type="dxa"/>
            <w:vAlign w:val="bottom"/>
            <w:gridSpan w:val="7"/>
          </w:tcPr>
          <w:p>
            <w:pPr>
              <w:jc w:val="right"/>
              <w:ind w:right="170"/>
              <w:spacing w:after="0" w:line="155" w:lineRule="exact"/>
              <w:rPr>
                <w:sz w:val="20"/>
                <w:szCs w:val="20"/>
                <w:color w:val="auto"/>
              </w:rPr>
            </w:pPr>
            <w:r>
              <w:rPr>
                <w:rFonts w:ascii="Arial" w:cs="Arial" w:eastAsia="Arial" w:hAnsi="Arial"/>
                <w:sz w:val="14"/>
                <w:szCs w:val="14"/>
                <w:color w:val="auto"/>
              </w:rPr>
              <w:t>Jun. 30,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Before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5"/>
          </w:tcPr>
          <w:p>
            <w:pPr>
              <w:jc w:val="center"/>
              <w:ind w:right="220"/>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Revenue</w:t>
            </w:r>
          </w:p>
        </w:tc>
        <w:tc>
          <w:tcPr>
            <w:tcW w:w="16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Taxes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68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Taxes</w:t>
            </w: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$ 1,050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325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953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947</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2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1,819</w:t>
            </w: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376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3"/>
              </w:rPr>
              <w:t>1,725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339</w:t>
            </w:r>
          </w:p>
        </w:tc>
        <w:tc>
          <w:tcPr>
            <w:tcW w:w="2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3,411</w:t>
            </w:r>
          </w:p>
        </w:tc>
        <w:tc>
          <w:tcPr>
            <w:tcW w:w="8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742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3"/>
              </w:rPr>
              <w:t>3,368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Production Systems</w:t>
            </w:r>
          </w:p>
        </w:tc>
        <w:tc>
          <w:tcPr>
            <w:tcW w:w="2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3,025</w:t>
            </w: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473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3"/>
              </w:rPr>
              <w:t>2,818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w:t>
            </w:r>
          </w:p>
        </w:tc>
        <w:tc>
          <w:tcPr>
            <w:tcW w:w="2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2,313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0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(166)</w:t>
            </w: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(191)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(191)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(129)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(110)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(142)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$ 9,139</w:t>
            </w:r>
          </w:p>
        </w:tc>
        <w:tc>
          <w:tcPr>
            <w:tcW w:w="8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1,421</w:t>
            </w:r>
          </w:p>
        </w:tc>
        <w:tc>
          <w:tcPr>
            <w:tcW w:w="940" w:type="dxa"/>
            <w:vAlign w:val="bottom"/>
            <w:gridSpan w:val="6"/>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$ 8,707</w:t>
            </w:r>
          </w:p>
        </w:tc>
        <w:tc>
          <w:tcPr>
            <w:tcW w:w="7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1,357</w:t>
            </w:r>
          </w:p>
        </w:tc>
        <w:tc>
          <w:tcPr>
            <w:tcW w:w="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6"/>
              </w:rPr>
              <w:t>$ 8,099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1,293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2"/>
          </w:tcPr>
          <w:p>
            <w:pPr>
              <w:jc w:val="right"/>
              <w:ind w:right="5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Jun. 30, 2024</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7"/>
          </w:tcPr>
          <w:p>
            <w:pPr>
              <w:ind w:left="280"/>
              <w:spacing w:after="0" w:line="155" w:lineRule="exact"/>
              <w:rPr>
                <w:sz w:val="20"/>
                <w:szCs w:val="20"/>
                <w:color w:val="auto"/>
              </w:rPr>
            </w:pPr>
            <w:r>
              <w:rPr>
                <w:rFonts w:ascii="Arial" w:cs="Arial" w:eastAsia="Arial" w:hAnsi="Arial"/>
                <w:sz w:val="14"/>
                <w:szCs w:val="14"/>
                <w:color w:val="auto"/>
              </w:rPr>
              <w:t>Jun. 30, 2023</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Income</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4"/>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w w:val="94"/>
              </w:rPr>
              <w:t>Taxes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4"/>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579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1,840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587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3,544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3,146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548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6,779</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6,623</w:t>
            </w:r>
          </w:p>
        </w:tc>
        <w:tc>
          <w:tcPr>
            <w:tcW w:w="1060" w:type="dxa"/>
            <w:vAlign w:val="bottom"/>
            <w:gridSpan w:val="7"/>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5,843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4,520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483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(323)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(382)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(238)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(167)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800" w:type="dxa"/>
            <w:vAlign w:val="bottom"/>
            <w:gridSpan w:val="7"/>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17,846</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2,778</w:t>
            </w:r>
          </w:p>
        </w:tc>
        <w:tc>
          <w:tcPr>
            <w:tcW w:w="2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15,835</w:t>
            </w:r>
          </w:p>
        </w:tc>
        <w:tc>
          <w:tcPr>
            <w:tcW w:w="1060" w:type="dxa"/>
            <w:vAlign w:val="bottom"/>
            <w:gridSpan w:val="7"/>
            <w:shd w:val="clear" w:color="auto" w:fill="CCEEFF"/>
          </w:tcPr>
          <w:p>
            <w:pPr>
              <w:jc w:val="right"/>
              <w:ind w:right="3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4"/>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2024?</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2024 is expected to be approximately $2.6 billion, which is the same level as full-year 2023.</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second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2024 was $1.4 billion and free cash flow was $776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second quarter of 2024?</w:t>
      </w:r>
    </w:p>
    <w:p>
      <w:pPr>
        <w:spacing w:after="0" w:line="103" w:lineRule="exact"/>
        <w:rPr>
          <w:rFonts w:ascii="Arial" w:cs="Arial" w:eastAsia="Arial" w:hAnsi="Arial"/>
          <w:sz w:val="18"/>
          <w:szCs w:val="18"/>
          <w:b w:val="1"/>
          <w:bCs w:val="1"/>
          <w:color w:val="auto"/>
        </w:rPr>
      </w:pPr>
    </w:p>
    <w:p>
      <w:pPr>
        <w:ind w:left="444" w:right="6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second quarter of 2024 was $85 million. This consisted of interest income of $38 million and earnings of equity method investments of $47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2024?</w:t>
      </w:r>
    </w:p>
    <w:p>
      <w:pPr>
        <w:spacing w:after="0" w:line="103" w:lineRule="exact"/>
        <w:rPr>
          <w:rFonts w:ascii="Arial" w:cs="Arial" w:eastAsia="Arial" w:hAnsi="Arial"/>
          <w:sz w:val="18"/>
          <w:szCs w:val="18"/>
          <w:b w:val="1"/>
          <w:bCs w:val="1"/>
          <w:color w:val="auto"/>
        </w:rPr>
      </w:pPr>
    </w:p>
    <w:p>
      <w:pPr>
        <w:ind w:left="444" w:right="6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$38 million for the second quarter of 2024 was flat sequentially. Interest expense of $132 million increased $19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2024?</w:t>
      </w:r>
    </w:p>
    <w:p>
      <w:pPr>
        <w:spacing w:after="0" w:line="103" w:lineRule="exact"/>
        <w:rPr>
          <w:rFonts w:ascii="Arial" w:cs="Arial" w:eastAsia="Arial" w:hAnsi="Arial"/>
          <w:sz w:val="18"/>
          <w:szCs w:val="18"/>
          <w:b w:val="1"/>
          <w:bCs w:val="1"/>
          <w:color w:val="auto"/>
        </w:rPr>
      </w:pPr>
    </w:p>
    <w:p>
      <w:pPr>
        <w:ind w:left="444" w:right="4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The ETR for the second quarter of 2024, calculated in accordance with GAAP, was 19.4% as compared to 19.1% for the first quarter of 2024. Excluding charges and credits, the ETR for both the second quarter of 2024 and for the first quarter of 2024 was 19.1%.</w:t>
      </w:r>
    </w:p>
    <w:p>
      <w:pPr>
        <w:spacing w:after="0" w:line="36" w:lineRule="exact"/>
        <w:rPr>
          <w:rFonts w:ascii="Arial" w:cs="Arial" w:eastAsia="Arial" w:hAnsi="Arial"/>
          <w:sz w:val="18"/>
          <w:szCs w:val="18"/>
          <w:b w:val="1"/>
          <w:bCs w:val="1"/>
          <w:color w:val="auto"/>
        </w:rPr>
      </w:pPr>
    </w:p>
    <w:p>
      <w:pPr>
        <w:ind w:left="424" w:right="380" w:hanging="424"/>
        <w:spacing w:after="0" w:line="281" w:lineRule="auto"/>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June 30,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6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1.420 billion shares of common stock outstanding as of June 30, 2024, and 1.429 billion shares outstanding as of March 31,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March 31,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June 30, 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24" w:right="40" w:hanging="424"/>
        <w:spacing w:after="0" w:line="257" w:lineRule="auto"/>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second quarter of 2024 and first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1.428 billion during the second quarter of 2024 and 1.431 billion during the first quarter of 2024. The following is a reconciliation of the weighted average shares outstanding to the average number of shares outstanding, assuming dilution, used in the calculation of diluted earnings per share.</w:t>
      </w:r>
    </w:p>
    <w:p>
      <w:pPr>
        <w:sectPr>
          <w:pgSz w:w="11900" w:h="16838" w:orient="portrait"/>
          <w:cols w:equalWidth="0" w:num="1">
            <w:col w:w="10984"/>
          </w:cols>
          <w:pgMar w:left="436" w:top="269" w:right="479" w:bottom="1440" w:gutter="0" w:footer="0" w:header="0"/>
        </w:sectPr>
      </w:pPr>
    </w:p>
    <w:bookmarkStart w:id="19" w:name="page20"/>
    <w:bookmarkEnd w:id="19"/>
    <w:tbl>
      <w:tblPr>
        <w:tblLayout w:type="fixed"/>
        <w:tblInd w:w="1764"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color w:val="auto"/>
              </w:rPr>
              <w:t>(Stated in millions)</w:t>
            </w:r>
          </w:p>
        </w:tc>
      </w:tr>
      <w:tr>
        <w:trPr>
          <w:trHeight w:val="162"/>
        </w:trPr>
        <w:tc>
          <w:tcPr>
            <w:tcW w:w="44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First Quarter</w:t>
            </w:r>
          </w:p>
        </w:tc>
      </w:tr>
      <w:tr>
        <w:trPr>
          <w:trHeight w:val="171"/>
        </w:trPr>
        <w:tc>
          <w:tcPr>
            <w:tcW w:w="44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CCEEFF"/>
            </w:tcBorders>
          </w:tcPr>
          <w:p>
            <w:pPr>
              <w:spacing w:after="0"/>
              <w:rPr>
                <w:sz w:val="14"/>
                <w:szCs w:val="14"/>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1,428</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1,431</w:t>
            </w:r>
          </w:p>
        </w:tc>
        <w:tc>
          <w:tcPr>
            <w:tcW w:w="6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7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191"/>
        </w:trPr>
        <w:tc>
          <w:tcPr>
            <w:tcW w:w="4420" w:type="dxa"/>
            <w:vAlign w:val="bottom"/>
          </w:tcPr>
          <w:p>
            <w:pPr>
              <w:spacing w:after="0" w:line="191" w:lineRule="exact"/>
              <w:rPr>
                <w:sz w:val="20"/>
                <w:szCs w:val="20"/>
                <w:color w:val="auto"/>
              </w:rPr>
            </w:pPr>
            <w:r>
              <w:rPr>
                <w:rFonts w:ascii="Arial" w:cs="Arial" w:eastAsia="Arial" w:hAnsi="Arial"/>
                <w:sz w:val="18"/>
                <w:szCs w:val="18"/>
                <w:color w:val="auto"/>
              </w:rPr>
              <w:t>Average shares outstanding, assuming</w:t>
            </w: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4420" w:type="dxa"/>
            <w:vAlign w:val="bottom"/>
          </w:tcPr>
          <w:p>
            <w:pPr>
              <w:ind w:left="180"/>
              <w:spacing w:after="0"/>
              <w:rPr>
                <w:sz w:val="20"/>
                <w:szCs w:val="20"/>
                <w:color w:val="auto"/>
              </w:rPr>
            </w:pPr>
            <w:r>
              <w:rPr>
                <w:rFonts w:ascii="Arial" w:cs="Arial" w:eastAsia="Arial" w:hAnsi="Arial"/>
                <w:sz w:val="18"/>
                <w:szCs w:val="18"/>
                <w:color w:val="auto"/>
              </w:rPr>
              <w:t>dilution</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1,443</w:t>
            </w:r>
          </w:p>
        </w:tc>
        <w:tc>
          <w:tcPr>
            <w:tcW w:w="7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r>
      <w:tr>
        <w:trPr>
          <w:trHeight w:val="20"/>
        </w:trPr>
        <w:tc>
          <w:tcPr>
            <w:tcW w:w="4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81"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second quarter of 2024, the first quarter of 2024, the second quarter of 2023, the first six months of 2024, and the first six months of 2023?</w:t>
      </w:r>
    </w:p>
    <w:p>
      <w:pPr>
        <w:spacing w:after="0" w:line="28"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$2.288 billion in the second quarter of 2024, $2.057 billion in the first quarter of 2024, and $1.962 billion in the second quarter of 2023,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Second Quarter</w:t>
            </w:r>
          </w:p>
        </w:tc>
        <w:tc>
          <w:tcPr>
            <w:tcW w:w="1400" w:type="dxa"/>
            <w:vAlign w:val="bottom"/>
            <w:gridSpan w:val="4"/>
          </w:tcPr>
          <w:p>
            <w:pPr>
              <w:ind w:left="320"/>
              <w:spacing w:after="0"/>
              <w:rPr>
                <w:sz w:val="20"/>
                <w:szCs w:val="20"/>
                <w:color w:val="auto"/>
              </w:rPr>
            </w:pPr>
            <w:r>
              <w:rPr>
                <w:rFonts w:ascii="Arial" w:cs="Arial" w:eastAsia="Arial" w:hAnsi="Arial"/>
                <w:sz w:val="14"/>
                <w:szCs w:val="14"/>
                <w:color w:val="auto"/>
              </w:rPr>
              <w:t>First Quarter</w:t>
            </w:r>
          </w:p>
        </w:tc>
        <w:tc>
          <w:tcPr>
            <w:tcW w:w="1560" w:type="dxa"/>
            <w:vAlign w:val="bottom"/>
            <w:gridSpan w:val="4"/>
          </w:tcPr>
          <w:p>
            <w:pPr>
              <w:ind w:left="400"/>
              <w:spacing w:after="0"/>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1,112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4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2,288</w:t>
            </w:r>
          </w:p>
        </w:tc>
        <w:tc>
          <w:tcPr>
            <w:tcW w:w="3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SLB’s adjusted EBITDA was $4.344 billion for the six months ended June 30, 2024, and $3.749 billion for the six months ended</w:t>
      </w:r>
    </w:p>
    <w:p>
      <w:pPr>
        <w:spacing w:after="0" w:line="1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June 30, 2023, calculated as follows:</w:t>
      </w:r>
    </w:p>
    <w:p>
      <w:pPr>
        <w:spacing w:after="0" w:line="23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60" w:type="dxa"/>
            <w:vAlign w:val="bottom"/>
            <w:gridSpan w:val="4"/>
          </w:tcPr>
          <w:p>
            <w:pPr>
              <w:ind w:left="1060"/>
              <w:spacing w:after="0"/>
              <w:rPr>
                <w:sz w:val="20"/>
                <w:szCs w:val="20"/>
                <w:color w:val="auto"/>
              </w:rPr>
            </w:pPr>
            <w:r>
              <w:rPr>
                <w:rFonts w:ascii="Arial" w:cs="Arial" w:eastAsia="Arial" w:hAnsi="Arial"/>
                <w:sz w:val="14"/>
                <w:szCs w:val="14"/>
                <w:b w:val="1"/>
                <w:bCs w:val="1"/>
                <w:color w:val="auto"/>
              </w:rPr>
              <w:t>Six Months</w:t>
            </w: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2,180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1,967</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0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(77)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4,344</w:t>
            </w: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3,749</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79" w:right="479" w:bottom="1440" w:gutter="0" w:footer="0" w:header="0"/>
        </w:sectPr>
      </w:pPr>
    </w:p>
    <w:bookmarkStart w:id="20" w:name="page21"/>
    <w:bookmarkEnd w:id="20"/>
    <w:p>
      <w:pPr>
        <w:ind w:left="444"/>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84" w:lineRule="exact"/>
        <w:rPr>
          <w:sz w:val="20"/>
          <w:szCs w:val="20"/>
          <w:color w:val="auto"/>
        </w:rPr>
      </w:pPr>
    </w:p>
    <w:p>
      <w:pPr>
        <w:ind w:left="424" w:right="340" w:hanging="424"/>
        <w:spacing w:after="0" w:line="281"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second quarter of 2024, the first quarter of 2024, and the second quarter of 2023?</w:t>
      </w:r>
    </w:p>
    <w:p>
      <w:pPr>
        <w:spacing w:after="0" w:line="28"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second quarter of 2024, the first quarter of 2024, and the second quarter of 2023 were as follows:</w:t>
      </w:r>
    </w:p>
    <w:p>
      <w:pPr>
        <w:sectPr>
          <w:pgSz w:w="11900" w:h="16838" w:orient="portrait"/>
          <w:cols w:equalWidth="0" w:num="1">
            <w:col w:w="10984"/>
          </w:cols>
          <w:pgMar w:left="436"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rPr>
              <w:t>First Quarter</w:t>
            </w:r>
          </w:p>
        </w:tc>
        <w:tc>
          <w:tcPr>
            <w:tcW w:w="1800" w:type="dxa"/>
            <w:vAlign w:val="bottom"/>
            <w:gridSpan w:val="3"/>
          </w:tcPr>
          <w:p>
            <w:pPr>
              <w:ind w:left="780"/>
              <w:spacing w:after="0"/>
              <w:rPr>
                <w:sz w:val="20"/>
                <w:szCs w:val="20"/>
                <w:color w:val="auto"/>
              </w:rPr>
            </w:pPr>
            <w:r>
              <w:rPr>
                <w:rFonts w:ascii="Arial" w:cs="Arial" w:eastAsia="Arial" w:hAnsi="Arial"/>
                <w:sz w:val="14"/>
                <w:szCs w:val="14"/>
                <w:color w:val="auto"/>
              </w:rPr>
              <w:t>Second Quarter</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2024</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384</w:t>
            </w:r>
          </w:p>
        </w:tc>
        <w:tc>
          <w:tcPr>
            <w:tcW w:w="78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377</w:t>
            </w:r>
          </w:p>
        </w:tc>
        <w:tc>
          <w:tcPr>
            <w:tcW w:w="78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353</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21"/>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-693420</wp:posOffset>
            </wp:positionV>
            <wp:extent cx="587184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-427990</wp:posOffset>
            </wp:positionV>
            <wp:extent cx="587184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-153670</wp:posOffset>
            </wp:positionV>
            <wp:extent cx="587184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ectPr>
          <w:pgSz w:w="11900" w:h="16838" w:orient="portrait"/>
          <w:cols w:equalWidth="0" w:num="2">
            <w:col w:w="4884" w:space="720"/>
            <w:col w:w="5380"/>
          </w:cols>
          <w:pgMar w:left="436" w:top="269" w:right="479" w:bottom="1440" w:gutter="0" w:footer="0" w:header="0"/>
          <w:type w:val="continuous"/>
        </w:sectPr>
      </w:pPr>
    </w:p>
    <w:bookmarkStart w:id="21" w:name="page22"/>
    <w:bookmarkEnd w:id="21"/>
    <w:p>
      <w:pPr>
        <w:ind w:left="424" w:right="340" w:hanging="424"/>
        <w:spacing w:after="0" w:line="281"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Divisions comprise SLB’s Core business and what were their revenue and pretax operating income for the second quarter of 2024, the first quarter of 2024, and the second quarter of 2023?</w:t>
      </w:r>
    </w:p>
    <w:p>
      <w:pPr>
        <w:spacing w:after="0" w:line="28" w:lineRule="exact"/>
        <w:rPr>
          <w:rFonts w:ascii="Arial" w:cs="Arial" w:eastAsia="Arial" w:hAnsi="Arial"/>
          <w:sz w:val="18"/>
          <w:szCs w:val="18"/>
          <w:b w:val="1"/>
          <w:bCs w:val="1"/>
          <w:color w:val="auto"/>
        </w:rPr>
      </w:pPr>
    </w:p>
    <w:p>
      <w:pPr>
        <w:ind w:left="444" w:right="1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second quarter of 2024, first quarter of 2024, and the second quarter of 2023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w w:val="99"/>
              </w:rPr>
              <w:t>Jun. 30,</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Sequential</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Year-on-year</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1,819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1,725</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3,411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3,368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3,025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2,818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8,255</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7,911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7,318</w:t>
            </w:r>
          </w:p>
        </w:tc>
        <w:tc>
          <w:tcPr>
            <w:tcW w:w="7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376</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731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278</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1,315</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18.0%</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120 bps</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 bps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22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8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July 19, 2024. The call is scheduled to begin at 9:30 a.m. US Eastern time. To access the call, which is open to the public, please contact the conference call operator at</w:t>
      </w:r>
    </w:p>
    <w:p>
      <w:pPr>
        <w:spacing w:after="0" w:line="1" w:lineRule="exact"/>
        <w:rPr>
          <w:sz w:val="20"/>
          <w:szCs w:val="20"/>
          <w:color w:val="auto"/>
        </w:rPr>
      </w:pPr>
    </w:p>
    <w:p>
      <w:pPr>
        <w:ind w:left="4" w:right="20"/>
        <w:spacing w:after="0" w:line="239" w:lineRule="auto"/>
        <w:rPr>
          <w:sz w:val="20"/>
          <w:szCs w:val="20"/>
          <w:color w:val="auto"/>
        </w:rPr>
      </w:pPr>
      <w:r>
        <w:rPr>
          <w:rFonts w:ascii="Arial" w:cs="Arial" w:eastAsia="Arial" w:hAnsi="Arial"/>
          <w:sz w:val="18"/>
          <w:szCs w:val="18"/>
          <w:color w:val="auto"/>
        </w:rPr>
        <w:t>+1 (844) 721-7241 within North America, or +1 (409) 207-6955 outside North America, approximately 10 minutes prior to the call’s scheduled start time, and provide the access code 8858313. At the conclusion of the conference call, an audio replay will be available until August 19, 2024, by dialing +1 (866) 207-1041 within North America, or +1 (402) 970-0847 outside North America, and providing the access code 1906897. The conference call will be webcast simultaneously at www.slb.com/irwebcast on a listen-only basis. A replay of the webcast will also be available at the same website until August 19, 2024.</w:t>
      </w:r>
    </w:p>
    <w:p>
      <w:pPr>
        <w:sectPr>
          <w:pgSz w:w="11900" w:h="16838" w:orient="portrait"/>
          <w:cols w:equalWidth="0" w:num="1">
            <w:col w:w="11024"/>
          </w:cols>
          <w:pgMar w:left="436" w:top="269"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80"/>
          </w:cols>
          <w:pgMar w:left="436" w:top="269" w:right="439" w:bottom="1440" w:gutter="0" w:footer="0" w:header="0"/>
          <w:type w:val="continuous"/>
        </w:sectPr>
      </w:pP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second-quarter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w:t>
      </w:r>
    </w:p>
    <w:p>
      <w:pPr>
        <w:sectPr>
          <w:pgSz w:w="11900" w:h="16838" w:orient="portrait"/>
          <w:cols w:equalWidth="0" w:num="1">
            <w:col w:w="11000"/>
          </w:cols>
          <w:pgMar w:left="440" w:top="269" w:right="459" w:bottom="1440" w:gutter="0" w:footer="0" w:header="0"/>
        </w:sectPr>
      </w:pPr>
    </w:p>
    <w:bookmarkStart w:id="23" w:name="page24"/>
    <w:bookmarkEnd w:id="23"/>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8"/>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2024-07-19T09:24:15Z</dcterms:created>
  <dcterms:modified xsi:type="dcterms:W3CDTF">2024-07-19T09:24:15Z</dcterms:modified>
</cp:coreProperties>
</file>