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248285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July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243205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2" w:lineRule="exact"/>
        <w:rPr>
          <w:sz w:val="24"/>
          <w:szCs w:val="24"/>
          <w:color w:val="auto"/>
        </w:rPr>
      </w:pPr>
    </w:p>
    <w:p>
      <w:pPr>
        <w:sectPr>
          <w:pgSz w:w="11900" w:h="16838" w:orient="portrait"/>
          <w:cols w:equalWidth="0" w:num="3">
            <w:col w:w="4624" w:space="720"/>
            <w:col w:w="2720" w:space="720"/>
            <w:col w:w="2240"/>
          </w:cols>
          <w:pgMar w:left="436" w:top="393"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44" w:space="720"/>
            <w:col w:w="2760" w:space="720"/>
            <w:col w:w="2380"/>
          </w:cols>
          <w:pgMar w:left="436" w:top="393" w:right="439" w:bottom="1440" w:gutter="0" w:footer="0" w:header="0"/>
          <w:type w:val="continuous"/>
        </w:sectPr>
      </w:pP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 77056</w:t>
      </w:r>
    </w:p>
    <w:p>
      <w:pPr>
        <w:spacing w:after="0" w:line="9"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7"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93" w:right="439" w:bottom="1440" w:gutter="0" w:footer="0" w:header="0"/>
          <w:type w:val="continuous"/>
        </w:sectPr>
      </w:pPr>
    </w:p>
    <w:p>
      <w:pPr>
        <w:spacing w:after="0" w:line="19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61"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04" w:lineRule="exact"/>
        <w:rPr>
          <w:sz w:val="20"/>
          <w:szCs w:val="20"/>
          <w:color w:val="auto"/>
        </w:rPr>
      </w:pPr>
    </w:p>
    <w:p>
      <w:pPr>
        <w:ind w:left="4" w:firstLine="440"/>
        <w:spacing w:after="0" w:line="244" w:lineRule="auto"/>
        <w:rPr>
          <w:sz w:val="20"/>
          <w:szCs w:val="20"/>
          <w:color w:val="auto"/>
        </w:rPr>
      </w:pPr>
      <w:r>
        <w:rPr>
          <w:rFonts w:ascii="Arial" w:cs="Arial" w:eastAsia="Arial" w:hAnsi="Arial"/>
          <w:sz w:val="18"/>
          <w:szCs w:val="18"/>
          <w:color w:val="auto"/>
        </w:rPr>
        <w:t>The Second-Quarter 2025 Earnings Release furnished as Exhibit 99 hereto, which is incorporated by reference into this Item 2.02, was posted on the SLB internet website (</w:t>
      </w:r>
      <w:r>
        <w:rPr>
          <w:rFonts w:ascii="Arial" w:cs="Arial" w:eastAsia="Arial" w:hAnsi="Arial"/>
          <w:sz w:val="18"/>
          <w:szCs w:val="18"/>
          <w:u w:val="single" w:color="auto"/>
          <w:color w:val="auto"/>
        </w:rPr>
        <w:t>https://investorcenter.slb.com/financials/quarterly-results</w:t>
      </w:r>
      <w:r>
        <w:rPr>
          <w:rFonts w:ascii="Arial" w:cs="Arial" w:eastAsia="Arial" w:hAnsi="Arial"/>
          <w:sz w:val="18"/>
          <w:szCs w:val="18"/>
          <w:color w:val="auto"/>
        </w:rPr>
        <w:t>) on July 18, 2025.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32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8"/>
          <w:szCs w:val="18"/>
          <w:b w:val="1"/>
          <w:bCs w:val="1"/>
          <w:color w:val="auto"/>
        </w:rPr>
        <w:t>Regulation FD Disclosure.</w:t>
      </w:r>
    </w:p>
    <w:p>
      <w:pPr>
        <w:spacing w:after="0" w:line="104" w:lineRule="exact"/>
        <w:rPr>
          <w:sz w:val="20"/>
          <w:szCs w:val="20"/>
          <w:color w:val="auto"/>
        </w:rPr>
      </w:pPr>
    </w:p>
    <w:p>
      <w:pPr>
        <w:ind w:left="4" w:right="80" w:firstLine="440"/>
        <w:spacing w:after="0" w:line="247" w:lineRule="auto"/>
        <w:rPr>
          <w:sz w:val="20"/>
          <w:szCs w:val="20"/>
          <w:color w:val="auto"/>
        </w:rPr>
      </w:pPr>
      <w:r>
        <w:rPr>
          <w:rFonts w:ascii="Arial" w:cs="Arial" w:eastAsia="Arial" w:hAnsi="Arial"/>
          <w:sz w:val="18"/>
          <w:szCs w:val="18"/>
          <w:color w:val="auto"/>
        </w:rPr>
        <w:t>On July 18, 2025, SLB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6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17"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664" w:hanging="664"/>
        <w:spacing w:after="0"/>
        <w:tabs>
          <w:tab w:leader="none" w:pos="66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EE"/>
        </w:rPr>
        <w:t>Second-Quarter 2025 Earnings Release.</w:t>
      </w:r>
    </w:p>
    <w:p>
      <w:pPr>
        <w:spacing w:after="0" w:line="104"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64"/>
          </w:cols>
          <w:pgMar w:left="436" w:top="296" w:right="49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July 18, 2025</w:t>
      </w:r>
    </w:p>
    <w:p>
      <w:pPr>
        <w:sectPr>
          <w:pgSz w:w="11900" w:h="16838" w:orient="portrait"/>
          <w:cols w:equalWidth="0" w:num="1">
            <w:col w:w="10840"/>
          </w:cols>
          <w:pgMar w:left="440" w:top="296" w:right="619" w:bottom="1440" w:gutter="0" w:footer="0" w:header="0"/>
        </w:sectPr>
      </w:pPr>
    </w:p>
    <w:bookmarkStart w:id="3" w:name="page4"/>
    <w:bookmarkEnd w:id="3"/>
    <w:p>
      <w:pPr>
        <w:ind w:left="10164"/>
        <w:spacing w:after="0"/>
        <w:rPr>
          <w:sz w:val="20"/>
          <w:szCs w:val="20"/>
          <w:color w:val="auto"/>
        </w:rPr>
      </w:pPr>
      <w:r>
        <w:rPr>
          <w:rFonts w:ascii="Arial" w:cs="Arial" w:eastAsia="Arial" w:hAnsi="Arial"/>
          <w:sz w:val="18"/>
          <w:szCs w:val="18"/>
          <w:b w:val="1"/>
          <w:bCs w:val="1"/>
          <w:color w:val="auto"/>
        </w:rPr>
        <w:t>Exhibit 99</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6052185</wp:posOffset>
            </wp:positionH>
            <wp:positionV relativeFrom="paragraph">
              <wp:posOffset>-118745</wp:posOffset>
            </wp:positionV>
            <wp:extent cx="942975" cy="608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297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SLB Announces Second-Quarter 2025 Results</w:t>
      </w:r>
    </w:p>
    <w:p>
      <w:pPr>
        <w:spacing w:after="0" w:line="117"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of $8.55 billion increased 1% sequentially and decreased 6%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EPS of $0.74 increased 28% sequentially and decreased 4%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EPS, excluding charges and credits, of $0.74 increased 3% sequentially and decreased 13%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attributable to SLB of $1.01 billion increased 27% sequentially and decreased 9%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of $2.05 billion increased 2% sequentially and decreased 10% year on year</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from operations was $1.14 billion and free cash flow was $622 million</w:t>
      </w:r>
    </w:p>
    <w:p>
      <w:pPr>
        <w:spacing w:after="0" w:line="117"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approved quarterly cash dividend of $0.285 per share</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PARIS, July 18, 2025 — </w:t>
      </w:r>
      <w:r>
        <w:rPr>
          <w:rFonts w:ascii="Arial" w:cs="Arial" w:eastAsia="Arial" w:hAnsi="Arial"/>
          <w:sz w:val="18"/>
          <w:szCs w:val="18"/>
          <w:color w:val="auto"/>
        </w:rPr>
        <w:t>SLB (NYSE: SLB) today announced results for the second-quarter 2025.</w:t>
      </w:r>
    </w:p>
    <w:p>
      <w:pPr>
        <w:spacing w:after="0" w:line="3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Second-Quarter Results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160" w:type="dxa"/>
            <w:vAlign w:val="bottom"/>
            <w:gridSpan w:val="3"/>
          </w:tcPr>
          <w:p>
            <w:pPr>
              <w:ind w:left="220"/>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Change</w:t>
            </w:r>
          </w:p>
        </w:tc>
      </w:tr>
      <w:tr>
        <w:trPr>
          <w:trHeight w:val="146"/>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Jun. 30,</w:t>
            </w:r>
          </w:p>
        </w:tc>
        <w:tc>
          <w:tcPr>
            <w:tcW w:w="180" w:type="dxa"/>
            <w:vAlign w:val="bottom"/>
          </w:tcPr>
          <w:p>
            <w:pPr>
              <w:spacing w:after="0"/>
              <w:rPr>
                <w:sz w:val="12"/>
                <w:szCs w:val="12"/>
                <w:color w:val="auto"/>
              </w:rPr>
            </w:pPr>
          </w:p>
        </w:tc>
        <w:tc>
          <w:tcPr>
            <w:tcW w:w="104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Mar. 31,</w:t>
            </w:r>
          </w:p>
        </w:tc>
        <w:tc>
          <w:tcPr>
            <w:tcW w:w="40" w:type="dxa"/>
            <w:vAlign w:val="bottom"/>
          </w:tcPr>
          <w:p>
            <w:pPr>
              <w:spacing w:after="0"/>
              <w:rPr>
                <w:sz w:val="12"/>
                <w:szCs w:val="12"/>
                <w:color w:val="auto"/>
              </w:rPr>
            </w:pPr>
          </w:p>
        </w:tc>
        <w:tc>
          <w:tcPr>
            <w:tcW w:w="56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Jun. 30,</w:t>
            </w: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71"/>
        </w:trPr>
        <w:tc>
          <w:tcPr>
            <w:tcW w:w="46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2025</w:t>
            </w:r>
          </w:p>
        </w:tc>
        <w:tc>
          <w:tcPr>
            <w:tcW w:w="4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2024</w:t>
            </w:r>
          </w:p>
        </w:tc>
        <w:tc>
          <w:tcPr>
            <w:tcW w:w="5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Sequential</w:t>
            </w:r>
          </w:p>
        </w:tc>
        <w:tc>
          <w:tcPr>
            <w:tcW w:w="32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Year-on-year</w:t>
            </w:r>
          </w:p>
        </w:tc>
      </w:tr>
      <w:tr>
        <w:trPr>
          <w:trHeight w:val="196"/>
        </w:trPr>
        <w:tc>
          <w:tcPr>
            <w:tcW w:w="4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7"/>
              </w:rPr>
              <w:t>8,546</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8,490</w:t>
            </w: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9,139</w:t>
            </w:r>
          </w:p>
        </w:tc>
        <w:tc>
          <w:tcPr>
            <w:tcW w:w="540" w:type="dxa"/>
            <w:vAlign w:val="bottom"/>
            <w:shd w:val="clear" w:color="auto" w:fill="CCEEFF"/>
          </w:tcPr>
          <w:p>
            <w:pPr>
              <w:spacing w:after="0"/>
              <w:rPr>
                <w:sz w:val="17"/>
                <w:szCs w:val="17"/>
                <w:color w:val="auto"/>
              </w:rPr>
            </w:pPr>
          </w:p>
        </w:tc>
        <w:tc>
          <w:tcPr>
            <w:tcW w:w="13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99"/>
              </w:rPr>
              <w:t>1%</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w:t>
            </w: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Income before taxes – GAAP basis</w:t>
            </w:r>
          </w:p>
        </w:tc>
        <w:tc>
          <w:tcPr>
            <w:tcW w:w="1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1,285</w:t>
            </w:r>
          </w:p>
        </w:tc>
        <w:tc>
          <w:tcPr>
            <w:tcW w:w="320" w:type="dxa"/>
            <w:vAlign w:val="bottom"/>
          </w:tcPr>
          <w:p>
            <w:pPr>
              <w:spacing w:after="0"/>
              <w:rPr>
                <w:sz w:val="17"/>
                <w:szCs w:val="17"/>
                <w:color w:val="auto"/>
              </w:rPr>
            </w:pPr>
          </w:p>
        </w:tc>
        <w:tc>
          <w:tcPr>
            <w:tcW w:w="2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1,063</w:t>
            </w:r>
          </w:p>
        </w:tc>
        <w:tc>
          <w:tcPr>
            <w:tcW w:w="14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1,421</w:t>
            </w: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21%</w:t>
            </w:r>
          </w:p>
        </w:tc>
        <w:tc>
          <w:tcPr>
            <w:tcW w:w="1860" w:type="dxa"/>
            <w:vAlign w:val="bottom"/>
            <w:gridSpan w:val="2"/>
          </w:tcPr>
          <w:p>
            <w:pPr>
              <w:jc w:val="center"/>
              <w:ind w:left="232"/>
              <w:spacing w:after="0" w:line="202" w:lineRule="exact"/>
              <w:rPr>
                <w:sz w:val="20"/>
                <w:szCs w:val="20"/>
                <w:color w:val="auto"/>
              </w:rPr>
            </w:pPr>
            <w:r>
              <w:rPr>
                <w:rFonts w:ascii="Arial" w:cs="Arial" w:eastAsia="Arial" w:hAnsi="Arial"/>
                <w:sz w:val="18"/>
                <w:szCs w:val="18"/>
                <w:color w:val="auto"/>
                <w:w w:val="99"/>
              </w:rPr>
              <w:t>-10%</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taxes margin – GAAP basis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8"/>
              <w:spacing w:after="0" w:line="202" w:lineRule="exact"/>
              <w:rPr>
                <w:sz w:val="20"/>
                <w:szCs w:val="20"/>
                <w:color w:val="auto"/>
              </w:rPr>
            </w:pPr>
            <w:r>
              <w:rPr>
                <w:rFonts w:ascii="Arial" w:cs="Arial" w:eastAsia="Arial" w:hAnsi="Arial"/>
                <w:sz w:val="18"/>
                <w:szCs w:val="18"/>
                <w:b w:val="1"/>
                <w:bCs w:val="1"/>
                <w:color w:val="auto"/>
              </w:rPr>
              <w:t>15.0%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12.5%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15.5%</w:t>
            </w:r>
          </w:p>
        </w:tc>
        <w:tc>
          <w:tcPr>
            <w:tcW w:w="13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251 bps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-52 bps</w:t>
            </w: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Net income attributable to SLB – GAAP basis</w:t>
            </w:r>
          </w:p>
        </w:tc>
        <w:tc>
          <w:tcPr>
            <w:tcW w:w="1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1,014</w:t>
            </w:r>
          </w:p>
        </w:tc>
        <w:tc>
          <w:tcPr>
            <w:tcW w:w="320" w:type="dxa"/>
            <w:vAlign w:val="bottom"/>
          </w:tcPr>
          <w:p>
            <w:pPr>
              <w:spacing w:after="0"/>
              <w:rPr>
                <w:sz w:val="17"/>
                <w:szCs w:val="17"/>
                <w:color w:val="auto"/>
              </w:rPr>
            </w:pPr>
          </w:p>
        </w:tc>
        <w:tc>
          <w:tcPr>
            <w:tcW w:w="2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797</w:t>
            </w:r>
          </w:p>
        </w:tc>
        <w:tc>
          <w:tcPr>
            <w:tcW w:w="14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1,112</w:t>
            </w: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27%</w:t>
            </w:r>
          </w:p>
        </w:tc>
        <w:tc>
          <w:tcPr>
            <w:tcW w:w="1860" w:type="dxa"/>
            <w:vAlign w:val="bottom"/>
            <w:gridSpan w:val="2"/>
          </w:tcPr>
          <w:p>
            <w:pPr>
              <w:jc w:val="center"/>
              <w:ind w:left="212"/>
              <w:spacing w:after="0" w:line="202" w:lineRule="exact"/>
              <w:rPr>
                <w:sz w:val="20"/>
                <w:szCs w:val="20"/>
                <w:color w:val="auto"/>
              </w:rPr>
            </w:pPr>
            <w:r>
              <w:rPr>
                <w:rFonts w:ascii="Arial" w:cs="Arial" w:eastAsia="Arial" w:hAnsi="Arial"/>
                <w:sz w:val="18"/>
                <w:szCs w:val="18"/>
                <w:color w:val="auto"/>
                <w:w w:val="99"/>
              </w:rPr>
              <w:t>-9%</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 GAAP basis</w:t>
            </w:r>
          </w:p>
        </w:tc>
        <w:tc>
          <w:tcPr>
            <w:tcW w:w="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0.74</w:t>
            </w:r>
          </w:p>
        </w:tc>
        <w:tc>
          <w:tcPr>
            <w:tcW w:w="3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0.58</w:t>
            </w:r>
          </w:p>
        </w:tc>
        <w:tc>
          <w:tcPr>
            <w:tcW w:w="1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0.77</w:t>
            </w:r>
          </w:p>
        </w:tc>
        <w:tc>
          <w:tcPr>
            <w:tcW w:w="13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28%</w:t>
            </w:r>
          </w:p>
        </w:tc>
        <w:tc>
          <w:tcPr>
            <w:tcW w:w="1860" w:type="dxa"/>
            <w:vAlign w:val="bottom"/>
            <w:gridSpan w:val="2"/>
            <w:shd w:val="clear" w:color="auto" w:fill="CCEEFF"/>
          </w:tcPr>
          <w:p>
            <w:pPr>
              <w:jc w:val="center"/>
              <w:ind w:left="212"/>
              <w:spacing w:after="0" w:line="202" w:lineRule="exact"/>
              <w:rPr>
                <w:sz w:val="20"/>
                <w:szCs w:val="20"/>
                <w:color w:val="auto"/>
              </w:rPr>
            </w:pPr>
            <w:r>
              <w:rPr>
                <w:rFonts w:ascii="Arial" w:cs="Arial" w:eastAsia="Arial" w:hAnsi="Arial"/>
                <w:sz w:val="18"/>
                <w:szCs w:val="18"/>
                <w:color w:val="auto"/>
                <w:w w:val="99"/>
              </w:rPr>
              <w:t>-4%</w:t>
            </w:r>
          </w:p>
        </w:tc>
      </w:tr>
      <w:tr>
        <w:trPr>
          <w:trHeight w:val="310"/>
        </w:trPr>
        <w:tc>
          <w:tcPr>
            <w:tcW w:w="460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gridSpan w:val="2"/>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2,051</w:t>
            </w:r>
          </w:p>
        </w:tc>
        <w:tc>
          <w:tcPr>
            <w:tcW w:w="320" w:type="dxa"/>
            <w:vAlign w:val="bottom"/>
          </w:tcPr>
          <w:p>
            <w:pPr>
              <w:spacing w:after="0"/>
              <w:rPr>
                <w:sz w:val="24"/>
                <w:szCs w:val="24"/>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2,020</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2,288</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2%</w:t>
            </w:r>
          </w:p>
        </w:tc>
        <w:tc>
          <w:tcPr>
            <w:tcW w:w="1860" w:type="dxa"/>
            <w:vAlign w:val="bottom"/>
            <w:gridSpan w:val="2"/>
          </w:tcPr>
          <w:p>
            <w:pPr>
              <w:jc w:val="center"/>
              <w:ind w:left="232"/>
              <w:spacing w:after="0"/>
              <w:rPr>
                <w:sz w:val="20"/>
                <w:szCs w:val="20"/>
                <w:color w:val="auto"/>
              </w:rPr>
            </w:pPr>
            <w:r>
              <w:rPr>
                <w:rFonts w:ascii="Arial" w:cs="Arial" w:eastAsia="Arial" w:hAnsi="Arial"/>
                <w:sz w:val="18"/>
                <w:szCs w:val="18"/>
                <w:color w:val="auto"/>
                <w:w w:val="99"/>
              </w:rPr>
              <w:t>-10%</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8"/>
              <w:spacing w:after="0" w:line="202" w:lineRule="exact"/>
              <w:rPr>
                <w:sz w:val="20"/>
                <w:szCs w:val="20"/>
                <w:color w:val="auto"/>
              </w:rPr>
            </w:pPr>
            <w:r>
              <w:rPr>
                <w:rFonts w:ascii="Arial" w:cs="Arial" w:eastAsia="Arial" w:hAnsi="Arial"/>
                <w:sz w:val="18"/>
                <w:szCs w:val="18"/>
                <w:b w:val="1"/>
                <w:bCs w:val="1"/>
                <w:color w:val="auto"/>
              </w:rPr>
              <w:t>24.0%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23.8%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25.0%</w:t>
            </w:r>
          </w:p>
        </w:tc>
        <w:tc>
          <w:tcPr>
            <w:tcW w:w="13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21 bps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-103 bps</w:t>
            </w: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Pretax segment operating income*</w:t>
            </w:r>
          </w:p>
        </w:tc>
        <w:tc>
          <w:tcPr>
            <w:tcW w:w="1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1,584</w:t>
            </w:r>
          </w:p>
        </w:tc>
        <w:tc>
          <w:tcPr>
            <w:tcW w:w="320" w:type="dxa"/>
            <w:vAlign w:val="bottom"/>
          </w:tcPr>
          <w:p>
            <w:pPr>
              <w:spacing w:after="0"/>
              <w:rPr>
                <w:sz w:val="17"/>
                <w:szCs w:val="17"/>
                <w:color w:val="auto"/>
              </w:rPr>
            </w:pPr>
          </w:p>
        </w:tc>
        <w:tc>
          <w:tcPr>
            <w:tcW w:w="2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1,556</w:t>
            </w:r>
          </w:p>
        </w:tc>
        <w:tc>
          <w:tcPr>
            <w:tcW w:w="14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1,854</w:t>
            </w: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2%</w:t>
            </w:r>
          </w:p>
        </w:tc>
        <w:tc>
          <w:tcPr>
            <w:tcW w:w="1860" w:type="dxa"/>
            <w:vAlign w:val="bottom"/>
            <w:gridSpan w:val="2"/>
          </w:tcPr>
          <w:p>
            <w:pPr>
              <w:jc w:val="center"/>
              <w:ind w:left="232"/>
              <w:spacing w:after="0" w:line="202" w:lineRule="exact"/>
              <w:rPr>
                <w:sz w:val="20"/>
                <w:szCs w:val="20"/>
                <w:color w:val="auto"/>
              </w:rPr>
            </w:pPr>
            <w:r>
              <w:rPr>
                <w:rFonts w:ascii="Arial" w:cs="Arial" w:eastAsia="Arial" w:hAnsi="Arial"/>
                <w:sz w:val="18"/>
                <w:szCs w:val="18"/>
                <w:color w:val="auto"/>
                <w:w w:val="99"/>
              </w:rPr>
              <w:t>-15%</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segment operating margin*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08"/>
              <w:spacing w:after="0" w:line="202" w:lineRule="exact"/>
              <w:rPr>
                <w:sz w:val="20"/>
                <w:szCs w:val="20"/>
                <w:color w:val="auto"/>
              </w:rPr>
            </w:pPr>
            <w:r>
              <w:rPr>
                <w:rFonts w:ascii="Arial" w:cs="Arial" w:eastAsia="Arial" w:hAnsi="Arial"/>
                <w:sz w:val="18"/>
                <w:szCs w:val="18"/>
                <w:b w:val="1"/>
                <w:bCs w:val="1"/>
                <w:color w:val="auto"/>
              </w:rPr>
              <w:t>18.5%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18.3%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20.3%</w:t>
            </w:r>
          </w:p>
        </w:tc>
        <w:tc>
          <w:tcPr>
            <w:tcW w:w="13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20 bps</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-175 bps</w:t>
            </w:r>
          </w:p>
        </w:tc>
      </w:tr>
      <w:tr>
        <w:trPr>
          <w:trHeight w:val="184"/>
        </w:trPr>
        <w:tc>
          <w:tcPr>
            <w:tcW w:w="4600" w:type="dxa"/>
            <w:vAlign w:val="bottom"/>
          </w:tcPr>
          <w:p>
            <w:pPr>
              <w:spacing w:after="0" w:line="183" w:lineRule="exact"/>
              <w:rPr>
                <w:sz w:val="20"/>
                <w:szCs w:val="20"/>
                <w:color w:val="auto"/>
              </w:rPr>
            </w:pPr>
            <w:r>
              <w:rPr>
                <w:rFonts w:ascii="Arial" w:cs="Arial" w:eastAsia="Arial" w:hAnsi="Arial"/>
                <w:sz w:val="18"/>
                <w:szCs w:val="18"/>
                <w:color w:val="auto"/>
              </w:rPr>
              <w:t>Net income attributable to SLB, excluding charges &amp;</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21"/>
        </w:trPr>
        <w:tc>
          <w:tcPr>
            <w:tcW w:w="4600" w:type="dxa"/>
            <w:vAlign w:val="bottom"/>
          </w:tcPr>
          <w:p>
            <w:pPr>
              <w:ind w:left="180"/>
              <w:spacing w:after="0"/>
              <w:rPr>
                <w:sz w:val="20"/>
                <w:szCs w:val="20"/>
                <w:color w:val="auto"/>
              </w:rPr>
            </w:pPr>
            <w:r>
              <w:rPr>
                <w:rFonts w:ascii="Arial" w:cs="Arial" w:eastAsia="Arial" w:hAnsi="Arial"/>
                <w:sz w:val="18"/>
                <w:szCs w:val="18"/>
                <w:color w:val="auto"/>
              </w:rPr>
              <w:t>credits*</w:t>
            </w:r>
          </w:p>
        </w:tc>
        <w:tc>
          <w:tcPr>
            <w:tcW w:w="100" w:type="dxa"/>
            <w:vAlign w:val="bottom"/>
            <w:gridSpan w:val="2"/>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1,016</w:t>
            </w:r>
          </w:p>
        </w:tc>
        <w:tc>
          <w:tcPr>
            <w:tcW w:w="320" w:type="dxa"/>
            <w:vAlign w:val="bottom"/>
          </w:tcPr>
          <w:p>
            <w:pPr>
              <w:spacing w:after="0"/>
              <w:rPr>
                <w:sz w:val="19"/>
                <w:szCs w:val="19"/>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988</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1,224</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1860" w:type="dxa"/>
            <w:vAlign w:val="bottom"/>
            <w:gridSpan w:val="2"/>
          </w:tcPr>
          <w:p>
            <w:pPr>
              <w:jc w:val="center"/>
              <w:ind w:left="232"/>
              <w:spacing w:after="0"/>
              <w:rPr>
                <w:sz w:val="20"/>
                <w:szCs w:val="20"/>
                <w:color w:val="auto"/>
              </w:rPr>
            </w:pPr>
            <w:r>
              <w:rPr>
                <w:rFonts w:ascii="Arial" w:cs="Arial" w:eastAsia="Arial" w:hAnsi="Arial"/>
                <w:sz w:val="18"/>
                <w:szCs w:val="18"/>
                <w:color w:val="auto"/>
                <w:w w:val="99"/>
              </w:rPr>
              <w:t>-17%</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EPS, excluding charges &amp; credits*</w:t>
            </w:r>
          </w:p>
        </w:tc>
        <w:tc>
          <w:tcPr>
            <w:tcW w:w="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0.74</w:t>
            </w:r>
          </w:p>
        </w:tc>
        <w:tc>
          <w:tcPr>
            <w:tcW w:w="3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0.72</w:t>
            </w:r>
          </w:p>
        </w:tc>
        <w:tc>
          <w:tcPr>
            <w:tcW w:w="1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0.85</w:t>
            </w:r>
          </w:p>
        </w:tc>
        <w:tc>
          <w:tcPr>
            <w:tcW w:w="13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3%</w:t>
            </w:r>
          </w:p>
        </w:tc>
        <w:tc>
          <w:tcPr>
            <w:tcW w:w="1860" w:type="dxa"/>
            <w:vAlign w:val="bottom"/>
            <w:gridSpan w:val="2"/>
            <w:shd w:val="clear" w:color="auto" w:fill="CCEEFF"/>
          </w:tcPr>
          <w:p>
            <w:pPr>
              <w:jc w:val="center"/>
              <w:ind w:left="232"/>
              <w:spacing w:after="0" w:line="202" w:lineRule="exact"/>
              <w:rPr>
                <w:sz w:val="20"/>
                <w:szCs w:val="20"/>
                <w:color w:val="auto"/>
              </w:rPr>
            </w:pPr>
            <w:r>
              <w:rPr>
                <w:rFonts w:ascii="Arial" w:cs="Arial" w:eastAsia="Arial" w:hAnsi="Arial"/>
                <w:sz w:val="18"/>
                <w:szCs w:val="18"/>
                <w:color w:val="auto"/>
                <w:w w:val="99"/>
              </w:rPr>
              <w:t>-13%</w:t>
            </w:r>
          </w:p>
        </w:tc>
      </w:tr>
      <w:tr>
        <w:trPr>
          <w:trHeight w:val="310"/>
        </w:trPr>
        <w:tc>
          <w:tcPr>
            <w:tcW w:w="4600" w:type="dxa"/>
            <w:vAlign w:val="bottom"/>
          </w:tcPr>
          <w:p>
            <w:pPr>
              <w:spacing w:after="0"/>
              <w:rPr>
                <w:sz w:val="20"/>
                <w:szCs w:val="20"/>
                <w:color w:val="auto"/>
              </w:rPr>
            </w:pPr>
            <w:r>
              <w:rPr>
                <w:rFonts w:ascii="Arial" w:cs="Arial" w:eastAsia="Arial" w:hAnsi="Arial"/>
                <w:sz w:val="18"/>
                <w:szCs w:val="18"/>
                <w:b w:val="1"/>
                <w:bCs w:val="1"/>
                <w:color w:val="auto"/>
              </w:rPr>
              <w:t>Revenue by Geography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6,847</w:t>
            </w:r>
          </w:p>
        </w:tc>
        <w:tc>
          <w:tcPr>
            <w:tcW w:w="3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6,727</w:t>
            </w:r>
          </w:p>
        </w:tc>
        <w:tc>
          <w:tcPr>
            <w:tcW w:w="1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w w:val="97"/>
              </w:rPr>
              <w:t>7,452</w:t>
            </w:r>
          </w:p>
        </w:tc>
        <w:tc>
          <w:tcPr>
            <w:tcW w:w="13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2%</w:t>
            </w:r>
          </w:p>
        </w:tc>
        <w:tc>
          <w:tcPr>
            <w:tcW w:w="1860" w:type="dxa"/>
            <w:vAlign w:val="bottom"/>
            <w:gridSpan w:val="2"/>
            <w:shd w:val="clear" w:color="auto" w:fill="CCEEFF"/>
          </w:tcPr>
          <w:p>
            <w:pPr>
              <w:jc w:val="center"/>
              <w:ind w:left="212"/>
              <w:spacing w:after="0" w:line="202" w:lineRule="exact"/>
              <w:rPr>
                <w:sz w:val="20"/>
                <w:szCs w:val="20"/>
                <w:color w:val="auto"/>
              </w:rPr>
            </w:pPr>
            <w:r>
              <w:rPr>
                <w:rFonts w:ascii="Arial" w:cs="Arial" w:eastAsia="Arial" w:hAnsi="Arial"/>
                <w:sz w:val="18"/>
                <w:szCs w:val="18"/>
                <w:color w:val="auto"/>
                <w:w w:val="99"/>
              </w:rPr>
              <w:t>-8%</w:t>
            </w:r>
          </w:p>
        </w:tc>
      </w:tr>
      <w:tr>
        <w:trPr>
          <w:trHeight w:val="203"/>
        </w:trPr>
        <w:tc>
          <w:tcPr>
            <w:tcW w:w="4600" w:type="dxa"/>
            <w:vAlign w:val="bottom"/>
          </w:tcPr>
          <w:p>
            <w:pPr>
              <w:spacing w:after="0" w:line="202" w:lineRule="exact"/>
              <w:rPr>
                <w:sz w:val="20"/>
                <w:szCs w:val="20"/>
                <w:color w:val="auto"/>
              </w:rPr>
            </w:pPr>
            <w:r>
              <w:rPr>
                <w:rFonts w:ascii="Arial" w:cs="Arial" w:eastAsia="Arial" w:hAnsi="Arial"/>
                <w:sz w:val="18"/>
                <w:szCs w:val="18"/>
                <w:color w:val="auto"/>
              </w:rPr>
              <w:t>North America</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7"/>
              </w:rPr>
              <w:t>1,655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1,719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w w:val="97"/>
              </w:rPr>
              <w:t>1,644</w:t>
            </w: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-4%</w:t>
            </w:r>
          </w:p>
        </w:tc>
        <w:tc>
          <w:tcPr>
            <w:tcW w:w="1860" w:type="dxa"/>
            <w:vAlign w:val="bottom"/>
            <w:gridSpan w:val="2"/>
          </w:tcPr>
          <w:p>
            <w:pPr>
              <w:jc w:val="center"/>
              <w:ind w:left="232"/>
              <w:spacing w:after="0" w:line="202" w:lineRule="exact"/>
              <w:rPr>
                <w:sz w:val="20"/>
                <w:szCs w:val="20"/>
                <w:color w:val="auto"/>
              </w:rPr>
            </w:pPr>
            <w:r>
              <w:rPr>
                <w:rFonts w:ascii="Arial" w:cs="Arial" w:eastAsia="Arial" w:hAnsi="Arial"/>
                <w:sz w:val="18"/>
                <w:szCs w:val="18"/>
                <w:color w:val="auto"/>
                <w:w w:val="99"/>
              </w:rPr>
              <w:t>1%</w:t>
            </w:r>
          </w:p>
        </w:tc>
      </w:tr>
      <w:tr>
        <w:trPr>
          <w:trHeight w:val="203"/>
        </w:trPr>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44</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43</w:t>
            </w:r>
          </w:p>
        </w:tc>
        <w:tc>
          <w:tcPr>
            <w:tcW w:w="13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320" w:type="dxa"/>
            <w:vAlign w:val="bottom"/>
            <w:shd w:val="clear" w:color="auto" w:fill="CCEEFF"/>
          </w:tcPr>
          <w:p>
            <w:pPr>
              <w:spacing w:after="0"/>
              <w:rPr>
                <w:sz w:val="17"/>
                <w:szCs w:val="17"/>
                <w:color w:val="auto"/>
              </w:rPr>
            </w:pPr>
          </w:p>
        </w:tc>
        <w:tc>
          <w:tcPr>
            <w:tcW w:w="15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n/m</w:t>
            </w:r>
          </w:p>
        </w:tc>
      </w:tr>
      <w:tr>
        <w:trPr>
          <w:trHeight w:val="210"/>
        </w:trPr>
        <w:tc>
          <w:tcPr>
            <w:tcW w:w="4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8,546</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8,490</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9,139</w:t>
            </w:r>
          </w:p>
        </w:tc>
        <w:tc>
          <w:tcPr>
            <w:tcW w:w="54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32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-6%</w:t>
            </w: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024"/>
          </w:cols>
          <w:pgMar w:left="436" w:top="122"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76"/>
        </w:trPr>
        <w:tc>
          <w:tcPr>
            <w:tcW w:w="6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14"/>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4"/>
          </w:tcPr>
          <w:p>
            <w:pPr>
              <w:ind w:left="6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180" w:type="dxa"/>
            <w:vAlign w:val="bottom"/>
          </w:tcPr>
          <w:p>
            <w:pPr>
              <w:spacing w:after="0"/>
              <w:rPr>
                <w:sz w:val="12"/>
                <w:szCs w:val="12"/>
                <w:color w:val="auto"/>
              </w:rPr>
            </w:pP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Jun. 30,</w:t>
            </w:r>
          </w:p>
        </w:tc>
        <w:tc>
          <w:tcPr>
            <w:tcW w:w="9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Mar. 31,</w:t>
            </w:r>
          </w:p>
        </w:tc>
        <w:tc>
          <w:tcPr>
            <w:tcW w:w="560" w:type="dxa"/>
            <w:vAlign w:val="bottom"/>
            <w:tcBorders>
              <w:top w:val="single" w:sz="8" w:color="auto"/>
            </w:tcBorders>
            <w:gridSpan w:val="2"/>
          </w:tcPr>
          <w:p>
            <w:pPr>
              <w:ind w:left="40"/>
              <w:spacing w:after="0" w:line="147" w:lineRule="exact"/>
              <w:rPr>
                <w:sz w:val="20"/>
                <w:szCs w:val="20"/>
                <w:color w:val="auto"/>
              </w:rPr>
            </w:pPr>
            <w:r>
              <w:rPr>
                <w:rFonts w:ascii="Arial" w:cs="Arial" w:eastAsia="Arial" w:hAnsi="Arial"/>
                <w:sz w:val="14"/>
                <w:szCs w:val="14"/>
                <w:color w:val="auto"/>
              </w:rPr>
              <w:t>Jun. 30,</w:t>
            </w:r>
          </w:p>
        </w:tc>
        <w:tc>
          <w:tcPr>
            <w:tcW w:w="4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color w:val="auto"/>
              </w:rPr>
              <w:t>2024</w:t>
            </w:r>
          </w:p>
        </w:tc>
        <w:tc>
          <w:tcPr>
            <w:tcW w:w="4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61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 by Division</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995</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1,006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1,050</w:t>
            </w: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08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9"/>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w w:val="97"/>
              </w:rPr>
              <w:t>1,691</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1,700</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1,819</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w w:val="97"/>
              </w:rPr>
              <w:t>2,963</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2,977</w:t>
            </w: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3,411</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81"/>
              </w:rPr>
              <w:t>— </w:t>
            </w:r>
          </w:p>
        </w:tc>
        <w:tc>
          <w:tcPr>
            <w:tcW w:w="108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9"/>
              </w:rPr>
              <w:t>-13%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w w:val="97"/>
              </w:rPr>
              <w:t>3,036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2,938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3,025</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40"/>
              <w:spacing w:after="0" w:line="202" w:lineRule="exact"/>
              <w:rPr>
                <w:sz w:val="20"/>
                <w:szCs w:val="20"/>
                <w:color w:val="auto"/>
              </w:rPr>
            </w:pPr>
            <w:r>
              <w:rPr>
                <w:rFonts w:ascii="Arial" w:cs="Arial" w:eastAsia="Arial" w:hAnsi="Arial"/>
                <w:sz w:val="18"/>
                <w:szCs w:val="18"/>
                <w:color w:val="auto"/>
                <w:w w:val="81"/>
              </w:rPr>
              <w:t>— </w:t>
            </w: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88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(139)</w:t>
            </w:r>
          </w:p>
        </w:tc>
        <w:tc>
          <w:tcPr>
            <w:tcW w:w="100" w:type="dxa"/>
            <w:vAlign w:val="bottom"/>
          </w:tcPr>
          <w:p>
            <w:pPr>
              <w:spacing w:after="0"/>
              <w:rPr>
                <w:sz w:val="17"/>
                <w:szCs w:val="17"/>
                <w:color w:val="auto"/>
              </w:rPr>
            </w:pPr>
          </w:p>
        </w:tc>
        <w:tc>
          <w:tcPr>
            <w:tcW w:w="8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(131)</w:t>
            </w:r>
          </w:p>
        </w:tc>
        <w:tc>
          <w:tcPr>
            <w:tcW w:w="120" w:type="dxa"/>
            <w:vAlign w:val="bottom"/>
          </w:tcPr>
          <w:p>
            <w:pPr>
              <w:spacing w:after="0"/>
              <w:rPr>
                <w:sz w:val="17"/>
                <w:szCs w:val="17"/>
                <w:color w:val="auto"/>
              </w:rPr>
            </w:pPr>
          </w:p>
        </w:tc>
        <w:tc>
          <w:tcPr>
            <w:tcW w:w="8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(166)</w:t>
            </w: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w w:val="97"/>
              </w:rPr>
              <w:t>8,546</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8,490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9,139</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 by Division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327</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325</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7%</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40"/>
              <w:spacing w:after="0" w:line="202" w:lineRule="exact"/>
              <w:rPr>
                <w:sz w:val="20"/>
                <w:szCs w:val="20"/>
                <w:color w:val="auto"/>
              </w:rPr>
            </w:pPr>
            <w:r>
              <w:rPr>
                <w:rFonts w:ascii="Arial" w:cs="Arial" w:eastAsia="Arial" w:hAnsi="Arial"/>
                <w:sz w:val="18"/>
                <w:szCs w:val="18"/>
                <w:color w:val="auto"/>
                <w:w w:val="81"/>
              </w:rPr>
              <w:t>— </w:t>
            </w: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314</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282</w:t>
            </w: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376</w:t>
            </w: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12%</w:t>
            </w:r>
          </w:p>
        </w:tc>
        <w:tc>
          <w:tcPr>
            <w:tcW w:w="108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9"/>
              </w:rPr>
              <w:t>-16%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551</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589</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742</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-6%</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9"/>
              </w:rPr>
              <w:t>-26%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499</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475</w:t>
            </w: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473</w:t>
            </w: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5%</w:t>
            </w:r>
          </w:p>
        </w:tc>
        <w:tc>
          <w:tcPr>
            <w:tcW w:w="108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9"/>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(107)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(62)</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1,584</w:t>
            </w: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1,556</w:t>
            </w:r>
          </w:p>
        </w:tc>
        <w:tc>
          <w:tcPr>
            <w:tcW w:w="4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1,854</w:t>
            </w:r>
          </w:p>
        </w:tc>
        <w:tc>
          <w:tcPr>
            <w:tcW w:w="4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2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 by Division</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Digital &amp; Integration</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32.8%</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30.4%</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31.0%</w:t>
            </w: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240 bps</w:t>
            </w:r>
          </w:p>
        </w:tc>
        <w:tc>
          <w:tcPr>
            <w:tcW w:w="240" w:type="dxa"/>
            <w:vAlign w:val="bottom"/>
          </w:tcPr>
          <w:p>
            <w:pPr>
              <w:spacing w:after="0"/>
              <w:rPr>
                <w:sz w:val="17"/>
                <w:szCs w:val="17"/>
                <w:color w:val="auto"/>
              </w:rPr>
            </w:pPr>
          </w:p>
        </w:tc>
        <w:tc>
          <w:tcPr>
            <w:tcW w:w="900" w:type="dxa"/>
            <w:vAlign w:val="bottom"/>
            <w:gridSpan w:val="2"/>
          </w:tcPr>
          <w:p>
            <w:pPr>
              <w:jc w:val="center"/>
              <w:ind w:right="20"/>
              <w:spacing w:after="0" w:line="202" w:lineRule="exact"/>
              <w:rPr>
                <w:sz w:val="20"/>
                <w:szCs w:val="20"/>
                <w:color w:val="auto"/>
              </w:rPr>
            </w:pPr>
            <w:r>
              <w:rPr>
                <w:rFonts w:ascii="Arial" w:cs="Arial" w:eastAsia="Arial" w:hAnsi="Arial"/>
                <w:sz w:val="18"/>
                <w:szCs w:val="18"/>
                <w:color w:val="auto"/>
                <w:w w:val="99"/>
              </w:rPr>
              <w:t>186 bps</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18.6%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20.6%</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203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-205 bps</w:t>
            </w: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b w:val="1"/>
                <w:bCs w:val="1"/>
                <w:color w:val="auto"/>
              </w:rPr>
              <w:t>18.6%</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19.8%</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21.7%</w:t>
            </w: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-119 bps</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-315 bps</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16.4%</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15.6%</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28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79 bps</w:t>
            </w:r>
          </w:p>
        </w:tc>
        <w:tc>
          <w:tcPr>
            <w:tcW w:w="0" w:type="dxa"/>
            <w:vAlign w:val="bottom"/>
          </w:tcPr>
          <w:p>
            <w:pPr>
              <w:spacing w:after="0"/>
              <w:rPr>
                <w:sz w:val="1"/>
                <w:szCs w:val="1"/>
                <w:color w:val="auto"/>
              </w:rPr>
            </w:pPr>
          </w:p>
        </w:tc>
      </w:tr>
      <w:tr>
        <w:trPr>
          <w:trHeight w:val="203"/>
        </w:trPr>
        <w:tc>
          <w:tcPr>
            <w:tcW w:w="61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n/m</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n/m</w:t>
            </w: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n/m</w:t>
            </w: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18.5%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20.3%</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20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-175 bps</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224" w:right="460" w:hanging="224"/>
        <w:spacing w:after="0" w:line="271"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“Charges &amp; Credits”, “Divisions” and “Supplementary Information” for details.</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 ful</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Oil and Gas Markets Hold Steady Amid Global Uncertainty</w:t>
      </w:r>
    </w:p>
    <w:p>
      <w:pPr>
        <w:spacing w:after="0" w:line="104" w:lineRule="exact"/>
        <w:rPr>
          <w:sz w:val="20"/>
          <w:szCs w:val="20"/>
          <w:color w:val="auto"/>
        </w:rPr>
      </w:pPr>
    </w:p>
    <w:p>
      <w:pPr>
        <w:ind w:left="4" w:right="200"/>
        <w:spacing w:after="0" w:line="253" w:lineRule="auto"/>
        <w:rPr>
          <w:sz w:val="20"/>
          <w:szCs w:val="20"/>
          <w:color w:val="auto"/>
        </w:rPr>
      </w:pPr>
      <w:r>
        <w:rPr>
          <w:rFonts w:ascii="Arial" w:cs="Arial" w:eastAsia="Arial" w:hAnsi="Arial"/>
          <w:sz w:val="18"/>
          <w:szCs w:val="18"/>
          <w:color w:val="auto"/>
        </w:rPr>
        <w:t>“SLB reported solid second-quarter results, leveraging our diversified portfolio and broad market exposure to deliver steady revenue and slightly higher adjusted EBITDA and margins sequentially. This demonstrates our resilience amidst softer upstream spending and macroeconomic uncertainty,” said SLB Chief Executive Officer Olivier Le Peuch.</w:t>
      </w:r>
    </w:p>
    <w:p>
      <w:pPr>
        <w:spacing w:after="0" w:line="169" w:lineRule="exact"/>
        <w:rPr>
          <w:sz w:val="20"/>
          <w:szCs w:val="20"/>
          <w:color w:val="auto"/>
        </w:rPr>
      </w:pPr>
    </w:p>
    <w:p>
      <w:pPr>
        <w:jc w:val="both"/>
        <w:ind w:left="4" w:right="300"/>
        <w:spacing w:after="0" w:line="253" w:lineRule="auto"/>
        <w:rPr>
          <w:sz w:val="20"/>
          <w:szCs w:val="20"/>
          <w:color w:val="auto"/>
        </w:rPr>
      </w:pPr>
      <w:r>
        <w:rPr>
          <w:rFonts w:ascii="Arial" w:cs="Arial" w:eastAsia="Arial" w:hAnsi="Arial"/>
          <w:sz w:val="18"/>
          <w:szCs w:val="18"/>
          <w:color w:val="auto"/>
        </w:rPr>
        <w:t>“The market is navigating several dynamics — including fully supplied oil markets, OPEC+ supply releases, ongoing trade negotiations and geopolitical conflicts. Despite this, commodity prices have remained range bound. Meanwhile, customers have selectively adjusted activity, prioritizing key projects and planning cautiously, particularly in offshore deepwater markets.</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this context, the upstream market has remained relatively resilient, underscoring the enduring strength of our industry,” Le Peuch said.</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SLB’s Broad Market Exposure Helps to Overcome Regional Headwinds</w:t>
      </w:r>
    </w:p>
    <w:p>
      <w:pPr>
        <w:spacing w:after="0" w:line="104" w:lineRule="exact"/>
        <w:rPr>
          <w:sz w:val="20"/>
          <w:szCs w:val="20"/>
          <w:color w:val="auto"/>
        </w:rPr>
      </w:pPr>
    </w:p>
    <w:p>
      <w:pPr>
        <w:jc w:val="both"/>
        <w:ind w:left="4" w:right="440"/>
        <w:spacing w:after="0" w:line="253" w:lineRule="auto"/>
        <w:rPr>
          <w:sz w:val="20"/>
          <w:szCs w:val="20"/>
          <w:color w:val="auto"/>
        </w:rPr>
      </w:pPr>
      <w:r>
        <w:rPr>
          <w:rFonts w:ascii="Arial" w:cs="Arial" w:eastAsia="Arial" w:hAnsi="Arial"/>
          <w:sz w:val="18"/>
          <w:szCs w:val="18"/>
          <w:color w:val="auto"/>
        </w:rPr>
        <w:t>“Our broad exposure across geographies and business lines enabled us to effectively overcome the impact of certain regional activity slowdowns. As a result, we achieved a 2% sequential increase in international revenue, driven by robust growth in some parts of the Middle East, Asia, Europe and North Africa, which more than offset declines in select key markets.</w:t>
      </w:r>
    </w:p>
    <w:p>
      <w:pPr>
        <w:sectPr>
          <w:pgSz w:w="11900" w:h="16838" w:orient="portrait"/>
          <w:cols w:equalWidth="0" w:num="1">
            <w:col w:w="11024"/>
          </w:cols>
          <w:pgMar w:left="436" w:top="279" w:right="439" w:bottom="1440" w:gutter="0" w:footer="0" w:header="0"/>
        </w:sectPr>
      </w:pPr>
    </w:p>
    <w:bookmarkStart w:id="5" w:name="page6"/>
    <w:bookmarkEnd w:id="5"/>
    <w:p>
      <w:pPr>
        <w:ind w:right="1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performance was supported by steady results in digital, with double-digit sequential revenue growth from our platforms, applications and digital operations largely offset by lower sales of exploration data following a strong first quarter. Additionally, we continue to benefit from strategically diversifying the portfolio outside of oil and gas businesses,” Le Peuch said.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Increasing Focus on Production and Recovery Efforts</w:t>
      </w:r>
    </w:p>
    <w:p>
      <w:pPr>
        <w:spacing w:after="0" w:line="10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“Production Systems revenue climbed 3% sequentially and marked the 17th consecutive quarter of year-on-year growth. The sequential growth was driven by strong sales of artificial lift and midstream production systems.</w:t>
      </w:r>
    </w:p>
    <w:p>
      <w:pPr>
        <w:spacing w:after="0" w:line="154"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“In today’s capital -disciplined environment, customers are focused on maximizing the value of their assets while improving efficiency in the production phase of their operations. SLB’s technology portfolio and domain expertise across reservoir, wellbore and surface systems are aligned with these efforts. As a result, demand for production and recovery solutions has risen, particularly in the U.S. and mature basins.</w:t>
      </w:r>
    </w:p>
    <w:p>
      <w:pPr>
        <w:spacing w:after="0" w:line="152"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“Moving forward, we will increase our exposure to the less cyclical and growing production and recovery space with the recent closing of our acquisition of ChampionX. Our combined portfolio, technology capabilities and digital leadership will position SLB to create value for our customers and stakeholders while delivering best-in-class workflow integration across production chemicals and artificial lift,” Le Peuch said.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SLB Sees Industry Demonstrating Resilience</w:t>
      </w:r>
    </w:p>
    <w:p>
      <w:pPr>
        <w:spacing w:after="0" w:line="1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“Despite pockets of activity adjustments in key markets, the industry has shown that it can operate through uncertainty without a significant drop in upstream spending. This has been driven by the combination of capital discipline and the need for energy security.</w:t>
      </w:r>
    </w:p>
    <w:p>
      <w:pPr>
        <w:spacing w:after="0" w:line="154"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“Looking ahead, assuming commodity prices stay range bound, we remain constructive for the second half of the year. This is supported by our position in key markets, the depth of our diversified portfolio, and our increased exposure to the growing production and recovery market through the acquisition of ChampionX. We will also continue to manage costs in line with market conditions as we remain focused on delivering peer-leading adjusted EBITDA margins.</w:t>
      </w:r>
    </w:p>
    <w:p>
      <w:pPr>
        <w:spacing w:after="0" w:line="17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“Overall, I am confident that SLB’s differentiated technology and global footprint will continue to deliver positive results for our customers and shareholders,” Le Peuch concluded.</w:t>
      </w:r>
    </w:p>
    <w:p>
      <w:pPr>
        <w:sectPr>
          <w:pgSz w:w="11900" w:h="16838" w:orient="portrait"/>
          <w:cols w:equalWidth="0" w:num="1">
            <w:col w:w="11000"/>
          </w:cols>
          <w:pgMar w:left="440" w:top="269"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Events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On June 26, 2025, SLB completed its sale of its working interests in the Palliser Block located in Alberta, Canada.</w:t>
      </w:r>
    </w:p>
    <w:p>
      <w:pPr>
        <w:spacing w:after="0" w:line="212"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On July 16, 2025, SLB completed its acquisition of ChampionX. The combined portfolio, technology capabilities and digital leadership will position SLB to create value for its customers and stakeholders by increasing its exposure to the growing production and recovery market while delivering best-in-class workflow integration across production chemicals and artificial lift.</w:t>
      </w:r>
    </w:p>
    <w:p>
      <w:pPr>
        <w:spacing w:after="0" w:line="16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On July 17, 2025, SLB’s Board of Directors approved a quarterly cash dividend of $0.285 per share of outstanding common stock, payable on October 9, 2025, to stockholders of record on September 3, 2025.</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Second-Quarter Revenue by Geographical Area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70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8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b w:val="1"/>
                <w:bCs w:val="1"/>
                <w:color w:val="auto"/>
              </w:rPr>
              <w:t>Jun. 30,</w:t>
            </w:r>
          </w:p>
        </w:tc>
        <w:tc>
          <w:tcPr>
            <w:tcW w:w="740" w:type="dxa"/>
            <w:vAlign w:val="bottom"/>
            <w:tcBorders>
              <w:top w:val="single" w:sz="8" w:color="auto"/>
            </w:tcBorders>
            <w:gridSpan w:val="2"/>
          </w:tcPr>
          <w:p>
            <w:pPr>
              <w:jc w:val="center"/>
              <w:ind w:right="180"/>
              <w:spacing w:after="0" w:line="147" w:lineRule="exact"/>
              <w:rPr>
                <w:sz w:val="20"/>
                <w:szCs w:val="20"/>
                <w:color w:val="auto"/>
              </w:rPr>
            </w:pPr>
            <w:r>
              <w:rPr>
                <w:rFonts w:ascii="Arial" w:cs="Arial" w:eastAsia="Arial" w:hAnsi="Arial"/>
                <w:sz w:val="14"/>
                <w:szCs w:val="14"/>
                <w:color w:val="auto"/>
              </w:rPr>
              <w:t>Mar. 31,</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Jun. 30,</w:t>
            </w: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2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2024</w:t>
            </w: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America</w:t>
            </w:r>
          </w:p>
        </w:tc>
        <w:tc>
          <w:tcPr>
            <w:tcW w:w="2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$1,655</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$1,719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$1,644</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-4%</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Latin America</w:t>
            </w:r>
          </w:p>
        </w:tc>
        <w:tc>
          <w:tcPr>
            <w:tcW w:w="31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1,492</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1,495</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1,742</w:t>
            </w:r>
          </w:p>
        </w:tc>
        <w:tc>
          <w:tcPr>
            <w:tcW w:w="1220" w:type="dxa"/>
            <w:vAlign w:val="bottom"/>
            <w:gridSpan w:val="2"/>
          </w:tcPr>
          <w:p>
            <w:pPr>
              <w:jc w:val="right"/>
              <w:ind w:right="448"/>
              <w:spacing w:after="0" w:line="202" w:lineRule="exact"/>
              <w:rPr>
                <w:sz w:val="20"/>
                <w:szCs w:val="20"/>
                <w:color w:val="auto"/>
              </w:rPr>
            </w:pPr>
            <w:r>
              <w:rPr>
                <w:rFonts w:ascii="Arial" w:cs="Arial" w:eastAsia="Arial" w:hAnsi="Arial"/>
                <w:sz w:val="18"/>
                <w:szCs w:val="18"/>
                <w:b w:val="1"/>
                <w:bCs w:val="1"/>
                <w:color w:val="auto"/>
              </w:rPr>
              <w:t>— </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Europe &amp; Africa*</w:t>
            </w:r>
          </w:p>
        </w:tc>
        <w:tc>
          <w:tcPr>
            <w:tcW w:w="312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b w:val="1"/>
                <w:bCs w:val="1"/>
                <w:color w:val="auto"/>
              </w:rPr>
              <w:t>2,369</w:t>
            </w: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2,235</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2,442</w:t>
            </w:r>
          </w:p>
        </w:tc>
        <w:tc>
          <w:tcPr>
            <w:tcW w:w="122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6%</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Middle East &amp; Asia</w:t>
            </w:r>
          </w:p>
        </w:tc>
        <w:tc>
          <w:tcPr>
            <w:tcW w:w="3120" w:type="dxa"/>
            <w:vAlign w:val="bottom"/>
            <w:gridSpan w:val="3"/>
          </w:tcPr>
          <w:p>
            <w:pPr>
              <w:jc w:val="right"/>
              <w:ind w:right="340"/>
              <w:spacing w:after="0" w:line="202" w:lineRule="exact"/>
              <w:rPr>
                <w:sz w:val="20"/>
                <w:szCs w:val="20"/>
                <w:color w:val="auto"/>
              </w:rPr>
            </w:pPr>
            <w:r>
              <w:rPr>
                <w:rFonts w:ascii="Arial" w:cs="Arial" w:eastAsia="Arial" w:hAnsi="Arial"/>
                <w:sz w:val="18"/>
                <w:szCs w:val="18"/>
                <w:b w:val="1"/>
                <w:bCs w:val="1"/>
                <w:color w:val="auto"/>
              </w:rPr>
              <w:t>2,986</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2,997</w:t>
            </w:r>
          </w:p>
        </w:tc>
        <w:tc>
          <w:tcPr>
            <w:tcW w:w="10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3,268</w:t>
            </w:r>
          </w:p>
        </w:tc>
        <w:tc>
          <w:tcPr>
            <w:tcW w:w="1220" w:type="dxa"/>
            <w:vAlign w:val="bottom"/>
            <w:gridSpan w:val="2"/>
          </w:tcPr>
          <w:p>
            <w:pPr>
              <w:jc w:val="right"/>
              <w:ind w:right="448"/>
              <w:spacing w:after="0" w:line="202" w:lineRule="exact"/>
              <w:rPr>
                <w:sz w:val="20"/>
                <w:szCs w:val="20"/>
                <w:color w:val="auto"/>
              </w:rPr>
            </w:pPr>
            <w:r>
              <w:rPr>
                <w:rFonts w:ascii="Arial" w:cs="Arial" w:eastAsia="Arial" w:hAnsi="Arial"/>
                <w:sz w:val="18"/>
                <w:szCs w:val="18"/>
                <w:b w:val="1"/>
                <w:bCs w:val="1"/>
                <w:color w:val="auto"/>
              </w:rPr>
              <w:t>— </w:t>
            </w: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2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44</w:t>
            </w: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44</w:t>
            </w:r>
          </w:p>
        </w:tc>
        <w:tc>
          <w:tcPr>
            <w:tcW w:w="106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43</w:t>
            </w:r>
          </w:p>
        </w:tc>
        <w:tc>
          <w:tcPr>
            <w:tcW w:w="122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Pr>
          <w:p>
            <w:pPr>
              <w:spacing w:after="0"/>
              <w:rPr>
                <w:sz w:val="18"/>
                <w:szCs w:val="18"/>
                <w:color w:val="auto"/>
              </w:rPr>
            </w:pPr>
          </w:p>
        </w:tc>
        <w:tc>
          <w:tcPr>
            <w:tcW w:w="222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8,546</w:t>
            </w:r>
          </w:p>
        </w:tc>
        <w:tc>
          <w:tcPr>
            <w:tcW w:w="34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8,490</w:t>
            </w:r>
          </w:p>
        </w:tc>
        <w:tc>
          <w:tcPr>
            <w:tcW w:w="1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9,139</w:t>
            </w:r>
          </w:p>
        </w:tc>
        <w:tc>
          <w:tcPr>
            <w:tcW w:w="340" w:type="dxa"/>
            <w:vAlign w:val="bottom"/>
            <w:vMerge w:val="continue"/>
          </w:tcPr>
          <w:p>
            <w:pPr>
              <w:spacing w:after="0"/>
              <w:rPr>
                <w:sz w:val="18"/>
                <w:szCs w:val="18"/>
                <w:color w:val="auto"/>
              </w:rPr>
            </w:pP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International</w:t>
            </w:r>
          </w:p>
        </w:tc>
        <w:tc>
          <w:tcPr>
            <w:tcW w:w="312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b w:val="1"/>
                <w:bCs w:val="1"/>
                <w:color w:val="auto"/>
              </w:rPr>
              <w:t>$6,847</w:t>
            </w:r>
          </w:p>
        </w:tc>
        <w:tc>
          <w:tcPr>
            <w:tcW w:w="7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w w:val="98"/>
              </w:rPr>
              <w:t>$6,727</w:t>
            </w:r>
          </w:p>
        </w:tc>
        <w:tc>
          <w:tcPr>
            <w:tcW w:w="1060" w:type="dxa"/>
            <w:vAlign w:val="bottom"/>
            <w:gridSpan w:val="3"/>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$7,452</w:t>
            </w:r>
          </w:p>
        </w:tc>
        <w:tc>
          <w:tcPr>
            <w:tcW w:w="1220" w:type="dxa"/>
            <w:vAlign w:val="bottom"/>
            <w:gridSpan w:val="2"/>
            <w:shd w:val="clear" w:color="auto" w:fill="CCEEFF"/>
          </w:tcPr>
          <w:p>
            <w:pPr>
              <w:jc w:val="right"/>
              <w:ind w:right="248"/>
              <w:spacing w:after="0" w:line="196" w:lineRule="exact"/>
              <w:rPr>
                <w:sz w:val="20"/>
                <w:szCs w:val="20"/>
                <w:color w:val="auto"/>
              </w:rPr>
            </w:pPr>
            <w:r>
              <w:rPr>
                <w:rFonts w:ascii="Arial" w:cs="Arial" w:eastAsia="Arial" w:hAnsi="Arial"/>
                <w:sz w:val="18"/>
                <w:szCs w:val="18"/>
                <w:b w:val="1"/>
                <w:bCs w:val="1"/>
                <w:color w:val="auto"/>
              </w:rPr>
              <w:t>2%</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7"/>
        </w:trPr>
        <w:tc>
          <w:tcPr>
            <w:tcW w:w="3820" w:type="dxa"/>
            <w:vAlign w:val="bottom"/>
          </w:tcPr>
          <w:p>
            <w:pPr>
              <w:spacing w:after="0"/>
              <w:rPr>
                <w:sz w:val="20"/>
                <w:szCs w:val="20"/>
                <w:color w:val="auto"/>
              </w:rPr>
            </w:pPr>
            <w:r>
              <w:rPr>
                <w:rFonts w:ascii="Arial" w:cs="Arial" w:eastAsia="Arial" w:hAnsi="Arial"/>
                <w:sz w:val="18"/>
                <w:szCs w:val="18"/>
                <w:color w:val="auto"/>
              </w:rPr>
              <w:t>North America</w:t>
            </w:r>
          </w:p>
        </w:tc>
        <w:tc>
          <w:tcPr>
            <w:tcW w:w="31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$1,655</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$1,719</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$1,644</w:t>
            </w:r>
          </w:p>
        </w:tc>
        <w:tc>
          <w:tcPr>
            <w:tcW w:w="1220" w:type="dxa"/>
            <w:vAlign w:val="bottom"/>
            <w:gridSpan w:val="2"/>
          </w:tcPr>
          <w:p>
            <w:pPr>
              <w:jc w:val="right"/>
              <w:ind w:right="248"/>
              <w:spacing w:after="0"/>
              <w:rPr>
                <w:sz w:val="20"/>
                <w:szCs w:val="20"/>
                <w:color w:val="auto"/>
              </w:rPr>
            </w:pPr>
            <w:r>
              <w:rPr>
                <w:rFonts w:ascii="Arial" w:cs="Arial" w:eastAsia="Arial" w:hAnsi="Arial"/>
                <w:sz w:val="18"/>
                <w:szCs w:val="18"/>
                <w:b w:val="1"/>
                <w:bCs w:val="1"/>
                <w:color w:val="auto"/>
              </w:rPr>
              <w:t>-4%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Includes Russia and the Caspian region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0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 xml:space="preserve">Revenue in </w:t>
      </w:r>
      <w:r>
        <w:rPr>
          <w:rFonts w:ascii="Arial" w:cs="Arial" w:eastAsia="Arial" w:hAnsi="Arial"/>
          <w:sz w:val="18"/>
          <w:szCs w:val="18"/>
          <w:b w:val="1"/>
          <w:bCs w:val="1"/>
          <w:color w:val="auto"/>
        </w:rPr>
        <w:t>Latin America</w:t>
      </w:r>
      <w:r>
        <w:rPr>
          <w:rFonts w:ascii="Arial" w:cs="Arial" w:eastAsia="Arial" w:hAnsi="Arial"/>
          <w:sz w:val="18"/>
          <w:szCs w:val="18"/>
          <w:color w:val="auto"/>
        </w:rPr>
        <w:t xml:space="preserve"> of $1.49 billion was essentially flat sequentially. Growth from offshore activity in Brazil coupled with increased land activity in Argentina was offset by reduced sales of production systems in Guyana.</w:t>
      </w:r>
    </w:p>
    <w:p>
      <w:pPr>
        <w:spacing w:after="0" w:line="154"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Year on year, revenue declined 14%, primarily due to a significant reduction in land drilling activity in Mexico, partially offset by robust unconventional stimulation activity in Argentina.</w:t>
      </w:r>
    </w:p>
    <w:p>
      <w:pPr>
        <w:spacing w:after="0" w:line="154"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b w:val="1"/>
          <w:bCs w:val="1"/>
          <w:color w:val="auto"/>
        </w:rPr>
        <w:t xml:space="preserve">Europe &amp; Africa </w:t>
      </w:r>
      <w:r>
        <w:rPr>
          <w:rFonts w:ascii="Arial" w:cs="Arial" w:eastAsia="Arial" w:hAnsi="Arial"/>
          <w:sz w:val="18"/>
          <w:szCs w:val="18"/>
          <w:color w:val="auto"/>
        </w:rPr>
        <w:t>revenue of $ 2.37 billion increased 6% sequentially, driven by significant sales of artificial lift in North Africa, subsea</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systems in Nigeria, and higher digital revenue and increased sales of production systems in Europe. These increases were partially offset by lower offshore drilling, evaluation and stimulation activity in Namibia due to project conclusions and a pause in exploration activity.</w:t>
      </w:r>
    </w:p>
    <w:p>
      <w:pPr>
        <w:spacing w:after="0" w:line="17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Year on year, revenue declined 3% as a result of reduced deepwater activity, partially offset by strong sales of artificial lift in North Africa and increased sales of production systems in Europe.</w:t>
      </w:r>
    </w:p>
    <w:p>
      <w:pPr>
        <w:sectPr>
          <w:pgSz w:w="11900" w:h="16838" w:orient="portrait"/>
          <w:cols w:equalWidth="0" w:num="1">
            <w:col w:w="11020"/>
          </w:cols>
          <w:pgMar w:left="440" w:top="269" w:right="439" w:bottom="1440" w:gutter="0" w:footer="0" w:header="0"/>
        </w:sectPr>
      </w:pPr>
    </w:p>
    <w:bookmarkStart w:id="7" w:name="page8"/>
    <w:bookmarkEnd w:id="7"/>
    <w:p>
      <w:pPr>
        <w:ind w:right="3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Revenue in the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of $2.99 billion was essentially flat sequentially as solid drilling performance and higher production system sales in Iraq and the United Arab Emirates, along with increased activity across Asia, were offset by activity decline in Saudi Arabia and Qatar.</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Year on year, revenue declined 9% due to reduced activity and lower production system sales in Saudi Arabia. Declines were also noted in Asia, Egypt and Qatar, partially offset by significantly higher revenues in the United Arab Emirates, Kuwait and Iraq.</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0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revenue of $ 1.65 billion decreased 4% sequentially. The decline stemmed from lower Asset Performance Solutions (APS)</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in the Palliser block that was divested and reduced drilling activity due to the Canadian seasonal spring breakup. Offshore revenue fell as a result of lower exploration data sales. These decreases were partially offset by modest gains in U.S. land revenue, supported by increased sales of production systems, higher digital sales and growth in data center infrastructure solutions.</w:t>
      </w:r>
    </w:p>
    <w:p>
      <w:pPr>
        <w:spacing w:after="0" w:line="17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Year on year, revenue was slightly higher, driven by strong growth in data center infrastructure solutions but largely offset by reduced APS revenue in Canada and a sharp decline in U.S. land drilling activity.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Second-Quarter Results by Division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&amp; Integration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940" w:type="dxa"/>
            <w:vAlign w:val="bottom"/>
          </w:tcPr>
          <w:p>
            <w:pPr>
              <w:spacing w:after="0"/>
              <w:rPr>
                <w:sz w:val="12"/>
                <w:szCs w:val="12"/>
                <w:color w:val="auto"/>
              </w:rPr>
            </w:pPr>
          </w:p>
        </w:tc>
        <w:tc>
          <w:tcPr>
            <w:tcW w:w="102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Jun. 30,</w:t>
            </w:r>
          </w:p>
        </w:tc>
        <w:tc>
          <w:tcPr>
            <w:tcW w:w="10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Mar. 31,</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Jun. 30,</w:t>
            </w:r>
          </w:p>
        </w:tc>
        <w:tc>
          <w:tcPr>
            <w:tcW w:w="4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b w:val="1"/>
                <w:bCs w:val="1"/>
                <w:color w:val="auto"/>
                <w:w w:val="96"/>
              </w:rPr>
              <w:t>2025</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color w:val="auto"/>
                <w:w w:val="96"/>
              </w:rPr>
              <w:t>2025</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2024</w:t>
            </w:r>
          </w:p>
        </w:tc>
        <w:tc>
          <w:tcPr>
            <w:tcW w:w="48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Sequential</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59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408"/>
              <w:spacing w:after="0" w:line="202" w:lineRule="exact"/>
              <w:rPr>
                <w:sz w:val="20"/>
                <w:szCs w:val="20"/>
                <w:color w:val="auto"/>
              </w:rPr>
            </w:pPr>
            <w:r>
              <w:rPr>
                <w:rFonts w:ascii="Arial" w:cs="Arial" w:eastAsia="Arial" w:hAnsi="Arial"/>
                <w:sz w:val="18"/>
                <w:szCs w:val="18"/>
                <w:b w:val="1"/>
                <w:bCs w:val="1"/>
                <w:color w:val="auto"/>
              </w:rPr>
              <w:t>769</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717</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757</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7%</w:t>
            </w:r>
          </w:p>
        </w:tc>
        <w:tc>
          <w:tcPr>
            <w:tcW w:w="320" w:type="dxa"/>
            <w:vAlign w:val="bottom"/>
          </w:tcPr>
          <w:p>
            <w:pPr>
              <w:spacing w:after="0"/>
              <w:rPr>
                <w:sz w:val="17"/>
                <w:szCs w:val="17"/>
                <w:color w:val="auto"/>
              </w:rPr>
            </w:pP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99"/>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223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291</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-23%</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center"/>
              <w:ind w:left="53"/>
              <w:spacing w:after="0" w:line="202" w:lineRule="exact"/>
              <w:rPr>
                <w:sz w:val="20"/>
                <w:szCs w:val="20"/>
                <w:color w:val="auto"/>
              </w:rPr>
            </w:pPr>
            <w:r>
              <w:rPr>
                <w:rFonts w:ascii="Arial" w:cs="Arial" w:eastAsia="Arial" w:hAnsi="Arial"/>
                <w:sz w:val="18"/>
                <w:szCs w:val="18"/>
                <w:b w:val="1"/>
                <w:bCs w:val="1"/>
                <w:color w:val="auto"/>
                <w:w w:val="81"/>
              </w:rPr>
              <w:t>— </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2</w:t>
            </w:r>
          </w:p>
        </w:tc>
        <w:tc>
          <w:tcPr>
            <w:tcW w:w="1060" w:type="dxa"/>
            <w:vAlign w:val="bottom"/>
            <w:gridSpan w:val="2"/>
          </w:tcPr>
          <w:p>
            <w:pPr>
              <w:ind w:left="240"/>
              <w:spacing w:after="0" w:line="202" w:lineRule="exact"/>
              <w:rPr>
                <w:sz w:val="20"/>
                <w:szCs w:val="20"/>
                <w:color w:val="auto"/>
              </w:rPr>
            </w:pPr>
            <w:r>
              <w:rPr>
                <w:rFonts w:ascii="Arial" w:cs="Arial" w:eastAsia="Arial" w:hAnsi="Arial"/>
                <w:sz w:val="18"/>
                <w:szCs w:val="18"/>
                <w:b w:val="1"/>
                <w:bCs w:val="1"/>
                <w:color w:val="auto"/>
              </w:rPr>
              <w:t>n/m</w:t>
            </w:r>
          </w:p>
        </w:tc>
        <w:tc>
          <w:tcPr>
            <w:tcW w:w="90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995</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99"/>
              </w:rPr>
              <w:t>$</w:t>
            </w:r>
          </w:p>
        </w:tc>
        <w:tc>
          <w:tcPr>
            <w:tcW w:w="9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3"/>
              </w:rPr>
              <w:t>1,006</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1,050</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327</w:t>
            </w:r>
          </w:p>
        </w:tc>
        <w:tc>
          <w:tcPr>
            <w:tcW w:w="48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306</w:t>
            </w:r>
          </w:p>
        </w:tc>
        <w:tc>
          <w:tcPr>
            <w:tcW w:w="50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325</w:t>
            </w:r>
          </w:p>
        </w:tc>
        <w:tc>
          <w:tcPr>
            <w:tcW w:w="4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7%</w:t>
            </w:r>
          </w:p>
        </w:tc>
        <w:tc>
          <w:tcPr>
            <w:tcW w:w="320" w:type="dxa"/>
            <w:vAlign w:val="bottom"/>
          </w:tcPr>
          <w:p>
            <w:pPr>
              <w:spacing w:after="0"/>
              <w:rPr>
                <w:sz w:val="17"/>
                <w:szCs w:val="17"/>
                <w:color w:val="auto"/>
              </w:rPr>
            </w:pPr>
          </w:p>
        </w:tc>
        <w:tc>
          <w:tcPr>
            <w:tcW w:w="840" w:type="dxa"/>
            <w:vAlign w:val="bottom"/>
          </w:tcPr>
          <w:p>
            <w:pPr>
              <w:jc w:val="right"/>
              <w:ind w:right="213"/>
              <w:spacing w:after="0" w:line="196" w:lineRule="exact"/>
              <w:rPr>
                <w:sz w:val="20"/>
                <w:szCs w:val="20"/>
                <w:color w:val="auto"/>
              </w:rPr>
            </w:pPr>
            <w:r>
              <w:rPr>
                <w:rFonts w:ascii="Arial" w:cs="Arial" w:eastAsia="Arial" w:hAnsi="Arial"/>
                <w:sz w:val="18"/>
                <w:szCs w:val="18"/>
                <w:b w:val="1"/>
                <w:bCs w:val="1"/>
                <w:color w:val="auto"/>
              </w:rPr>
              <w:t>— 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32.8%</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31.0%</w:t>
            </w: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b w:val="1"/>
                <w:bCs w:val="1"/>
                <w:color w:val="auto"/>
              </w:rPr>
              <w:t>240 bps</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186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Digital &amp; Integration revenue of $995 million decreased 1% sequentially primarily due to lower APS revenue in Canada. Digital revenue remained steady, with double-digit sequential growth from the combined effects of platforms, applications and digital operations, offset by reduced sales of exploration data following a strong first quarter.</w:t>
      </w:r>
    </w:p>
    <w:p>
      <w:pPr>
        <w:sectPr>
          <w:pgSz w:w="11900" w:h="16838" w:orient="portrait"/>
          <w:cols w:equalWidth="0" w:num="1">
            <w:col w:w="11020"/>
          </w:cols>
          <w:pgMar w:left="440" w:top="269" w:right="439" w:bottom="1440" w:gutter="0" w:footer="0" w:header="0"/>
        </w:sectPr>
      </w:pPr>
    </w:p>
    <w:bookmarkStart w:id="8" w:name="page9"/>
    <w:bookmarkEnd w:id="8"/>
    <w:p>
      <w:pPr>
        <w:ind w:right="2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Year on year, revenue declined 5%, reflecting lower APS revenue mostly in Canada. While digital sales delivered solid growth internationally, overall digital revenue dipped slightly as higher platform and application sales were outweighed by lower exploration data revenue in North America.</w:t>
      </w:r>
    </w:p>
    <w:p>
      <w:pPr>
        <w:spacing w:after="0" w:line="169"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Digital &amp; Integration pretax operating margin of 33% expanded 240 basis points (bps) sequentially and 186 bps year over year. This margin improvement was primarily driven by greater digital adoption and cost-efficiency gains.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Performance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ind w:lef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240" w:type="dxa"/>
            <w:vAlign w:val="bottom"/>
          </w:tcPr>
          <w:p>
            <w:pPr>
              <w:spacing w:after="0"/>
              <w:rPr>
                <w:sz w:val="12"/>
                <w:szCs w:val="12"/>
                <w:color w:val="auto"/>
              </w:rPr>
            </w:pPr>
          </w:p>
        </w:tc>
        <w:tc>
          <w:tcPr>
            <w:tcW w:w="9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b w:val="1"/>
                <w:bCs w:val="1"/>
                <w:color w:val="auto"/>
              </w:rPr>
              <w:t>Jun. 30,</w:t>
            </w: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Mar. 31,</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Jun. 30,</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color w:val="auto"/>
                <w:w w:val="96"/>
              </w:rPr>
              <w:t>2025</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6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1,541</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1,557</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1,684</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080" w:type="dxa"/>
            <w:vAlign w:val="bottom"/>
            <w:gridSpan w:val="2"/>
          </w:tcPr>
          <w:p>
            <w:pPr>
              <w:jc w:val="center"/>
              <w:ind w:left="190"/>
              <w:spacing w:after="0" w:line="202" w:lineRule="exact"/>
              <w:rPr>
                <w:sz w:val="20"/>
                <w:szCs w:val="20"/>
                <w:color w:val="auto"/>
              </w:rPr>
            </w:pPr>
            <w:r>
              <w:rPr>
                <w:rFonts w:ascii="Arial" w:cs="Arial" w:eastAsia="Arial" w:hAnsi="Arial"/>
                <w:sz w:val="18"/>
                <w:szCs w:val="18"/>
                <w:color w:val="auto"/>
                <w:w w:val="99"/>
              </w:rPr>
              <w:t>-9%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148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134</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4%</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w:t>
            </w:r>
          </w:p>
        </w:tc>
        <w:tc>
          <w:tcPr>
            <w:tcW w:w="740" w:type="dxa"/>
            <w:vAlign w:val="bottom"/>
          </w:tcPr>
          <w:p>
            <w:pPr>
              <w:jc w:val="right"/>
              <w:ind w:right="96"/>
              <w:spacing w:after="0" w:line="202" w:lineRule="exact"/>
              <w:rPr>
                <w:sz w:val="20"/>
                <w:szCs w:val="20"/>
                <w:color w:val="auto"/>
              </w:rPr>
            </w:pPr>
            <w:r>
              <w:rPr>
                <w:rFonts w:ascii="Arial" w:cs="Arial" w:eastAsia="Arial" w:hAnsi="Arial"/>
                <w:sz w:val="18"/>
                <w:szCs w:val="18"/>
                <w:b w:val="1"/>
                <w:bCs w:val="1"/>
                <w:color w:val="auto"/>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1,691</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9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1,700</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1,819</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080" w:type="dxa"/>
            <w:vAlign w:val="bottom"/>
            <w:gridSpan w:val="2"/>
            <w:shd w:val="clear" w:color="auto" w:fill="CCEEFF"/>
          </w:tcPr>
          <w:p>
            <w:pPr>
              <w:jc w:val="center"/>
              <w:ind w:left="190"/>
              <w:spacing w:after="0" w:line="202" w:lineRule="exact"/>
              <w:rPr>
                <w:sz w:val="20"/>
                <w:szCs w:val="20"/>
                <w:color w:val="auto"/>
              </w:rPr>
            </w:pPr>
            <w:r>
              <w:rPr>
                <w:rFonts w:ascii="Arial" w:cs="Arial" w:eastAsia="Arial" w:hAnsi="Arial"/>
                <w:sz w:val="18"/>
                <w:szCs w:val="18"/>
                <w:color w:val="auto"/>
                <w:w w:val="99"/>
              </w:rPr>
              <w:t>-7%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314</w:t>
            </w:r>
          </w:p>
        </w:tc>
        <w:tc>
          <w:tcPr>
            <w:tcW w:w="40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282</w:t>
            </w:r>
          </w:p>
        </w:tc>
        <w:tc>
          <w:tcPr>
            <w:tcW w:w="40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376</w:t>
            </w:r>
          </w:p>
        </w:tc>
        <w:tc>
          <w:tcPr>
            <w:tcW w:w="4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12%</w:t>
            </w:r>
          </w:p>
        </w:tc>
        <w:tc>
          <w:tcPr>
            <w:tcW w:w="2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18.6%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20.6%</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203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-205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Reservoir Performance revenue of $ 1.69 billion declined 1% sequentially. This was due to a slowdown in evaluation and stimulation activity across international markets, partially offset by strong intervention activity. Regional growth in stimulation and intervention was notable in Argentina, North Africa, East Asia and Kuwait; however, these gains were outweighed by activity declines in Saudi Arabia, Qatar, Namibia and Mexico.</w:t>
      </w:r>
    </w:p>
    <w:p>
      <w:pPr>
        <w:spacing w:after="0" w:line="17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Year on year, revenue dropped 7%, primarily due to reduced activity in Saudi Arabia, Namibia and Mexico. These decreases were partially mitigated by robust stimulation activity in Argentina.</w:t>
      </w:r>
    </w:p>
    <w:p>
      <w:pPr>
        <w:spacing w:after="0" w:line="154"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color w:val="auto"/>
        </w:rPr>
        <w:t>Reservoir Performance pretax operating margin of 19% increased 203 bps sequentially. This improvement stemmed from higher intervention activity and the absence of startup costs that impacted the first quarter.</w:t>
      </w:r>
    </w:p>
    <w:p>
      <w:pPr>
        <w:spacing w:after="0" w:line="154"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Year on year, pretax operating margin contracted by 205 bps, driven by lower profitability resulting from decreased evaluation and stimulation activity.</w:t>
      </w:r>
    </w:p>
    <w:p>
      <w:pPr>
        <w:sectPr>
          <w:pgSz w:w="11900" w:h="16838" w:orient="portrait"/>
          <w:cols w:equalWidth="0" w:num="1">
            <w:col w:w="11020"/>
          </w:cols>
          <w:pgMar w:left="440" w:top="269"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 Construction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15"/>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4"/>
          </w:tcPr>
          <w:p>
            <w:pPr>
              <w:ind w:left="6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180" w:type="dxa"/>
            <w:vAlign w:val="bottom"/>
          </w:tcPr>
          <w:p>
            <w:pPr>
              <w:spacing w:after="0"/>
              <w:rPr>
                <w:sz w:val="12"/>
                <w:szCs w:val="12"/>
                <w:color w:val="auto"/>
              </w:rPr>
            </w:pPr>
          </w:p>
        </w:tc>
        <w:tc>
          <w:tcPr>
            <w:tcW w:w="9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Jun. 30,</w:t>
            </w:r>
          </w:p>
        </w:tc>
        <w:tc>
          <w:tcPr>
            <w:tcW w:w="9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Mar. 31,</w:t>
            </w: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Jun. 30,</w:t>
            </w:r>
          </w:p>
        </w:tc>
        <w:tc>
          <w:tcPr>
            <w:tcW w:w="4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5"/>
              <w:spacing w:after="0"/>
              <w:rPr>
                <w:sz w:val="20"/>
                <w:szCs w:val="20"/>
                <w:color w:val="auto"/>
              </w:rPr>
            </w:pPr>
            <w:r>
              <w:rPr>
                <w:rFonts w:ascii="Arial" w:cs="Arial" w:eastAsia="Arial" w:hAnsi="Arial"/>
                <w:sz w:val="14"/>
                <w:szCs w:val="14"/>
                <w:b w:val="1"/>
                <w:bCs w:val="1"/>
                <w:color w:val="auto"/>
              </w:rPr>
              <w:t>2025</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color w:val="auto"/>
                <w:w w:val="96"/>
              </w:rPr>
              <w:t>2024</w:t>
            </w:r>
          </w:p>
        </w:tc>
        <w:tc>
          <w:tcPr>
            <w:tcW w:w="4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61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00" w:type="dxa"/>
            <w:vAlign w:val="bottom"/>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w w:val="97"/>
              </w:rPr>
              <w:t>2,394</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2,381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2,768</w:t>
            </w: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080" w:type="dxa"/>
            <w:vAlign w:val="bottom"/>
            <w:gridSpan w:val="2"/>
          </w:tcPr>
          <w:p>
            <w:pPr>
              <w:jc w:val="center"/>
              <w:ind w:left="210"/>
              <w:spacing w:after="0" w:line="202" w:lineRule="exact"/>
              <w:rPr>
                <w:sz w:val="20"/>
                <w:szCs w:val="20"/>
                <w:color w:val="auto"/>
              </w:rPr>
            </w:pPr>
            <w:r>
              <w:rPr>
                <w:rFonts w:ascii="Arial" w:cs="Arial" w:eastAsia="Arial" w:hAnsi="Arial"/>
                <w:sz w:val="18"/>
                <w:szCs w:val="18"/>
                <w:color w:val="auto"/>
                <w:w w:val="99"/>
              </w:rPr>
              <w:t>-13%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rPr>
              <w:t>512</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592</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-5%</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9"/>
              </w:rPr>
              <w:t>-13%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55</w:t>
            </w: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51</w:t>
            </w:r>
          </w:p>
        </w:tc>
        <w:tc>
          <w:tcPr>
            <w:tcW w:w="7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24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b w:val="1"/>
                <w:bCs w:val="1"/>
                <w:color w:val="auto"/>
                <w:w w:val="97"/>
              </w:rPr>
              <w:t>2,963</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2,977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3,411</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81"/>
              </w:rPr>
              <w:t>— </w:t>
            </w:r>
          </w:p>
        </w:tc>
        <w:tc>
          <w:tcPr>
            <w:tcW w:w="1080" w:type="dxa"/>
            <w:vAlign w:val="bottom"/>
            <w:gridSpan w:val="2"/>
            <w:shd w:val="clear" w:color="auto" w:fill="CCEEFF"/>
          </w:tcPr>
          <w:p>
            <w:pPr>
              <w:jc w:val="center"/>
              <w:ind w:left="210"/>
              <w:spacing w:after="0" w:line="202" w:lineRule="exact"/>
              <w:rPr>
                <w:sz w:val="20"/>
                <w:szCs w:val="20"/>
                <w:color w:val="auto"/>
              </w:rPr>
            </w:pPr>
            <w:r>
              <w:rPr>
                <w:rFonts w:ascii="Arial" w:cs="Arial" w:eastAsia="Arial" w:hAnsi="Arial"/>
                <w:sz w:val="18"/>
                <w:szCs w:val="18"/>
                <w:color w:val="auto"/>
                <w:w w:val="99"/>
              </w:rPr>
              <w:t>-13%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551</w:t>
            </w:r>
          </w:p>
        </w:tc>
        <w:tc>
          <w:tcPr>
            <w:tcW w:w="42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589</w:t>
            </w:r>
          </w:p>
        </w:tc>
        <w:tc>
          <w:tcPr>
            <w:tcW w:w="4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742</w:t>
            </w:r>
          </w:p>
        </w:tc>
        <w:tc>
          <w:tcPr>
            <w:tcW w:w="42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-6%</w:t>
            </w:r>
          </w:p>
        </w:tc>
        <w:tc>
          <w:tcPr>
            <w:tcW w:w="2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b w:val="1"/>
                <w:bCs w:val="1"/>
                <w:color w:val="auto"/>
              </w:rPr>
              <w:t>18.6%</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21.7%</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-119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-315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Well Construction revenue of $2.96 billion was essentially flat sequentially. Higher revenue in Iraq, the United Arab Emirates, offshore Mexico, North Africa and Nigeria were offset by notable declines in drilling activity in Namibia, North America land markets, Argentina and Saudi Arabia.</w:t>
      </w:r>
    </w:p>
    <w:p>
      <w:pPr>
        <w:spacing w:after="0" w:line="169" w:lineRule="exact"/>
        <w:rPr>
          <w:sz w:val="20"/>
          <w:szCs w:val="20"/>
          <w:color w:val="auto"/>
        </w:rPr>
      </w:pPr>
    </w:p>
    <w:p>
      <w:pPr>
        <w:ind w:right="540"/>
        <w:spacing w:after="0" w:line="301" w:lineRule="auto"/>
        <w:rPr>
          <w:sz w:val="20"/>
          <w:szCs w:val="20"/>
          <w:color w:val="auto"/>
        </w:rPr>
      </w:pPr>
      <w:r>
        <w:rPr>
          <w:rFonts w:ascii="Arial" w:cs="Arial" w:eastAsia="Arial" w:hAnsi="Arial"/>
          <w:sz w:val="17"/>
          <w:szCs w:val="17"/>
          <w:color w:val="auto"/>
        </w:rPr>
        <w:t>Year on year, revenue fell 13%, driven by a broad reduction in drilling activity across Mexico, Namibia, Saudi Arabia, North America, Guyana and India. These decreases were partially offset by stronger performance in the United Arab Emirates and North Africa.</w:t>
      </w:r>
    </w:p>
    <w:p>
      <w:pPr>
        <w:spacing w:after="0" w:line="131"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Well Construction pretax operating margin was 19%, down 119 bps sequentially and 315 bps year on year. Margin compression stemmed from widespread activity reductions across North America and several international markets. Cost efficiency measures partially offset the decline.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Systems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gridSpan w:val="4"/>
          </w:tcPr>
          <w:p>
            <w:pPr>
              <w:ind w:left="6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900" w:type="dxa"/>
            <w:vAlign w:val="bottom"/>
          </w:tcPr>
          <w:p>
            <w:pPr>
              <w:spacing w:after="0"/>
              <w:rPr>
                <w:sz w:val="12"/>
                <w:szCs w:val="12"/>
                <w:color w:val="auto"/>
              </w:rPr>
            </w:pPr>
          </w:p>
        </w:tc>
        <w:tc>
          <w:tcPr>
            <w:tcW w:w="10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Jun. 30,</w:t>
            </w:r>
          </w:p>
        </w:tc>
        <w:tc>
          <w:tcPr>
            <w:tcW w:w="10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color w:val="auto"/>
              </w:rPr>
              <w:t>Mar. 31,</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Jun. 30,</w:t>
            </w:r>
          </w:p>
        </w:tc>
        <w:tc>
          <w:tcPr>
            <w:tcW w:w="4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2025</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color w:val="auto"/>
                <w:w w:val="96"/>
              </w:rPr>
              <w:t>2025</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2024</w:t>
            </w:r>
          </w:p>
        </w:tc>
        <w:tc>
          <w:tcPr>
            <w:tcW w:w="48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Sequential</w:t>
            </w:r>
          </w:p>
        </w:tc>
        <w:tc>
          <w:tcPr>
            <w:tcW w:w="32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2"/>
        </w:trPr>
        <w:tc>
          <w:tcPr>
            <w:tcW w:w="5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International</w:t>
            </w:r>
          </w:p>
        </w:tc>
        <w:tc>
          <w:tcPr>
            <w:tcW w:w="120" w:type="dxa"/>
            <w:vAlign w:val="bottom"/>
          </w:tcPr>
          <w:p>
            <w:pPr>
              <w:spacing w:after="0" w:line="202" w:lineRule="exact"/>
              <w:rPr>
                <w:sz w:val="20"/>
                <w:szCs w:val="20"/>
                <w:color w:val="auto"/>
              </w:rPr>
            </w:pPr>
            <w:r>
              <w:rPr>
                <w:rFonts w:ascii="Arial" w:cs="Arial" w:eastAsia="Arial" w:hAnsi="Arial"/>
                <w:sz w:val="18"/>
                <w:szCs w:val="18"/>
                <w:b w:val="1"/>
                <w:bCs w:val="1"/>
                <w:color w:val="auto"/>
                <w:w w:val="99"/>
              </w:rPr>
              <w:t>$</w:t>
            </w:r>
          </w:p>
        </w:tc>
        <w:tc>
          <w:tcPr>
            <w:tcW w:w="940" w:type="dxa"/>
            <w:vAlign w:val="bottom"/>
            <w:gridSpan w:val="2"/>
          </w:tcPr>
          <w:p>
            <w:pPr>
              <w:jc w:val="right"/>
              <w:ind w:right="408"/>
              <w:spacing w:after="0" w:line="202" w:lineRule="exact"/>
              <w:rPr>
                <w:sz w:val="20"/>
                <w:szCs w:val="20"/>
                <w:color w:val="auto"/>
              </w:rPr>
            </w:pPr>
            <w:r>
              <w:rPr>
                <w:rFonts w:ascii="Arial" w:cs="Arial" w:eastAsia="Arial" w:hAnsi="Arial"/>
                <w:sz w:val="18"/>
                <w:szCs w:val="18"/>
                <w:b w:val="1"/>
                <w:bCs w:val="1"/>
                <w:color w:val="auto"/>
                <w:w w:val="97"/>
              </w:rPr>
              <w:t>2,243</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3"/>
              </w:rPr>
              <w:t>2,166</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7"/>
              </w:rPr>
              <w:t>2,378</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4%</w:t>
            </w:r>
          </w:p>
        </w:tc>
        <w:tc>
          <w:tcPr>
            <w:tcW w:w="1160" w:type="dxa"/>
            <w:vAlign w:val="bottom"/>
            <w:gridSpan w:val="2"/>
          </w:tcPr>
          <w:p>
            <w:pPr>
              <w:jc w:val="center"/>
              <w:ind w:left="310"/>
              <w:spacing w:after="0" w:line="202" w:lineRule="exact"/>
              <w:rPr>
                <w:sz w:val="20"/>
                <w:szCs w:val="20"/>
                <w:color w:val="auto"/>
              </w:rPr>
            </w:pPr>
            <w:r>
              <w:rPr>
                <w:rFonts w:ascii="Arial" w:cs="Arial" w:eastAsia="Arial" w:hAnsi="Arial"/>
                <w:sz w:val="18"/>
                <w:szCs w:val="18"/>
                <w:color w:val="auto"/>
                <w:w w:val="99"/>
              </w:rPr>
              <w:t>-6%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8"/>
              <w:spacing w:after="0" w:line="202" w:lineRule="exact"/>
              <w:rPr>
                <w:sz w:val="20"/>
                <w:szCs w:val="20"/>
                <w:color w:val="auto"/>
              </w:rPr>
            </w:pPr>
            <w:r>
              <w:rPr>
                <w:rFonts w:ascii="Arial" w:cs="Arial" w:eastAsia="Arial" w:hAnsi="Arial"/>
                <w:sz w:val="18"/>
                <w:szCs w:val="18"/>
                <w:b w:val="1"/>
                <w:bCs w:val="1"/>
                <w:color w:val="auto"/>
              </w:rPr>
              <w:t>789</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640</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3%</w:t>
            </w:r>
          </w:p>
        </w:tc>
        <w:tc>
          <w:tcPr>
            <w:tcW w:w="1160" w:type="dxa"/>
            <w:vAlign w:val="bottom"/>
            <w:gridSpan w:val="2"/>
            <w:shd w:val="clear" w:color="auto" w:fill="CCEEFF"/>
          </w:tcPr>
          <w:p>
            <w:pPr>
              <w:jc w:val="center"/>
              <w:ind w:left="310"/>
              <w:spacing w:after="0" w:line="202" w:lineRule="exact"/>
              <w:rPr>
                <w:sz w:val="20"/>
                <w:szCs w:val="20"/>
                <w:color w:val="auto"/>
              </w:rPr>
            </w:pPr>
            <w:r>
              <w:rPr>
                <w:rFonts w:ascii="Arial" w:cs="Arial" w:eastAsia="Arial" w:hAnsi="Arial"/>
                <w:sz w:val="18"/>
                <w:szCs w:val="18"/>
                <w:color w:val="auto"/>
                <w:w w:val="99"/>
              </w:rPr>
              <w:t>23%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9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7</w:t>
            </w:r>
          </w:p>
        </w:tc>
        <w:tc>
          <w:tcPr>
            <w:tcW w:w="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n/m</w:t>
            </w:r>
          </w:p>
        </w:tc>
        <w:tc>
          <w:tcPr>
            <w:tcW w:w="320" w:type="dxa"/>
            <w:vAlign w:val="bottom"/>
          </w:tcPr>
          <w:p>
            <w:pPr>
              <w:spacing w:after="0"/>
              <w:rPr>
                <w:sz w:val="17"/>
                <w:szCs w:val="17"/>
                <w:color w:val="auto"/>
              </w:rPr>
            </w:pPr>
          </w:p>
        </w:tc>
        <w:tc>
          <w:tcPr>
            <w:tcW w:w="9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u w:val="single" w:color="auto"/>
                <w:color w:val="auto"/>
                <w:w w:val="99"/>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7"/>
              </w:rPr>
              <w:t>3,036</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99"/>
              </w:rPr>
              <w:t>$</w:t>
            </w:r>
          </w:p>
        </w:tc>
        <w:tc>
          <w:tcPr>
            <w:tcW w:w="9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3"/>
              </w:rPr>
              <w:t>2,938</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w w:val="97"/>
              </w:rPr>
              <w:t>3,025</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3%</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ind w:right="40"/>
              <w:spacing w:after="0" w:line="202" w:lineRule="exact"/>
              <w:rPr>
                <w:sz w:val="20"/>
                <w:szCs w:val="20"/>
                <w:color w:val="auto"/>
              </w:rPr>
            </w:pPr>
            <w:r>
              <w:rPr>
                <w:rFonts w:ascii="Arial" w:cs="Arial" w:eastAsia="Arial" w:hAnsi="Arial"/>
                <w:sz w:val="18"/>
                <w:szCs w:val="18"/>
                <w:b w:val="1"/>
                <w:bCs w:val="1"/>
                <w:color w:val="auto"/>
                <w:w w:val="81"/>
              </w:rPr>
              <w:t>— </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499</w:t>
            </w:r>
          </w:p>
        </w:tc>
        <w:tc>
          <w:tcPr>
            <w:tcW w:w="48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475</w:t>
            </w:r>
          </w:p>
        </w:tc>
        <w:tc>
          <w:tcPr>
            <w:tcW w:w="500" w:type="dxa"/>
            <w:vAlign w:val="bottom"/>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473</w:t>
            </w:r>
          </w:p>
        </w:tc>
        <w:tc>
          <w:tcPr>
            <w:tcW w:w="4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9"/>
              </w:rPr>
              <w:t>5%</w:t>
            </w:r>
          </w:p>
        </w:tc>
        <w:tc>
          <w:tcPr>
            <w:tcW w:w="32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Pretax operating margin</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8"/>
              <w:spacing w:after="0" w:line="202" w:lineRule="exact"/>
              <w:rPr>
                <w:sz w:val="20"/>
                <w:szCs w:val="20"/>
                <w:color w:val="auto"/>
              </w:rPr>
            </w:pPr>
            <w:r>
              <w:rPr>
                <w:rFonts w:ascii="Arial" w:cs="Arial" w:eastAsia="Arial" w:hAnsi="Arial"/>
                <w:sz w:val="18"/>
                <w:szCs w:val="18"/>
                <w:b w:val="1"/>
                <w:bCs w:val="1"/>
                <w:color w:val="auto"/>
              </w:rPr>
              <w:t>16.4%</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15.6%</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8"/>
              </w:rPr>
              <w:t>28 bps</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79 bps</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2" w:lineRule="exact"/>
        <w:rPr>
          <w:sz w:val="20"/>
          <w:szCs w:val="20"/>
          <w:color w:val="auto"/>
        </w:rPr>
      </w:pPr>
    </w:p>
    <w:p>
      <w:pPr>
        <w:jc w:val="both"/>
        <w:ind w:right="320"/>
        <w:spacing w:after="0" w:line="253" w:lineRule="auto"/>
        <w:rPr>
          <w:sz w:val="20"/>
          <w:szCs w:val="20"/>
          <w:color w:val="auto"/>
        </w:rPr>
      </w:pPr>
      <w:r>
        <w:rPr>
          <w:rFonts w:ascii="Arial" w:cs="Arial" w:eastAsia="Arial" w:hAnsi="Arial"/>
          <w:sz w:val="18"/>
          <w:szCs w:val="18"/>
          <w:color w:val="auto"/>
        </w:rPr>
        <w:t>Production Systems revenue of $3.04 billion increased 3% sequentially. This growth was fueled by higher sales of artificial lift systems, midstream production solutions, valves and completions, as well as higher data center infrastructure solutions in North America. These gains were partially offset by lower sales of surface production systems.</w:t>
      </w:r>
    </w:p>
    <w:p>
      <w:pPr>
        <w:sectPr>
          <w:pgSz w:w="11900" w:h="16838" w:orient="portrait"/>
          <w:cols w:equalWidth="0" w:num="1">
            <w:col w:w="11020"/>
          </w:cols>
          <w:pgMar w:left="440" w:top="269" w:right="439" w:bottom="1440" w:gutter="0" w:footer="0" w:header="0"/>
        </w:sectPr>
      </w:pPr>
    </w:p>
    <w:bookmarkStart w:id="10" w:name="page11"/>
    <w:bookmarkEnd w:id="10"/>
    <w:p>
      <w:pPr>
        <w:ind w:right="10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Year on year, revenue grew slightly as strong demand for data center infrastructure solutions, artificial lift and completions was largely offset by reduced sales of subsea production systems and valves.</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Production Systems pretax operating margin remained steady sequentially at 16% and improved 79 bps year on year. This margin expansion was driven by stronger profitability across several business lines — supported by a favorable activity mix, efficient execution and conversion of higher-margin backlog.</w:t>
      </w:r>
    </w:p>
    <w:p>
      <w:pPr>
        <w:sectPr>
          <w:pgSz w:w="11900" w:h="16838" w:orient="portrait"/>
          <w:cols w:equalWidth="0" w:num="1">
            <w:col w:w="10700"/>
          </w:cols>
          <w:pgMar w:left="440" w:top="269" w:right="75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Quarterly Highlights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CORE</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Contract Awards</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color w:val="auto"/>
        </w:rPr>
        <w:t>SLB continues to win new contract awards that align with SLB’s strengths in the Core. Notable highlights include the following:</w:t>
      </w:r>
    </w:p>
    <w:p>
      <w:pPr>
        <w:spacing w:after="0" w:line="117" w:lineRule="exact"/>
        <w:rPr>
          <w:sz w:val="20"/>
          <w:szCs w:val="20"/>
          <w:color w:val="auto"/>
        </w:rPr>
      </w:pPr>
    </w:p>
    <w:p>
      <w:pPr>
        <w:ind w:left="424" w:right="180" w:hanging="424"/>
        <w:spacing w:after="0" w:line="225"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Offshore Trinidad and Tobago, bp awarded a substantial engineering, procurement, construction and installation contract to SLB’s OneSubsea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joint venture and to its Subsea Integration Alliance Partner, Subsea7, for the Ginger project. This is the first project award under the global framework agreement between bp and Subsea Integration Alliance partners. Building on a long-standing successful relationship, this agreement establishes a new way of working that enables system-level optimization through increased transparency and early engagement. For the Ginger project, SLB OneSubsea will deliver four standardized vertical monobore subsea trees and tubing hangers as well as the first high-integrity pressure protection system manifold in the region.</w:t>
      </w:r>
    </w:p>
    <w:p>
      <w:pPr>
        <w:spacing w:after="0" w:line="85" w:lineRule="exact"/>
        <w:rPr>
          <w:rFonts w:ascii="Arial" w:cs="Arial" w:eastAsia="Arial" w:hAnsi="Arial"/>
          <w:sz w:val="18"/>
          <w:szCs w:val="18"/>
          <w:color w:val="auto"/>
        </w:rPr>
      </w:pPr>
    </w:p>
    <w:p>
      <w:pPr>
        <w:ind w:left="424" w:right="60"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Norway, SLB’s OneSubsea was awarded an engineering, procurement and construction contract by Equinor (Technical Service Provider) for a CO</w:t>
      </w:r>
      <w:r>
        <w:rPr>
          <w:rFonts w:ascii="Arial" w:cs="Arial" w:eastAsia="Arial" w:hAnsi="Arial"/>
          <w:sz w:val="13"/>
          <w:szCs w:val="13"/>
          <w:color w:val="auto"/>
        </w:rPr>
        <w:t>2</w:t>
      </w:r>
      <w:r>
        <w:rPr>
          <w:rFonts w:ascii="Arial" w:cs="Arial" w:eastAsia="Arial" w:hAnsi="Arial"/>
          <w:sz w:val="18"/>
          <w:szCs w:val="18"/>
          <w:color w:val="auto"/>
        </w:rPr>
        <w:t xml:space="preserve"> subsea injection system for the Northern Lights phase two offshore project. The final investment decision for phase two was made by the Northern Lights’ owners TotalEnergies, Shell and Equinor following a commercial agreement with an end-use customer, marking a decisive milestone for the adoption of carbon capture and storage (CCS) at scale. The SLB OneSubsea scope includes two new satellite subsea CO</w:t>
      </w:r>
      <w:r>
        <w:rPr>
          <w:rFonts w:ascii="Arial" w:cs="Arial" w:eastAsia="Arial" w:hAnsi="Arial"/>
          <w:sz w:val="13"/>
          <w:szCs w:val="13"/>
          <w:color w:val="auto"/>
        </w:rPr>
        <w:t>2</w:t>
      </w:r>
      <w:r>
        <w:rPr>
          <w:rFonts w:ascii="Arial" w:cs="Arial" w:eastAsia="Arial" w:hAnsi="Arial"/>
          <w:sz w:val="18"/>
          <w:szCs w:val="18"/>
          <w:color w:val="auto"/>
        </w:rPr>
        <w:t xml:space="preserve"> injection systems with associated tie-in equipment. Work has already commenced, with first deliveries expected in 2026. The award follows the successful delivery of two subsea injection systems for the first phase of this project in 2023.</w:t>
      </w:r>
    </w:p>
    <w:p>
      <w:pPr>
        <w:spacing w:after="0" w:line="90" w:lineRule="exact"/>
        <w:rPr>
          <w:rFonts w:ascii="Arial" w:cs="Arial" w:eastAsia="Arial" w:hAnsi="Arial"/>
          <w:sz w:val="18"/>
          <w:szCs w:val="18"/>
          <w:color w:val="auto"/>
        </w:rPr>
      </w:pPr>
    </w:p>
    <w:p>
      <w:pPr>
        <w:ind w:left="424" w:hanging="424"/>
        <w:spacing w:after="0" w:line="225"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Gabon and the Republic of Congo, SLB was awarded a multiyear contract by Perenco to deliver well construction measurement services. The contract spans three years in Gabon and two years in Congo. As part of this agreement, SLB will deploy advanced technologies, including the PowerDrive Archer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hybrid rotary steerable system, to address shallow formation challenges. The project will also leverage adaptive, digitally enabled equipment to enhance operational efficiency and support Perenco’s regional development strategy. This award reinforces SLB’s position as a trusted partner in Africa and aligns with our commitment to delivering high-performance, technology-driven solutions that maximize value for our customers.</w:t>
      </w:r>
    </w:p>
    <w:p>
      <w:pPr>
        <w:spacing w:after="0" w:line="85" w:lineRule="exact"/>
        <w:rPr>
          <w:rFonts w:ascii="Arial" w:cs="Arial" w:eastAsia="Arial" w:hAnsi="Arial"/>
          <w:sz w:val="18"/>
          <w:szCs w:val="18"/>
          <w:color w:val="auto"/>
        </w:rPr>
      </w:pPr>
    </w:p>
    <w:p>
      <w:pPr>
        <w:ind w:left="424" w:right="100" w:hanging="424"/>
        <w:spacing w:after="0" w:line="244"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Oman, Petroleum Development Oman awarded SLB two five-year contracts for integrated completion services as well as wireline and tubing-conveyed perforation across its Block 6 concession. SLB secured this award based on its technology leadership, consistent performance and service quality, along with a solid in-country value offering, which includes equipment made in Oman at its Nizwa assembly, repair and testing center. In alignment with Oman Vision 2040, SLB is committed to expanding local manufacturing in support of Oman’s In-Country Value strategy.</w:t>
      </w:r>
    </w:p>
    <w:p>
      <w:pPr>
        <w:spacing w:after="0" w:line="81" w:lineRule="exact"/>
        <w:rPr>
          <w:rFonts w:ascii="Arial" w:cs="Arial" w:eastAsia="Arial" w:hAnsi="Arial"/>
          <w:sz w:val="18"/>
          <w:szCs w:val="18"/>
          <w:color w:val="auto"/>
        </w:rPr>
      </w:pPr>
    </w:p>
    <w:p>
      <w:pPr>
        <w:ind w:left="424" w:right="40" w:hanging="424"/>
        <w:spacing w:after="0" w:line="220"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Qatar, North Oil Company awarded SLB a contract to provide Electris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completions technologies aimed at boosting production and recovery in its Al-Shaheen field. The completion incorporates Electris interval control valves and SLB dual-pod electrical submersible pumps (ESPs) to optimize output. This marks the inaugural award for Electris completions in Qatar and the first contract globally paired with an SLB ESP.</w:t>
      </w:r>
    </w:p>
    <w:p>
      <w:pPr>
        <w:sectPr>
          <w:pgSz w:w="11900" w:h="16838" w:orient="portrait"/>
          <w:cols w:equalWidth="0" w:num="1">
            <w:col w:w="11004"/>
          </w:cols>
          <w:pgMar w:left="436" w:top="269" w:right="459" w:bottom="1440" w:gutter="0" w:footer="0" w:header="0"/>
        </w:sectPr>
      </w:pPr>
    </w:p>
    <w:bookmarkStart w:id="12" w:name="page13"/>
    <w:bookmarkEnd w:id="1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Technology and Innovation</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Notable technology introductions and deployments in the quarter include the following:</w:t>
      </w:r>
    </w:p>
    <w:p>
      <w:pPr>
        <w:spacing w:after="0" w:line="117" w:lineRule="exact"/>
        <w:rPr>
          <w:sz w:val="20"/>
          <w:szCs w:val="20"/>
          <w:color w:val="auto"/>
        </w:rPr>
      </w:pPr>
    </w:p>
    <w:p>
      <w:pPr>
        <w:ind w:left="424" w:hanging="424"/>
        <w:spacing w:after="0" w:line="239"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SLB launched Electris — a portfolio of digitally enabled electric well completions technologies that boost production and recovery while reducing the total cost of ownership of an asset. Electris completions digitalize control of the entire productive area of the wellbore, providing real-time production intelligence across the reservoir. This enables operators to predict, adapt and act with confidence in response to dynamic production conditions — improving reservoir management over the life of the well and accessing reserves that conventional systems leave behind. There have already been more than 100 installations of Electris completions technologies across five countries. In Norway, Electris completions were deployed offshore to enhance oil production in an extended-reach well. The operator is using intelligence from the system to determine which zones are contributing to production, optimize oil output and minimize produced water. Controlling water production with Electris completions has decreased the energy needed to lift and re-inject treated water back into the reservoir.</w:t>
      </w:r>
    </w:p>
    <w:p>
      <w:pPr>
        <w:spacing w:after="0" w:line="88" w:lineRule="exact"/>
        <w:rPr>
          <w:rFonts w:ascii="Arial" w:cs="Arial" w:eastAsia="Arial" w:hAnsi="Arial"/>
          <w:sz w:val="18"/>
          <w:szCs w:val="18"/>
          <w:color w:val="auto"/>
        </w:rPr>
      </w:pPr>
    </w:p>
    <w:p>
      <w:pPr>
        <w:ind w:left="424" w:hanging="424"/>
        <w:spacing w:after="0" w:line="225"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SLB launched Retina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at-bit imaging system, which is a groundbreaking technology that converts measurements taken at the drill bit into high-quality borehole images. The technology enables identification of formation characteristics to optimize drilling efficiency, formation evaluation and safety. This first-of-its-kind solution provides precise measurements at the critical point of first contact between the drill bit and the formation, providing unsurpassed image clarity in large hole sizes as drilling commences and the borehole diameter reduces progressively toward the reservoir section. Applicable to drilling operations utilizing any drilling fluid composition, the Retina system enables the highest-resolution imaging to date, providing critical insights into the formation.</w:t>
      </w:r>
    </w:p>
    <w:p>
      <w:pPr>
        <w:spacing w:after="0" w:line="85" w:lineRule="exact"/>
        <w:rPr>
          <w:rFonts w:ascii="Arial" w:cs="Arial" w:eastAsia="Arial" w:hAnsi="Arial"/>
          <w:sz w:val="18"/>
          <w:szCs w:val="18"/>
          <w:color w:val="auto"/>
        </w:rPr>
      </w:pPr>
    </w:p>
    <w:p>
      <w:pPr>
        <w:ind w:left="424" w:right="120" w:hanging="424"/>
        <w:spacing w:after="0" w:line="225"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Ecuador, SLB and ENAP deployed advanced technologies — including GeoSphere HD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high-definition reservoir mapping-while-drilling service and PowerDrive Archer hybrid rotary steerable system — to mitigate known risks during landing and navigation, helping to overcome the country’s longstanding technical and strategic challenges in drilling horizontal wells. Supported by tailored well design and engineering, the team achieved precise placement and 100% pay zone contact over 1,200 feet. ENAP’s most productive well sets a benchmark for future horizontal drilling in the region. This approach enhances returns while reducing surface impact, aligning with broader goals for efficiency, emissions reduction and resilient energy development.</w:t>
      </w:r>
    </w:p>
    <w:p>
      <w:pPr>
        <w:spacing w:after="0" w:line="85" w:lineRule="exact"/>
        <w:rPr>
          <w:rFonts w:ascii="Arial" w:cs="Arial" w:eastAsia="Arial" w:hAnsi="Arial"/>
          <w:sz w:val="18"/>
          <w:szCs w:val="18"/>
          <w:color w:val="auto"/>
        </w:rPr>
      </w:pPr>
    </w:p>
    <w:p>
      <w:pPr>
        <w:ind w:left="424" w:right="240" w:hanging="424"/>
        <w:spacing w:after="0" w:line="22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Nigeria, SLB partnered with Western Africa Exploration and Production Company to install a customized facility for Production Express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rapid production response solutions on an offshore vessel. This facility processes crude oil to required specifications for transportation to onshore facilities via offshore tankers and achieves 10,000 barrels of refinery-grade production per day at full capacity.</w:t>
      </w:r>
    </w:p>
    <w:p>
      <w:pPr>
        <w:spacing w:after="0" w:line="88" w:lineRule="exact"/>
        <w:rPr>
          <w:rFonts w:ascii="Arial" w:cs="Arial" w:eastAsia="Arial" w:hAnsi="Arial"/>
          <w:sz w:val="18"/>
          <w:szCs w:val="18"/>
          <w:color w:val="auto"/>
        </w:rPr>
      </w:pPr>
    </w:p>
    <w:p>
      <w:pPr>
        <w:ind w:left="424" w:right="440" w:hanging="424"/>
        <w:spacing w:after="0" w:line="22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United Arab Emirates, Turnwell Industries LLC OPC, the joint venture between ADNOC Drilling Company, SLB and Patterson-UTI, drilled 95% of a 9,210-foot well section in autonomous directional control mode by leveraging the SLB DrillOps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advisory solution and Neuro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autonomous solutions. Leveraging these digital drilling solutions, a new pad record for rate of penetration was set in the 8.5-inch section, reducing drilling time below the 15-days-per-well benchmark.</w:t>
      </w:r>
    </w:p>
    <w:p>
      <w:pPr>
        <w:spacing w:after="0" w:line="88" w:lineRule="exact"/>
        <w:rPr>
          <w:rFonts w:ascii="Arial" w:cs="Arial" w:eastAsia="Arial" w:hAnsi="Arial"/>
          <w:sz w:val="18"/>
          <w:szCs w:val="18"/>
          <w:color w:val="auto"/>
        </w:rPr>
      </w:pPr>
    </w:p>
    <w:p>
      <w:pPr>
        <w:ind w:left="424" w:right="20" w:hanging="424"/>
        <w:spacing w:after="0" w:line="23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East Kuwait, SLB and Kuwait Oil Company enhanced production from the Mauddud Formation, a tight carbonate reservoir with historically low recovery rates. SLB developed a tailored stimulation workflow using advanced 3D reservoir modeling, geomechanical analysis and multiphysics acid fracturing simulations. The use of SLB innovative technologies, including Ora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platform, OpenPath Flex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service, 3D</w:t>
      </w:r>
    </w:p>
    <w:p>
      <w:pPr>
        <w:sectPr>
          <w:pgSz w:w="11900" w:h="16838" w:orient="portrait"/>
          <w:cols w:equalWidth="0" w:num="1">
            <w:col w:w="11004"/>
          </w:cols>
          <w:pgMar w:left="436" w:top="269" w:right="459" w:bottom="1440" w:gutter="0" w:footer="0" w:header="0"/>
        </w:sectPr>
      </w:pPr>
    </w:p>
    <w:bookmarkStart w:id="13" w:name="page14"/>
    <w:bookmarkEnd w:id="13"/>
    <w:p>
      <w:pPr>
        <w:jc w:val="both"/>
        <w:ind w:left="424" w:right="120"/>
        <w:spacing w:after="0" w:line="22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far-field sonic service, UltraTRAC</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tractor and ThruBit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services, provided unprecedented insights and guided strategic mitigation approaches to refine stimulation fluid formulations. By using an openhole multistage completion strategy and advanced stimulation fluid, the first two wells achieved a record-setting total production rate of 4,500 barrels of production per day. Subsequent wells also employed cutting-edge technology for enhanced geosteering, fracture analysis and optimal stage placement, significantly improving production performance.</w:t>
      </w:r>
    </w:p>
    <w:p>
      <w:pPr>
        <w:spacing w:after="0" w:line="87" w:lineRule="exact"/>
        <w:rPr>
          <w:sz w:val="20"/>
          <w:szCs w:val="20"/>
          <w:color w:val="auto"/>
        </w:rPr>
      </w:pPr>
    </w:p>
    <w:p>
      <w:pPr>
        <w:ind w:left="424" w:right="160" w:hanging="424"/>
        <w:spacing w:after="0" w:line="22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Pakistan, Oil &amp; Gas Development Company Limited achieved approximately 10,000 incremental barrels of oil per day and about 3 million cumulative barrels of oil by using the SLB high-performance Reda ESP</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pump. The wells are monitored with Lift IQ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production life cycle management service, which provides real-time analytics and optimization that minimizes downtime, maximizes production and reduces the total operating cost with continuous monitoring and surveillance.</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DIGITAL</w:t>
      </w:r>
    </w:p>
    <w:p>
      <w:pPr>
        <w:spacing w:after="0" w:line="104" w:lineRule="exact"/>
        <w:rPr>
          <w:sz w:val="20"/>
          <w:szCs w:val="20"/>
          <w:color w:val="auto"/>
        </w:rPr>
      </w:pPr>
    </w:p>
    <w:p>
      <w:pPr>
        <w:ind w:left="4" w:right="520"/>
        <w:spacing w:after="0" w:line="301" w:lineRule="auto"/>
        <w:rPr>
          <w:sz w:val="20"/>
          <w:szCs w:val="20"/>
          <w:color w:val="auto"/>
        </w:rPr>
      </w:pPr>
      <w:r>
        <w:rPr>
          <w:rFonts w:ascii="Arial" w:cs="Arial" w:eastAsia="Arial" w:hAnsi="Arial"/>
          <w:sz w:val="17"/>
          <w:szCs w:val="17"/>
          <w:color w:val="auto"/>
        </w:rPr>
        <w:t>SLB is deploying digital technology at scale, partnering with customers to migrate their technology and workflows into the cloud, to embrace new AI-enabled capabilities, and to leverage insights to elevate their performance. Notable highlights include the following:</w:t>
      </w:r>
    </w:p>
    <w:p>
      <w:pPr>
        <w:spacing w:after="0" w:line="36" w:lineRule="exact"/>
        <w:rPr>
          <w:sz w:val="20"/>
          <w:szCs w:val="20"/>
          <w:color w:val="auto"/>
        </w:rPr>
      </w:pPr>
    </w:p>
    <w:p>
      <w:pPr>
        <w:ind w:left="424" w:right="20" w:hanging="424"/>
        <w:spacing w:after="0" w:line="22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SLB announced that it will deploy its AI platform on Mistral Compute, the integrated AI compute offering introduced by Mistral AI that will provide an integrated AI environment for European enterprises and governments. SLB’s collaboration with Mistral AI, which began in early 2024, established Mistral AI’s large language models as the primary generative AI models for the Lumi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data and AI platform. The choice was driven by Mistral AI’s powerful, efficient and open models, which can be deployed across various cloud and on-premises environments.</w:t>
      </w:r>
    </w:p>
    <w:p>
      <w:pPr>
        <w:spacing w:after="0" w:line="86" w:lineRule="exact"/>
        <w:rPr>
          <w:rFonts w:ascii="Arial" w:cs="Arial" w:eastAsia="Arial" w:hAnsi="Arial"/>
          <w:sz w:val="18"/>
          <w:szCs w:val="18"/>
          <w:color w:val="auto"/>
        </w:rPr>
      </w:pPr>
    </w:p>
    <w:p>
      <w:pPr>
        <w:ind w:left="424" w:hanging="424"/>
        <w:spacing w:after="0" w:line="22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SLB announced a partnership with Shell to deploy Petrel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subsurface modeling across its assets worldwide. Shell will use Petrel modeling powered by advanced AI to deliver seismic interpretation workflows. The deployment aims to standardize infrastructure and workflows and accelerate scalable digital solutions, helping to improve Shell’s cost operating efficiencies. With a strong focus on partnering to innovate, Shell and SLB will use the deployment as the foundation for integrated geoscience workflows to further advance understanding of the subsurface across the asset life cycle.</w:t>
      </w:r>
    </w:p>
    <w:p>
      <w:pPr>
        <w:spacing w:after="0" w:line="86" w:lineRule="exact"/>
        <w:rPr>
          <w:rFonts w:ascii="Arial" w:cs="Arial" w:eastAsia="Arial" w:hAnsi="Arial"/>
          <w:sz w:val="18"/>
          <w:szCs w:val="18"/>
          <w:color w:val="auto"/>
        </w:rPr>
      </w:pPr>
    </w:p>
    <w:p>
      <w:pPr>
        <w:ind w:left="424" w:right="60" w:hanging="424"/>
        <w:spacing w:after="0" w:line="226"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SLB announced a strategic collaboration agreement with Cactus Drilling, the largest privately held land drilling contractor in the U.S., to expand the adoption of automated and autonomous drilling solutions. Under the agreement, Cactus will build on its current use of SLB’s Precise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automated drilling system by integrating the DrillSync</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platform, SLB’s automated controls platform and software suite. These technologies will work together to improve drilling efficiency, increase equipment utilization and provide real-time data insights for better execution. The agreement will also enable deployment of DrillOps solutions, SLB’s AI-powered drilling automation and advisory solution, along with Neuro solutions, which supports self-learning, autonomous directional drilling and geosteering capabilities.</w:t>
      </w:r>
    </w:p>
    <w:p>
      <w:pPr>
        <w:spacing w:after="0" w:line="87" w:lineRule="exact"/>
        <w:rPr>
          <w:rFonts w:ascii="Arial" w:cs="Arial" w:eastAsia="Arial" w:hAnsi="Arial"/>
          <w:sz w:val="18"/>
          <w:szCs w:val="18"/>
          <w:color w:val="auto"/>
        </w:rPr>
      </w:pPr>
    </w:p>
    <w:p>
      <w:pPr>
        <w:ind w:left="424" w:right="60" w:hanging="424"/>
        <w:spacing w:after="0" w:line="216"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Nigeria, Renaissance Africa Energy Company awarded SLB a software agreement to deploy advanced digital solutions like Petrel subsurface modeling, Techlog</w:t>
      </w:r>
      <w:r>
        <w:rPr>
          <w:rFonts w:ascii="Arial" w:cs="Arial" w:eastAsia="Arial" w:hAnsi="Arial"/>
          <w:sz w:val="26"/>
          <w:szCs w:val="26"/>
          <w:color w:val="auto"/>
          <w:vertAlign w:val="superscript"/>
        </w:rPr>
        <w:t>™</w:t>
      </w:r>
      <w:r>
        <w:rPr>
          <w:rFonts w:ascii="Arial" w:cs="Arial" w:eastAsia="Arial" w:hAnsi="Arial"/>
          <w:sz w:val="18"/>
          <w:szCs w:val="18"/>
          <w:color w:val="auto"/>
        </w:rPr>
        <w:t xml:space="preserve"> wellbore interpretation and Eclipse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reservoir simulator. This agreement will drive enhanced operational efficiency, comprehensive data management and real-time decision-making capabilities for greater agility.</w:t>
      </w:r>
    </w:p>
    <w:p>
      <w:pPr>
        <w:sectPr>
          <w:pgSz w:w="11900" w:h="16838" w:orient="portrait"/>
          <w:cols w:equalWidth="0" w:num="1">
            <w:col w:w="11004"/>
          </w:cols>
          <w:pgMar w:left="436" w:top="269" w:right="459" w:bottom="1440" w:gutter="0" w:footer="0" w:header="0"/>
        </w:sectPr>
      </w:pPr>
    </w:p>
    <w:bookmarkStart w:id="14" w:name="page15"/>
    <w:bookmarkEnd w:id="14"/>
    <w:p>
      <w:pPr>
        <w:ind w:left="424" w:hanging="424"/>
        <w:spacing w:after="0" w:line="253"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Malaysia, Velesto Energy Berhad, through its subsidiary Velesto Drilling Sdn Bhd, and SLB have signed a three-year collaboration agreement to deploy DrillOps intelligent well delivery and insights solutions, as well as drilling emissions management solutions on designated Velesto rigs. These solutions are designed to optimize drilling performance and monitor emissions.</w:t>
      </w:r>
    </w:p>
    <w:p>
      <w:pPr>
        <w:spacing w:after="0" w:line="74" w:lineRule="exact"/>
        <w:rPr>
          <w:rFonts w:ascii="Arial" w:cs="Arial" w:eastAsia="Arial" w:hAnsi="Arial"/>
          <w:sz w:val="18"/>
          <w:szCs w:val="18"/>
          <w:color w:val="auto"/>
        </w:rPr>
      </w:pPr>
    </w:p>
    <w:p>
      <w:pPr>
        <w:ind w:left="424" w:right="60" w:hanging="424"/>
        <w:spacing w:after="0" w:line="22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United States, Karoon Energy has awarded SLB a contract to use the Delfi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digital platform for integrated subsurface interpretation and modeling. The cloud-based platform enables the scaling of user profiles and on-demand computing power, eliminating the need for substantial digital infrastructure capital investment. This capability supports Karoon’s expansion plans in the country.</w:t>
      </w:r>
    </w:p>
    <w:p>
      <w:pPr>
        <w:spacing w:after="0" w:line="88" w:lineRule="exact"/>
        <w:rPr>
          <w:rFonts w:ascii="Arial" w:cs="Arial" w:eastAsia="Arial" w:hAnsi="Arial"/>
          <w:sz w:val="18"/>
          <w:szCs w:val="18"/>
          <w:color w:val="auto"/>
        </w:rPr>
      </w:pPr>
    </w:p>
    <w:p>
      <w:pPr>
        <w:ind w:left="424" w:right="380" w:hanging="424"/>
        <w:spacing w:after="0" w:line="22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Also in the United States, Great Bear has awarded SLB a contract to deploy DrillPlan</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coherent well planning and engineering solutions for its upcoming drilling campaign in North Slope Borough of Alaska. This solution will support Great Bear’s efforts to collaborate with multiple vendors on a single platform, minimizing nonproductive time and increasing planning efficiency through improved visibility and control.</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NEW ENERGY</w:t>
      </w:r>
    </w:p>
    <w:p>
      <w:pPr>
        <w:spacing w:after="0" w:line="104" w:lineRule="exact"/>
        <w:rPr>
          <w:sz w:val="20"/>
          <w:szCs w:val="20"/>
          <w:color w:val="auto"/>
        </w:rPr>
      </w:pPr>
    </w:p>
    <w:p>
      <w:pPr>
        <w:ind w:left="4" w:right="960"/>
        <w:spacing w:after="0" w:line="271" w:lineRule="auto"/>
        <w:rPr>
          <w:sz w:val="20"/>
          <w:szCs w:val="20"/>
          <w:color w:val="auto"/>
        </w:rPr>
      </w:pPr>
      <w:r>
        <w:rPr>
          <w:rFonts w:ascii="Arial" w:cs="Arial" w:eastAsia="Arial" w:hAnsi="Arial"/>
          <w:sz w:val="18"/>
          <w:szCs w:val="18"/>
          <w:color w:val="auto"/>
        </w:rPr>
        <w:t>SLB continues to participate in the global transition to low-carbon energy systems through innovative technology and strategic partnerships, including the following:</w:t>
      </w:r>
    </w:p>
    <w:p>
      <w:pPr>
        <w:spacing w:after="0" w:line="59" w:lineRule="exact"/>
        <w:rPr>
          <w:sz w:val="20"/>
          <w:szCs w:val="20"/>
          <w:color w:val="auto"/>
        </w:rPr>
      </w:pPr>
    </w:p>
    <w:p>
      <w:pPr>
        <w:ind w:left="424" w:right="60" w:hanging="424"/>
        <w:spacing w:after="0" w:line="210"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SLB launched Sequestri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carbon storage solutions — a comprehensive portfolio of technologies and services for accelerating safer and more economic carbon storage projects. The Sequestri portfolio addresses the unique challenges of long-term carbon storage, providing tailored hardware and digital workflows that improve decision-making across the full carbon storage value chain, from site selection and planning to development, operations and monitoring. Together with the SLB Capturi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standard, modular carbon capture solutions, this portfolio provides a full suite of CCS solutions to enable decarbonization at scale from point of capture to permanent carbon storage.</w:t>
      </w:r>
    </w:p>
    <w:p>
      <w:pPr>
        <w:spacing w:after="0" w:line="88" w:lineRule="exact"/>
        <w:rPr>
          <w:rFonts w:ascii="Arial" w:cs="Arial" w:eastAsia="Arial" w:hAnsi="Arial"/>
          <w:sz w:val="18"/>
          <w:szCs w:val="18"/>
          <w:color w:val="auto"/>
        </w:rPr>
      </w:pPr>
    </w:p>
    <w:p>
      <w:pPr>
        <w:ind w:left="424" w:hanging="424"/>
        <w:spacing w:after="0" w:line="223"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Norway, the world’s first full-scale carbon capture facility for cement production was officially opened at Heidelberg Materials’ plant in Brevik. The Heidelberg Materials carbon capture plant, enabled by SLB Capturi’s Big Catch</w:t>
      </w:r>
      <w:r>
        <w:rPr>
          <w:rFonts w:ascii="Arial" w:cs="Arial" w:eastAsia="Arial" w:hAnsi="Arial"/>
          <w:sz w:val="26"/>
          <w:szCs w:val="26"/>
          <w:color w:val="auto"/>
          <w:vertAlign w:val="superscript"/>
        </w:rPr>
        <w:t>™</w:t>
      </w:r>
      <w:r>
        <w:rPr>
          <w:rFonts w:ascii="Arial" w:cs="Arial" w:eastAsia="Arial" w:hAnsi="Arial"/>
          <w:sz w:val="18"/>
          <w:szCs w:val="18"/>
          <w:color w:val="auto"/>
        </w:rPr>
        <w:t xml:space="preserve"> technology, is part of the Norwegian government’s Longship project developing Europe’s first full-scale value chain for carbon capture, transport and storage from hard-to-abate industries. The Brevik facility carbon plant, designed to capture 400,000 metric tons of CO</w:t>
      </w:r>
      <w:r>
        <w:rPr>
          <w:rFonts w:ascii="Arial" w:cs="Arial" w:eastAsia="Arial" w:hAnsi="Arial"/>
          <w:sz w:val="13"/>
          <w:szCs w:val="13"/>
          <w:color w:val="auto"/>
        </w:rPr>
        <w:t>2</w:t>
      </w:r>
      <w:r>
        <w:rPr>
          <w:rFonts w:ascii="Arial" w:cs="Arial" w:eastAsia="Arial" w:hAnsi="Arial"/>
          <w:sz w:val="18"/>
          <w:szCs w:val="18"/>
          <w:color w:val="auto"/>
        </w:rPr>
        <w:t xml:space="preserve"> annually, captured, liquefied and temporarily stored its first CO</w:t>
      </w:r>
      <w:r>
        <w:rPr>
          <w:rFonts w:ascii="Arial" w:cs="Arial" w:eastAsia="Arial" w:hAnsi="Arial"/>
          <w:sz w:val="13"/>
          <w:szCs w:val="13"/>
          <w:color w:val="auto"/>
        </w:rPr>
        <w:t>2</w:t>
      </w:r>
      <w:r>
        <w:rPr>
          <w:rFonts w:ascii="Arial" w:cs="Arial" w:eastAsia="Arial" w:hAnsi="Arial"/>
          <w:sz w:val="18"/>
          <w:szCs w:val="18"/>
          <w:color w:val="auto"/>
        </w:rPr>
        <w:t xml:space="preserve"> in May.</w:t>
      </w:r>
    </w:p>
    <w:p>
      <w:pPr>
        <w:spacing w:after="0" w:line="86" w:lineRule="exact"/>
        <w:rPr>
          <w:rFonts w:ascii="Arial" w:cs="Arial" w:eastAsia="Arial" w:hAnsi="Arial"/>
          <w:sz w:val="18"/>
          <w:szCs w:val="18"/>
          <w:color w:val="auto"/>
        </w:rPr>
      </w:pPr>
    </w:p>
    <w:p>
      <w:pPr>
        <w:ind w:left="424" w:right="160" w:hanging="424"/>
        <w:spacing w:after="0" w:line="206"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United States, SLB has partnered with Google Cloud</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Project InnerSpace to drive the global adoption of geothermal energy. This collaboration will complement Project InnerSpace’s innovative GeoMap</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dataset with SLB GeothermEx</w:t>
      </w:r>
      <w:r>
        <w:rPr>
          <w:rFonts w:ascii="Arial" w:cs="Arial" w:eastAsia="Arial" w:hAnsi="Arial"/>
          <w:sz w:val="26"/>
          <w:szCs w:val="26"/>
          <w:color w:val="auto"/>
          <w:vertAlign w:val="superscript"/>
        </w:rPr>
        <w:t>™</w:t>
      </w:r>
      <w:r>
        <w:rPr>
          <w:rFonts w:ascii="Arial" w:cs="Arial" w:eastAsia="Arial" w:hAnsi="Arial"/>
          <w:sz w:val="18"/>
          <w:szCs w:val="18"/>
          <w:color w:val="auto"/>
        </w:rPr>
        <w:t xml:space="preserve"> geothermal consulting services. By leveraging advanced mapping technology, deep geothermal knowledge and Google Cloud’s powerful computing, the partnership aims to accelerate the identification, development and deployment of geothermal energy solutions worldwide.</w:t>
      </w:r>
    </w:p>
    <w:p>
      <w:pPr>
        <w:sectPr>
          <w:pgSz w:w="11900" w:h="16838" w:orient="portrait"/>
          <w:cols w:equalWidth="0" w:num="1">
            <w:col w:w="10964"/>
          </w:cols>
          <w:pgMar w:left="436" w:top="269" w:right="499" w:bottom="1440" w:gutter="0" w:footer="0" w:header="0"/>
        </w:sectPr>
      </w:pPr>
    </w:p>
    <w:bookmarkStart w:id="15" w:name="page16"/>
    <w:bookmarkEnd w:id="1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TABLES</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3000" w:type="dxa"/>
            <w:vAlign w:val="bottom"/>
            <w:gridSpan w:val="13"/>
          </w:tcPr>
          <w:p>
            <w:pPr>
              <w:ind w:left="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1540" w:type="dxa"/>
            <w:vAlign w:val="bottom"/>
            <w:vMerge w:val="restart"/>
          </w:tcPr>
          <w:p>
            <w:pPr>
              <w:spacing w:after="0"/>
              <w:rPr>
                <w:sz w:val="20"/>
                <w:szCs w:val="20"/>
                <w:color w:val="auto"/>
              </w:rPr>
            </w:pPr>
            <w:r>
              <w:rPr>
                <w:rFonts w:ascii="Arial" w:cs="Arial" w:eastAsia="Arial" w:hAnsi="Arial"/>
                <w:sz w:val="14"/>
                <w:szCs w:val="14"/>
                <w:color w:val="auto"/>
              </w:rPr>
              <w:t>Periods Ended June 30,</w:t>
            </w:r>
          </w:p>
        </w:tc>
        <w:tc>
          <w:tcPr>
            <w:tcW w:w="64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tcPr>
          <w:p>
            <w:pPr>
              <w:ind w:left="40"/>
              <w:spacing w:after="0"/>
              <w:rPr>
                <w:sz w:val="20"/>
                <w:szCs w:val="20"/>
                <w:color w:val="auto"/>
              </w:rPr>
            </w:pPr>
            <w:r>
              <w:rPr>
                <w:rFonts w:ascii="Arial" w:cs="Arial" w:eastAsia="Arial" w:hAnsi="Arial"/>
                <w:sz w:val="14"/>
                <w:szCs w:val="14"/>
                <w:color w:val="auto"/>
              </w:rPr>
              <w:t>Second Quarter</w:t>
            </w:r>
          </w:p>
        </w:tc>
        <w:tc>
          <w:tcPr>
            <w:tcW w:w="100" w:type="dxa"/>
            <w:vAlign w:val="bottom"/>
          </w:tcPr>
          <w:p>
            <w:pPr>
              <w:spacing w:after="0"/>
              <w:rPr>
                <w:sz w:val="14"/>
                <w:szCs w:val="14"/>
                <w:color w:val="auto"/>
              </w:rPr>
            </w:pPr>
          </w:p>
        </w:tc>
        <w:tc>
          <w:tcPr>
            <w:tcW w:w="1440" w:type="dxa"/>
            <w:vAlign w:val="bottom"/>
            <w:gridSpan w:val="6"/>
          </w:tcPr>
          <w:p>
            <w:pPr>
              <w:ind w:left="280"/>
              <w:spacing w:after="0"/>
              <w:rPr>
                <w:sz w:val="20"/>
                <w:szCs w:val="20"/>
                <w:color w:val="auto"/>
              </w:rPr>
            </w:pPr>
            <w:r>
              <w:rPr>
                <w:rFonts w:ascii="Arial" w:cs="Arial" w:eastAsia="Arial" w:hAnsi="Arial"/>
                <w:sz w:val="14"/>
                <w:szCs w:val="14"/>
                <w:color w:val="auto"/>
              </w:rPr>
              <w:t>Six Months</w:t>
            </w:r>
          </w:p>
        </w:tc>
        <w:tc>
          <w:tcPr>
            <w:tcW w:w="0" w:type="dxa"/>
            <w:vAlign w:val="bottom"/>
          </w:tcPr>
          <w:p>
            <w:pPr>
              <w:spacing w:after="0"/>
              <w:rPr>
                <w:sz w:val="1"/>
                <w:szCs w:val="1"/>
                <w:color w:val="auto"/>
              </w:rPr>
            </w:pPr>
          </w:p>
        </w:tc>
      </w:tr>
      <w:tr>
        <w:trPr>
          <w:trHeight w:val="162"/>
        </w:trPr>
        <w:tc>
          <w:tcPr>
            <w:tcW w:w="1540" w:type="dxa"/>
            <w:vAlign w:val="bottom"/>
            <w:tcBorders>
              <w:bottom w:val="single" w:sz="8" w:color="auto"/>
            </w:tcBorders>
            <w:vMerge w:val="continue"/>
          </w:tcPr>
          <w:p>
            <w:pPr>
              <w:spacing w:after="0"/>
              <w:rPr>
                <w:sz w:val="14"/>
                <w:szCs w:val="14"/>
                <w:color w:val="auto"/>
              </w:rPr>
            </w:pPr>
          </w:p>
        </w:tc>
        <w:tc>
          <w:tcPr>
            <w:tcW w:w="6480" w:type="dxa"/>
            <w:vAlign w:val="bottom"/>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color w:val="auto"/>
              </w:rPr>
              <w:t>2025</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color w:val="auto"/>
                <w:w w:val="96"/>
              </w:rPr>
              <w:t>2024</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2025</w:t>
            </w: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7"/>
              </w:rPr>
              <w:t>8,546</w:t>
            </w: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9,139</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17,035</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17,846</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spacing w:after="0" w:line="202" w:lineRule="exact"/>
              <w:rPr>
                <w:sz w:val="20"/>
                <w:szCs w:val="20"/>
                <w:color w:val="auto"/>
              </w:rPr>
            </w:pPr>
            <w:r>
              <w:rPr>
                <w:rFonts w:ascii="Arial" w:cs="Arial" w:eastAsia="Arial" w:hAnsi="Arial"/>
                <w:sz w:val="16"/>
                <w:szCs w:val="16"/>
                <w:color w:val="auto"/>
              </w:rPr>
              <w:t xml:space="preserve">Interest &amp; other income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252</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85</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tcPr>
          <w:p>
            <w:pPr>
              <w:ind w:left="360"/>
              <w:spacing w:after="0" w:line="202" w:lineRule="exact"/>
              <w:rPr>
                <w:sz w:val="20"/>
                <w:szCs w:val="20"/>
                <w:color w:val="auto"/>
              </w:rPr>
            </w:pPr>
            <w:r>
              <w:rPr>
                <w:rFonts w:ascii="Arial" w:cs="Arial" w:eastAsia="Arial" w:hAnsi="Arial"/>
                <w:sz w:val="16"/>
                <w:szCs w:val="16"/>
                <w:color w:val="auto"/>
              </w:rPr>
              <w:t xml:space="preserve">Cost of revenue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w w:val="97"/>
              </w:rPr>
              <w:t>6,934</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7"/>
              </w:rPr>
              <w:t>7,262</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w w:val="98"/>
              </w:rPr>
              <w:t>13,815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14,270</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180</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352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3"/>
        </w:trPr>
        <w:tc>
          <w:tcPr>
            <w:tcW w:w="80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General &amp; administrative</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87</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94</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184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35</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84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8020" w:type="dxa"/>
            <w:vAlign w:val="bottom"/>
            <w:gridSpan w:val="2"/>
          </w:tcPr>
          <w:p>
            <w:pPr>
              <w:ind w:left="360"/>
              <w:spacing w:after="0" w:line="202" w:lineRule="exact"/>
              <w:rPr>
                <w:sz w:val="20"/>
                <w:szCs w:val="20"/>
                <w:color w:val="auto"/>
              </w:rPr>
            </w:pPr>
            <w:r>
              <w:rPr>
                <w:rFonts w:ascii="Arial" w:cs="Arial" w:eastAsia="Arial" w:hAnsi="Arial"/>
                <w:sz w:val="16"/>
                <w:szCs w:val="16"/>
                <w:color w:val="auto"/>
              </w:rPr>
              <w:t xml:space="preserve">Restructuring &amp; other </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135</w:t>
            </w:r>
          </w:p>
        </w:tc>
        <w:tc>
          <w:tcPr>
            <w:tcW w:w="120" w:type="dxa"/>
            <w:vAlign w:val="bottom"/>
          </w:tcPr>
          <w:p>
            <w:pPr>
              <w:spacing w:after="0"/>
              <w:rPr>
                <w:sz w:val="17"/>
                <w:szCs w:val="17"/>
                <w:color w:val="auto"/>
              </w:rPr>
            </w:pP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111</w:t>
            </w:r>
          </w:p>
        </w:tc>
        <w:tc>
          <w:tcPr>
            <w:tcW w:w="100" w:type="dxa"/>
            <w:vAlign w:val="bottom"/>
          </w:tcPr>
          <w:p>
            <w:pPr>
              <w:spacing w:after="0"/>
              <w:rPr>
                <w:sz w:val="17"/>
                <w:szCs w:val="17"/>
                <w:color w:val="auto"/>
              </w:rPr>
            </w:pP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293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142</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b w:val="1"/>
                <w:bCs w:val="1"/>
                <w:color w:val="auto"/>
              </w:rPr>
              <w:t>289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9"/>
        </w:trPr>
        <w:tc>
          <w:tcPr>
            <w:tcW w:w="802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Income before taxes </w:t>
            </w:r>
            <w:r>
              <w:rPr>
                <w:rFonts w:ascii="Arial" w:cs="Arial" w:eastAsia="Arial" w:hAnsi="Arial"/>
                <w:sz w:val="24"/>
                <w:szCs w:val="24"/>
                <w:color w:val="auto"/>
                <w:vertAlign w:val="superscript"/>
              </w:rPr>
              <w:t>(1)</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1,285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1,421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Tax expense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237</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6"/>
                <w:szCs w:val="26"/>
                <w:color w:val="auto"/>
                <w:vertAlign w:val="superscript"/>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gridSpan w:val="2"/>
            <w:vMerge w:val="continue"/>
          </w:tcPr>
          <w:p>
            <w:pPr>
              <w:spacing w:after="0"/>
              <w:rPr>
                <w:sz w:val="17"/>
                <w:szCs w:val="17"/>
                <w:color w:val="auto"/>
              </w:rPr>
            </w:pPr>
          </w:p>
        </w:tc>
        <w:tc>
          <w:tcPr>
            <w:tcW w:w="100" w:type="dxa"/>
            <w:vAlign w:val="bottom"/>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7"/>
              </w:rPr>
              <w:t>1,048</w:t>
            </w:r>
          </w:p>
        </w:tc>
        <w:tc>
          <w:tcPr>
            <w:tcW w:w="1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7"/>
              </w:rPr>
              <w:t>1,145</w:t>
            </w:r>
          </w:p>
        </w:tc>
        <w:tc>
          <w:tcPr>
            <w:tcW w:w="16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1,877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2,243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34</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9"/>
        </w:trPr>
        <w:tc>
          <w:tcPr>
            <w:tcW w:w="8020" w:type="dxa"/>
            <w:vAlign w:val="bottom"/>
            <w:gridSpan w:val="2"/>
          </w:tcPr>
          <w:p>
            <w:pPr>
              <w:spacing w:after="0" w:line="210" w:lineRule="exact"/>
              <w:rPr>
                <w:sz w:val="20"/>
                <w:szCs w:val="20"/>
                <w:color w:val="auto"/>
              </w:rPr>
            </w:pPr>
            <w:r>
              <w:rPr>
                <w:rFonts w:ascii="Arial" w:cs="Arial" w:eastAsia="Arial" w:hAnsi="Arial"/>
                <w:sz w:val="17"/>
                <w:szCs w:val="17"/>
                <w:color w:val="auto"/>
              </w:rPr>
              <w:t xml:space="preserve">Net income attributable to SLB </w:t>
            </w:r>
            <w:r>
              <w:rPr>
                <w:rFonts w:ascii="Arial" w:cs="Arial" w:eastAsia="Arial" w:hAnsi="Arial"/>
                <w:sz w:val="24"/>
                <w:szCs w:val="24"/>
                <w:color w:val="auto"/>
                <w:vertAlign w:val="superscript"/>
              </w:rPr>
              <w:t>(1)</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1,014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1,112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gridSpan w:val="2"/>
            <w:shd w:val="clear" w:color="auto" w:fill="CCEEFF"/>
          </w:tcPr>
          <w:p>
            <w:pPr>
              <w:spacing w:after="0" w:line="197" w:lineRule="exact"/>
              <w:rPr>
                <w:sz w:val="20"/>
                <w:szCs w:val="20"/>
                <w:color w:val="auto"/>
              </w:rPr>
            </w:pPr>
            <w:r>
              <w:rPr>
                <w:rFonts w:ascii="Arial" w:cs="Arial" w:eastAsia="Arial" w:hAnsi="Arial"/>
                <w:sz w:val="16"/>
                <w:szCs w:val="16"/>
                <w:color w:val="auto"/>
              </w:rPr>
              <w:t xml:space="preserve">Diluted earnings per share of SLB </w:t>
            </w:r>
            <w:r>
              <w:rPr>
                <w:rFonts w:ascii="Arial" w:cs="Arial" w:eastAsia="Arial" w:hAnsi="Arial"/>
                <w:sz w:val="22"/>
                <w:szCs w:val="22"/>
                <w:color w:val="auto"/>
                <w:vertAlign w:val="superscript"/>
              </w:rPr>
              <w:t>(1)</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rPr>
              <w:t>0.74</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1.32</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7"/>
              </w:rPr>
              <w:t>1,352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7"/>
              </w:rPr>
              <w:t>1,428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1,359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1,429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Average shares outstanding assuming dilution</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7"/>
              </w:rPr>
              <w:t>1,366</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1,443</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1,373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 xml:space="preserve">Depreciation &amp; amortization included in expenses </w:t>
            </w:r>
            <w:r>
              <w:rPr>
                <w:rFonts w:ascii="Arial" w:cs="Arial" w:eastAsia="Arial" w:hAnsi="Arial"/>
                <w:sz w:val="23"/>
                <w:szCs w:val="23"/>
                <w:color w:val="auto"/>
                <w:vertAlign w:val="superscript"/>
              </w:rPr>
              <w:t>(2)</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633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1,273</w:t>
            </w: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See section entitled “Charges &amp; Credits” for details.</w:t>
      </w:r>
    </w:p>
    <w:p>
      <w:pPr>
        <w:ind w:left="424" w:hanging="424"/>
        <w:spacing w:after="0" w:line="184" w:lineRule="auto"/>
        <w:tabs>
          <w:tab w:leader="none" w:pos="424" w:val="left"/>
        </w:tabs>
        <w:numPr>
          <w:ilvl w:val="0"/>
          <w:numId w:val="12"/>
        </w:numPr>
        <w:rPr>
          <w:rFonts w:ascii="Arial" w:cs="Arial" w:eastAsia="Arial" w:hAnsi="Arial"/>
          <w:sz w:val="25"/>
          <w:szCs w:val="25"/>
          <w:color w:val="auto"/>
          <w:vertAlign w:val="superscript"/>
        </w:rPr>
      </w:pPr>
      <w:r>
        <w:rPr>
          <w:rFonts w:ascii="Arial" w:cs="Arial" w:eastAsia="Arial" w:hAnsi="Arial"/>
          <w:sz w:val="17"/>
          <w:szCs w:val="17"/>
          <w:color w:val="auto"/>
        </w:rPr>
        <w:t>Includes depreciation of fixed assets and amortization of intangible assets, exploration data costs and APS investments.</w:t>
      </w:r>
    </w:p>
    <w:p>
      <w:pPr>
        <w:sectPr>
          <w:pgSz w:w="11900" w:h="16838" w:orient="portrait"/>
          <w:cols w:equalWidth="0" w:num="1">
            <w:col w:w="11024"/>
          </w:cols>
          <w:pgMar w:left="436" w:top="269"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Condensed Consolidated Balance Sheet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center"/>
              <w:ind w:left="52"/>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9480" w:type="dxa"/>
            <w:vAlign w:val="bottom"/>
            <w:gridSpan w:val="3"/>
            <w:vMerge w:val="restart"/>
          </w:tcPr>
          <w:p>
            <w:pPr>
              <w:spacing w:after="0"/>
              <w:rPr>
                <w:sz w:val="20"/>
                <w:szCs w:val="20"/>
                <w:color w:val="auto"/>
              </w:rPr>
            </w:pPr>
            <w:r>
              <w:rPr>
                <w:rFonts w:ascii="Arial" w:cs="Arial" w:eastAsia="Arial" w:hAnsi="Arial"/>
                <w:sz w:val="14"/>
                <w:szCs w:val="14"/>
                <w:color w:val="auto"/>
              </w:rPr>
              <w:t>Assets</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Jun. 30,</w:t>
            </w:r>
          </w:p>
        </w:tc>
        <w:tc>
          <w:tcPr>
            <w:tcW w:w="14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58"/>
        </w:trPr>
        <w:tc>
          <w:tcPr>
            <w:tcW w:w="94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2"/>
              <w:spacing w:after="0" w:line="158" w:lineRule="exact"/>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1"/>
              <w:spacing w:after="0" w:line="158" w:lineRule="exact"/>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4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4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Cash and short-term investments</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3,747</w:t>
            </w:r>
          </w:p>
        </w:tc>
        <w:tc>
          <w:tcPr>
            <w:tcW w:w="24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03"/>
        </w:trPr>
        <w:tc>
          <w:tcPr>
            <w:tcW w:w="948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8,586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8,011</w:t>
            </w:r>
          </w:p>
        </w:tc>
        <w:tc>
          <w:tcPr>
            <w:tcW w:w="0" w:type="dxa"/>
            <w:vAlign w:val="bottom"/>
          </w:tcPr>
          <w:p>
            <w:pPr>
              <w:spacing w:after="0"/>
              <w:rPr>
                <w:sz w:val="1"/>
                <w:szCs w:val="1"/>
                <w:color w:val="auto"/>
              </w:rPr>
            </w:pPr>
          </w:p>
        </w:tc>
      </w:tr>
      <w:tr>
        <w:trPr>
          <w:trHeight w:val="203"/>
        </w:trPr>
        <w:tc>
          <w:tcPr>
            <w:tcW w:w="94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4,740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03"/>
        </w:trPr>
        <w:tc>
          <w:tcPr>
            <w:tcW w:w="948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1,380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8"/>
              </w:rPr>
              <w:t>18,453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18,570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Investment in affiliated companies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1,676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03"/>
        </w:trPr>
        <w:tc>
          <w:tcPr>
            <w:tcW w:w="9480" w:type="dxa"/>
            <w:vAlign w:val="bottom"/>
            <w:gridSpan w:val="3"/>
          </w:tcPr>
          <w:p>
            <w:pPr>
              <w:spacing w:after="0" w:line="202" w:lineRule="exact"/>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7,399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7,359</w:t>
            </w:r>
          </w:p>
        </w:tc>
        <w:tc>
          <w:tcPr>
            <w:tcW w:w="0" w:type="dxa"/>
            <w:vAlign w:val="bottom"/>
          </w:tcPr>
          <w:p>
            <w:pPr>
              <w:spacing w:after="0"/>
              <w:rPr>
                <w:sz w:val="1"/>
                <w:szCs w:val="1"/>
                <w:color w:val="auto"/>
              </w:rPr>
            </w:pPr>
          </w:p>
        </w:tc>
      </w:tr>
      <w:tr>
        <w:trPr>
          <w:trHeight w:val="203"/>
        </w:trPr>
        <w:tc>
          <w:tcPr>
            <w:tcW w:w="94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14,658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14,593</w:t>
            </w:r>
          </w:p>
        </w:tc>
        <w:tc>
          <w:tcPr>
            <w:tcW w:w="0" w:type="dxa"/>
            <w:vAlign w:val="bottom"/>
          </w:tcPr>
          <w:p>
            <w:pPr>
              <w:spacing w:after="0"/>
              <w:rPr>
                <w:sz w:val="1"/>
                <w:szCs w:val="1"/>
                <w:color w:val="auto"/>
              </w:rPr>
            </w:pPr>
          </w:p>
        </w:tc>
      </w:tr>
      <w:tr>
        <w:trPr>
          <w:trHeight w:val="203"/>
        </w:trPr>
        <w:tc>
          <w:tcPr>
            <w:tcW w:w="9480" w:type="dxa"/>
            <w:vAlign w:val="bottom"/>
            <w:gridSpan w:val="3"/>
          </w:tcPr>
          <w:p>
            <w:pPr>
              <w:spacing w:after="0" w:line="202" w:lineRule="exact"/>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2,893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03"/>
        </w:trPr>
        <w:tc>
          <w:tcPr>
            <w:tcW w:w="94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3,690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48,769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64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98"/>
              </w:rPr>
              <w:t>Liabilities and Equity</w:t>
            </w:r>
          </w:p>
        </w:tc>
        <w:tc>
          <w:tcPr>
            <w:tcW w:w="7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480" w:type="dxa"/>
            <w:vAlign w:val="bottom"/>
            <w:gridSpan w:val="3"/>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8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9,993</w:t>
            </w:r>
          </w:p>
        </w:tc>
        <w:tc>
          <w:tcPr>
            <w:tcW w:w="240" w:type="dxa"/>
            <w:vAlign w:val="bottom"/>
            <w:gridSpan w:val="2"/>
            <w:shd w:val="clear" w:color="auto" w:fill="CCEEFF"/>
          </w:tcPr>
          <w:p>
            <w:pPr>
              <w:jc w:val="center"/>
              <w:ind w:left="50"/>
              <w:spacing w:after="0" w:line="202" w:lineRule="exact"/>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10,375</w:t>
            </w:r>
          </w:p>
        </w:tc>
        <w:tc>
          <w:tcPr>
            <w:tcW w:w="0" w:type="dxa"/>
            <w:vAlign w:val="bottom"/>
          </w:tcPr>
          <w:p>
            <w:pPr>
              <w:spacing w:after="0"/>
              <w:rPr>
                <w:sz w:val="1"/>
                <w:szCs w:val="1"/>
                <w:color w:val="auto"/>
              </w:rPr>
            </w:pPr>
          </w:p>
        </w:tc>
      </w:tr>
      <w:tr>
        <w:trPr>
          <w:trHeight w:val="203"/>
        </w:trPr>
        <w:tc>
          <w:tcPr>
            <w:tcW w:w="94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Estimated liability for taxes on income</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833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3"/>
        </w:trPr>
        <w:tc>
          <w:tcPr>
            <w:tcW w:w="948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2,807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3"/>
        </w:trPr>
        <w:tc>
          <w:tcPr>
            <w:tcW w:w="94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Dividends payable</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402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b w:val="1"/>
                <w:bCs w:val="1"/>
                <w:color w:val="auto"/>
                <w:w w:val="98"/>
              </w:rPr>
              <w:t>14,035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w w:val="98"/>
              </w:rPr>
              <w:t>12,811</w:t>
            </w:r>
          </w:p>
        </w:tc>
        <w:tc>
          <w:tcPr>
            <w:tcW w:w="0" w:type="dxa"/>
            <w:vAlign w:val="bottom"/>
          </w:tcPr>
          <w:p>
            <w:pPr>
              <w:spacing w:after="0"/>
              <w:rPr>
                <w:sz w:val="1"/>
                <w:szCs w:val="1"/>
                <w:color w:val="auto"/>
              </w:rPr>
            </w:pPr>
          </w:p>
        </w:tc>
      </w:tr>
      <w:tr>
        <w:trPr>
          <w:trHeight w:val="203"/>
        </w:trPr>
        <w:tc>
          <w:tcPr>
            <w:tcW w:w="9480" w:type="dxa"/>
            <w:vAlign w:val="bottom"/>
            <w:gridSpan w:val="3"/>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10,891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11,023</w:t>
            </w:r>
          </w:p>
        </w:tc>
        <w:tc>
          <w:tcPr>
            <w:tcW w:w="0" w:type="dxa"/>
            <w:vAlign w:val="bottom"/>
          </w:tcPr>
          <w:p>
            <w:pPr>
              <w:spacing w:after="0"/>
              <w:rPr>
                <w:sz w:val="1"/>
                <w:szCs w:val="1"/>
                <w:color w:val="auto"/>
              </w:rPr>
            </w:pPr>
          </w:p>
        </w:tc>
      </w:tr>
      <w:tr>
        <w:trPr>
          <w:trHeight w:val="203"/>
        </w:trPr>
        <w:tc>
          <w:tcPr>
            <w:tcW w:w="94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2,292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27,218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26,585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4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8"/>
              </w:rPr>
              <w:t>21,551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22,350</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48,769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48,935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sectPr>
      </w:pPr>
    </w:p>
    <w:bookmarkStart w:id="17" w:name="page18"/>
    <w:bookmarkEnd w:id="1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Liquidity</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6"/>
        </w:trPr>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8"/>
          </w:tcPr>
          <w:p>
            <w:pPr>
              <w:jc w:val="right"/>
              <w:ind w:right="41"/>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1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Components of Liquidity</w:t>
            </w:r>
          </w:p>
        </w:tc>
        <w:tc>
          <w:tcPr>
            <w:tcW w:w="5320" w:type="dxa"/>
            <w:vAlign w:val="bottom"/>
            <w:gridSpan w:val="2"/>
            <w:vMerge w:val="restart"/>
          </w:tcPr>
          <w:p>
            <w:pPr>
              <w:spacing w:after="0"/>
              <w:rPr>
                <w:sz w:val="14"/>
                <w:szCs w:val="14"/>
                <w:color w:val="auto"/>
              </w:rPr>
            </w:pPr>
          </w:p>
        </w:tc>
        <w:tc>
          <w:tcPr>
            <w:tcW w:w="80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Jun. 30,</w:t>
            </w:r>
          </w:p>
        </w:tc>
        <w:tc>
          <w:tcPr>
            <w:tcW w:w="2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Mar. 31,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ind w:left="20"/>
              <w:spacing w:after="0"/>
              <w:rPr>
                <w:sz w:val="20"/>
                <w:szCs w:val="20"/>
                <w:color w:val="auto"/>
              </w:rPr>
            </w:pPr>
            <w:r>
              <w:rPr>
                <w:rFonts w:ascii="Arial" w:cs="Arial" w:eastAsia="Arial" w:hAnsi="Arial"/>
                <w:sz w:val="14"/>
                <w:szCs w:val="14"/>
                <w:color w:val="auto"/>
              </w:rPr>
              <w:t>Jun. 30,</w:t>
            </w:r>
          </w:p>
        </w:tc>
        <w:tc>
          <w:tcPr>
            <w:tcW w:w="260" w:type="dxa"/>
            <w:vAlign w:val="bottom"/>
          </w:tcPr>
          <w:p>
            <w:pPr>
              <w:spacing w:after="0"/>
              <w:rPr>
                <w:sz w:val="14"/>
                <w:szCs w:val="14"/>
                <w:color w:val="auto"/>
              </w:rPr>
            </w:pPr>
          </w:p>
        </w:tc>
        <w:tc>
          <w:tcPr>
            <w:tcW w:w="840" w:type="dxa"/>
            <w:vAlign w:val="bottom"/>
            <w:gridSpan w:val="5"/>
          </w:tcPr>
          <w:p>
            <w:pPr>
              <w:ind w:left="8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8"/>
        </w:trPr>
        <w:tc>
          <w:tcPr>
            <w:tcW w:w="1700" w:type="dxa"/>
            <w:vAlign w:val="bottom"/>
            <w:tcBorders>
              <w:bottom w:val="single" w:sz="8" w:color="auto"/>
            </w:tcBorders>
            <w:gridSpan w:val="2"/>
            <w:vMerge w:val="continue"/>
          </w:tcPr>
          <w:p>
            <w:pPr>
              <w:spacing w:after="0"/>
              <w:rPr>
                <w:sz w:val="15"/>
                <w:szCs w:val="15"/>
                <w:color w:val="auto"/>
              </w:rPr>
            </w:pPr>
          </w:p>
        </w:tc>
        <w:tc>
          <w:tcPr>
            <w:tcW w:w="5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14"/>
              <w:spacing w:after="0" w:line="158" w:lineRule="exact"/>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5"/>
                <w:szCs w:val="15"/>
                <w:color w:val="auto"/>
              </w:rPr>
            </w:pPr>
          </w:p>
        </w:tc>
        <w:tc>
          <w:tcPr>
            <w:tcW w:w="98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2025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2024</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02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color w:val="auto"/>
              </w:rPr>
              <w:t>Cash and short-term investments</w:t>
            </w: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3,747</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right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  3,897</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right w:val="single" w:sz="8" w:color="CCEEFF"/>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4,003</w:t>
            </w:r>
          </w:p>
        </w:tc>
        <w:tc>
          <w:tcPr>
            <w:tcW w:w="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4,669</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20" w:type="dxa"/>
            <w:vAlign w:val="bottom"/>
            <w:gridSpan w:val="4"/>
          </w:tcPr>
          <w:p>
            <w:pPr>
              <w:spacing w:after="0" w:line="202" w:lineRule="exact"/>
              <w:rPr>
                <w:sz w:val="20"/>
                <w:szCs w:val="20"/>
                <w:color w:val="auto"/>
              </w:rPr>
            </w:pPr>
            <w:r>
              <w:rPr>
                <w:rFonts w:ascii="Arial" w:cs="Arial" w:eastAsia="Arial" w:hAnsi="Arial"/>
                <w:sz w:val="18"/>
                <w:szCs w:val="18"/>
                <w:color w:val="auto"/>
              </w:rPr>
              <w:t>Short-term borrowings and current portion of long-term debt</w:t>
            </w:r>
          </w:p>
        </w:tc>
        <w:tc>
          <w:tcPr>
            <w:tcW w:w="10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(2,807)</w:t>
            </w:r>
          </w:p>
        </w:tc>
        <w:tc>
          <w:tcPr>
            <w:tcW w:w="10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(3,475)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(1,033)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3"/>
        </w:trPr>
        <w:tc>
          <w:tcPr>
            <w:tcW w:w="70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8"/>
              </w:rPr>
              <w:t>(10,891)</w:t>
            </w:r>
          </w:p>
        </w:tc>
        <w:tc>
          <w:tcPr>
            <w:tcW w:w="10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(10,527)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(12,156)</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(11,023)</w:t>
            </w:r>
          </w:p>
        </w:tc>
        <w:tc>
          <w:tcPr>
            <w:tcW w:w="0" w:type="dxa"/>
            <w:vAlign w:val="bottom"/>
          </w:tcPr>
          <w:p>
            <w:pPr>
              <w:spacing w:after="0"/>
              <w:rPr>
                <w:sz w:val="1"/>
                <w:szCs w:val="1"/>
                <w:color w:val="auto"/>
              </w:rPr>
            </w:pPr>
          </w:p>
        </w:tc>
      </w:tr>
      <w:tr>
        <w:trPr>
          <w:trHeight w:val="209"/>
        </w:trPr>
        <w:tc>
          <w:tcPr>
            <w:tcW w:w="7020" w:type="dxa"/>
            <w:vAlign w:val="bottom"/>
            <w:gridSpan w:val="4"/>
          </w:tcPr>
          <w:p>
            <w:pPr>
              <w:spacing w:after="0" w:line="210" w:lineRule="exact"/>
              <w:rPr>
                <w:sz w:val="20"/>
                <w:szCs w:val="20"/>
                <w:color w:val="auto"/>
              </w:rPr>
            </w:pPr>
            <w:r>
              <w:rPr>
                <w:rFonts w:ascii="Arial" w:cs="Arial" w:eastAsia="Arial" w:hAnsi="Arial"/>
                <w:sz w:val="17"/>
                <w:szCs w:val="17"/>
                <w:color w:val="auto"/>
              </w:rPr>
              <w:t xml:space="preserve">Net Debt </w:t>
            </w:r>
            <w:r>
              <w:rPr>
                <w:rFonts w:ascii="Arial" w:cs="Arial" w:eastAsia="Arial" w:hAnsi="Arial"/>
                <w:sz w:val="24"/>
                <w:szCs w:val="24"/>
                <w:color w:val="auto"/>
                <w:vertAlign w:val="superscript"/>
              </w:rPr>
              <w:t>(1)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(9,951</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240" w:type="dxa"/>
            <w:vAlign w:val="bottom"/>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(10,105</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(9,186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(7,405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020" w:type="dxa"/>
            <w:vAlign w:val="bottom"/>
            <w:gridSpan w:val="4"/>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702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Six</w:t>
            </w:r>
          </w:p>
        </w:tc>
        <w:tc>
          <w:tcPr>
            <w:tcW w:w="80" w:type="dxa"/>
            <w:vAlign w:val="bottom"/>
          </w:tcPr>
          <w:p>
            <w:pPr>
              <w:spacing w:after="0"/>
              <w:rPr>
                <w:sz w:val="24"/>
                <w:szCs w:val="24"/>
                <w:color w:val="auto"/>
              </w:rPr>
            </w:pPr>
          </w:p>
        </w:tc>
        <w:tc>
          <w:tcPr>
            <w:tcW w:w="8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Second</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gridSpan w:val="2"/>
          </w:tcPr>
          <w:p>
            <w:pPr>
              <w:jc w:val="center"/>
              <w:spacing w:after="0"/>
              <w:rPr>
                <w:sz w:val="20"/>
                <w:szCs w:val="20"/>
                <w:color w:val="auto"/>
              </w:rPr>
            </w:pPr>
            <w:r>
              <w:rPr>
                <w:rFonts w:ascii="Arial" w:cs="Arial" w:eastAsia="Arial" w:hAnsi="Arial"/>
                <w:sz w:val="14"/>
                <w:szCs w:val="14"/>
                <w:color w:val="auto"/>
              </w:rPr>
              <w:t>Six</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40" w:type="dxa"/>
            <w:vAlign w:val="bottom"/>
            <w:vMerge w:val="restart"/>
          </w:tcPr>
          <w:p>
            <w:pPr>
              <w:spacing w:after="0"/>
              <w:rPr>
                <w:sz w:val="14"/>
                <w:szCs w:val="14"/>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color w:val="auto"/>
              </w:rPr>
              <w:t>Periods Ended June 30,</w:t>
            </w:r>
          </w:p>
        </w:tc>
        <w:tc>
          <w:tcPr>
            <w:tcW w:w="50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4"/>
                <w:szCs w:val="14"/>
                <w:color w:val="auto"/>
              </w:rPr>
            </w:pPr>
          </w:p>
        </w:tc>
        <w:tc>
          <w:tcPr>
            <w:tcW w:w="8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1160" w:type="dxa"/>
            <w:vAlign w:val="bottom"/>
            <w:gridSpan w:val="7"/>
          </w:tcPr>
          <w:p>
            <w:pPr>
              <w:jc w:val="center"/>
              <w:ind w:right="521"/>
              <w:spacing w:after="0"/>
              <w:rPr>
                <w:sz w:val="20"/>
                <w:szCs w:val="20"/>
                <w:color w:val="auto"/>
              </w:rPr>
            </w:pPr>
            <w:r>
              <w:rPr>
                <w:rFonts w:ascii="Arial" w:cs="Arial" w:eastAsia="Arial" w:hAnsi="Arial"/>
                <w:sz w:val="14"/>
                <w:szCs w:val="14"/>
                <w:color w:val="auto"/>
              </w:rPr>
              <w:t>Months</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1540" w:type="dxa"/>
            <w:vAlign w:val="bottom"/>
            <w:tcBorders>
              <w:bottom w:val="single" w:sz="8" w:color="auto"/>
            </w:tcBorders>
            <w:gridSpan w:val="2"/>
            <w:vMerge w:val="continue"/>
          </w:tcPr>
          <w:p>
            <w:pPr>
              <w:spacing w:after="0"/>
              <w:rPr>
                <w:sz w:val="15"/>
                <w:szCs w:val="15"/>
                <w:color w:val="auto"/>
              </w:rPr>
            </w:pPr>
          </w:p>
        </w:tc>
        <w:tc>
          <w:tcPr>
            <w:tcW w:w="5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2025</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center"/>
              <w:ind w:right="12"/>
              <w:spacing w:after="0" w:line="158" w:lineRule="exact"/>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2"/>
          </w:tcPr>
          <w:p>
            <w:pPr>
              <w:jc w:val="center"/>
              <w:spacing w:after="0" w:line="158" w:lineRule="exact"/>
              <w:rPr>
                <w:sz w:val="20"/>
                <w:szCs w:val="20"/>
                <w:color w:val="auto"/>
              </w:rPr>
            </w:pPr>
            <w:r>
              <w:rPr>
                <w:rFonts w:ascii="Arial" w:cs="Arial" w:eastAsia="Arial" w:hAnsi="Arial"/>
                <w:sz w:val="14"/>
                <w:szCs w:val="14"/>
                <w:color w:val="auto"/>
              </w:rPr>
              <w:t>2024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5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9"/>
              </w:rPr>
              <w:t>$ 1,877</w:t>
            </w:r>
          </w:p>
        </w:tc>
        <w:tc>
          <w:tcPr>
            <w:tcW w:w="36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rPr>
              <w:t>1,048</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right w:val="single" w:sz="8" w:color="CCEEFF"/>
            </w:tcBorders>
            <w:shd w:val="clear" w:color="auto" w:fill="CCEEFF"/>
          </w:tcPr>
          <w:p>
            <w:pPr>
              <w:spacing w:after="0"/>
              <w:rPr>
                <w:sz w:val="16"/>
                <w:szCs w:val="16"/>
                <w:color w:val="auto"/>
              </w:rPr>
            </w:pPr>
          </w:p>
        </w:tc>
        <w:tc>
          <w:tcPr>
            <w:tcW w:w="580" w:type="dxa"/>
            <w:vAlign w:val="bottom"/>
            <w:tcBorders>
              <w:top w:val="single" w:sz="8" w:color="auto"/>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auto"/>
                <w:w w:val="93"/>
              </w:rPr>
              <w:t>$ 2,243</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6580" w:type="dxa"/>
            <w:vAlign w:val="bottom"/>
            <w:gridSpan w:val="3"/>
          </w:tcPr>
          <w:p>
            <w:pPr>
              <w:spacing w:after="0" w:line="202" w:lineRule="exact"/>
              <w:rPr>
                <w:sz w:val="20"/>
                <w:szCs w:val="20"/>
                <w:color w:val="auto"/>
              </w:rPr>
            </w:pPr>
            <w:r>
              <w:rPr>
                <w:rFonts w:ascii="Arial" w:cs="Arial" w:eastAsia="Arial" w:hAnsi="Arial"/>
                <w:sz w:val="16"/>
                <w:szCs w:val="16"/>
                <w:color w:val="auto"/>
              </w:rPr>
              <w:t xml:space="preserve">Gain on sale of APS project </w:t>
            </w:r>
            <w:r>
              <w:rPr>
                <w:rFonts w:ascii="Arial" w:cs="Arial" w:eastAsia="Arial" w:hAnsi="Arial"/>
                <w:sz w:val="23"/>
                <w:szCs w:val="23"/>
                <w:color w:val="auto"/>
                <w:vertAlign w:val="superscript"/>
              </w:rPr>
              <w:t>(2)</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jc w:val="right"/>
              <w:ind w:right="300"/>
              <w:spacing w:after="0" w:line="202" w:lineRule="exact"/>
              <w:rPr>
                <w:sz w:val="20"/>
                <w:szCs w:val="20"/>
                <w:color w:val="auto"/>
              </w:rPr>
            </w:pPr>
            <w:r>
              <w:rPr>
                <w:rFonts w:ascii="Arial" w:cs="Arial" w:eastAsia="Arial" w:hAnsi="Arial"/>
                <w:sz w:val="18"/>
                <w:szCs w:val="18"/>
                <w:b w:val="1"/>
                <w:bCs w:val="1"/>
                <w:color w:val="auto"/>
              </w:rPr>
              <w:t>(149)</w:t>
            </w:r>
          </w:p>
        </w:tc>
        <w:tc>
          <w:tcPr>
            <w:tcW w:w="80" w:type="dxa"/>
            <w:vAlign w:val="bottom"/>
          </w:tcPr>
          <w:p>
            <w:pPr>
              <w:spacing w:after="0"/>
              <w:rPr>
                <w:sz w:val="17"/>
                <w:szCs w:val="17"/>
                <w:color w:val="auto"/>
              </w:rPr>
            </w:pPr>
          </w:p>
        </w:tc>
        <w:tc>
          <w:tcPr>
            <w:tcW w:w="80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rPr>
              <w:t>(149)</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gridSpan w:val="3"/>
          </w:tcPr>
          <w:p>
            <w:pPr>
              <w:spacing w:after="0" w:line="202" w:lineRule="exact"/>
              <w:rPr>
                <w:sz w:val="20"/>
                <w:szCs w:val="20"/>
                <w:color w:val="auto"/>
              </w:rPr>
            </w:pPr>
            <w:r>
              <w:rPr>
                <w:rFonts w:ascii="Arial" w:cs="Arial" w:eastAsia="Arial" w:hAnsi="Arial"/>
                <w:sz w:val="18"/>
                <w:szCs w:val="18"/>
                <w:color w:val="auto"/>
              </w:rPr>
              <w:t>— </w:t>
            </w:r>
          </w:p>
        </w:tc>
        <w:tc>
          <w:tcPr>
            <w:tcW w:w="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6580" w:type="dxa"/>
            <w:vAlign w:val="bottom"/>
            <w:gridSpan w:val="3"/>
            <w:shd w:val="clear" w:color="auto" w:fill="CCEEFF"/>
          </w:tcPr>
          <w:p>
            <w:pPr>
              <w:spacing w:after="0" w:line="202" w:lineRule="exact"/>
              <w:rPr>
                <w:sz w:val="20"/>
                <w:szCs w:val="20"/>
                <w:color w:val="auto"/>
              </w:rPr>
            </w:pPr>
            <w:r>
              <w:rPr>
                <w:rFonts w:ascii="Arial" w:cs="Arial" w:eastAsia="Arial" w:hAnsi="Arial"/>
                <w:sz w:val="16"/>
                <w:szCs w:val="16"/>
                <w:color w:val="auto"/>
              </w:rPr>
              <w:t xml:space="preserve">Impairment of equity method investment </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69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69</w:t>
            </w: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— </w:t>
            </w:r>
          </w:p>
        </w:tc>
        <w:tc>
          <w:tcPr>
            <w:tcW w:w="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6580" w:type="dxa"/>
            <w:vAlign w:val="bottom"/>
            <w:gridSpan w:val="3"/>
          </w:tcPr>
          <w:p>
            <w:pPr>
              <w:spacing w:after="0" w:line="202"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3"/>
                <w:szCs w:val="23"/>
                <w:color w:val="auto"/>
                <w:vertAlign w:val="superscript"/>
              </w:rPr>
              <w:t>(3)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jc w:val="right"/>
              <w:ind w:right="360"/>
              <w:spacing w:after="0" w:line="202" w:lineRule="exact"/>
              <w:rPr>
                <w:sz w:val="20"/>
                <w:szCs w:val="20"/>
                <w:color w:val="auto"/>
              </w:rPr>
            </w:pPr>
            <w:r>
              <w:rPr>
                <w:rFonts w:ascii="Arial" w:cs="Arial" w:eastAsia="Arial" w:hAnsi="Arial"/>
                <w:sz w:val="18"/>
                <w:szCs w:val="18"/>
                <w:b w:val="1"/>
                <w:bCs w:val="1"/>
                <w:color w:val="auto"/>
              </w:rPr>
              <w:t>1,273</w:t>
            </w:r>
          </w:p>
        </w:tc>
        <w:tc>
          <w:tcPr>
            <w:tcW w:w="80" w:type="dxa"/>
            <w:vAlign w:val="bottom"/>
          </w:tcPr>
          <w:p>
            <w:pPr>
              <w:spacing w:after="0"/>
              <w:rPr>
                <w:sz w:val="17"/>
                <w:szCs w:val="17"/>
                <w:color w:val="auto"/>
              </w:rPr>
            </w:pPr>
          </w:p>
        </w:tc>
        <w:tc>
          <w:tcPr>
            <w:tcW w:w="800" w:type="dxa"/>
            <w:vAlign w:val="bottom"/>
            <w:gridSpan w:val="4"/>
          </w:tcPr>
          <w:p>
            <w:pPr>
              <w:jc w:val="right"/>
              <w:ind w:right="180"/>
              <w:spacing w:after="0" w:line="202" w:lineRule="exact"/>
              <w:rPr>
                <w:sz w:val="20"/>
                <w:szCs w:val="20"/>
                <w:color w:val="auto"/>
              </w:rPr>
            </w:pPr>
            <w:r>
              <w:rPr>
                <w:rFonts w:ascii="Arial" w:cs="Arial" w:eastAsia="Arial" w:hAnsi="Arial"/>
                <w:sz w:val="18"/>
                <w:szCs w:val="18"/>
                <w:b w:val="1"/>
                <w:bCs w:val="1"/>
                <w:color w:val="auto"/>
              </w:rPr>
              <w:t>633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1,231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6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168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77</w:t>
            </w: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6580" w:type="dxa"/>
            <w:vAlign w:val="bottom"/>
            <w:gridSpan w:val="3"/>
          </w:tcPr>
          <w:p>
            <w:pPr>
              <w:spacing w:after="0" w:line="202" w:lineRule="exact"/>
              <w:rPr>
                <w:sz w:val="20"/>
                <w:szCs w:val="20"/>
                <w:color w:val="auto"/>
              </w:rPr>
            </w:pPr>
            <w:r>
              <w:rPr>
                <w:rFonts w:ascii="Arial" w:cs="Arial" w:eastAsia="Arial" w:hAnsi="Arial"/>
                <w:sz w:val="18"/>
                <w:szCs w:val="18"/>
                <w:color w:val="auto"/>
              </w:rPr>
              <w:t>Change in working capital</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jc w:val="right"/>
              <w:ind w:right="300"/>
              <w:spacing w:after="0" w:line="202" w:lineRule="exact"/>
              <w:rPr>
                <w:sz w:val="20"/>
                <w:szCs w:val="20"/>
                <w:color w:val="auto"/>
              </w:rPr>
            </w:pPr>
            <w:r>
              <w:rPr>
                <w:rFonts w:ascii="Arial" w:cs="Arial" w:eastAsia="Arial" w:hAnsi="Arial"/>
                <w:sz w:val="18"/>
                <w:szCs w:val="18"/>
                <w:b w:val="1"/>
                <w:bCs w:val="1"/>
                <w:color w:val="auto"/>
              </w:rPr>
              <w:t>(1,401)</w:t>
            </w:r>
          </w:p>
        </w:tc>
        <w:tc>
          <w:tcPr>
            <w:tcW w:w="80" w:type="dxa"/>
            <w:vAlign w:val="bottom"/>
          </w:tcPr>
          <w:p>
            <w:pPr>
              <w:spacing w:after="0"/>
              <w:rPr>
                <w:sz w:val="17"/>
                <w:szCs w:val="17"/>
                <w:color w:val="auto"/>
              </w:rPr>
            </w:pPr>
          </w:p>
        </w:tc>
        <w:tc>
          <w:tcPr>
            <w:tcW w:w="80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rPr>
              <w:t>(464)</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w w:val="98"/>
              </w:rPr>
              <w:t>(1,906)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6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(35)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w w:val="99"/>
              </w:rPr>
              <w:t>(72)</w:t>
            </w: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20" w:type="dxa"/>
            <w:vAlign w:val="bottom"/>
            <w:gridSpan w:val="4"/>
          </w:tcPr>
          <w:p>
            <w:pPr>
              <w:ind w:left="440"/>
              <w:spacing w:after="0"/>
              <w:rPr>
                <w:sz w:val="20"/>
                <w:szCs w:val="20"/>
                <w:color w:val="auto"/>
              </w:rPr>
            </w:pPr>
            <w:r>
              <w:rPr>
                <w:rFonts w:ascii="Arial" w:cs="Arial" w:eastAsia="Arial" w:hAnsi="Arial"/>
                <w:sz w:val="18"/>
                <w:szCs w:val="18"/>
                <w:b w:val="1"/>
                <w:bCs w:val="1"/>
                <w:color w:val="auto"/>
              </w:rPr>
              <w:t>Cash flow from operations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$ 1,802</w:t>
            </w:r>
          </w:p>
        </w:tc>
        <w:tc>
          <w:tcPr>
            <w:tcW w:w="3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1,142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3"/>
              </w:rPr>
              <w:t>$ 1,763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6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(769)</w:t>
            </w:r>
          </w:p>
        </w:tc>
        <w:tc>
          <w:tcPr>
            <w:tcW w:w="8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(371)</w:t>
            </w: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6580" w:type="dxa"/>
            <w:vAlign w:val="bottom"/>
            <w:gridSpan w:val="3"/>
          </w:tcPr>
          <w:p>
            <w:pPr>
              <w:spacing w:after="0" w:line="202" w:lineRule="exact"/>
              <w:rPr>
                <w:sz w:val="20"/>
                <w:szCs w:val="20"/>
                <w:color w:val="auto"/>
              </w:rPr>
            </w:pPr>
            <w:r>
              <w:rPr>
                <w:rFonts w:ascii="Arial" w:cs="Arial" w:eastAsia="Arial" w:hAnsi="Arial"/>
                <w:sz w:val="18"/>
                <w:szCs w:val="18"/>
                <w:color w:val="auto"/>
              </w:rPr>
              <w:t>APS investments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jc w:val="right"/>
              <w:ind w:right="300"/>
              <w:spacing w:after="0" w:line="202" w:lineRule="exact"/>
              <w:rPr>
                <w:sz w:val="20"/>
                <w:szCs w:val="20"/>
                <w:color w:val="auto"/>
              </w:rPr>
            </w:pPr>
            <w:r>
              <w:rPr>
                <w:rFonts w:ascii="Arial" w:cs="Arial" w:eastAsia="Arial" w:hAnsi="Arial"/>
                <w:sz w:val="18"/>
                <w:szCs w:val="18"/>
                <w:b w:val="1"/>
                <w:bCs w:val="1"/>
                <w:color w:val="auto"/>
              </w:rPr>
              <w:t>(225)</w:t>
            </w:r>
          </w:p>
        </w:tc>
        <w:tc>
          <w:tcPr>
            <w:tcW w:w="80" w:type="dxa"/>
            <w:vAlign w:val="bottom"/>
          </w:tcPr>
          <w:p>
            <w:pPr>
              <w:spacing w:after="0"/>
              <w:rPr>
                <w:sz w:val="17"/>
                <w:szCs w:val="17"/>
                <w:color w:val="auto"/>
              </w:rPr>
            </w:pPr>
          </w:p>
        </w:tc>
        <w:tc>
          <w:tcPr>
            <w:tcW w:w="80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rPr>
              <w:t>(117)</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(256)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6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Exploration data capitalized</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(83)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w w:val="99"/>
              </w:rPr>
              <w:t>(32)</w:t>
            </w: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20" w:type="dxa"/>
            <w:vAlign w:val="bottom"/>
            <w:gridSpan w:val="4"/>
          </w:tcPr>
          <w:p>
            <w:pPr>
              <w:ind w:left="440"/>
              <w:spacing w:after="0" w:line="210" w:lineRule="exact"/>
              <w:rPr>
                <w:sz w:val="20"/>
                <w:szCs w:val="20"/>
                <w:color w:val="auto"/>
              </w:rPr>
            </w:pPr>
            <w:r>
              <w:rPr>
                <w:rFonts w:ascii="Arial" w:cs="Arial" w:eastAsia="Arial" w:hAnsi="Arial"/>
                <w:sz w:val="17"/>
                <w:szCs w:val="17"/>
                <w:b w:val="1"/>
                <w:bCs w:val="1"/>
                <w:color w:val="auto"/>
              </w:rPr>
              <w:t xml:space="preserve">Free cash flow </w:t>
            </w:r>
            <w:r>
              <w:rPr>
                <w:rFonts w:ascii="Arial" w:cs="Arial" w:eastAsia="Arial" w:hAnsi="Arial"/>
                <w:sz w:val="24"/>
                <w:szCs w:val="24"/>
                <w:color w:val="auto"/>
                <w:vertAlign w:val="superscript"/>
              </w:rPr>
              <w:t>(4)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725</w:t>
            </w:r>
          </w:p>
        </w:tc>
        <w:tc>
          <w:tcPr>
            <w:tcW w:w="3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622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6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(773)</w:t>
            </w:r>
          </w:p>
        </w:tc>
        <w:tc>
          <w:tcPr>
            <w:tcW w:w="8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(387)</w:t>
            </w: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6580" w:type="dxa"/>
            <w:vAlign w:val="bottom"/>
            <w:gridSpan w:val="3"/>
          </w:tcPr>
          <w:p>
            <w:pPr>
              <w:spacing w:after="0" w:line="202" w:lineRule="exact"/>
              <w:rPr>
                <w:sz w:val="20"/>
                <w:szCs w:val="20"/>
                <w:color w:val="auto"/>
              </w:rPr>
            </w:pPr>
            <w:r>
              <w:rPr>
                <w:rFonts w:ascii="Arial" w:cs="Arial" w:eastAsia="Arial" w:hAnsi="Arial"/>
                <w:sz w:val="18"/>
                <w:szCs w:val="18"/>
                <w:color w:val="auto"/>
              </w:rPr>
              <w:t>Stock repurchase program</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jc w:val="right"/>
              <w:ind w:right="300"/>
              <w:spacing w:after="0" w:line="202" w:lineRule="exact"/>
              <w:rPr>
                <w:sz w:val="20"/>
                <w:szCs w:val="20"/>
                <w:color w:val="auto"/>
              </w:rPr>
            </w:pPr>
            <w:r>
              <w:rPr>
                <w:rFonts w:ascii="Arial" w:cs="Arial" w:eastAsia="Arial" w:hAnsi="Arial"/>
                <w:sz w:val="18"/>
                <w:szCs w:val="18"/>
                <w:b w:val="1"/>
                <w:bCs w:val="1"/>
                <w:color w:val="auto"/>
              </w:rPr>
              <w:t>(2,300)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— </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(735)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6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Proceeds from employee stock plans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b w:val="1"/>
                <w:bCs w:val="1"/>
                <w:color w:val="auto"/>
              </w:rPr>
              <w:t>105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— </w:t>
            </w: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6580" w:type="dxa"/>
            <w:vAlign w:val="bottom"/>
            <w:gridSpan w:val="3"/>
          </w:tcPr>
          <w:p>
            <w:pPr>
              <w:spacing w:after="0" w:line="202" w:lineRule="exact"/>
              <w:rPr>
                <w:sz w:val="20"/>
                <w:szCs w:val="20"/>
                <w:color w:val="auto"/>
              </w:rPr>
            </w:pPr>
            <w:r>
              <w:rPr>
                <w:rFonts w:ascii="Arial" w:cs="Arial" w:eastAsia="Arial" w:hAnsi="Arial"/>
                <w:sz w:val="18"/>
                <w:szCs w:val="18"/>
                <w:color w:val="auto"/>
              </w:rPr>
              <w:t>Proceeds from stock options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jc w:val="right"/>
              <w:ind w:right="360"/>
              <w:spacing w:after="0" w:line="202" w:lineRule="exact"/>
              <w:rPr>
                <w:sz w:val="20"/>
                <w:szCs w:val="20"/>
                <w:color w:val="auto"/>
              </w:rPr>
            </w:pPr>
            <w:r>
              <w:rPr>
                <w:rFonts w:ascii="Arial" w:cs="Arial" w:eastAsia="Arial" w:hAnsi="Arial"/>
                <w:sz w:val="18"/>
                <w:szCs w:val="18"/>
                <w:b w:val="1"/>
                <w:bCs w:val="1"/>
                <w:color w:val="auto"/>
              </w:rPr>
              <w:t>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— </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20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6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Business acquisitions and investments, net of cash acquired</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(47)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w w:val="99"/>
              </w:rPr>
              <w:t>(10)</w:t>
            </w: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6580" w:type="dxa"/>
            <w:vAlign w:val="bottom"/>
            <w:gridSpan w:val="3"/>
          </w:tcPr>
          <w:p>
            <w:pPr>
              <w:spacing w:after="0" w:line="202" w:lineRule="exact"/>
              <w:rPr>
                <w:sz w:val="20"/>
                <w:szCs w:val="20"/>
                <w:color w:val="auto"/>
              </w:rPr>
            </w:pPr>
            <w:r>
              <w:rPr>
                <w:rFonts w:ascii="Arial" w:cs="Arial" w:eastAsia="Arial" w:hAnsi="Arial"/>
                <w:sz w:val="18"/>
                <w:szCs w:val="18"/>
                <w:color w:val="auto"/>
              </w:rPr>
              <w:t>Proceeds from sale of APS project</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jc w:val="right"/>
              <w:ind w:right="360"/>
              <w:spacing w:after="0" w:line="202" w:lineRule="exact"/>
              <w:rPr>
                <w:sz w:val="20"/>
                <w:szCs w:val="20"/>
                <w:color w:val="auto"/>
              </w:rPr>
            </w:pPr>
            <w:r>
              <w:rPr>
                <w:rFonts w:ascii="Arial" w:cs="Arial" w:eastAsia="Arial" w:hAnsi="Arial"/>
                <w:sz w:val="18"/>
                <w:szCs w:val="18"/>
                <w:b w:val="1"/>
                <w:bCs w:val="1"/>
                <w:color w:val="auto"/>
              </w:rPr>
              <w:t>316</w:t>
            </w:r>
          </w:p>
        </w:tc>
        <w:tc>
          <w:tcPr>
            <w:tcW w:w="80" w:type="dxa"/>
            <w:vAlign w:val="bottom"/>
          </w:tcPr>
          <w:p>
            <w:pPr>
              <w:spacing w:after="0"/>
              <w:rPr>
                <w:sz w:val="17"/>
                <w:szCs w:val="17"/>
                <w:color w:val="auto"/>
              </w:rPr>
            </w:pPr>
          </w:p>
        </w:tc>
        <w:tc>
          <w:tcPr>
            <w:tcW w:w="800" w:type="dxa"/>
            <w:vAlign w:val="bottom"/>
            <w:gridSpan w:val="4"/>
          </w:tcPr>
          <w:p>
            <w:pPr>
              <w:jc w:val="right"/>
              <w:ind w:right="180"/>
              <w:spacing w:after="0" w:line="202" w:lineRule="exact"/>
              <w:rPr>
                <w:sz w:val="20"/>
                <w:szCs w:val="20"/>
                <w:color w:val="auto"/>
              </w:rPr>
            </w:pPr>
            <w:r>
              <w:rPr>
                <w:rFonts w:ascii="Arial" w:cs="Arial" w:eastAsia="Arial" w:hAnsi="Arial"/>
                <w:sz w:val="18"/>
                <w:szCs w:val="18"/>
                <w:b w:val="1"/>
                <w:bCs w:val="1"/>
                <w:color w:val="auto"/>
              </w:rPr>
              <w:t>316</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gridSpan w:val="3"/>
          </w:tcPr>
          <w:p>
            <w:pPr>
              <w:spacing w:after="0" w:line="202" w:lineRule="exact"/>
              <w:rPr>
                <w:sz w:val="20"/>
                <w:szCs w:val="20"/>
                <w:color w:val="auto"/>
              </w:rPr>
            </w:pPr>
            <w:r>
              <w:rPr>
                <w:rFonts w:ascii="Arial" w:cs="Arial" w:eastAsia="Arial" w:hAnsi="Arial"/>
                <w:sz w:val="18"/>
                <w:szCs w:val="18"/>
                <w:color w:val="auto"/>
              </w:rPr>
              <w:t>— </w:t>
            </w:r>
          </w:p>
        </w:tc>
        <w:tc>
          <w:tcPr>
            <w:tcW w:w="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6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Purchases of Blue Chip Swap securities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(123)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w w:val="99"/>
              </w:rPr>
              <w:t>(48)</w:t>
            </w: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6580" w:type="dxa"/>
            <w:vAlign w:val="bottom"/>
            <w:gridSpan w:val="3"/>
          </w:tcPr>
          <w:p>
            <w:pPr>
              <w:spacing w:after="0" w:line="202" w:lineRule="exact"/>
              <w:rPr>
                <w:sz w:val="20"/>
                <w:szCs w:val="20"/>
                <w:color w:val="auto"/>
              </w:rPr>
            </w:pPr>
            <w:r>
              <w:rPr>
                <w:rFonts w:ascii="Arial" w:cs="Arial" w:eastAsia="Arial" w:hAnsi="Arial"/>
                <w:sz w:val="18"/>
                <w:szCs w:val="18"/>
                <w:color w:val="auto"/>
              </w:rPr>
              <w:t>Proceeds from sale of Blue Chip Swap securities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jc w:val="right"/>
              <w:ind w:right="360"/>
              <w:spacing w:after="0" w:line="202" w:lineRule="exact"/>
              <w:rPr>
                <w:sz w:val="20"/>
                <w:szCs w:val="20"/>
                <w:color w:val="auto"/>
              </w:rPr>
            </w:pPr>
            <w:r>
              <w:rPr>
                <w:rFonts w:ascii="Arial" w:cs="Arial" w:eastAsia="Arial" w:hAnsi="Arial"/>
                <w:sz w:val="18"/>
                <w:szCs w:val="18"/>
                <w:b w:val="1"/>
                <w:bCs w:val="1"/>
                <w:color w:val="auto"/>
              </w:rPr>
              <w:t>102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39</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51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6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Taxes paid on net settled stock-based compensation awards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(55)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(2)</w:t>
            </w: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6580" w:type="dxa"/>
            <w:vAlign w:val="bottom"/>
            <w:gridSpan w:val="3"/>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jc w:val="right"/>
              <w:ind w:right="300"/>
              <w:spacing w:after="0" w:line="202" w:lineRule="exact"/>
              <w:rPr>
                <w:sz w:val="20"/>
                <w:szCs w:val="20"/>
                <w:color w:val="auto"/>
              </w:rPr>
            </w:pPr>
            <w:r>
              <w:rPr>
                <w:rFonts w:ascii="Arial" w:cs="Arial" w:eastAsia="Arial" w:hAnsi="Arial"/>
                <w:sz w:val="18"/>
                <w:szCs w:val="18"/>
                <w:b w:val="1"/>
                <w:bCs w:val="1"/>
                <w:color w:val="auto"/>
              </w:rPr>
              <w:t>(9)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11</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39</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vMerge w:val="continue"/>
          </w:tcPr>
          <w:p>
            <w:pPr>
              <w:spacing w:after="0"/>
              <w:rPr>
                <w:sz w:val="17"/>
                <w:szCs w:val="17"/>
                <w:color w:val="auto"/>
              </w:rPr>
            </w:pPr>
          </w:p>
        </w:tc>
        <w:tc>
          <w:tcPr>
            <w:tcW w:w="7380" w:type="dxa"/>
            <w:vAlign w:val="bottom"/>
            <w:gridSpan w:val="6"/>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(Increase) decrease in net debt before impact of changes in foreign exchange rates</w:t>
            </w:r>
          </w:p>
        </w:tc>
        <w:tc>
          <w:tcPr>
            <w:tcW w:w="980" w:type="dxa"/>
            <w:vAlign w:val="bottom"/>
            <w:tcBorders>
              <w:righ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(2,051)</w:t>
            </w:r>
          </w:p>
        </w:tc>
        <w:tc>
          <w:tcPr>
            <w:tcW w:w="8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541</w:t>
            </w: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(1,381)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6580" w:type="dxa"/>
            <w:vAlign w:val="bottom"/>
            <w:gridSpan w:val="3"/>
          </w:tcPr>
          <w:p>
            <w:pPr>
              <w:spacing w:after="0" w:line="202" w:lineRule="exact"/>
              <w:rPr>
                <w:sz w:val="20"/>
                <w:szCs w:val="20"/>
                <w:color w:val="auto"/>
              </w:rPr>
            </w:pPr>
            <w:r>
              <w:rPr>
                <w:rFonts w:ascii="Arial" w:cs="Arial" w:eastAsia="Arial" w:hAnsi="Arial"/>
                <w:sz w:val="18"/>
                <w:szCs w:val="18"/>
                <w:color w:val="auto"/>
              </w:rPr>
              <w:t>Impact of changes in foreign exchange rates on net debt</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jc w:val="right"/>
              <w:ind w:right="300"/>
              <w:spacing w:after="0" w:line="202" w:lineRule="exact"/>
              <w:rPr>
                <w:sz w:val="20"/>
                <w:szCs w:val="20"/>
                <w:color w:val="auto"/>
              </w:rPr>
            </w:pPr>
            <w:r>
              <w:rPr>
                <w:rFonts w:ascii="Arial" w:cs="Arial" w:eastAsia="Arial" w:hAnsi="Arial"/>
                <w:sz w:val="18"/>
                <w:szCs w:val="18"/>
                <w:b w:val="1"/>
                <w:bCs w:val="1"/>
                <w:color w:val="auto"/>
              </w:rPr>
              <w:t>(495)</w:t>
            </w:r>
          </w:p>
        </w:tc>
        <w:tc>
          <w:tcPr>
            <w:tcW w:w="80" w:type="dxa"/>
            <w:vAlign w:val="bottom"/>
          </w:tcPr>
          <w:p>
            <w:pPr>
              <w:spacing w:after="0"/>
              <w:rPr>
                <w:sz w:val="17"/>
                <w:szCs w:val="17"/>
                <w:color w:val="auto"/>
              </w:rPr>
            </w:pPr>
          </w:p>
        </w:tc>
        <w:tc>
          <w:tcPr>
            <w:tcW w:w="80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rPr>
              <w:t>(387)</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171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vMerge w:val="continue"/>
          </w:tcPr>
          <w:p>
            <w:pPr>
              <w:spacing w:after="0"/>
              <w:rPr>
                <w:sz w:val="17"/>
                <w:szCs w:val="17"/>
                <w:color w:val="auto"/>
              </w:rPr>
            </w:pPr>
          </w:p>
        </w:tc>
        <w:tc>
          <w:tcPr>
            <w:tcW w:w="6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(Increase) decrease in Net Debt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(2,546)</w:t>
            </w:r>
          </w:p>
        </w:tc>
        <w:tc>
          <w:tcPr>
            <w:tcW w:w="8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154</w:t>
            </w:r>
          </w:p>
        </w:tc>
        <w:tc>
          <w:tcPr>
            <w:tcW w:w="18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(1,210)</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6580" w:type="dxa"/>
            <w:vAlign w:val="bottom"/>
            <w:gridSpan w:val="3"/>
          </w:tcPr>
          <w:p>
            <w:pPr>
              <w:spacing w:after="0" w:line="202" w:lineRule="exact"/>
              <w:rPr>
                <w:sz w:val="20"/>
                <w:szCs w:val="20"/>
                <w:color w:val="auto"/>
              </w:rPr>
            </w:pPr>
            <w:r>
              <w:rPr>
                <w:rFonts w:ascii="Arial" w:cs="Arial" w:eastAsia="Arial" w:hAnsi="Arial"/>
                <w:sz w:val="18"/>
                <w:szCs w:val="18"/>
                <w:color w:val="auto"/>
              </w:rPr>
              <w:t>Net Debt, beginning of period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jc w:val="right"/>
              <w:ind w:right="300"/>
              <w:spacing w:after="0" w:line="202" w:lineRule="exact"/>
              <w:rPr>
                <w:sz w:val="20"/>
                <w:szCs w:val="20"/>
                <w:color w:val="auto"/>
              </w:rPr>
            </w:pPr>
            <w:r>
              <w:rPr>
                <w:rFonts w:ascii="Arial" w:cs="Arial" w:eastAsia="Arial" w:hAnsi="Arial"/>
                <w:sz w:val="18"/>
                <w:szCs w:val="18"/>
                <w:b w:val="1"/>
                <w:bCs w:val="1"/>
                <w:color w:val="auto"/>
              </w:rPr>
              <w:t>(7,405)</w:t>
            </w:r>
          </w:p>
        </w:tc>
        <w:tc>
          <w:tcPr>
            <w:tcW w:w="80" w:type="dxa"/>
            <w:vAlign w:val="bottom"/>
          </w:tcPr>
          <w:p>
            <w:pPr>
              <w:spacing w:after="0"/>
              <w:rPr>
                <w:sz w:val="17"/>
                <w:szCs w:val="17"/>
                <w:color w:val="auto"/>
              </w:rPr>
            </w:pPr>
          </w:p>
        </w:tc>
        <w:tc>
          <w:tcPr>
            <w:tcW w:w="800" w:type="dxa"/>
            <w:vAlign w:val="bottom"/>
            <w:gridSpan w:val="4"/>
          </w:tcPr>
          <w:p>
            <w:pPr>
              <w:jc w:val="right"/>
              <w:ind w:right="120"/>
              <w:spacing w:after="0" w:line="202" w:lineRule="exact"/>
              <w:rPr>
                <w:sz w:val="20"/>
                <w:szCs w:val="20"/>
                <w:color w:val="auto"/>
              </w:rPr>
            </w:pPr>
            <w:r>
              <w:rPr>
                <w:rFonts w:ascii="Arial" w:cs="Arial" w:eastAsia="Arial" w:hAnsi="Arial"/>
                <w:sz w:val="18"/>
                <w:szCs w:val="18"/>
                <w:b w:val="1"/>
                <w:bCs w:val="1"/>
                <w:color w:val="auto"/>
                <w:w w:val="98"/>
              </w:rPr>
              <w:t>(10,105)</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w w:val="98"/>
              </w:rPr>
              <w:t>(7,976)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vMerge w:val="continue"/>
          </w:tcPr>
          <w:p>
            <w:pPr>
              <w:spacing w:after="0"/>
              <w:rPr>
                <w:sz w:val="17"/>
                <w:szCs w:val="17"/>
                <w:color w:val="auto"/>
              </w:rPr>
            </w:pPr>
          </w:p>
        </w:tc>
        <w:tc>
          <w:tcPr>
            <w:tcW w:w="65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Debt, end of period</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(9,951)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(9,951)</w:t>
            </w:r>
          </w:p>
        </w:tc>
        <w:tc>
          <w:tcPr>
            <w:tcW w:w="880" w:type="dxa"/>
            <w:vAlign w:val="bottom"/>
            <w:gridSpan w:val="6"/>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(9,186)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20" w:hanging="424"/>
        <w:spacing w:after="0" w:line="213" w:lineRule="auto"/>
        <w:tabs>
          <w:tab w:leader="none" w:pos="424"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27"/>
          <w:szCs w:val="27"/>
          <w:color w:val="auto"/>
          <w:vertAlign w:val="superscript"/>
        </w:rPr>
      </w:pPr>
    </w:p>
    <w:p>
      <w:pPr>
        <w:ind w:left="424" w:hanging="424"/>
        <w:spacing w:after="0" w:line="183" w:lineRule="auto"/>
        <w:tabs>
          <w:tab w:leader="none" w:pos="424"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24" w:hanging="424"/>
        <w:spacing w:after="0" w:line="183" w:lineRule="auto"/>
        <w:tabs>
          <w:tab w:leader="none" w:pos="424" w:val="left"/>
        </w:tabs>
        <w:numPr>
          <w:ilvl w:val="0"/>
          <w:numId w:val="13"/>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exploration data costs and APS investments.</w:t>
      </w:r>
    </w:p>
    <w:p>
      <w:pPr>
        <w:ind w:left="424" w:right="100" w:hanging="424"/>
        <w:spacing w:after="0" w:line="221" w:lineRule="auto"/>
        <w:tabs>
          <w:tab w:leader="none" w:pos="424"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ectPr>
          <w:pgSz w:w="11900" w:h="16838" w:orient="portrait"/>
          <w:cols w:equalWidth="0" w:num="1">
            <w:col w:w="11024"/>
          </w:cols>
          <w:pgMar w:left="436" w:top="269"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Charges &amp; Credits</w:t>
      </w:r>
    </w:p>
    <w:p>
      <w:pPr>
        <w:spacing w:after="0" w:line="10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second-quarter 2025 earnings release also includes non-GAAP financial measures (as defined under the SEC’s Regulation G). In addition to the non-GAAP financial measures discussed under “Liquidity”, SLB net income, excluding charges &amp; credits, as well as measures derived from it (including diluted EPS, excluding charges &amp; credits; effective tax rate, excluding charges &amp; credits; adjusted EBITDA; and adjusted EBITDA margin) are non-GAAP financial measures. Management believes that the exclusion of charges &amp; credits from these financial measures provide useful perspective on SLB’s underlying business results and operating trends, and a means to evaluate SLB’s operations period over period.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“Supplementary Information” (Question 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20" w:type="dxa"/>
            <w:vAlign w:val="bottom"/>
            <w:gridSpan w:val="20"/>
          </w:tcPr>
          <w:p>
            <w:pPr>
              <w:ind w:left="60"/>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7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11"/>
          </w:tcPr>
          <w:p>
            <w:pPr>
              <w:ind w:left="120"/>
              <w:spacing w:after="0"/>
              <w:rPr>
                <w:sz w:val="20"/>
                <w:szCs w:val="20"/>
                <w:color w:val="auto"/>
              </w:rPr>
            </w:pPr>
            <w:r>
              <w:rPr>
                <w:rFonts w:ascii="Arial" w:cs="Arial" w:eastAsia="Arial" w:hAnsi="Arial"/>
                <w:sz w:val="14"/>
                <w:szCs w:val="14"/>
                <w:b w:val="1"/>
                <w:bCs w:val="1"/>
                <w:color w:val="auto"/>
              </w:rPr>
              <w:t>Second Quarter 2025</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6"/>
        </w:trPr>
        <w:tc>
          <w:tcPr>
            <w:tcW w:w="7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5"/>
          </w:tcPr>
          <w:p>
            <w:pPr>
              <w:ind w:left="20"/>
              <w:spacing w:after="0" w:line="147" w:lineRule="exact"/>
              <w:rPr>
                <w:sz w:val="20"/>
                <w:szCs w:val="20"/>
                <w:color w:val="auto"/>
              </w:rPr>
            </w:pPr>
            <w:r>
              <w:rPr>
                <w:rFonts w:ascii="Arial" w:cs="Arial" w:eastAsia="Arial" w:hAnsi="Arial"/>
                <w:sz w:val="14"/>
                <w:szCs w:val="14"/>
                <w:color w:val="auto"/>
              </w:rPr>
              <w:t>Noncont.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7020" w:type="dxa"/>
            <w:vAlign w:val="bottom"/>
          </w:tcPr>
          <w:p>
            <w:pPr>
              <w:spacing w:after="0"/>
              <w:rPr>
                <w:sz w:val="14"/>
                <w:szCs w:val="14"/>
                <w:color w:val="auto"/>
              </w:rPr>
            </w:pPr>
          </w:p>
        </w:tc>
        <w:tc>
          <w:tcPr>
            <w:tcW w:w="880" w:type="dxa"/>
            <w:vAlign w:val="bottom"/>
            <w:gridSpan w:val="5"/>
          </w:tcPr>
          <w:p>
            <w:pPr>
              <w:ind w:left="80"/>
              <w:spacing w:after="0"/>
              <w:rPr>
                <w:sz w:val="20"/>
                <w:szCs w:val="20"/>
                <w:color w:val="auto"/>
              </w:rPr>
            </w:pPr>
            <w:r>
              <w:rPr>
                <w:rFonts w:ascii="Arial" w:cs="Arial" w:eastAsia="Arial" w:hAnsi="Arial"/>
                <w:sz w:val="14"/>
                <w:szCs w:val="14"/>
                <w:color w:val="auto"/>
              </w:rPr>
              <w:t>Pretax</w:t>
            </w:r>
          </w:p>
        </w:tc>
        <w:tc>
          <w:tcPr>
            <w:tcW w:w="740" w:type="dxa"/>
            <w:vAlign w:val="bottom"/>
            <w:gridSpan w:val="4"/>
          </w:tcPr>
          <w:p>
            <w:pPr>
              <w:jc w:val="right"/>
              <w:ind w:right="420"/>
              <w:spacing w:after="0"/>
              <w:rPr>
                <w:sz w:val="20"/>
                <w:szCs w:val="20"/>
                <w:color w:val="auto"/>
              </w:rPr>
            </w:pPr>
            <w:r>
              <w:rPr>
                <w:rFonts w:ascii="Arial" w:cs="Arial" w:eastAsia="Arial" w:hAnsi="Arial"/>
                <w:sz w:val="14"/>
                <w:szCs w:val="14"/>
                <w:color w:val="auto"/>
              </w:rPr>
              <w:t>Tax</w:t>
            </w:r>
          </w:p>
        </w:tc>
        <w:tc>
          <w:tcPr>
            <w:tcW w:w="800" w:type="dxa"/>
            <w:vAlign w:val="bottom"/>
            <w:gridSpan w:val="5"/>
          </w:tcPr>
          <w:p>
            <w:pPr>
              <w:ind w:left="20"/>
              <w:spacing w:after="0"/>
              <w:rPr>
                <w:sz w:val="20"/>
                <w:szCs w:val="20"/>
                <w:color w:val="auto"/>
              </w:rPr>
            </w:pPr>
            <w:r>
              <w:rPr>
                <w:rFonts w:ascii="Arial" w:cs="Arial" w:eastAsia="Arial" w:hAnsi="Arial"/>
                <w:sz w:val="14"/>
                <w:szCs w:val="14"/>
                <w:color w:val="auto"/>
              </w:rPr>
              <w:t>Interests</w:t>
            </w:r>
          </w:p>
        </w:tc>
        <w:tc>
          <w:tcPr>
            <w:tcW w:w="40" w:type="dxa"/>
            <w:vAlign w:val="bottom"/>
          </w:tcPr>
          <w:p>
            <w:pPr>
              <w:spacing w:after="0"/>
              <w:rPr>
                <w:sz w:val="14"/>
                <w:szCs w:val="14"/>
                <w:color w:val="auto"/>
              </w:rPr>
            </w:pPr>
          </w:p>
        </w:tc>
        <w:tc>
          <w:tcPr>
            <w:tcW w:w="820" w:type="dxa"/>
            <w:vAlign w:val="bottom"/>
            <w:gridSpan w:val="5"/>
          </w:tcPr>
          <w:p>
            <w:pPr>
              <w:ind w:left="180"/>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4"/>
                <w:szCs w:val="14"/>
                <w:color w:val="auto"/>
              </w:rPr>
            </w:pPr>
          </w:p>
        </w:tc>
        <w:tc>
          <w:tcPr>
            <w:tcW w:w="640" w:type="dxa"/>
            <w:vAlign w:val="bottom"/>
            <w:gridSpan w:val="4"/>
          </w:tcPr>
          <w:p>
            <w:pPr>
              <w:jc w:val="center"/>
              <w:ind w:right="120"/>
              <w:spacing w:after="0"/>
              <w:rPr>
                <w:sz w:val="20"/>
                <w:szCs w:val="20"/>
                <w:color w:val="auto"/>
              </w:rPr>
            </w:pPr>
            <w:r>
              <w:rPr>
                <w:rFonts w:ascii="Arial" w:cs="Arial" w:eastAsia="Arial" w:hAnsi="Arial"/>
                <w:sz w:val="14"/>
                <w:szCs w:val="14"/>
                <w:color w:val="auto"/>
                <w:w w:val="99"/>
              </w:rPr>
              <w:t>EPS</w:t>
            </w:r>
          </w:p>
        </w:tc>
      </w:tr>
      <w:tr>
        <w:trPr>
          <w:trHeight w:val="196"/>
        </w:trPr>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5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$1,285</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$237</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center"/>
              <w:ind w:left="10"/>
              <w:spacing w:after="0" w:line="196" w:lineRule="exact"/>
              <w:rPr>
                <w:sz w:val="20"/>
                <w:szCs w:val="20"/>
                <w:color w:val="auto"/>
              </w:rPr>
            </w:pPr>
            <w:r>
              <w:rPr>
                <w:rFonts w:ascii="Arial" w:cs="Arial" w:eastAsia="Arial" w:hAnsi="Arial"/>
                <w:sz w:val="18"/>
                <w:szCs w:val="18"/>
                <w:color w:val="auto"/>
                <w:w w:val="89"/>
              </w:rPr>
              <w:t>34</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$1,014</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$ 0.74</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02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Impairment of equity method investment </w:t>
            </w:r>
            <w:r>
              <w:rPr>
                <w:rFonts w:ascii="Arial" w:cs="Arial" w:eastAsia="Arial" w:hAnsi="Arial"/>
                <w:sz w:val="23"/>
                <w:szCs w:val="23"/>
                <w:color w:val="auto"/>
                <w:vertAlign w:val="superscript"/>
              </w:rPr>
              <w:t>(1)</w:t>
            </w:r>
          </w:p>
        </w:tc>
        <w:tc>
          <w:tcPr>
            <w:tcW w:w="8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69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3"/>
          </w:tcPr>
          <w:p>
            <w:pPr>
              <w:jc w:val="right"/>
              <w:ind w:right="148"/>
              <w:spacing w:after="0" w:line="20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57</w:t>
            </w:r>
          </w:p>
        </w:tc>
        <w:tc>
          <w:tcPr>
            <w:tcW w:w="80" w:type="dxa"/>
            <w:vAlign w:val="bottom"/>
          </w:tcPr>
          <w:p>
            <w:pPr>
              <w:spacing w:after="0"/>
              <w:rPr>
                <w:sz w:val="17"/>
                <w:szCs w:val="17"/>
                <w:color w:val="auto"/>
              </w:rPr>
            </w:pPr>
          </w:p>
        </w:tc>
        <w:tc>
          <w:tcPr>
            <w:tcW w:w="66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0.04</w:t>
            </w:r>
          </w:p>
        </w:tc>
        <w:tc>
          <w:tcPr>
            <w:tcW w:w="60" w:type="dxa"/>
            <w:vAlign w:val="bottom"/>
          </w:tcPr>
          <w:p>
            <w:pPr>
              <w:spacing w:after="0"/>
              <w:rPr>
                <w:sz w:val="17"/>
                <w:szCs w:val="17"/>
                <w:color w:val="auto"/>
              </w:rPr>
            </w:pPr>
          </w:p>
        </w:tc>
      </w:tr>
      <w:tr>
        <w:trPr>
          <w:trHeight w:val="203"/>
        </w:trPr>
        <w:tc>
          <w:tcPr>
            <w:tcW w:w="702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Workforce reductions </w:t>
            </w:r>
            <w:r>
              <w:rPr>
                <w:rFonts w:ascii="Arial" w:cs="Arial" w:eastAsia="Arial" w:hAnsi="Arial"/>
                <w:sz w:val="23"/>
                <w:szCs w:val="23"/>
                <w:color w:val="auto"/>
                <w:vertAlign w:val="superscript"/>
              </w:rPr>
              <w:t>(1)</w:t>
            </w:r>
          </w:p>
        </w:tc>
        <w:tc>
          <w:tcPr>
            <w:tcW w:w="8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17"/>
                <w:szCs w:val="17"/>
                <w:color w:val="auto"/>
              </w:rPr>
            </w:pPr>
          </w:p>
        </w:tc>
      </w:tr>
      <w:tr>
        <w:trPr>
          <w:trHeight w:val="203"/>
        </w:trPr>
        <w:tc>
          <w:tcPr>
            <w:tcW w:w="702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(2)</w:t>
            </w:r>
          </w:p>
        </w:tc>
        <w:tc>
          <w:tcPr>
            <w:tcW w:w="8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3"/>
          </w:tcPr>
          <w:p>
            <w:pPr>
              <w:jc w:val="right"/>
              <w:ind w:right="148"/>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w:t>
            </w:r>
          </w:p>
        </w:tc>
        <w:tc>
          <w:tcPr>
            <w:tcW w:w="80" w:type="dxa"/>
            <w:vAlign w:val="bottom"/>
          </w:tcPr>
          <w:p>
            <w:pPr>
              <w:spacing w:after="0"/>
              <w:rPr>
                <w:sz w:val="17"/>
                <w:szCs w:val="17"/>
                <w:color w:val="auto"/>
              </w:rPr>
            </w:pPr>
          </w:p>
        </w:tc>
        <w:tc>
          <w:tcPr>
            <w:tcW w:w="66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0.02</w:t>
            </w:r>
          </w:p>
        </w:tc>
        <w:tc>
          <w:tcPr>
            <w:tcW w:w="60" w:type="dxa"/>
            <w:vAlign w:val="bottom"/>
          </w:tcPr>
          <w:p>
            <w:pPr>
              <w:spacing w:after="0"/>
              <w:rPr>
                <w:sz w:val="17"/>
                <w:szCs w:val="17"/>
                <w:color w:val="auto"/>
              </w:rPr>
            </w:pPr>
          </w:p>
        </w:tc>
      </w:tr>
      <w:tr>
        <w:trPr>
          <w:trHeight w:val="203"/>
        </w:trPr>
        <w:tc>
          <w:tcPr>
            <w:tcW w:w="702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Gain on sale of Palliser APS project </w:t>
            </w:r>
            <w:r>
              <w:rPr>
                <w:rFonts w:ascii="Arial" w:cs="Arial" w:eastAsia="Arial" w:hAnsi="Arial"/>
                <w:sz w:val="23"/>
                <w:szCs w:val="23"/>
                <w:color w:val="auto"/>
                <w:vertAlign w:val="superscript"/>
              </w:rPr>
              <w:t>(3)</w:t>
            </w:r>
          </w:p>
        </w:tc>
        <w:tc>
          <w:tcPr>
            <w:tcW w:w="8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— </w:t>
            </w:r>
          </w:p>
        </w:tc>
        <w:tc>
          <w:tcPr>
            <w:tcW w:w="780" w:type="dxa"/>
            <w:vAlign w:val="bottom"/>
            <w:gridSpan w:val="5"/>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(0.11)</w:t>
            </w:r>
          </w:p>
        </w:tc>
        <w:tc>
          <w:tcPr>
            <w:tcW w:w="60" w:type="dxa"/>
            <w:vAlign w:val="bottom"/>
            <w:shd w:val="clear" w:color="auto" w:fill="CCEEFF"/>
          </w:tcPr>
          <w:p>
            <w:pPr>
              <w:spacing w:after="0"/>
              <w:rPr>
                <w:sz w:val="17"/>
                <w:szCs w:val="17"/>
                <w:color w:val="auto"/>
              </w:rPr>
            </w:pPr>
          </w:p>
        </w:tc>
      </w:tr>
      <w:tr>
        <w:trPr>
          <w:trHeight w:val="209"/>
        </w:trPr>
        <w:tc>
          <w:tcPr>
            <w:tcW w:w="7020" w:type="dxa"/>
            <w:vAlign w:val="bottom"/>
          </w:tcPr>
          <w:p>
            <w:pPr>
              <w:spacing w:after="0"/>
              <w:rPr>
                <w:sz w:val="20"/>
                <w:szCs w:val="20"/>
                <w:color w:val="auto"/>
              </w:rPr>
            </w:pPr>
            <w:r>
              <w:rPr>
                <w:rFonts w:ascii="Arial" w:cs="Arial" w:eastAsia="Arial" w:hAnsi="Arial"/>
                <w:sz w:val="18"/>
                <w:szCs w:val="18"/>
                <w:color w:val="auto"/>
              </w:rPr>
              <w:t>SLB net income, excluding charges &amp; credits</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1,306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38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$ 0.74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7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10"/>
          </w:tcPr>
          <w:p>
            <w:pPr>
              <w:jc w:val="center"/>
              <w:ind w:left="48"/>
              <w:spacing w:after="0"/>
              <w:rPr>
                <w:sz w:val="20"/>
                <w:szCs w:val="20"/>
                <w:color w:val="auto"/>
              </w:rPr>
            </w:pPr>
            <w:r>
              <w:rPr>
                <w:rFonts w:ascii="Arial" w:cs="Arial" w:eastAsia="Arial" w:hAnsi="Arial"/>
                <w:sz w:val="14"/>
                <w:szCs w:val="14"/>
                <w:b w:val="1"/>
                <w:bCs w:val="1"/>
                <w:color w:val="auto"/>
              </w:rPr>
              <w:t>First Quarter 2025</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6"/>
        </w:trPr>
        <w:tc>
          <w:tcPr>
            <w:tcW w:w="7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4"/>
          </w:tcPr>
          <w:p>
            <w:pPr>
              <w:spacing w:after="0" w:line="147" w:lineRule="exact"/>
              <w:rPr>
                <w:sz w:val="20"/>
                <w:szCs w:val="20"/>
                <w:color w:val="auto"/>
              </w:rPr>
            </w:pPr>
            <w:r>
              <w:rPr>
                <w:rFonts w:ascii="Arial" w:cs="Arial" w:eastAsia="Arial" w:hAnsi="Arial"/>
                <w:sz w:val="14"/>
                <w:szCs w:val="14"/>
                <w:color w:val="auto"/>
              </w:rPr>
              <w:t>Noncont.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2"/>
                <w:szCs w:val="12"/>
                <w:color w:val="auto"/>
              </w:rPr>
            </w:pPr>
          </w:p>
        </w:tc>
      </w:tr>
      <w:tr>
        <w:trPr>
          <w:trHeight w:val="171"/>
        </w:trPr>
        <w:tc>
          <w:tcPr>
            <w:tcW w:w="7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4"/>
          </w:tcPr>
          <w:p>
            <w:pPr>
              <w:ind w:left="80"/>
              <w:spacing w:after="0"/>
              <w:rPr>
                <w:sz w:val="20"/>
                <w:szCs w:val="20"/>
                <w:color w:val="auto"/>
              </w:rPr>
            </w:pPr>
            <w:r>
              <w:rPr>
                <w:rFonts w:ascii="Arial" w:cs="Arial" w:eastAsia="Arial" w:hAnsi="Arial"/>
                <w:sz w:val="14"/>
                <w:szCs w:val="14"/>
                <w:color w:val="auto"/>
              </w:rPr>
              <w:t>Pretax</w:t>
            </w:r>
          </w:p>
        </w:tc>
        <w:tc>
          <w:tcPr>
            <w:tcW w:w="220" w:type="dxa"/>
            <w:vAlign w:val="bottom"/>
          </w:tcPr>
          <w:p>
            <w:pPr>
              <w:spacing w:after="0"/>
              <w:rPr>
                <w:sz w:val="14"/>
                <w:szCs w:val="14"/>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4"/>
                <w:szCs w:val="14"/>
                <w:color w:val="auto"/>
              </w:rPr>
              <w:t>Tax</w:t>
            </w:r>
          </w:p>
        </w:tc>
        <w:tc>
          <w:tcPr>
            <w:tcW w:w="180" w:type="dxa"/>
            <w:vAlign w:val="bottom"/>
          </w:tcPr>
          <w:p>
            <w:pPr>
              <w:spacing w:after="0"/>
              <w:rPr>
                <w:sz w:val="14"/>
                <w:szCs w:val="14"/>
                <w:color w:val="auto"/>
              </w:rPr>
            </w:pPr>
          </w:p>
        </w:tc>
        <w:tc>
          <w:tcPr>
            <w:tcW w:w="620" w:type="dxa"/>
            <w:vAlign w:val="bottom"/>
            <w:gridSpan w:val="4"/>
          </w:tcPr>
          <w:p>
            <w:pPr>
              <w:spacing w:after="0"/>
              <w:rPr>
                <w:sz w:val="20"/>
                <w:szCs w:val="20"/>
                <w:color w:val="auto"/>
              </w:rPr>
            </w:pPr>
            <w:r>
              <w:rPr>
                <w:rFonts w:ascii="Arial" w:cs="Arial" w:eastAsia="Arial" w:hAnsi="Arial"/>
                <w:sz w:val="14"/>
                <w:szCs w:val="14"/>
                <w:color w:val="auto"/>
              </w:rPr>
              <w:t>Interests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3"/>
          </w:tcPr>
          <w:p>
            <w:pPr>
              <w:jc w:val="right"/>
              <w:ind w:right="240"/>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3"/>
          </w:tcPr>
          <w:p>
            <w:pPr>
              <w:jc w:val="center"/>
              <w:ind w:right="60"/>
              <w:spacing w:after="0"/>
              <w:rPr>
                <w:sz w:val="20"/>
                <w:szCs w:val="20"/>
                <w:color w:val="auto"/>
              </w:rPr>
            </w:pPr>
            <w:r>
              <w:rPr>
                <w:rFonts w:ascii="Arial" w:cs="Arial" w:eastAsia="Arial" w:hAnsi="Arial"/>
                <w:sz w:val="14"/>
                <w:szCs w:val="14"/>
                <w:color w:val="auto"/>
              </w:rPr>
              <w:t>EPS</w:t>
            </w:r>
          </w:p>
        </w:tc>
      </w:tr>
      <w:tr>
        <w:trPr>
          <w:trHeight w:val="196"/>
        </w:trPr>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$1,063</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$234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797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$0.58</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02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Workforce reductions </w:t>
            </w:r>
            <w:r>
              <w:rPr>
                <w:rFonts w:ascii="Arial" w:cs="Arial" w:eastAsia="Arial" w:hAnsi="Arial"/>
                <w:sz w:val="23"/>
                <w:szCs w:val="23"/>
                <w:color w:val="auto"/>
                <w:vertAlign w:val="superscript"/>
              </w:rPr>
              <w:t>(1)</w:t>
            </w:r>
          </w:p>
        </w:tc>
        <w:tc>
          <w:tcPr>
            <w:tcW w:w="86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158</w:t>
            </w:r>
          </w:p>
        </w:tc>
        <w:tc>
          <w:tcPr>
            <w:tcW w:w="20" w:type="dxa"/>
            <w:vAlign w:val="bottom"/>
          </w:tcPr>
          <w:p>
            <w:pPr>
              <w:spacing w:after="0"/>
              <w:rPr>
                <w:sz w:val="17"/>
                <w:szCs w:val="17"/>
                <w:color w:val="auto"/>
              </w:rPr>
            </w:pPr>
          </w:p>
        </w:tc>
        <w:tc>
          <w:tcPr>
            <w:tcW w:w="74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148</w:t>
            </w:r>
          </w:p>
        </w:tc>
        <w:tc>
          <w:tcPr>
            <w:tcW w:w="720" w:type="dxa"/>
            <w:vAlign w:val="bottom"/>
            <w:gridSpan w:val="5"/>
          </w:tcPr>
          <w:p>
            <w:pPr>
              <w:jc w:val="right"/>
              <w:ind w:right="60"/>
              <w:spacing w:after="0" w:line="202" w:lineRule="exact"/>
              <w:rPr>
                <w:sz w:val="20"/>
                <w:szCs w:val="20"/>
                <w:color w:val="auto"/>
              </w:rPr>
            </w:pPr>
            <w:r>
              <w:rPr>
                <w:rFonts w:ascii="Arial" w:cs="Arial" w:eastAsia="Arial" w:hAnsi="Arial"/>
                <w:sz w:val="18"/>
                <w:szCs w:val="18"/>
                <w:color w:val="auto"/>
              </w:rPr>
              <w:t>0.11</w:t>
            </w:r>
          </w:p>
        </w:tc>
      </w:tr>
      <w:tr>
        <w:trPr>
          <w:trHeight w:val="203"/>
        </w:trPr>
        <w:tc>
          <w:tcPr>
            <w:tcW w:w="702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(2)</w:t>
            </w:r>
          </w:p>
        </w:tc>
        <w:tc>
          <w:tcPr>
            <w:tcW w:w="86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43</w:t>
            </w:r>
          </w:p>
        </w:tc>
        <w:tc>
          <w:tcPr>
            <w:tcW w:w="72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0.03</w:t>
            </w: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SLB net income, excluding charges &amp; credits</w:t>
            </w:r>
          </w:p>
        </w:tc>
        <w:tc>
          <w:tcPr>
            <w:tcW w:w="26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0.72</w:t>
            </w:r>
          </w:p>
        </w:tc>
        <w:tc>
          <w:tcPr>
            <w:tcW w:w="6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6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7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13"/>
          </w:tcPr>
          <w:p>
            <w:pPr>
              <w:jc w:val="center"/>
              <w:ind w:right="380"/>
              <w:spacing w:after="0"/>
              <w:rPr>
                <w:sz w:val="20"/>
                <w:szCs w:val="20"/>
                <w:color w:val="auto"/>
              </w:rPr>
            </w:pPr>
            <w:r>
              <w:rPr>
                <w:rFonts w:ascii="Arial" w:cs="Arial" w:eastAsia="Arial" w:hAnsi="Arial"/>
                <w:sz w:val="14"/>
                <w:szCs w:val="14"/>
                <w:b w:val="1"/>
                <w:bCs w:val="1"/>
                <w:color w:val="auto"/>
              </w:rPr>
              <w:t>Second Quarter 2024</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6"/>
        </w:trPr>
        <w:tc>
          <w:tcPr>
            <w:tcW w:w="7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4"/>
          </w:tcPr>
          <w:p>
            <w:pPr>
              <w:spacing w:after="0" w:line="147" w:lineRule="exact"/>
              <w:rPr>
                <w:sz w:val="20"/>
                <w:szCs w:val="20"/>
                <w:color w:val="auto"/>
              </w:rPr>
            </w:pPr>
            <w:r>
              <w:rPr>
                <w:rFonts w:ascii="Arial" w:cs="Arial" w:eastAsia="Arial" w:hAnsi="Arial"/>
                <w:sz w:val="14"/>
                <w:szCs w:val="14"/>
                <w:color w:val="auto"/>
              </w:rPr>
              <w:t>Noncont.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2"/>
                <w:szCs w:val="12"/>
                <w:color w:val="auto"/>
              </w:rPr>
            </w:pPr>
          </w:p>
        </w:tc>
      </w:tr>
      <w:tr>
        <w:trPr>
          <w:trHeight w:val="171"/>
        </w:trPr>
        <w:tc>
          <w:tcPr>
            <w:tcW w:w="7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4"/>
          </w:tcPr>
          <w:p>
            <w:pPr>
              <w:ind w:left="80"/>
              <w:spacing w:after="0"/>
              <w:rPr>
                <w:sz w:val="20"/>
                <w:szCs w:val="20"/>
                <w:color w:val="auto"/>
              </w:rPr>
            </w:pPr>
            <w:r>
              <w:rPr>
                <w:rFonts w:ascii="Arial" w:cs="Arial" w:eastAsia="Arial" w:hAnsi="Arial"/>
                <w:sz w:val="14"/>
                <w:szCs w:val="14"/>
                <w:color w:val="auto"/>
              </w:rPr>
              <w:t>Pretax</w:t>
            </w:r>
          </w:p>
        </w:tc>
        <w:tc>
          <w:tcPr>
            <w:tcW w:w="220" w:type="dxa"/>
            <w:vAlign w:val="bottom"/>
          </w:tcPr>
          <w:p>
            <w:pPr>
              <w:spacing w:after="0"/>
              <w:rPr>
                <w:sz w:val="14"/>
                <w:szCs w:val="14"/>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4"/>
                <w:szCs w:val="14"/>
                <w:color w:val="auto"/>
              </w:rPr>
              <w:t>Tax</w:t>
            </w:r>
          </w:p>
        </w:tc>
        <w:tc>
          <w:tcPr>
            <w:tcW w:w="180" w:type="dxa"/>
            <w:vAlign w:val="bottom"/>
          </w:tcPr>
          <w:p>
            <w:pPr>
              <w:spacing w:after="0"/>
              <w:rPr>
                <w:sz w:val="14"/>
                <w:szCs w:val="14"/>
                <w:color w:val="auto"/>
              </w:rPr>
            </w:pPr>
          </w:p>
        </w:tc>
        <w:tc>
          <w:tcPr>
            <w:tcW w:w="620" w:type="dxa"/>
            <w:vAlign w:val="bottom"/>
            <w:gridSpan w:val="4"/>
          </w:tcPr>
          <w:p>
            <w:pPr>
              <w:spacing w:after="0"/>
              <w:rPr>
                <w:sz w:val="20"/>
                <w:szCs w:val="20"/>
                <w:color w:val="auto"/>
              </w:rPr>
            </w:pPr>
            <w:r>
              <w:rPr>
                <w:rFonts w:ascii="Arial" w:cs="Arial" w:eastAsia="Arial" w:hAnsi="Arial"/>
                <w:sz w:val="14"/>
                <w:szCs w:val="14"/>
                <w:color w:val="auto"/>
              </w:rPr>
              <w:t>Interests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3"/>
          </w:tcPr>
          <w:p>
            <w:pPr>
              <w:jc w:val="right"/>
              <w:ind w:right="240"/>
              <w:spacing w:after="0"/>
              <w:rPr>
                <w:sz w:val="20"/>
                <w:szCs w:val="20"/>
                <w:color w:val="auto"/>
              </w:rPr>
            </w:pPr>
            <w:r>
              <w:rPr>
                <w:rFonts w:ascii="Arial" w:cs="Arial" w:eastAsia="Arial" w:hAnsi="Arial"/>
                <w:sz w:val="14"/>
                <w:szCs w:val="14"/>
                <w:color w:val="auto"/>
              </w:rPr>
              <w:t>Net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3"/>
          </w:tcPr>
          <w:p>
            <w:pPr>
              <w:jc w:val="center"/>
              <w:ind w:right="60"/>
              <w:spacing w:after="0"/>
              <w:rPr>
                <w:sz w:val="20"/>
                <w:szCs w:val="20"/>
                <w:color w:val="auto"/>
              </w:rPr>
            </w:pPr>
            <w:r>
              <w:rPr>
                <w:rFonts w:ascii="Arial" w:cs="Arial" w:eastAsia="Arial" w:hAnsi="Arial"/>
                <w:sz w:val="14"/>
                <w:szCs w:val="14"/>
                <w:color w:val="auto"/>
              </w:rPr>
              <w:t>EPS</w:t>
            </w:r>
          </w:p>
        </w:tc>
      </w:tr>
      <w:tr>
        <w:trPr>
          <w:trHeight w:val="196"/>
        </w:trPr>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$1,421</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$276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gridSpan w:val="2"/>
            <w:shd w:val="clear" w:color="auto" w:fill="CCEEFF"/>
          </w:tcPr>
          <w:p>
            <w:pPr>
              <w:spacing w:after="0"/>
              <w:rPr>
                <w:sz w:val="17"/>
                <w:szCs w:val="17"/>
                <w:color w:val="auto"/>
              </w:rPr>
            </w:pPr>
          </w:p>
        </w:tc>
        <w:tc>
          <w:tcPr>
            <w:tcW w:w="56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$ 1,112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2"/>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$0.77</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020" w:type="dxa"/>
            <w:vAlign w:val="bottom"/>
          </w:tcPr>
          <w:p>
            <w:pPr>
              <w:ind w:left="360"/>
              <w:spacing w:after="0" w:line="202" w:lineRule="exact"/>
              <w:rPr>
                <w:sz w:val="20"/>
                <w:szCs w:val="20"/>
                <w:color w:val="auto"/>
              </w:rPr>
            </w:pPr>
            <w:r>
              <w:rPr>
                <w:rFonts w:ascii="Arial" w:cs="Arial" w:eastAsia="Arial" w:hAnsi="Arial"/>
                <w:sz w:val="16"/>
                <w:szCs w:val="16"/>
                <w:color w:val="auto"/>
              </w:rPr>
              <w:t xml:space="preserve">Workforce reductions </w:t>
            </w:r>
            <w:r>
              <w:rPr>
                <w:rFonts w:ascii="Arial" w:cs="Arial" w:eastAsia="Arial" w:hAnsi="Arial"/>
                <w:sz w:val="23"/>
                <w:szCs w:val="23"/>
                <w:color w:val="auto"/>
                <w:vertAlign w:val="superscript"/>
              </w:rPr>
              <w:t>(1)</w:t>
            </w:r>
          </w:p>
        </w:tc>
        <w:tc>
          <w:tcPr>
            <w:tcW w:w="86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111</w:t>
            </w:r>
          </w:p>
        </w:tc>
        <w:tc>
          <w:tcPr>
            <w:tcW w:w="20" w:type="dxa"/>
            <w:vAlign w:val="bottom"/>
          </w:tcPr>
          <w:p>
            <w:pPr>
              <w:spacing w:after="0"/>
              <w:rPr>
                <w:sz w:val="17"/>
                <w:szCs w:val="17"/>
                <w:color w:val="auto"/>
              </w:rPr>
            </w:pPr>
          </w:p>
        </w:tc>
        <w:tc>
          <w:tcPr>
            <w:tcW w:w="74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94</w:t>
            </w:r>
          </w:p>
        </w:tc>
        <w:tc>
          <w:tcPr>
            <w:tcW w:w="720" w:type="dxa"/>
            <w:vAlign w:val="bottom"/>
            <w:gridSpan w:val="5"/>
          </w:tcPr>
          <w:p>
            <w:pPr>
              <w:jc w:val="right"/>
              <w:ind w:right="60"/>
              <w:spacing w:after="0" w:line="202" w:lineRule="exact"/>
              <w:rPr>
                <w:sz w:val="20"/>
                <w:szCs w:val="20"/>
                <w:color w:val="auto"/>
              </w:rPr>
            </w:pPr>
            <w:r>
              <w:rPr>
                <w:rFonts w:ascii="Arial" w:cs="Arial" w:eastAsia="Arial" w:hAnsi="Arial"/>
                <w:sz w:val="18"/>
                <w:szCs w:val="18"/>
                <w:color w:val="auto"/>
              </w:rPr>
              <w:t>0.07</w:t>
            </w:r>
          </w:p>
        </w:tc>
      </w:tr>
      <w:tr>
        <w:trPr>
          <w:trHeight w:val="203"/>
        </w:trPr>
        <w:tc>
          <w:tcPr>
            <w:tcW w:w="7020" w:type="dxa"/>
            <w:vAlign w:val="bottom"/>
            <w:shd w:val="clear" w:color="auto" w:fill="CCEEFF"/>
          </w:tcPr>
          <w:p>
            <w:pPr>
              <w:ind w:left="36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(4)</w:t>
            </w:r>
          </w:p>
        </w:tc>
        <w:tc>
          <w:tcPr>
            <w:tcW w:w="86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w:t>
            </w:r>
          </w:p>
        </w:tc>
        <w:tc>
          <w:tcPr>
            <w:tcW w:w="72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0.01</w:t>
            </w: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SLB net income, excluding charges &amp; credits</w:t>
            </w:r>
          </w:p>
        </w:tc>
        <w:tc>
          <w:tcPr>
            <w:tcW w:w="26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1,563</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1,224</w:t>
            </w:r>
          </w:p>
        </w:tc>
        <w:tc>
          <w:tcPr>
            <w:tcW w:w="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0.85</w:t>
            </w:r>
          </w:p>
        </w:tc>
        <w:tc>
          <w:tcPr>
            <w:tcW w:w="6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76"/>
        </w:trPr>
        <w:tc>
          <w:tcPr>
            <w:tcW w:w="2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20" w:type="dxa"/>
            <w:vAlign w:val="bottom"/>
            <w:gridSpan w:val="12"/>
          </w:tcPr>
          <w:p>
            <w:pPr>
              <w:jc w:val="right"/>
              <w:ind w:right="1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jc w:val="right"/>
              <w:ind w:right="720"/>
              <w:spacing w:after="0"/>
              <w:rPr>
                <w:sz w:val="20"/>
                <w:szCs w:val="20"/>
                <w:color w:val="auto"/>
              </w:rPr>
            </w:pPr>
            <w:r>
              <w:rPr>
                <w:rFonts w:ascii="Arial" w:cs="Arial" w:eastAsia="Arial" w:hAnsi="Arial"/>
                <w:sz w:val="14"/>
                <w:szCs w:val="14"/>
                <w:b w:val="1"/>
                <w:bCs w:val="1"/>
                <w:color w:val="auto"/>
              </w:rPr>
              <w:t>Six Months 2025</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Noncont.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Pretax</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Tax</w:t>
            </w:r>
          </w:p>
        </w:tc>
        <w:tc>
          <w:tcPr>
            <w:tcW w:w="2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12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color w:val="auto"/>
              </w:rPr>
              <w:t>EPS *</w:t>
            </w:r>
          </w:p>
        </w:tc>
        <w:tc>
          <w:tcPr>
            <w:tcW w:w="0" w:type="dxa"/>
            <w:vAlign w:val="bottom"/>
          </w:tcPr>
          <w:p>
            <w:pPr>
              <w:spacing w:after="0"/>
              <w:rPr>
                <w:sz w:val="1"/>
                <w:szCs w:val="1"/>
                <w:color w:val="auto"/>
              </w:rPr>
            </w:pPr>
          </w:p>
        </w:tc>
      </w:tr>
      <w:tr>
        <w:trPr>
          <w:trHeight w:val="196"/>
        </w:trPr>
        <w:tc>
          <w:tcPr>
            <w:tcW w:w="7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$2,348</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$471</w:t>
            </w: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w w:val="79"/>
              </w:rPr>
              <w:t>66</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$ 1,811</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$ 1.32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6800" w:type="dxa"/>
            <w:vAlign w:val="bottom"/>
          </w:tcPr>
          <w:p>
            <w:pPr>
              <w:ind w:left="140"/>
              <w:spacing w:after="0" w:line="202" w:lineRule="exact"/>
              <w:rPr>
                <w:sz w:val="20"/>
                <w:szCs w:val="20"/>
                <w:color w:val="auto"/>
              </w:rPr>
            </w:pPr>
            <w:r>
              <w:rPr>
                <w:rFonts w:ascii="Arial" w:cs="Arial" w:eastAsia="Arial" w:hAnsi="Arial"/>
                <w:sz w:val="16"/>
                <w:szCs w:val="16"/>
                <w:color w:val="auto"/>
              </w:rPr>
              <w:t xml:space="preserve">Workforce reductions </w:t>
            </w:r>
            <w:r>
              <w:rPr>
                <w:rFonts w:ascii="Arial" w:cs="Arial" w:eastAsia="Arial" w:hAnsi="Arial"/>
                <w:sz w:val="23"/>
                <w:szCs w:val="23"/>
                <w:color w:val="auto"/>
                <w:vertAlign w:val="superscript"/>
              </w:rPr>
              <w:t>(1)</w:t>
            </w: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224</w:t>
            </w: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210</w:t>
            </w:r>
          </w:p>
        </w:tc>
        <w:tc>
          <w:tcPr>
            <w:tcW w:w="7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6800" w:type="dxa"/>
            <w:vAlign w:val="bottom"/>
            <w:shd w:val="clear" w:color="auto" w:fill="CCEEFF"/>
          </w:tcPr>
          <w:p>
            <w:pPr>
              <w:ind w:left="14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(2)</w:t>
            </w: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84</w:t>
            </w:r>
          </w:p>
        </w:tc>
        <w:tc>
          <w:tcPr>
            <w:tcW w:w="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8</w:t>
            </w:r>
          </w:p>
        </w:tc>
        <w:tc>
          <w:tcPr>
            <w:tcW w:w="8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72</w:t>
            </w:r>
          </w:p>
        </w:tc>
        <w:tc>
          <w:tcPr>
            <w:tcW w:w="7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6800" w:type="dxa"/>
            <w:vAlign w:val="bottom"/>
          </w:tcPr>
          <w:p>
            <w:pPr>
              <w:ind w:left="140"/>
              <w:spacing w:after="0" w:line="202" w:lineRule="exact"/>
              <w:rPr>
                <w:sz w:val="20"/>
                <w:szCs w:val="20"/>
                <w:color w:val="auto"/>
              </w:rPr>
            </w:pPr>
            <w:r>
              <w:rPr>
                <w:rFonts w:ascii="Arial" w:cs="Arial" w:eastAsia="Arial" w:hAnsi="Arial"/>
                <w:sz w:val="16"/>
                <w:szCs w:val="16"/>
                <w:color w:val="auto"/>
              </w:rPr>
              <w:t xml:space="preserve">Impairment of equity-method investment </w:t>
            </w:r>
            <w:r>
              <w:rPr>
                <w:rFonts w:ascii="Arial" w:cs="Arial" w:eastAsia="Arial" w:hAnsi="Arial"/>
                <w:sz w:val="23"/>
                <w:szCs w:val="23"/>
                <w:color w:val="auto"/>
                <w:vertAlign w:val="superscript"/>
              </w:rPr>
              <w:t>(1)</w:t>
            </w: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69</w:t>
            </w: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57</w:t>
            </w:r>
          </w:p>
        </w:tc>
        <w:tc>
          <w:tcPr>
            <w:tcW w:w="7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6800" w:type="dxa"/>
            <w:vAlign w:val="bottom"/>
            <w:shd w:val="clear" w:color="auto" w:fill="CCEEFF"/>
          </w:tcPr>
          <w:p>
            <w:pPr>
              <w:ind w:left="140"/>
              <w:spacing w:after="0" w:line="202" w:lineRule="exact"/>
              <w:rPr>
                <w:sz w:val="20"/>
                <w:szCs w:val="20"/>
                <w:color w:val="auto"/>
              </w:rPr>
            </w:pPr>
            <w:r>
              <w:rPr>
                <w:rFonts w:ascii="Arial" w:cs="Arial" w:eastAsia="Arial" w:hAnsi="Arial"/>
                <w:sz w:val="16"/>
                <w:szCs w:val="16"/>
                <w:color w:val="auto"/>
              </w:rPr>
              <w:t xml:space="preserve">Gain on sale of Palliser APS project </w:t>
            </w:r>
            <w:r>
              <w:rPr>
                <w:rFonts w:ascii="Arial" w:cs="Arial" w:eastAsia="Arial" w:hAnsi="Arial"/>
                <w:sz w:val="23"/>
                <w:szCs w:val="23"/>
                <w:color w:val="auto"/>
                <w:vertAlign w:val="superscript"/>
              </w:rPr>
              <w:t>(3)</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(149)</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(145)</w:t>
            </w:r>
          </w:p>
        </w:tc>
        <w:tc>
          <w:tcPr>
            <w:tcW w:w="7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9"/>
        </w:trPr>
        <w:tc>
          <w:tcPr>
            <w:tcW w:w="7020" w:type="dxa"/>
            <w:vAlign w:val="bottom"/>
            <w:gridSpan w:val="2"/>
          </w:tcPr>
          <w:p>
            <w:pPr>
              <w:spacing w:after="0"/>
              <w:rPr>
                <w:sz w:val="20"/>
                <w:szCs w:val="20"/>
                <w:color w:val="auto"/>
              </w:rPr>
            </w:pPr>
            <w:r>
              <w:rPr>
                <w:rFonts w:ascii="Arial" w:cs="Arial" w:eastAsia="Arial" w:hAnsi="Arial"/>
                <w:sz w:val="18"/>
                <w:szCs w:val="18"/>
                <w:color w:val="auto"/>
              </w:rPr>
              <w:t>SLB net income, excluding charges &amp; credits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2,576</w:t>
            </w:r>
          </w:p>
        </w:tc>
        <w:tc>
          <w:tcPr>
            <w:tcW w:w="3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497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$ 1.46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7"/>
          </w:tcPr>
          <w:p>
            <w:pPr>
              <w:jc w:val="right"/>
              <w:ind w:right="720"/>
              <w:spacing w:after="0"/>
              <w:rPr>
                <w:sz w:val="20"/>
                <w:szCs w:val="20"/>
                <w:color w:val="auto"/>
              </w:rPr>
            </w:pPr>
            <w:r>
              <w:rPr>
                <w:rFonts w:ascii="Arial" w:cs="Arial" w:eastAsia="Arial" w:hAnsi="Arial"/>
                <w:sz w:val="14"/>
                <w:szCs w:val="14"/>
                <w:b w:val="1"/>
                <w:bCs w:val="1"/>
                <w:color w:val="auto"/>
              </w:rPr>
              <w:t>Six Months 2024</w:t>
            </w: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Noncont.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Pretax</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Tax</w:t>
            </w:r>
          </w:p>
        </w:tc>
        <w:tc>
          <w:tcPr>
            <w:tcW w:w="2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12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EPS</w:t>
            </w:r>
          </w:p>
        </w:tc>
        <w:tc>
          <w:tcPr>
            <w:tcW w:w="0" w:type="dxa"/>
            <w:vAlign w:val="bottom"/>
          </w:tcPr>
          <w:p>
            <w:pPr>
              <w:spacing w:after="0"/>
              <w:rPr>
                <w:sz w:val="1"/>
                <w:szCs w:val="1"/>
                <w:color w:val="auto"/>
              </w:rPr>
            </w:pPr>
          </w:p>
        </w:tc>
      </w:tr>
      <w:tr>
        <w:trPr>
          <w:trHeight w:val="196"/>
        </w:trPr>
        <w:tc>
          <w:tcPr>
            <w:tcW w:w="7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SLB net income (GAAP basis)</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$2,778</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$535</w:t>
            </w: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w w:val="79"/>
              </w:rPr>
              <w:t>63</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$2,180</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$ 1.51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6800" w:type="dxa"/>
            <w:vAlign w:val="bottom"/>
          </w:tcPr>
          <w:p>
            <w:pPr>
              <w:ind w:left="140"/>
              <w:spacing w:after="0" w:line="202" w:lineRule="exact"/>
              <w:rPr>
                <w:sz w:val="20"/>
                <w:szCs w:val="20"/>
                <w:color w:val="auto"/>
              </w:rPr>
            </w:pPr>
            <w:r>
              <w:rPr>
                <w:rFonts w:ascii="Arial" w:cs="Arial" w:eastAsia="Arial" w:hAnsi="Arial"/>
                <w:sz w:val="16"/>
                <w:szCs w:val="16"/>
                <w:color w:val="auto"/>
              </w:rPr>
              <w:t xml:space="preserve">Workforce reductions </w:t>
            </w:r>
            <w:r>
              <w:rPr>
                <w:rFonts w:ascii="Arial" w:cs="Arial" w:eastAsia="Arial" w:hAnsi="Arial"/>
                <w:sz w:val="23"/>
                <w:szCs w:val="23"/>
                <w:color w:val="auto"/>
                <w:vertAlign w:val="superscript"/>
              </w:rPr>
              <w:t>(1)</w:t>
            </w:r>
          </w:p>
        </w:tc>
        <w:tc>
          <w:tcPr>
            <w:tcW w:w="8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111</w:t>
            </w: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— </w:t>
            </w:r>
          </w:p>
        </w:tc>
        <w:tc>
          <w:tcPr>
            <w:tcW w:w="8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94</w:t>
            </w:r>
          </w:p>
        </w:tc>
        <w:tc>
          <w:tcPr>
            <w:tcW w:w="7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220" w:type="dxa"/>
            <w:vAlign w:val="bottom"/>
            <w:shd w:val="clear" w:color="auto" w:fill="CCEEFF"/>
          </w:tcPr>
          <w:p>
            <w:pPr>
              <w:spacing w:after="0"/>
              <w:rPr>
                <w:sz w:val="17"/>
                <w:szCs w:val="17"/>
                <w:color w:val="auto"/>
              </w:rPr>
            </w:pPr>
          </w:p>
        </w:tc>
        <w:tc>
          <w:tcPr>
            <w:tcW w:w="6800" w:type="dxa"/>
            <w:vAlign w:val="bottom"/>
            <w:shd w:val="clear" w:color="auto" w:fill="CCEEFF"/>
          </w:tcPr>
          <w:p>
            <w:pPr>
              <w:ind w:left="140"/>
              <w:spacing w:after="0" w:line="202" w:lineRule="exact"/>
              <w:rPr>
                <w:sz w:val="20"/>
                <w:szCs w:val="20"/>
                <w:color w:val="auto"/>
              </w:rPr>
            </w:pPr>
            <w:r>
              <w:rPr>
                <w:rFonts w:ascii="Arial" w:cs="Arial" w:eastAsia="Arial" w:hAnsi="Arial"/>
                <w:sz w:val="16"/>
                <w:szCs w:val="16"/>
                <w:color w:val="auto"/>
              </w:rPr>
              <w:t xml:space="preserve">Merger &amp; integration </w:t>
            </w:r>
            <w:r>
              <w:rPr>
                <w:rFonts w:ascii="Arial" w:cs="Arial" w:eastAsia="Arial" w:hAnsi="Arial"/>
                <w:sz w:val="23"/>
                <w:szCs w:val="23"/>
                <w:color w:val="auto"/>
                <w:vertAlign w:val="superscript"/>
              </w:rPr>
              <w:t>(5)</w:t>
            </w:r>
          </w:p>
        </w:tc>
        <w:tc>
          <w:tcPr>
            <w:tcW w:w="8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56</w:t>
            </w:r>
          </w:p>
        </w:tc>
        <w:tc>
          <w:tcPr>
            <w:tcW w:w="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13</w:t>
            </w:r>
          </w:p>
        </w:tc>
        <w:tc>
          <w:tcPr>
            <w:tcW w:w="88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w:t>
            </w:r>
          </w:p>
        </w:tc>
        <w:tc>
          <w:tcPr>
            <w:tcW w:w="7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9"/>
        </w:trPr>
        <w:tc>
          <w:tcPr>
            <w:tcW w:w="7020" w:type="dxa"/>
            <w:vAlign w:val="bottom"/>
            <w:gridSpan w:val="2"/>
          </w:tcPr>
          <w:p>
            <w:pPr>
              <w:spacing w:after="0"/>
              <w:rPr>
                <w:sz w:val="20"/>
                <w:szCs w:val="20"/>
                <w:color w:val="auto"/>
              </w:rPr>
            </w:pPr>
            <w:r>
              <w:rPr>
                <w:rFonts w:ascii="Arial" w:cs="Arial" w:eastAsia="Arial" w:hAnsi="Arial"/>
                <w:sz w:val="18"/>
                <w:szCs w:val="18"/>
                <w:color w:val="auto"/>
              </w:rPr>
              <w:t>SLB net income, excluding charges &amp; credits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2,945</w:t>
            </w:r>
          </w:p>
        </w:tc>
        <w:tc>
          <w:tcPr>
            <w:tcW w:w="3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563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$ 1.60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6800" w:type="dxa"/>
            <w:vAlign w:val="bottom"/>
            <w:vMerge w:val="restart"/>
          </w:tcPr>
          <w:p>
            <w:pPr>
              <w:ind w:left="200"/>
              <w:spacing w:after="0"/>
              <w:rPr>
                <w:sz w:val="20"/>
                <w:szCs w:val="20"/>
                <w:color w:val="auto"/>
              </w:rPr>
            </w:pPr>
            <w:r>
              <w:rPr>
                <w:rFonts w:ascii="Arial" w:cs="Arial" w:eastAsia="Arial" w:hAnsi="Arial"/>
                <w:sz w:val="18"/>
                <w:szCs w:val="18"/>
                <w:color w:val="auto"/>
              </w:rPr>
              <w:t>Does not add due to rounding.</w:t>
            </w: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220" w:type="dxa"/>
            <w:vAlign w:val="bottom"/>
            <w:vMerge w:val="continue"/>
          </w:tcPr>
          <w:p>
            <w:pPr>
              <w:spacing w:after="0"/>
              <w:rPr>
                <w:sz w:val="24"/>
                <w:szCs w:val="24"/>
                <w:color w:val="auto"/>
              </w:rPr>
            </w:pPr>
          </w:p>
        </w:tc>
        <w:tc>
          <w:tcPr>
            <w:tcW w:w="68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 xml:space="preserve">Classified in </w:t>
      </w:r>
      <w:r>
        <w:rPr>
          <w:rFonts w:ascii="Arial" w:cs="Arial" w:eastAsia="Arial" w:hAnsi="Arial"/>
          <w:sz w:val="18"/>
          <w:szCs w:val="18"/>
          <w:i w:val="1"/>
          <w:iCs w:val="1"/>
          <w:color w:val="auto"/>
        </w:rPr>
        <w:t>Restructuring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w:t>
      </w:r>
      <w:r>
        <w:rPr>
          <w:rFonts w:ascii="Arial" w:cs="Arial" w:eastAsia="Arial" w:hAnsi="Arial"/>
          <w:sz w:val="18"/>
          <w:szCs w:val="18"/>
          <w:color w:val="auto"/>
        </w:rPr>
        <w:t>.</w:t>
      </w:r>
    </w:p>
    <w:p>
      <w:pPr>
        <w:ind w:left="424" w:hanging="424"/>
        <w:spacing w:after="0" w:line="183" w:lineRule="auto"/>
        <w:tabs>
          <w:tab w:leader="none" w:pos="424"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 xml:space="preserve">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Condensed Consolidated Statement of Income</w:t>
      </w:r>
      <w:r>
        <w:rPr>
          <w:rFonts w:ascii="Arial" w:cs="Arial" w:eastAsia="Arial" w:hAnsi="Arial"/>
          <w:sz w:val="16"/>
          <w:szCs w:val="16"/>
          <w:color w:val="auto"/>
        </w:rPr>
        <w:t>.</w:t>
      </w:r>
    </w:p>
    <w:p>
      <w:pPr>
        <w:ind w:left="424" w:hanging="424"/>
        <w:spacing w:after="0" w:line="183" w:lineRule="auto"/>
        <w:tabs>
          <w:tab w:leader="none" w:pos="424" w:val="left"/>
        </w:tabs>
        <w:numPr>
          <w:ilvl w:val="0"/>
          <w:numId w:val="14"/>
        </w:numPr>
        <w:rPr>
          <w:rFonts w:ascii="Arial" w:cs="Arial" w:eastAsia="Arial" w:hAnsi="Arial"/>
          <w:sz w:val="23"/>
          <w:szCs w:val="23"/>
          <w:color w:val="auto"/>
          <w:vertAlign w:val="superscript"/>
        </w:rPr>
      </w:pPr>
      <w:r>
        <w:rPr>
          <w:rFonts w:ascii="Arial" w:cs="Arial" w:eastAsia="Arial" w:hAnsi="Arial"/>
          <w:sz w:val="16"/>
          <w:szCs w:val="16"/>
          <w:color w:val="auto"/>
        </w:rPr>
        <w:t xml:space="preserve">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Condensed Consolidated Statement of Income</w:t>
      </w:r>
      <w:r>
        <w:rPr>
          <w:rFonts w:ascii="Arial" w:cs="Arial" w:eastAsia="Arial" w:hAnsi="Arial"/>
          <w:sz w:val="16"/>
          <w:szCs w:val="16"/>
          <w:color w:val="auto"/>
        </w:rPr>
        <w:t>.</w:t>
      </w:r>
    </w:p>
    <w:p>
      <w:pPr>
        <w:ind w:left="424" w:right="640" w:hanging="424"/>
        <w:spacing w:after="0" w:line="187" w:lineRule="auto"/>
        <w:tabs>
          <w:tab w:leader="none" w:pos="424"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 xml:space="preserve">$15 million of these charges were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Consolidation Statement of Income</w:t>
      </w:r>
      <w:r>
        <w:rPr>
          <w:rFonts w:ascii="Arial" w:cs="Arial" w:eastAsia="Arial" w:hAnsi="Arial"/>
          <w:sz w:val="18"/>
          <w:szCs w:val="18"/>
          <w:color w:val="auto"/>
        </w:rPr>
        <w:t xml:space="preserve"> with the remaining $16 million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w:t>
      </w:r>
    </w:p>
    <w:p>
      <w:pPr>
        <w:spacing w:after="0" w:line="1" w:lineRule="exact"/>
        <w:rPr>
          <w:rFonts w:ascii="Arial" w:cs="Arial" w:eastAsia="Arial" w:hAnsi="Arial"/>
          <w:sz w:val="27"/>
          <w:szCs w:val="27"/>
          <w:color w:val="auto"/>
          <w:vertAlign w:val="superscript"/>
        </w:rPr>
      </w:pPr>
    </w:p>
    <w:p>
      <w:pPr>
        <w:ind w:left="424" w:right="640" w:hanging="424"/>
        <w:spacing w:after="0" w:line="196" w:lineRule="auto"/>
        <w:tabs>
          <w:tab w:leader="none" w:pos="424"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 xml:space="preserve">$29 million of these charges were classified in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Consolidation Statement of Income</w:t>
      </w:r>
      <w:r>
        <w:rPr>
          <w:rFonts w:ascii="Arial" w:cs="Arial" w:eastAsia="Arial" w:hAnsi="Arial"/>
          <w:sz w:val="18"/>
          <w:szCs w:val="18"/>
          <w:color w:val="auto"/>
        </w:rPr>
        <w:t xml:space="preserve"> with the remaining $27 million 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w:t>
      </w:r>
    </w:p>
    <w:p>
      <w:pPr>
        <w:sectPr>
          <w:pgSz w:w="11900" w:h="16838" w:orient="portrait"/>
          <w:cols w:equalWidth="0" w:num="1">
            <w:col w:w="11024"/>
          </w:cols>
          <w:pgMar w:left="436" w:top="279" w:right="43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11"/>
            <w:vMerge w:val="restart"/>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320" w:type="dxa"/>
            <w:vAlign w:val="bottom"/>
            <w:gridSpan w:val="5"/>
          </w:tcPr>
          <w:p>
            <w:pPr>
              <w:jc w:val="center"/>
              <w:ind w:right="1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11"/>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7"/>
          </w:tcPr>
          <w:p>
            <w:pPr>
              <w:ind w:left="20"/>
              <w:spacing w:after="0" w:line="155" w:lineRule="exact"/>
              <w:rPr>
                <w:sz w:val="20"/>
                <w:szCs w:val="20"/>
                <w:color w:val="auto"/>
              </w:rPr>
            </w:pPr>
            <w:r>
              <w:rPr>
                <w:rFonts w:ascii="Arial" w:cs="Arial" w:eastAsia="Arial" w:hAnsi="Arial"/>
                <w:sz w:val="14"/>
                <w:szCs w:val="14"/>
                <w:b w:val="1"/>
                <w:bCs w:val="1"/>
                <w:color w:val="auto"/>
              </w:rPr>
              <w:t>Jun. 30, 2025</w:t>
            </w:r>
          </w:p>
        </w:tc>
        <w:tc>
          <w:tcPr>
            <w:tcW w:w="120" w:type="dxa"/>
            <w:vAlign w:val="bottom"/>
          </w:tcPr>
          <w:p>
            <w:pPr>
              <w:spacing w:after="0"/>
              <w:rPr>
                <w:sz w:val="13"/>
                <w:szCs w:val="13"/>
                <w:color w:val="auto"/>
              </w:rPr>
            </w:pPr>
          </w:p>
        </w:tc>
        <w:tc>
          <w:tcPr>
            <w:tcW w:w="1520" w:type="dxa"/>
            <w:vAlign w:val="bottom"/>
            <w:gridSpan w:val="7"/>
          </w:tcPr>
          <w:p>
            <w:pPr>
              <w:jc w:val="right"/>
              <w:ind w:right="400"/>
              <w:spacing w:after="0" w:line="155" w:lineRule="exact"/>
              <w:rPr>
                <w:sz w:val="20"/>
                <w:szCs w:val="20"/>
                <w:color w:val="auto"/>
              </w:rPr>
            </w:pPr>
            <w:r>
              <w:rPr>
                <w:rFonts w:ascii="Arial" w:cs="Arial" w:eastAsia="Arial" w:hAnsi="Arial"/>
                <w:sz w:val="14"/>
                <w:szCs w:val="14"/>
                <w:color w:val="auto"/>
              </w:rPr>
              <w:t>Mar. 31, 2025</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gridSpan w:val="7"/>
          </w:tcPr>
          <w:p>
            <w:pPr>
              <w:jc w:val="right"/>
              <w:ind w:right="560"/>
              <w:spacing w:after="0" w:line="155" w:lineRule="exact"/>
              <w:rPr>
                <w:sz w:val="20"/>
                <w:szCs w:val="20"/>
                <w:color w:val="auto"/>
              </w:rPr>
            </w:pPr>
            <w:r>
              <w:rPr>
                <w:rFonts w:ascii="Arial" w:cs="Arial" w:eastAsia="Arial" w:hAnsi="Arial"/>
                <w:sz w:val="14"/>
                <w:szCs w:val="14"/>
                <w:color w:val="auto"/>
              </w:rPr>
              <w:t>Jun. 30, 2024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3"/>
          </w:tcPr>
          <w:p>
            <w:pPr>
              <w:jc w:val="center"/>
              <w:spacing w:after="0" w:line="147" w:lineRule="exact"/>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60"/>
              <w:spacing w:after="0" w:line="147" w:lineRule="exact"/>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center"/>
              <w:ind w:right="200"/>
              <w:spacing w:after="0" w:line="147"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4"/>
          </w:tcPr>
          <w:p>
            <w:pPr>
              <w:jc w:val="center"/>
              <w:ind w:right="9"/>
              <w:spacing w:after="0"/>
              <w:rPr>
                <w:sz w:val="20"/>
                <w:szCs w:val="20"/>
                <w:color w:val="auto"/>
              </w:rPr>
            </w:pPr>
            <w:r>
              <w:rPr>
                <w:rFonts w:ascii="Arial" w:cs="Arial" w:eastAsia="Arial" w:hAnsi="Arial"/>
                <w:sz w:val="14"/>
                <w:szCs w:val="14"/>
                <w:b w:val="1"/>
                <w:bCs w:val="1"/>
                <w:color w:val="auto"/>
              </w:rPr>
              <w:t>Before</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4"/>
          </w:tcPr>
          <w:p>
            <w:pPr>
              <w:ind w:left="80"/>
              <w:spacing w:after="0"/>
              <w:rPr>
                <w:sz w:val="20"/>
                <w:szCs w:val="20"/>
                <w:color w:val="auto"/>
              </w:rPr>
            </w:pPr>
            <w:r>
              <w:rPr>
                <w:rFonts w:ascii="Arial" w:cs="Arial" w:eastAsia="Arial" w:hAnsi="Arial"/>
                <w:sz w:val="14"/>
                <w:szCs w:val="14"/>
                <w:color w:val="auto"/>
              </w:rPr>
              <w:t>Before</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4"/>
          </w:tcPr>
          <w:p>
            <w:pPr>
              <w:jc w:val="center"/>
              <w:ind w:right="340"/>
              <w:spacing w:after="0"/>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9"/>
              </w:rPr>
              <w:t>Revenue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center"/>
              <w:ind w:right="109"/>
              <w:spacing w:after="0"/>
              <w:rPr>
                <w:sz w:val="20"/>
                <w:szCs w:val="20"/>
                <w:color w:val="auto"/>
              </w:rPr>
            </w:pPr>
            <w:r>
              <w:rPr>
                <w:rFonts w:ascii="Arial" w:cs="Arial" w:eastAsia="Arial" w:hAnsi="Arial"/>
                <w:sz w:val="14"/>
                <w:szCs w:val="14"/>
                <w:b w:val="1"/>
                <w:bCs w:val="1"/>
                <w:color w:val="auto"/>
              </w:rPr>
              <w:t>Taxes</w:t>
            </w:r>
          </w:p>
        </w:tc>
        <w:tc>
          <w:tcPr>
            <w:tcW w:w="120" w:type="dxa"/>
            <w:vAlign w:val="bottom"/>
          </w:tcPr>
          <w:p>
            <w:pPr>
              <w:spacing w:after="0"/>
              <w:rPr>
                <w:sz w:val="14"/>
                <w:szCs w:val="1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w w:val="99"/>
              </w:rPr>
              <w:t>Revenue</w:t>
            </w:r>
          </w:p>
        </w:tc>
        <w:tc>
          <w:tcPr>
            <w:tcW w:w="720" w:type="dxa"/>
            <w:vAlign w:val="bottom"/>
            <w:gridSpan w:val="4"/>
          </w:tcPr>
          <w:p>
            <w:pPr>
              <w:jc w:val="right"/>
              <w:ind w:right="240"/>
              <w:spacing w:after="0"/>
              <w:rPr>
                <w:sz w:val="20"/>
                <w:szCs w:val="20"/>
                <w:color w:val="auto"/>
              </w:rPr>
            </w:pPr>
            <w:r>
              <w:rPr>
                <w:rFonts w:ascii="Arial" w:cs="Arial" w:eastAsia="Arial" w:hAnsi="Arial"/>
                <w:sz w:val="14"/>
                <w:szCs w:val="14"/>
                <w:color w:val="auto"/>
              </w:rPr>
              <w:t>Taxes</w:t>
            </w:r>
          </w:p>
        </w:tc>
        <w:tc>
          <w:tcPr>
            <w:tcW w:w="60" w:type="dxa"/>
            <w:vAlign w:val="bottom"/>
          </w:tcPr>
          <w:p>
            <w:pPr>
              <w:spacing w:after="0"/>
              <w:rPr>
                <w:sz w:val="14"/>
                <w:szCs w:val="14"/>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w w:val="99"/>
              </w:rPr>
              <w:t>Revenue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4"/>
          </w:tcPr>
          <w:p>
            <w:pPr>
              <w:jc w:val="center"/>
              <w:ind w:right="340"/>
              <w:spacing w:after="0"/>
              <w:rPr>
                <w:sz w:val="20"/>
                <w:szCs w:val="20"/>
                <w:color w:val="auto"/>
              </w:rPr>
            </w:pPr>
            <w:r>
              <w:rPr>
                <w:rFonts w:ascii="Arial" w:cs="Arial" w:eastAsia="Arial" w:hAnsi="Arial"/>
                <w:sz w:val="14"/>
                <w:szCs w:val="14"/>
                <w:color w:val="auto"/>
                <w:w w:val="99"/>
              </w:rPr>
              <w:t>Taxes</w:t>
            </w:r>
          </w:p>
        </w:tc>
        <w:tc>
          <w:tcPr>
            <w:tcW w:w="0" w:type="dxa"/>
            <w:vAlign w:val="bottom"/>
          </w:tcPr>
          <w:p>
            <w:pPr>
              <w:spacing w:after="0"/>
              <w:rPr>
                <w:sz w:val="1"/>
                <w:szCs w:val="1"/>
                <w:color w:val="auto"/>
              </w:rPr>
            </w:pPr>
          </w:p>
        </w:tc>
      </w:tr>
      <w:tr>
        <w:trPr>
          <w:trHeight w:val="196"/>
        </w:trPr>
        <w:tc>
          <w:tcPr>
            <w:tcW w:w="57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6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995</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327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$ 1,006</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306</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$ 1,050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325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Reservoir Performance</w:t>
            </w:r>
          </w:p>
        </w:tc>
        <w:tc>
          <w:tcPr>
            <w:tcW w:w="62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rPr>
              <w:t>1,691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2"/>
          </w:tcPr>
          <w:p>
            <w:pPr>
              <w:jc w:val="right"/>
              <w:ind w:right="9"/>
              <w:spacing w:after="0" w:line="202" w:lineRule="exact"/>
              <w:rPr>
                <w:sz w:val="20"/>
                <w:szCs w:val="20"/>
                <w:color w:val="auto"/>
              </w:rPr>
            </w:pPr>
            <w:r>
              <w:rPr>
                <w:rFonts w:ascii="Arial" w:cs="Arial" w:eastAsia="Arial" w:hAnsi="Arial"/>
                <w:sz w:val="18"/>
                <w:szCs w:val="18"/>
                <w:b w:val="1"/>
                <w:bCs w:val="1"/>
                <w:color w:val="auto"/>
              </w:rPr>
              <w:t>314</w:t>
            </w:r>
          </w:p>
        </w:tc>
        <w:tc>
          <w:tcPr>
            <w:tcW w:w="920" w:type="dxa"/>
            <w:vAlign w:val="bottom"/>
            <w:gridSpan w:val="4"/>
          </w:tcPr>
          <w:p>
            <w:pPr>
              <w:jc w:val="right"/>
              <w:ind w:right="220"/>
              <w:spacing w:after="0" w:line="202" w:lineRule="exact"/>
              <w:rPr>
                <w:sz w:val="20"/>
                <w:szCs w:val="20"/>
                <w:color w:val="auto"/>
              </w:rPr>
            </w:pPr>
            <w:r>
              <w:rPr>
                <w:rFonts w:ascii="Arial" w:cs="Arial" w:eastAsia="Arial" w:hAnsi="Arial"/>
                <w:sz w:val="18"/>
                <w:szCs w:val="18"/>
                <w:color w:val="auto"/>
              </w:rPr>
              <w:t>1,700</w:t>
            </w:r>
          </w:p>
        </w:tc>
        <w:tc>
          <w:tcPr>
            <w:tcW w:w="120" w:type="dxa"/>
            <w:vAlign w:val="bottom"/>
          </w:tcPr>
          <w:p>
            <w:pPr>
              <w:spacing w:after="0"/>
              <w:rPr>
                <w:sz w:val="17"/>
                <w:szCs w:val="17"/>
                <w:color w:val="auto"/>
              </w:rPr>
            </w:pPr>
          </w:p>
        </w:tc>
        <w:tc>
          <w:tcPr>
            <w:tcW w:w="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282</w:t>
            </w:r>
          </w:p>
        </w:tc>
        <w:tc>
          <w:tcPr>
            <w:tcW w:w="60" w:type="dxa"/>
            <w:vAlign w:val="bottom"/>
          </w:tcPr>
          <w:p>
            <w:pPr>
              <w:spacing w:after="0"/>
              <w:rPr>
                <w:sz w:val="17"/>
                <w:szCs w:val="17"/>
                <w:color w:val="auto"/>
              </w:rPr>
            </w:pPr>
          </w:p>
        </w:tc>
        <w:tc>
          <w:tcPr>
            <w:tcW w:w="74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1,819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6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rPr>
              <w:t>2,963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9"/>
              <w:spacing w:after="0" w:line="202" w:lineRule="exact"/>
              <w:rPr>
                <w:sz w:val="20"/>
                <w:szCs w:val="20"/>
                <w:color w:val="auto"/>
              </w:rPr>
            </w:pPr>
            <w:r>
              <w:rPr>
                <w:rFonts w:ascii="Arial" w:cs="Arial" w:eastAsia="Arial" w:hAnsi="Arial"/>
                <w:sz w:val="18"/>
                <w:szCs w:val="18"/>
                <w:b w:val="1"/>
                <w:bCs w:val="1"/>
                <w:color w:val="auto"/>
              </w:rPr>
              <w:t>551</w:t>
            </w:r>
          </w:p>
        </w:tc>
        <w:tc>
          <w:tcPr>
            <w:tcW w:w="920" w:type="dxa"/>
            <w:vAlign w:val="bottom"/>
            <w:gridSpan w:val="4"/>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2,977</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589</w:t>
            </w:r>
          </w:p>
        </w:tc>
        <w:tc>
          <w:tcPr>
            <w:tcW w:w="6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3,411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Production Systems</w:t>
            </w:r>
          </w:p>
        </w:tc>
        <w:tc>
          <w:tcPr>
            <w:tcW w:w="620" w:type="dxa"/>
            <w:vAlign w:val="bottom"/>
            <w:gridSpan w:val="3"/>
          </w:tcPr>
          <w:p>
            <w:pPr>
              <w:jc w:val="right"/>
              <w:ind w:right="20"/>
              <w:spacing w:after="0" w:line="202" w:lineRule="exact"/>
              <w:rPr>
                <w:sz w:val="20"/>
                <w:szCs w:val="20"/>
                <w:color w:val="auto"/>
              </w:rPr>
            </w:pPr>
            <w:r>
              <w:rPr>
                <w:rFonts w:ascii="Arial" w:cs="Arial" w:eastAsia="Arial" w:hAnsi="Arial"/>
                <w:sz w:val="18"/>
                <w:szCs w:val="18"/>
                <w:b w:val="1"/>
                <w:bCs w:val="1"/>
                <w:color w:val="auto"/>
              </w:rPr>
              <w:t>3,036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2"/>
          </w:tcPr>
          <w:p>
            <w:pPr>
              <w:jc w:val="right"/>
              <w:ind w:right="9"/>
              <w:spacing w:after="0" w:line="202" w:lineRule="exact"/>
              <w:rPr>
                <w:sz w:val="20"/>
                <w:szCs w:val="20"/>
                <w:color w:val="auto"/>
              </w:rPr>
            </w:pPr>
            <w:r>
              <w:rPr>
                <w:rFonts w:ascii="Arial" w:cs="Arial" w:eastAsia="Arial" w:hAnsi="Arial"/>
                <w:sz w:val="18"/>
                <w:szCs w:val="18"/>
                <w:b w:val="1"/>
                <w:bCs w:val="1"/>
                <w:color w:val="auto"/>
              </w:rPr>
              <w:t>499</w:t>
            </w:r>
          </w:p>
        </w:tc>
        <w:tc>
          <w:tcPr>
            <w:tcW w:w="920" w:type="dxa"/>
            <w:vAlign w:val="bottom"/>
            <w:gridSpan w:val="4"/>
          </w:tcPr>
          <w:p>
            <w:pPr>
              <w:jc w:val="right"/>
              <w:ind w:right="220"/>
              <w:spacing w:after="0" w:line="202" w:lineRule="exact"/>
              <w:rPr>
                <w:sz w:val="20"/>
                <w:szCs w:val="20"/>
                <w:color w:val="auto"/>
              </w:rPr>
            </w:pPr>
            <w:r>
              <w:rPr>
                <w:rFonts w:ascii="Arial" w:cs="Arial" w:eastAsia="Arial" w:hAnsi="Arial"/>
                <w:sz w:val="18"/>
                <w:szCs w:val="18"/>
                <w:color w:val="auto"/>
              </w:rPr>
              <w:t>2,938</w:t>
            </w:r>
          </w:p>
        </w:tc>
        <w:tc>
          <w:tcPr>
            <w:tcW w:w="120" w:type="dxa"/>
            <w:vAlign w:val="bottom"/>
          </w:tcPr>
          <w:p>
            <w:pPr>
              <w:spacing w:after="0"/>
              <w:rPr>
                <w:sz w:val="17"/>
                <w:szCs w:val="17"/>
                <w:color w:val="auto"/>
              </w:rPr>
            </w:pPr>
          </w:p>
        </w:tc>
        <w:tc>
          <w:tcPr>
            <w:tcW w:w="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475</w:t>
            </w:r>
          </w:p>
        </w:tc>
        <w:tc>
          <w:tcPr>
            <w:tcW w:w="60" w:type="dxa"/>
            <w:vAlign w:val="bottom"/>
          </w:tcPr>
          <w:p>
            <w:pPr>
              <w:spacing w:after="0"/>
              <w:rPr>
                <w:sz w:val="17"/>
                <w:szCs w:val="17"/>
                <w:color w:val="auto"/>
              </w:rPr>
            </w:pPr>
          </w:p>
        </w:tc>
        <w:tc>
          <w:tcPr>
            <w:tcW w:w="74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3,025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820" w:type="dxa"/>
            <w:vAlign w:val="bottom"/>
            <w:gridSpan w:val="4"/>
            <w:shd w:val="clear" w:color="auto" w:fill="CCEEFF"/>
          </w:tcPr>
          <w:p>
            <w:pPr>
              <w:jc w:val="right"/>
              <w:ind w:right="79"/>
              <w:spacing w:after="0" w:line="202" w:lineRule="exact"/>
              <w:rPr>
                <w:sz w:val="20"/>
                <w:szCs w:val="20"/>
                <w:color w:val="auto"/>
              </w:rPr>
            </w:pPr>
            <w:r>
              <w:rPr>
                <w:rFonts w:ascii="Arial" w:cs="Arial" w:eastAsia="Arial" w:hAnsi="Arial"/>
                <w:sz w:val="18"/>
                <w:szCs w:val="18"/>
                <w:b w:val="1"/>
                <w:bCs w:val="1"/>
                <w:color w:val="auto"/>
              </w:rPr>
              <w:t>(139)</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(107)</w:t>
            </w:r>
          </w:p>
        </w:tc>
        <w:tc>
          <w:tcPr>
            <w:tcW w:w="92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Pretax segment operating income</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1,556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(169)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(179)</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6"/>
                <w:szCs w:val="16"/>
                <w:color w:val="auto"/>
              </w:rPr>
              <w:t>Interest income</w:t>
            </w:r>
            <w:r>
              <w:rPr>
                <w:rFonts w:ascii="Arial" w:cs="Arial" w:eastAsia="Arial" w:hAnsi="Arial"/>
                <w:sz w:val="23"/>
                <w:szCs w:val="23"/>
                <w:color w:val="auto"/>
                <w:vertAlign w:val="superscript"/>
              </w:rPr>
              <w:t>(1)</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2"/>
          </w:tcPr>
          <w:p>
            <w:pPr>
              <w:jc w:val="right"/>
              <w:ind w:right="9"/>
              <w:spacing w:after="0" w:line="202" w:lineRule="exact"/>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4"/>
          </w:tcPr>
          <w:p>
            <w:pPr>
              <w:jc w:val="right"/>
              <w:ind w:right="12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Interest expense</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(139)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6"/>
                <w:szCs w:val="16"/>
                <w:color w:val="auto"/>
              </w:rPr>
              <w:t>Charges &amp; credits</w:t>
            </w:r>
            <w:r>
              <w:rPr>
                <w:rFonts w:ascii="Arial" w:cs="Arial" w:eastAsia="Arial" w:hAnsi="Arial"/>
                <w:sz w:val="23"/>
                <w:szCs w:val="23"/>
                <w:color w:val="auto"/>
                <w:vertAlign w:val="superscript"/>
              </w:rPr>
              <w:t>(2)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shd w:val="clear" w:color="auto" w:fill="CCEEFF"/>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b w:val="1"/>
                <w:bCs w:val="1"/>
                <w:color w:val="auto"/>
                <w:w w:val="96"/>
              </w:rPr>
              <w:t>$ 8,546</w:t>
            </w:r>
          </w:p>
        </w:tc>
        <w:tc>
          <w:tcPr>
            <w:tcW w:w="860" w:type="dxa"/>
            <w:vAlign w:val="bottom"/>
            <w:gridSpan w:val="5"/>
            <w:shd w:val="clear" w:color="auto" w:fill="CCEEFF"/>
          </w:tcPr>
          <w:p>
            <w:pPr>
              <w:jc w:val="right"/>
              <w:ind w:right="9"/>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1,285</w:t>
            </w:r>
          </w:p>
        </w:tc>
        <w:tc>
          <w:tcPr>
            <w:tcW w:w="920" w:type="dxa"/>
            <w:vAlign w:val="bottom"/>
            <w:gridSpan w:val="4"/>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$ 8,490</w:t>
            </w:r>
          </w:p>
        </w:tc>
        <w:tc>
          <w:tcPr>
            <w:tcW w:w="66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1,063</w:t>
            </w:r>
          </w:p>
        </w:tc>
        <w:tc>
          <w:tcPr>
            <w:tcW w:w="6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$ 9,139</w:t>
            </w:r>
          </w:p>
        </w:tc>
        <w:tc>
          <w:tcPr>
            <w:tcW w:w="32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7"/>
            <w:vMerge w:val="restart"/>
          </w:tcPr>
          <w:p>
            <w:pPr>
              <w:jc w:val="center"/>
              <w:ind w:left="164"/>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gridSpan w:val="8"/>
          </w:tcPr>
          <w:p>
            <w:pPr>
              <w:jc w:val="center"/>
              <w:ind w:right="58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7"/>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80" w:type="dxa"/>
            <w:vAlign w:val="bottom"/>
            <w:gridSpan w:val="9"/>
          </w:tcPr>
          <w:p>
            <w:pPr>
              <w:jc w:val="right"/>
              <w:ind w:right="880"/>
              <w:spacing w:after="0" w:line="155" w:lineRule="exact"/>
              <w:rPr>
                <w:sz w:val="20"/>
                <w:szCs w:val="20"/>
                <w:color w:val="auto"/>
              </w:rPr>
            </w:pPr>
            <w:r>
              <w:rPr>
                <w:rFonts w:ascii="Arial" w:cs="Arial" w:eastAsia="Arial" w:hAnsi="Arial"/>
                <w:sz w:val="14"/>
                <w:szCs w:val="14"/>
                <w:b w:val="1"/>
                <w:bCs w:val="1"/>
                <w:color w:val="auto"/>
              </w:rPr>
              <w:t>Jun. 30, 2025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6"/>
          </w:tcPr>
          <w:p>
            <w:pPr>
              <w:jc w:val="right"/>
              <w:ind w:right="99"/>
              <w:spacing w:after="0" w:line="155" w:lineRule="exact"/>
              <w:rPr>
                <w:sz w:val="20"/>
                <w:szCs w:val="20"/>
                <w:color w:val="auto"/>
              </w:rPr>
            </w:pPr>
            <w:r>
              <w:rPr>
                <w:rFonts w:ascii="Arial" w:cs="Arial" w:eastAsia="Arial" w:hAnsi="Arial"/>
                <w:sz w:val="14"/>
                <w:szCs w:val="14"/>
                <w:color w:val="auto"/>
              </w:rPr>
              <w:t>Jun. 30, 2024</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jc w:val="center"/>
              <w:spacing w:after="0" w:line="147" w:lineRule="exact"/>
              <w:rPr>
                <w:sz w:val="20"/>
                <w:szCs w:val="20"/>
                <w:color w:val="auto"/>
              </w:rPr>
            </w:pPr>
            <w:r>
              <w:rPr>
                <w:rFonts w:ascii="Arial" w:cs="Arial" w:eastAsia="Arial" w:hAnsi="Arial"/>
                <w:sz w:val="14"/>
                <w:szCs w:val="14"/>
                <w:b w:val="1"/>
                <w:bCs w:val="1"/>
                <w:color w:val="auto"/>
              </w:rPr>
              <w:t>Income</w:t>
            </w:r>
          </w:p>
        </w:tc>
        <w:tc>
          <w:tcPr>
            <w:tcW w:w="460" w:type="dxa"/>
            <w:vAlign w:val="bottom"/>
            <w:gridSpan w:val="2"/>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center"/>
              <w:ind w:right="232"/>
              <w:spacing w:after="0" w:line="147" w:lineRule="exact"/>
              <w:rPr>
                <w:sz w:val="20"/>
                <w:szCs w:val="20"/>
                <w:color w:val="auto"/>
              </w:rPr>
            </w:pPr>
            <w:r>
              <w:rPr>
                <w:rFonts w:ascii="Arial" w:cs="Arial" w:eastAsia="Arial" w:hAnsi="Arial"/>
                <w:sz w:val="14"/>
                <w:szCs w:val="14"/>
                <w:color w:val="auto"/>
              </w:rPr>
              <w:t>Income</w:t>
            </w:r>
          </w:p>
        </w:tc>
        <w:tc>
          <w:tcPr>
            <w:tcW w:w="5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rPr>
              <w:t>Before</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center"/>
              <w:ind w:right="900"/>
              <w:spacing w:after="0"/>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5"/>
          </w:tcPr>
          <w:p>
            <w:pPr>
              <w:ind w:left="40"/>
              <w:spacing w:after="0"/>
              <w:rPr>
                <w:sz w:val="20"/>
                <w:szCs w:val="20"/>
                <w:color w:val="auto"/>
              </w:rPr>
            </w:pPr>
            <w:r>
              <w:rPr>
                <w:rFonts w:ascii="Arial" w:cs="Arial" w:eastAsia="Arial" w:hAnsi="Arial"/>
                <w:sz w:val="14"/>
                <w:szCs w:val="14"/>
                <w:b w:val="1"/>
                <w:bCs w:val="1"/>
                <w:color w:val="auto"/>
              </w:rPr>
              <w:t>Revenue</w:t>
            </w:r>
          </w:p>
        </w:tc>
        <w:tc>
          <w:tcPr>
            <w:tcW w:w="460" w:type="dxa"/>
            <w:vAlign w:val="bottom"/>
          </w:tcPr>
          <w:p>
            <w:pPr>
              <w:spacing w:after="0"/>
              <w:rPr>
                <w:sz w:val="14"/>
                <w:szCs w:val="14"/>
                <w:color w:val="auto"/>
              </w:rPr>
            </w:pPr>
          </w:p>
        </w:tc>
        <w:tc>
          <w:tcPr>
            <w:tcW w:w="10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rPr>
              <w:t>Taxes</w:t>
            </w:r>
          </w:p>
        </w:tc>
        <w:tc>
          <w:tcPr>
            <w:tcW w:w="720" w:type="dxa"/>
            <w:vAlign w:val="bottom"/>
            <w:gridSpan w:val="4"/>
          </w:tcPr>
          <w:p>
            <w:pPr>
              <w:ind w:left="40"/>
              <w:spacing w:after="0"/>
              <w:rPr>
                <w:sz w:val="20"/>
                <w:szCs w:val="20"/>
                <w:color w:val="auto"/>
              </w:rPr>
            </w:pPr>
            <w:r>
              <w:rPr>
                <w:rFonts w:ascii="Arial" w:cs="Arial" w:eastAsia="Arial" w:hAnsi="Arial"/>
                <w:sz w:val="14"/>
                <w:szCs w:val="14"/>
                <w:color w:val="auto"/>
              </w:rPr>
              <w:t>Revenue</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center"/>
              <w:ind w:right="900"/>
              <w:spacing w:after="0"/>
              <w:rPr>
                <w:sz w:val="20"/>
                <w:szCs w:val="20"/>
                <w:color w:val="auto"/>
              </w:rPr>
            </w:pPr>
            <w:r>
              <w:rPr>
                <w:rFonts w:ascii="Arial" w:cs="Arial" w:eastAsia="Arial" w:hAnsi="Arial"/>
                <w:sz w:val="14"/>
                <w:szCs w:val="14"/>
                <w:color w:val="auto"/>
                <w:w w:val="99"/>
              </w:rPr>
              <w:t>Taxes</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 &amp; Integration</w:t>
            </w:r>
          </w:p>
        </w:tc>
        <w:tc>
          <w:tcPr>
            <w:tcW w:w="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$ 2,001</w:t>
            </w:r>
          </w:p>
        </w:tc>
        <w:tc>
          <w:tcPr>
            <w:tcW w:w="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633</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2,003</w:t>
            </w: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2"/>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579</w:t>
            </w: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28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940" w:type="dxa"/>
            <w:vAlign w:val="bottom"/>
            <w:gridSpan w:val="6"/>
          </w:tcPr>
          <w:p>
            <w:pPr>
              <w:jc w:val="right"/>
              <w:spacing w:after="0" w:line="202" w:lineRule="exact"/>
              <w:rPr>
                <w:sz w:val="20"/>
                <w:szCs w:val="20"/>
                <w:color w:val="auto"/>
              </w:rPr>
            </w:pPr>
            <w:r>
              <w:rPr>
                <w:rFonts w:ascii="Arial" w:cs="Arial" w:eastAsia="Arial" w:hAnsi="Arial"/>
                <w:sz w:val="18"/>
                <w:szCs w:val="18"/>
                <w:b w:val="1"/>
                <w:bCs w:val="1"/>
                <w:color w:val="auto"/>
              </w:rPr>
              <w:t>3,391</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240"/>
              <w:spacing w:after="0" w:line="202" w:lineRule="exact"/>
              <w:rPr>
                <w:sz w:val="20"/>
                <w:szCs w:val="20"/>
                <w:color w:val="auto"/>
              </w:rPr>
            </w:pPr>
            <w:r>
              <w:rPr>
                <w:rFonts w:ascii="Arial" w:cs="Arial" w:eastAsia="Arial" w:hAnsi="Arial"/>
                <w:sz w:val="18"/>
                <w:szCs w:val="18"/>
                <w:b w:val="1"/>
                <w:bCs w:val="1"/>
                <w:color w:val="auto"/>
              </w:rPr>
              <w:t>596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3,544</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715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94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5,940</w:t>
            </w:r>
          </w:p>
        </w:tc>
        <w:tc>
          <w:tcPr>
            <w:tcW w:w="4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w w:val="97"/>
              </w:rPr>
              <w:t>1,140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6,779</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1,432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28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940" w:type="dxa"/>
            <w:vAlign w:val="bottom"/>
            <w:gridSpan w:val="6"/>
          </w:tcPr>
          <w:p>
            <w:pPr>
              <w:jc w:val="right"/>
              <w:spacing w:after="0" w:line="202" w:lineRule="exact"/>
              <w:rPr>
                <w:sz w:val="20"/>
                <w:szCs w:val="20"/>
                <w:color w:val="auto"/>
              </w:rPr>
            </w:pPr>
            <w:r>
              <w:rPr>
                <w:rFonts w:ascii="Arial" w:cs="Arial" w:eastAsia="Arial" w:hAnsi="Arial"/>
                <w:sz w:val="18"/>
                <w:szCs w:val="18"/>
                <w:b w:val="1"/>
                <w:bCs w:val="1"/>
                <w:color w:val="auto"/>
              </w:rPr>
              <w:t>5,974</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240"/>
              <w:spacing w:after="0" w:line="202" w:lineRule="exact"/>
              <w:rPr>
                <w:sz w:val="20"/>
                <w:szCs w:val="20"/>
                <w:color w:val="auto"/>
              </w:rPr>
            </w:pPr>
            <w:r>
              <w:rPr>
                <w:rFonts w:ascii="Arial" w:cs="Arial" w:eastAsia="Arial" w:hAnsi="Arial"/>
                <w:sz w:val="18"/>
                <w:szCs w:val="18"/>
                <w:b w:val="1"/>
                <w:bCs w:val="1"/>
                <w:color w:val="auto"/>
              </w:rPr>
              <w:t>973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5,843</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873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Eliminations &amp; other</w:t>
            </w:r>
          </w:p>
        </w:tc>
        <w:tc>
          <w:tcPr>
            <w:tcW w:w="1400" w:type="dxa"/>
            <w:vAlign w:val="bottom"/>
            <w:tcBorders>
              <w:right w:val="single" w:sz="8" w:color="CCEEFF"/>
            </w:tcBorders>
            <w:gridSpan w:val="7"/>
            <w:shd w:val="clear" w:color="auto" w:fill="CCEEFF"/>
          </w:tcPr>
          <w:p>
            <w:pPr>
              <w:jc w:val="right"/>
              <w:ind w:right="350"/>
              <w:spacing w:after="0" w:line="202" w:lineRule="exact"/>
              <w:rPr>
                <w:sz w:val="20"/>
                <w:szCs w:val="20"/>
                <w:color w:val="auto"/>
              </w:rPr>
            </w:pPr>
            <w:r>
              <w:rPr>
                <w:rFonts w:ascii="Arial" w:cs="Arial" w:eastAsia="Arial" w:hAnsi="Arial"/>
                <w:sz w:val="18"/>
                <w:szCs w:val="18"/>
                <w:b w:val="1"/>
                <w:bCs w:val="1"/>
                <w:color w:val="auto"/>
              </w:rPr>
              <w:t>(271)</w:t>
            </w: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(202)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(323)</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280" w:type="dxa"/>
            <w:vAlign w:val="bottom"/>
          </w:tcPr>
          <w:p>
            <w:pPr>
              <w:ind w:left="360"/>
              <w:spacing w:after="0"/>
              <w:rPr>
                <w:sz w:val="20"/>
                <w:szCs w:val="20"/>
                <w:color w:val="auto"/>
              </w:rPr>
            </w:pPr>
            <w:r>
              <w:rPr>
                <w:rFonts w:ascii="Arial" w:cs="Arial" w:eastAsia="Arial" w:hAnsi="Arial"/>
                <w:sz w:val="18"/>
                <w:szCs w:val="18"/>
                <w:color w:val="auto"/>
              </w:rPr>
              <w:t>Pretax segment operating income</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3,140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Corporate &amp; other</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(347)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280" w:type="dxa"/>
            <w:vAlign w:val="bottom"/>
          </w:tcPr>
          <w:p>
            <w:pPr>
              <w:spacing w:after="0" w:line="202" w:lineRule="exact"/>
              <w:rPr>
                <w:sz w:val="20"/>
                <w:szCs w:val="20"/>
                <w:color w:val="auto"/>
              </w:rPr>
            </w:pPr>
            <w:r>
              <w:rPr>
                <w:rFonts w:ascii="Arial" w:cs="Arial" w:eastAsia="Arial" w:hAnsi="Arial"/>
                <w:sz w:val="16"/>
                <w:szCs w:val="16"/>
                <w:color w:val="auto"/>
              </w:rPr>
              <w:t>Interest income</w:t>
            </w:r>
            <w:r>
              <w:rPr>
                <w:rFonts w:ascii="Arial" w:cs="Arial" w:eastAsia="Arial" w:hAnsi="Arial"/>
                <w:sz w:val="23"/>
                <w:szCs w:val="23"/>
                <w:color w:val="auto"/>
                <w:vertAlign w:val="superscript"/>
              </w:rPr>
              <w:t>(1)</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240"/>
              <w:spacing w:after="0" w:line="202" w:lineRule="exact"/>
              <w:rPr>
                <w:sz w:val="20"/>
                <w:szCs w:val="20"/>
                <w:color w:val="auto"/>
              </w:rPr>
            </w:pPr>
            <w:r>
              <w:rPr>
                <w:rFonts w:ascii="Arial" w:cs="Arial" w:eastAsia="Arial" w:hAnsi="Arial"/>
                <w:sz w:val="18"/>
                <w:szCs w:val="18"/>
                <w:b w:val="1"/>
                <w:bCs w:val="1"/>
                <w:color w:val="auto"/>
              </w:rPr>
              <w:t>66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6"/>
                <w:szCs w:val="16"/>
                <w:color w:val="auto"/>
              </w:rPr>
              <w:t>Interest expense</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b w:val="1"/>
                <w:bCs w:val="1"/>
                <w:color w:val="auto"/>
              </w:rPr>
              <w:t>(283)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280" w:type="dxa"/>
            <w:vAlign w:val="bottom"/>
          </w:tcPr>
          <w:p>
            <w:pPr>
              <w:spacing w:after="0" w:line="202" w:lineRule="exact"/>
              <w:rPr>
                <w:sz w:val="20"/>
                <w:szCs w:val="20"/>
                <w:color w:val="auto"/>
              </w:rPr>
            </w:pPr>
            <w:r>
              <w:rPr>
                <w:rFonts w:ascii="Arial" w:cs="Arial" w:eastAsia="Arial" w:hAnsi="Arial"/>
                <w:sz w:val="16"/>
                <w:szCs w:val="16"/>
                <w:color w:val="auto"/>
              </w:rPr>
              <w:t>Charges &amp; credits</w:t>
            </w:r>
            <w:r>
              <w:rPr>
                <w:rFonts w:ascii="Arial" w:cs="Arial" w:eastAsia="Arial" w:hAnsi="Arial"/>
                <w:sz w:val="23"/>
                <w:szCs w:val="23"/>
                <w:color w:val="auto"/>
                <w:vertAlign w:val="superscript"/>
              </w:rPr>
              <w:t>(2)</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180"/>
              <w:spacing w:after="0" w:line="202" w:lineRule="exact"/>
              <w:rPr>
                <w:sz w:val="20"/>
                <w:szCs w:val="20"/>
                <w:color w:val="auto"/>
              </w:rPr>
            </w:pPr>
            <w:r>
              <w:rPr>
                <w:rFonts w:ascii="Arial" w:cs="Arial" w:eastAsia="Arial" w:hAnsi="Arial"/>
                <w:sz w:val="18"/>
                <w:szCs w:val="18"/>
                <w:b w:val="1"/>
                <w:bCs w:val="1"/>
                <w:color w:val="auto"/>
              </w:rPr>
              <w:t>(228)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5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17,035</w:t>
            </w:r>
          </w:p>
        </w:tc>
        <w:tc>
          <w:tcPr>
            <w:tcW w:w="40" w:type="dxa"/>
            <w:vAlign w:val="bottom"/>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spacing w:after="0"/>
              <w:rPr>
                <w:sz w:val="17"/>
                <w:szCs w:val="17"/>
                <w:color w:val="auto"/>
              </w:rPr>
            </w:pPr>
          </w:p>
        </w:tc>
        <w:tc>
          <w:tcPr>
            <w:tcW w:w="5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2,348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17,846</w:t>
            </w:r>
          </w:p>
        </w:tc>
        <w:tc>
          <w:tcPr>
            <w:tcW w:w="640" w:type="dxa"/>
            <w:vAlign w:val="bottom"/>
            <w:gridSpan w:val="3"/>
            <w:shd w:val="clear" w:color="auto" w:fill="CCEEFF"/>
          </w:tcPr>
          <w:p>
            <w:pPr>
              <w:jc w:val="right"/>
              <w:ind w:right="4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2,778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27"/>
          <w:szCs w:val="27"/>
          <w:color w:val="auto"/>
          <w:vertAlign w:val="superscript"/>
        </w:rPr>
      </w:pPr>
      <w:r>
        <w:rPr>
          <w:rFonts w:ascii="Arial" w:cs="Arial" w:eastAsia="Arial" w:hAnsi="Arial"/>
          <w:sz w:val="18"/>
          <w:szCs w:val="18"/>
          <w:color w:val="auto"/>
        </w:rPr>
        <w:t>Excludes amounts which are included in the segments’ results.</w:t>
      </w:r>
    </w:p>
    <w:p>
      <w:pPr>
        <w:ind w:left="424" w:hanging="424"/>
        <w:spacing w:after="0" w:line="184" w:lineRule="auto"/>
        <w:tabs>
          <w:tab w:leader="none" w:pos="424" w:val="left"/>
        </w:tabs>
        <w:numPr>
          <w:ilvl w:val="0"/>
          <w:numId w:val="15"/>
        </w:numPr>
        <w:rPr>
          <w:rFonts w:ascii="Arial" w:cs="Arial" w:eastAsia="Arial" w:hAnsi="Arial"/>
          <w:sz w:val="25"/>
          <w:szCs w:val="25"/>
          <w:color w:val="auto"/>
          <w:vertAlign w:val="superscript"/>
        </w:rPr>
      </w:pPr>
      <w:r>
        <w:rPr>
          <w:rFonts w:ascii="Arial" w:cs="Arial" w:eastAsia="Arial" w:hAnsi="Arial"/>
          <w:sz w:val="17"/>
          <w:szCs w:val="17"/>
          <w:color w:val="auto"/>
        </w:rPr>
        <w:t>See section entitled “Charges &amp; Credits” for details.</w:t>
      </w:r>
    </w:p>
    <w:p>
      <w:pPr>
        <w:sectPr>
          <w:pgSz w:w="11900" w:h="16838" w:orient="portrait"/>
          <w:cols w:equalWidth="0" w:num="1">
            <w:col w:w="11024"/>
          </w:cols>
          <w:pgMar w:left="436" w:top="269" w:right="439" w:bottom="1440" w:gutter="0" w:footer="0" w:header="0"/>
        </w:sectPr>
      </w:pPr>
    </w:p>
    <w:bookmarkStart w:id="21" w:name="page22"/>
    <w:bookmarkEnd w:id="2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Supplementary Information</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Frequently Asked Questions</w:t>
      </w:r>
    </w:p>
    <w:p>
      <w:pPr>
        <w:spacing w:after="0" w:line="117"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full-year 2025?</w:t>
      </w:r>
    </w:p>
    <w:p>
      <w:pPr>
        <w:spacing w:after="0" w:line="103" w:lineRule="exact"/>
        <w:rPr>
          <w:rFonts w:ascii="Arial" w:cs="Arial" w:eastAsia="Arial" w:hAnsi="Arial"/>
          <w:sz w:val="18"/>
          <w:szCs w:val="18"/>
          <w:b w:val="1"/>
          <w:bCs w:val="1"/>
          <w:color w:val="auto"/>
        </w:rPr>
      </w:pPr>
    </w:p>
    <w:p>
      <w:pPr>
        <w:ind w:left="444" w:right="2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Capital investment (consisting of capex, exploration data costs and APS investments) for the full-year 2025 is now expected to be approximately $2.4 billion, reflecting the impact of the ChampionX acquisition. Capital investment for the full-year 2024 was $2.6 billion.</w:t>
      </w:r>
    </w:p>
    <w:p>
      <w:pPr>
        <w:spacing w:after="0" w:line="74" w:lineRule="exact"/>
        <w:rPr>
          <w:rFonts w:ascii="Arial" w:cs="Arial" w:eastAsia="Arial" w:hAnsi="Arial"/>
          <w:sz w:val="18"/>
          <w:szCs w:val="18"/>
          <w:b w:val="1"/>
          <w:bCs w:val="1"/>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second quarter of 2025?</w:t>
      </w:r>
    </w:p>
    <w:p>
      <w:pPr>
        <w:spacing w:after="0" w:line="10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second quarter of 2025 was $1.14 billion and free cash flow was $622 million.</w:t>
      </w:r>
    </w:p>
    <w:p>
      <w:pPr>
        <w:spacing w:after="0" w:line="117" w:lineRule="exact"/>
        <w:rPr>
          <w:rFonts w:ascii="Arial" w:cs="Arial" w:eastAsia="Arial" w:hAnsi="Arial"/>
          <w:sz w:val="18"/>
          <w:szCs w:val="18"/>
          <w:b w:val="1"/>
          <w:bCs w:val="1"/>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&amp; other income” for the second quarter of 2025?</w:t>
      </w:r>
    </w:p>
    <w:p>
      <w:pPr>
        <w:spacing w:after="0" w:line="10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“Interest &amp; other income” for the second quarter of 2025 was $252 million. This consisted of the following:</w:t>
      </w:r>
    </w:p>
    <w:p>
      <w:pPr>
        <w:spacing w:after="0" w:line="248"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color w:val="auto"/>
              </w:rPr>
              <w:t>(Stated in millions)</w:t>
            </w: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sale of Palliser APS project</w:t>
            </w:r>
          </w:p>
        </w:tc>
        <w:tc>
          <w:tcPr>
            <w:tcW w:w="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149</w:t>
            </w:r>
          </w:p>
        </w:tc>
        <w:tc>
          <w:tcPr>
            <w:tcW w:w="40" w:type="dxa"/>
            <w:vAlign w:val="bottom"/>
            <w:shd w:val="clear" w:color="auto" w:fill="CCEEFF"/>
          </w:tcPr>
          <w:p>
            <w:pPr>
              <w:spacing w:after="0"/>
              <w:rPr>
                <w:sz w:val="17"/>
                <w:szCs w:val="17"/>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w:t>
            </w:r>
          </w:p>
        </w:tc>
        <w:tc>
          <w:tcPr>
            <w:tcW w:w="40" w:type="dxa"/>
            <w:vAlign w:val="bottom"/>
          </w:tcPr>
          <w:p>
            <w:pPr>
              <w:spacing w:after="0"/>
              <w:rPr>
                <w:sz w:val="17"/>
                <w:szCs w:val="17"/>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of equity method investments</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17"/>
                <w:szCs w:val="17"/>
                <w:color w:val="auto"/>
              </w:rPr>
            </w:pPr>
          </w:p>
        </w:tc>
      </w:tr>
      <w:tr>
        <w:trPr>
          <w:trHeight w:val="210"/>
        </w:trPr>
        <w:tc>
          <w:tcPr>
            <w:tcW w:w="6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6"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second quarter of 2025?</w:t>
      </w:r>
    </w:p>
    <w:p>
      <w:pPr>
        <w:spacing w:after="0" w:line="103" w:lineRule="exact"/>
        <w:rPr>
          <w:rFonts w:ascii="Arial" w:cs="Arial" w:eastAsia="Arial" w:hAnsi="Arial"/>
          <w:sz w:val="18"/>
          <w:szCs w:val="18"/>
          <w:b w:val="1"/>
          <w:bCs w:val="1"/>
          <w:color w:val="auto"/>
        </w:rPr>
      </w:pPr>
    </w:p>
    <w:p>
      <w:pPr>
        <w:ind w:left="444" w:right="3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income of $30 million for the second quarter of 2025 decreased $4 million sequentially. Interest expense of $142 million decreased $5 million sequentially.</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SLB’s consolidated income before taxes and pretax segment operating income?</w:t>
      </w:r>
    </w:p>
    <w:p>
      <w:pPr>
        <w:spacing w:after="0" w:line="103" w:lineRule="exact"/>
        <w:rPr>
          <w:rFonts w:ascii="Arial" w:cs="Arial" w:eastAsia="Arial" w:hAnsi="Arial"/>
          <w:sz w:val="18"/>
          <w:szCs w:val="18"/>
          <w:b w:val="1"/>
          <w:bCs w:val="1"/>
          <w:color w:val="auto"/>
        </w:rPr>
      </w:pPr>
    </w:p>
    <w:p>
      <w:pPr>
        <w:ind w:left="444" w:right="2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74" w:lineRule="exact"/>
        <w:rPr>
          <w:rFonts w:ascii="Arial" w:cs="Arial" w:eastAsia="Arial" w:hAnsi="Arial"/>
          <w:sz w:val="18"/>
          <w:szCs w:val="18"/>
          <w:b w:val="1"/>
          <w:bCs w:val="1"/>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second quarter of 2025?</w:t>
      </w:r>
    </w:p>
    <w:p>
      <w:pPr>
        <w:spacing w:after="0" w:line="103" w:lineRule="exact"/>
        <w:rPr>
          <w:rFonts w:ascii="Arial" w:cs="Arial" w:eastAsia="Arial" w:hAnsi="Arial"/>
          <w:sz w:val="18"/>
          <w:szCs w:val="18"/>
          <w:b w:val="1"/>
          <w:bCs w:val="1"/>
          <w:color w:val="auto"/>
        </w:rPr>
      </w:pPr>
    </w:p>
    <w:p>
      <w:pPr>
        <w:ind w:left="44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ETR for the second quarter of 2025, calculated in accordance with GAAP, was 18.4% as compared to 22.0% for the first quarter of 2025. Excluding charges and credits, the ETR for the second quarter of 2025 was 19.3% as compared to 19.4% for the first quarter of 2025.</w:t>
      </w:r>
    </w:p>
    <w:p>
      <w:pPr>
        <w:spacing w:after="0" w:line="74" w:lineRule="exact"/>
        <w:rPr>
          <w:rFonts w:ascii="Arial" w:cs="Arial" w:eastAsia="Arial" w:hAnsi="Arial"/>
          <w:sz w:val="18"/>
          <w:szCs w:val="18"/>
          <w:b w:val="1"/>
          <w:bCs w:val="1"/>
          <w:color w:val="auto"/>
        </w:rPr>
      </w:pPr>
    </w:p>
    <w:p>
      <w:pPr>
        <w:ind w:left="424" w:right="340" w:hanging="424"/>
        <w:spacing w:after="0" w:line="281" w:lineRule="auto"/>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June 30, 2025, and how did this change from the end of the previous quarter?</w:t>
      </w:r>
    </w:p>
    <w:p>
      <w:pPr>
        <w:spacing w:after="0" w:line="28" w:lineRule="exact"/>
        <w:rPr>
          <w:rFonts w:ascii="Arial" w:cs="Arial" w:eastAsia="Arial" w:hAnsi="Arial"/>
          <w:sz w:val="18"/>
          <w:szCs w:val="18"/>
          <w:b w:val="1"/>
          <w:bCs w:val="1"/>
          <w:color w:val="auto"/>
        </w:rPr>
      </w:pPr>
    </w:p>
    <w:p>
      <w:pPr>
        <w:ind w:left="444" w:right="5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There were 1.351 billion shares of common stock outstanding as of June 30, 2025, and 1.360 billion shares outstanding as of March 31, 2025.</w:t>
      </w:r>
    </w:p>
    <w:p>
      <w:pPr>
        <w:spacing w:after="0" w:line="190"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outstanding at March 31, 2025</w:t>
            </w:r>
          </w:p>
        </w:tc>
        <w:tc>
          <w:tcPr>
            <w:tcW w:w="1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Shares issued to optionees, less shares exchanged</w:t>
            </w: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Vesting of restricted stock</w:t>
            </w:r>
          </w:p>
        </w:tc>
        <w:tc>
          <w:tcPr>
            <w:tcW w:w="13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spacing w:after="0" w:line="202" w:lineRule="exact"/>
              <w:rPr>
                <w:sz w:val="20"/>
                <w:szCs w:val="20"/>
                <w:color w:val="auto"/>
              </w:rPr>
            </w:pPr>
            <w:r>
              <w:rPr>
                <w:rFonts w:ascii="Arial" w:cs="Arial" w:eastAsia="Arial" w:hAnsi="Arial"/>
                <w:sz w:val="18"/>
                <w:szCs w:val="18"/>
                <w:color w:val="auto"/>
              </w:rPr>
              <w:t>Stock repurchase program</w:t>
            </w:r>
          </w:p>
        </w:tc>
        <w:tc>
          <w:tcPr>
            <w:tcW w:w="1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outstanding at June 30, 2025</w:t>
            </w:r>
          </w:p>
        </w:tc>
        <w:tc>
          <w:tcPr>
            <w:tcW w:w="1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44"/>
          </w:cols>
          <w:pgMar w:left="436" w:top="269" w:right="519" w:bottom="1440" w:gutter="0" w:footer="0" w:header="0"/>
        </w:sectPr>
      </w:pPr>
    </w:p>
    <w:bookmarkStart w:id="22" w:name="page23"/>
    <w:bookmarkEnd w:id="22"/>
    <w:p>
      <w:pPr>
        <w:jc w:val="both"/>
        <w:ind w:left="424" w:right="40" w:hanging="424"/>
        <w:spacing w:after="0" w:line="257" w:lineRule="auto"/>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was the weighted average number of shares outstanding during the second quarter of 2025 and first quarter of 2025? How does this reconcile to the average number of shares outstanding, assuming dilution, used in the calculation of diluted earnings per share?</w:t>
      </w:r>
    </w:p>
    <w:p>
      <w:pPr>
        <w:spacing w:after="0" w:line="50" w:lineRule="exact"/>
        <w:rPr>
          <w:rFonts w:ascii="Arial" w:cs="Arial" w:eastAsia="Arial" w:hAnsi="Arial"/>
          <w:sz w:val="18"/>
          <w:szCs w:val="18"/>
          <w:b w:val="1"/>
          <w:bCs w:val="1"/>
          <w:color w:val="auto"/>
        </w:rPr>
      </w:pPr>
    </w:p>
    <w:p>
      <w:pPr>
        <w:ind w:left="44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1.352 billion during the second quarter of 2025 and 1.366 billion during the first quarter of 2025. The following is a reconciliation of the weighted average shares outstanding to the average number of shares outstanding, assuming dilution, used in the calculation of diluted earnings per share.</w:t>
      </w:r>
    </w:p>
    <w:p>
      <w:pPr>
        <w:spacing w:after="0" w:line="206"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4"/>
                <w:szCs w:val="14"/>
                <w:color w:val="auto"/>
              </w:rPr>
              <w:t>(Stated in millions)</w:t>
            </w:r>
          </w:p>
        </w:tc>
      </w:tr>
      <w:tr>
        <w:trPr>
          <w:trHeight w:val="162"/>
        </w:trPr>
        <w:tc>
          <w:tcPr>
            <w:tcW w:w="572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Second Quarter</w:t>
            </w:r>
          </w:p>
        </w:tc>
        <w:tc>
          <w:tcPr>
            <w:tcW w:w="68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First Quarter</w:t>
            </w:r>
          </w:p>
        </w:tc>
      </w:tr>
      <w:tr>
        <w:trPr>
          <w:trHeight w:val="171"/>
        </w:trPr>
        <w:tc>
          <w:tcPr>
            <w:tcW w:w="5720" w:type="dxa"/>
            <w:vAlign w:val="bottom"/>
          </w:tcPr>
          <w:p>
            <w:pPr>
              <w:spacing w:after="0"/>
              <w:rPr>
                <w:sz w:val="14"/>
                <w:szCs w:val="14"/>
                <w:color w:val="auto"/>
              </w:rPr>
            </w:pPr>
          </w:p>
        </w:tc>
        <w:tc>
          <w:tcPr>
            <w:tcW w:w="1080" w:type="dxa"/>
            <w:vAlign w:val="bottom"/>
          </w:tcPr>
          <w:p>
            <w:pPr>
              <w:jc w:val="right"/>
              <w:ind w:right="296"/>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4"/>
                <w:szCs w:val="14"/>
                <w:color w:val="auto"/>
              </w:rPr>
            </w:pPr>
          </w:p>
        </w:tc>
        <w:tc>
          <w:tcPr>
            <w:tcW w:w="1500" w:type="dxa"/>
            <w:vAlign w:val="bottom"/>
            <w:gridSpan w:val="2"/>
          </w:tcPr>
          <w:p>
            <w:pPr>
              <w:jc w:val="right"/>
              <w:ind w:right="155"/>
              <w:spacing w:after="0"/>
              <w:rPr>
                <w:sz w:val="20"/>
                <w:szCs w:val="20"/>
                <w:color w:val="auto"/>
              </w:rPr>
            </w:pPr>
            <w:r>
              <w:rPr>
                <w:rFonts w:ascii="Arial" w:cs="Arial" w:eastAsia="Arial" w:hAnsi="Arial"/>
                <w:sz w:val="14"/>
                <w:szCs w:val="14"/>
                <w:color w:val="auto"/>
              </w:rPr>
              <w:t>2025</w:t>
            </w:r>
          </w:p>
        </w:tc>
        <w:tc>
          <w:tcPr>
            <w:tcW w:w="40" w:type="dxa"/>
            <w:vAlign w:val="bottom"/>
          </w:tcPr>
          <w:p>
            <w:pPr>
              <w:spacing w:after="0"/>
              <w:rPr>
                <w:sz w:val="14"/>
                <w:szCs w:val="14"/>
                <w:color w:val="auto"/>
              </w:rPr>
            </w:pPr>
          </w:p>
        </w:tc>
      </w:tr>
      <w:tr>
        <w:trPr>
          <w:trHeight w:val="196"/>
        </w:trPr>
        <w:tc>
          <w:tcPr>
            <w:tcW w:w="5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1,352</w:t>
            </w: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1,366</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5720" w:type="dxa"/>
            <w:vAlign w:val="bottom"/>
          </w:tcPr>
          <w:p>
            <w:pPr>
              <w:spacing w:after="0" w:line="202" w:lineRule="exact"/>
              <w:rPr>
                <w:sz w:val="20"/>
                <w:szCs w:val="20"/>
                <w:color w:val="auto"/>
              </w:rPr>
            </w:pPr>
            <w:r>
              <w:rPr>
                <w:rFonts w:ascii="Arial" w:cs="Arial" w:eastAsia="Arial" w:hAnsi="Arial"/>
                <w:sz w:val="18"/>
                <w:szCs w:val="18"/>
                <w:color w:val="auto"/>
              </w:rPr>
              <w:t>Unvested restricted stock</w:t>
            </w: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14</w:t>
            </w:r>
          </w:p>
        </w:tc>
        <w:tc>
          <w:tcPr>
            <w:tcW w:w="154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14</w:t>
            </w:r>
          </w:p>
        </w:tc>
      </w:tr>
      <w:tr>
        <w:trPr>
          <w:trHeight w:val="203"/>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exercise of stock options</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— </w:t>
            </w:r>
          </w:p>
        </w:tc>
        <w:tc>
          <w:tcPr>
            <w:tcW w:w="6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— </w:t>
            </w: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1,366</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4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260" w:hanging="424"/>
        <w:spacing w:after="0" w:line="311" w:lineRule="auto"/>
        <w:tabs>
          <w:tab w:leader="none" w:pos="424"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What was SLB’s adjusted EBITDA in the second quarter of 2025, the first quarter of 2025, the second quarter of 2024, the first six months of 2025, and the first six months of 2024? What was SLB’s adjusted EBITDA margin for those periods?</w:t>
      </w:r>
    </w:p>
    <w:p>
      <w:pPr>
        <w:spacing w:after="0" w:line="6" w:lineRule="exact"/>
        <w:rPr>
          <w:rFonts w:ascii="Arial" w:cs="Arial" w:eastAsia="Arial" w:hAnsi="Arial"/>
          <w:sz w:val="17"/>
          <w:szCs w:val="17"/>
          <w:b w:val="1"/>
          <w:bCs w:val="1"/>
          <w:color w:val="auto"/>
        </w:rPr>
      </w:pPr>
    </w:p>
    <w:p>
      <w:pPr>
        <w:ind w:left="444"/>
        <w:spacing w:after="0" w:line="271" w:lineRule="auto"/>
        <w:rPr>
          <w:rFonts w:ascii="Arial" w:cs="Arial" w:eastAsia="Arial" w:hAnsi="Arial"/>
          <w:sz w:val="17"/>
          <w:szCs w:val="17"/>
          <w:b w:val="1"/>
          <w:bCs w:val="1"/>
          <w:color w:val="auto"/>
        </w:rPr>
      </w:pPr>
      <w:r>
        <w:rPr>
          <w:rFonts w:ascii="Arial" w:cs="Arial" w:eastAsia="Arial" w:hAnsi="Arial"/>
          <w:sz w:val="18"/>
          <w:szCs w:val="18"/>
          <w:color w:val="auto"/>
        </w:rPr>
        <w:t>SLB’s adjusted EBITDA was $2.051 billion in the second quarter of 2025, $2.020 billion in the first quarter of 2025, and $2.288 billion in the second quarter of 2024.</w:t>
      </w:r>
    </w:p>
    <w:p>
      <w:pPr>
        <w:spacing w:after="0" w:line="45" w:lineRule="exact"/>
        <w:rPr>
          <w:rFonts w:ascii="Arial" w:cs="Arial" w:eastAsia="Arial" w:hAnsi="Arial"/>
          <w:sz w:val="17"/>
          <w:szCs w:val="17"/>
          <w:b w:val="1"/>
          <w:bCs w:val="1"/>
          <w:color w:val="auto"/>
        </w:rPr>
      </w:pPr>
    </w:p>
    <w:p>
      <w:pPr>
        <w:ind w:left="444" w:right="560"/>
        <w:spacing w:after="0" w:line="271" w:lineRule="auto"/>
        <w:rPr>
          <w:rFonts w:ascii="Arial" w:cs="Arial" w:eastAsia="Arial" w:hAnsi="Arial"/>
          <w:sz w:val="17"/>
          <w:szCs w:val="17"/>
          <w:b w:val="1"/>
          <w:bCs w:val="1"/>
          <w:color w:val="auto"/>
        </w:rPr>
      </w:pPr>
      <w:r>
        <w:rPr>
          <w:rFonts w:ascii="Arial" w:cs="Arial" w:eastAsia="Arial" w:hAnsi="Arial"/>
          <w:sz w:val="18"/>
          <w:szCs w:val="18"/>
          <w:color w:val="auto"/>
        </w:rPr>
        <w:t>SLB’s adjusted EBITDA margin was 24.0% in the second quarter of 2025, 23.8% in the first quarter of 2025, and 25.0% in the second quarter of 2024, and was calculated as follows:</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40" w:type="dxa"/>
            <w:vAlign w:val="bottom"/>
            <w:gridSpan w:val="4"/>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8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Second Quarter</w:t>
            </w:r>
          </w:p>
        </w:tc>
        <w:tc>
          <w:tcPr>
            <w:tcW w:w="1480" w:type="dxa"/>
            <w:vAlign w:val="bottom"/>
            <w:gridSpan w:val="4"/>
          </w:tcPr>
          <w:p>
            <w:pPr>
              <w:ind w:left="300"/>
              <w:spacing w:after="0"/>
              <w:rPr>
                <w:sz w:val="20"/>
                <w:szCs w:val="20"/>
                <w:color w:val="auto"/>
              </w:rPr>
            </w:pPr>
            <w:r>
              <w:rPr>
                <w:rFonts w:ascii="Arial" w:cs="Arial" w:eastAsia="Arial" w:hAnsi="Arial"/>
                <w:sz w:val="14"/>
                <w:szCs w:val="14"/>
                <w:color w:val="auto"/>
              </w:rPr>
              <w:t>First Quarter</w:t>
            </w:r>
          </w:p>
        </w:tc>
        <w:tc>
          <w:tcPr>
            <w:tcW w:w="1640" w:type="dxa"/>
            <w:vAlign w:val="bottom"/>
            <w:gridSpan w:val="4"/>
          </w:tcPr>
          <w:p>
            <w:pPr>
              <w:jc w:val="right"/>
              <w:ind w:right="240"/>
              <w:spacing w:after="0"/>
              <w:rPr>
                <w:sz w:val="20"/>
                <w:szCs w:val="20"/>
                <w:color w:val="auto"/>
              </w:rPr>
            </w:pPr>
            <w:r>
              <w:rPr>
                <w:rFonts w:ascii="Arial" w:cs="Arial" w:eastAsia="Arial" w:hAnsi="Arial"/>
                <w:sz w:val="14"/>
                <w:szCs w:val="14"/>
                <w:color w:val="auto"/>
              </w:rPr>
              <w:t>Second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2025</w:t>
            </w:r>
          </w:p>
        </w:tc>
        <w:tc>
          <w:tcPr>
            <w:tcW w:w="3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2024</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1,014</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797</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1,112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3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237</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234</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8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34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1,285</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1,063</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&amp; credits</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633</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640</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631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142</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(30)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(36)</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560" w:type="dxa"/>
            <w:vAlign w:val="bottom"/>
            <w:gridSpan w:val="2"/>
            <w:shd w:val="clear" w:color="auto" w:fill="CCEEFF"/>
          </w:tcPr>
          <w:p>
            <w:pPr>
              <w:jc w:val="right"/>
              <w:ind w:right="67"/>
              <w:spacing w:after="0" w:line="202" w:lineRule="exact"/>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2,051</w:t>
            </w:r>
          </w:p>
        </w:tc>
        <w:tc>
          <w:tcPr>
            <w:tcW w:w="4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2,020</w:t>
            </w:r>
          </w:p>
        </w:tc>
        <w:tc>
          <w:tcPr>
            <w:tcW w:w="3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7"/>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2,288</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8,546</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8,490</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9,139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 margin</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color w:val="auto"/>
              </w:rPr>
              <w:t>24.0%</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23.8%</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SLB’s adjusted EBITDA was $4.072 billion in the first six months of 2025 and $4.344 billion in the first six months of 2024.</w:t>
      </w:r>
    </w:p>
    <w:p>
      <w:pPr>
        <w:sectPr>
          <w:pgSz w:w="11900" w:h="16838" w:orient="portrait"/>
          <w:cols w:equalWidth="0" w:num="1">
            <w:col w:w="10984"/>
          </w:cols>
          <w:pgMar w:left="436" w:top="269" w:right="479" w:bottom="1440" w:gutter="0" w:footer="0" w:header="0"/>
        </w:sectPr>
      </w:pPr>
    </w:p>
    <w:bookmarkStart w:id="23" w:name="page24"/>
    <w:bookmarkEnd w:id="23"/>
    <w:p>
      <w:pPr>
        <w:ind w:left="444" w:right="62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SLB’s adjusted EBITDA margin was 23.9% in the first six months of 2025 and 24.3% in the first six months of 2024, and was calculated as follows:</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4"/>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Six</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color w:val="auto"/>
              </w:rPr>
              <w:t>Six</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Months</w:t>
            </w:r>
          </w:p>
        </w:tc>
        <w:tc>
          <w:tcPr>
            <w:tcW w:w="180" w:type="dxa"/>
            <w:vAlign w:val="bottom"/>
          </w:tcPr>
          <w:p>
            <w:pPr>
              <w:spacing w:after="0"/>
              <w:rPr>
                <w:sz w:val="14"/>
                <w:szCs w:val="14"/>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color w:val="auto"/>
              </w:rPr>
              <w:t>Months</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33"/>
              <w:spacing w:after="0"/>
              <w:rPr>
                <w:sz w:val="20"/>
                <w:szCs w:val="20"/>
                <w:color w:val="auto"/>
              </w:rPr>
            </w:pPr>
            <w:r>
              <w:rPr>
                <w:rFonts w:ascii="Arial" w:cs="Arial" w:eastAsia="Arial" w:hAnsi="Arial"/>
                <w:sz w:val="14"/>
                <w:szCs w:val="14"/>
                <w:b w:val="1"/>
                <w:bCs w:val="1"/>
                <w:color w:val="auto"/>
              </w:rPr>
              <w:t>2025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4"/>
              <w:spacing w:after="0"/>
              <w:rPr>
                <w:sz w:val="20"/>
                <w:szCs w:val="20"/>
                <w:color w:val="auto"/>
              </w:rPr>
            </w:pPr>
            <w:r>
              <w:rPr>
                <w:rFonts w:ascii="Arial" w:cs="Arial" w:eastAsia="Arial" w:hAnsi="Arial"/>
                <w:sz w:val="14"/>
                <w:szCs w:val="14"/>
                <w:color w:val="auto"/>
              </w:rPr>
              <w:t>2024</w:t>
            </w:r>
          </w:p>
        </w:tc>
        <w:tc>
          <w:tcPr>
            <w:tcW w:w="44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1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1,811</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2,180</w:t>
            </w: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expense</w:t>
            </w:r>
          </w:p>
        </w:tc>
        <w:tc>
          <w:tcPr>
            <w:tcW w:w="1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471</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535</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6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1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2,348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2,778</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Charges &amp; credits</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1,273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1,231</w:t>
            </w: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289</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b w:val="1"/>
                <w:bCs w:val="1"/>
                <w:color w:val="auto"/>
              </w:rPr>
              <w:t>(66)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(77)</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1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4,072</w:t>
            </w:r>
          </w:p>
        </w:tc>
        <w:tc>
          <w:tcPr>
            <w:tcW w:w="2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4,344</w:t>
            </w: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gridSpan w:val="2"/>
            <w:vMerge w:val="continue"/>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8"/>
              </w:rPr>
              <w:t>17,035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w w:val="98"/>
              </w:rPr>
              <w:t>17,846</w:t>
            </w:r>
          </w:p>
        </w:tc>
        <w:tc>
          <w:tcPr>
            <w:tcW w:w="440" w:type="dxa"/>
            <w:vAlign w:val="bottom"/>
          </w:tcPr>
          <w:p>
            <w:pPr>
              <w:spacing w:after="0"/>
              <w:rPr>
                <w:sz w:val="17"/>
                <w:szCs w:val="17"/>
                <w:color w:val="auto"/>
              </w:rPr>
            </w:pPr>
          </w:p>
        </w:tc>
        <w:tc>
          <w:tcPr>
            <w:tcW w:w="8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Adjusted EBITDA margin</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7"/>
              </w:rPr>
              <w:t>23.9%</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24.3%</w:t>
            </w: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-44 bps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44"/>
        <w:spacing w:after="0" w:line="242" w:lineRule="auto"/>
        <w:rPr>
          <w:sz w:val="20"/>
          <w:szCs w:val="20"/>
          <w:color w:val="auto"/>
        </w:rPr>
      </w:pPr>
      <w:r>
        <w:rPr>
          <w:rFonts w:ascii="Arial" w:cs="Arial" w:eastAsia="Arial" w:hAnsi="Arial"/>
          <w:sz w:val="18"/>
          <w:szCs w:val="18"/>
          <w:color w:val="auto"/>
        </w:rPr>
        <w:t>Adjusted EBITDA represents income before taxes, excluding charges &amp; credits, depreciation and amortization, interest expense and interest income. Management believes that adjusted EBITDA is an important profitability measure for SLB and that it provides useful perspective on SLB’s underlying business results and operating trends, and a means to evaluate SLB’s operations period over period.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pacing w:after="0" w:line="84" w:lineRule="exact"/>
        <w:rPr>
          <w:sz w:val="20"/>
          <w:szCs w:val="20"/>
          <w:color w:val="auto"/>
        </w:rPr>
      </w:pPr>
    </w:p>
    <w:p>
      <w:pPr>
        <w:ind w:left="424" w:right="300" w:hanging="424"/>
        <w:spacing w:after="0" w:line="281" w:lineRule="auto"/>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components of depreciation and amortization expense for the second quarter of 2025, the first quarter of 2025, the second quarter of 2024, the first six months of 2025, and the first six months of 2024?</w:t>
      </w:r>
    </w:p>
    <w:p>
      <w:pPr>
        <w:spacing w:after="0" w:line="28" w:lineRule="exact"/>
        <w:rPr>
          <w:rFonts w:ascii="Arial" w:cs="Arial" w:eastAsia="Arial" w:hAnsi="Arial"/>
          <w:sz w:val="18"/>
          <w:szCs w:val="18"/>
          <w:b w:val="1"/>
          <w:bCs w:val="1"/>
          <w:color w:val="auto"/>
        </w:rPr>
      </w:pPr>
    </w:p>
    <w:p>
      <w:pPr>
        <w:ind w:left="444" w:right="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components of depreciation and amortization expense for the second quarter of 2025, the first quarter of 2025, and the second quarter of 2024 were as follows:</w:t>
      </w:r>
    </w:p>
    <w:p>
      <w:pPr>
        <w:sectPr>
          <w:pgSz w:w="11900" w:h="16838" w:orient="portrait"/>
          <w:cols w:equalWidth="0" w:num="1">
            <w:col w:w="10944"/>
          </w:cols>
          <w:pgMar w:left="436" w:top="269"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84"/>
        <w:spacing w:after="0"/>
        <w:rPr>
          <w:sz w:val="20"/>
          <w:szCs w:val="20"/>
          <w:color w:val="auto"/>
        </w:rPr>
      </w:pPr>
      <w:r>
        <w:rPr>
          <w:rFonts w:ascii="Arial" w:cs="Arial" w:eastAsia="Arial" w:hAnsi="Arial"/>
          <w:sz w:val="18"/>
          <w:szCs w:val="18"/>
          <w:color w:val="auto"/>
        </w:rPr>
        <w:t>Depreciation of fixed assets</w:t>
      </w:r>
    </w:p>
    <w:p>
      <w:pPr>
        <w:spacing w:after="0" w:line="23" w:lineRule="exact"/>
        <w:rPr>
          <w:sz w:val="20"/>
          <w:szCs w:val="20"/>
          <w:color w:val="auto"/>
        </w:rPr>
      </w:pPr>
    </w:p>
    <w:p>
      <w:pPr>
        <w:ind w:left="884"/>
        <w:spacing w:after="0"/>
        <w:rPr>
          <w:sz w:val="20"/>
          <w:szCs w:val="20"/>
          <w:color w:val="auto"/>
        </w:rPr>
      </w:pPr>
      <w:r>
        <w:rPr>
          <w:rFonts w:ascii="Arial" w:cs="Arial" w:eastAsia="Arial" w:hAnsi="Arial"/>
          <w:sz w:val="18"/>
          <w:szCs w:val="18"/>
          <w:color w:val="auto"/>
        </w:rPr>
        <w:t>Amortization of intangible assets</w:t>
      </w:r>
    </w:p>
    <w:p>
      <w:pPr>
        <w:ind w:left="884"/>
        <w:spacing w:after="0" w:line="234" w:lineRule="auto"/>
        <w:rPr>
          <w:sz w:val="20"/>
          <w:szCs w:val="20"/>
          <w:color w:val="auto"/>
        </w:rPr>
      </w:pPr>
      <w:r>
        <w:rPr>
          <w:rFonts w:ascii="Arial" w:cs="Arial" w:eastAsia="Arial" w:hAnsi="Arial"/>
          <w:sz w:val="18"/>
          <w:szCs w:val="18"/>
          <w:color w:val="auto"/>
        </w:rPr>
        <w:t>Amortization of APS investments</w:t>
      </w:r>
    </w:p>
    <w:p>
      <w:pPr>
        <w:spacing w:after="0" w:line="1" w:lineRule="exact"/>
        <w:rPr>
          <w:sz w:val="20"/>
          <w:szCs w:val="20"/>
          <w:color w:val="auto"/>
        </w:rPr>
      </w:pPr>
    </w:p>
    <w:p>
      <w:pPr>
        <w:ind w:left="884"/>
        <w:spacing w:after="0"/>
        <w:rPr>
          <w:sz w:val="20"/>
          <w:szCs w:val="20"/>
          <w:color w:val="auto"/>
        </w:rPr>
      </w:pPr>
      <w:r>
        <w:rPr>
          <w:rFonts w:ascii="Arial" w:cs="Arial" w:eastAsia="Arial" w:hAnsi="Arial"/>
          <w:sz w:val="17"/>
          <w:szCs w:val="17"/>
          <w:color w:val="auto"/>
        </w:rPr>
        <w:t>Amortization of exploration data costs capitalized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color w:val="auto"/>
              </w:rPr>
              <w:t>(Stated in millions)</w:t>
            </w:r>
          </w:p>
        </w:tc>
      </w:tr>
      <w:tr>
        <w:trPr>
          <w:trHeight w:val="162"/>
        </w:trPr>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1600" w:type="dxa"/>
            <w:vAlign w:val="bottom"/>
            <w:gridSpan w:val="3"/>
          </w:tcPr>
          <w:p>
            <w:pPr>
              <w:ind w:left="780"/>
              <w:spacing w:after="0"/>
              <w:rPr>
                <w:sz w:val="20"/>
                <w:szCs w:val="20"/>
                <w:color w:val="auto"/>
              </w:rPr>
            </w:pPr>
            <w:r>
              <w:rPr>
                <w:rFonts w:ascii="Arial" w:cs="Arial" w:eastAsia="Arial" w:hAnsi="Arial"/>
                <w:sz w:val="14"/>
                <w:szCs w:val="14"/>
                <w:color w:val="auto"/>
              </w:rPr>
              <w:t>First Quarter</w:t>
            </w:r>
          </w:p>
        </w:tc>
        <w:tc>
          <w:tcPr>
            <w:tcW w:w="1800" w:type="dxa"/>
            <w:vAlign w:val="bottom"/>
            <w:gridSpan w:val="3"/>
          </w:tcPr>
          <w:p>
            <w:pPr>
              <w:ind w:left="780"/>
              <w:spacing w:after="0"/>
              <w:rPr>
                <w:sz w:val="20"/>
                <w:szCs w:val="20"/>
                <w:color w:val="auto"/>
              </w:rPr>
            </w:pPr>
            <w:r>
              <w:rPr>
                <w:rFonts w:ascii="Arial" w:cs="Arial" w:eastAsia="Arial" w:hAnsi="Arial"/>
                <w:sz w:val="14"/>
                <w:szCs w:val="14"/>
                <w:color w:val="auto"/>
              </w:rPr>
              <w:t>Second Quarter</w:t>
            </w:r>
          </w:p>
        </w:tc>
      </w:tr>
      <w:tr>
        <w:trPr>
          <w:trHeight w:val="171"/>
        </w:trPr>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2025</w:t>
            </w: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2025</w:t>
            </w:r>
          </w:p>
        </w:tc>
        <w:tc>
          <w:tcPr>
            <w:tcW w:w="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2024</w:t>
            </w:r>
          </w:p>
        </w:tc>
      </w:tr>
      <w:tr>
        <w:trPr>
          <w:trHeight w:val="177"/>
        </w:trPr>
        <w:tc>
          <w:tcPr>
            <w:tcW w:w="20" w:type="dxa"/>
            <w:vAlign w:val="bottom"/>
          </w:tcPr>
          <w:p>
            <w:pPr>
              <w:spacing w:after="0"/>
              <w:rPr>
                <w:sz w:val="15"/>
                <w:szCs w:val="15"/>
                <w:color w:val="auto"/>
              </w:rPr>
            </w:pPr>
          </w:p>
        </w:tc>
        <w:tc>
          <w:tcPr>
            <w:tcW w:w="220" w:type="dxa"/>
            <w:vAlign w:val="bottom"/>
          </w:tcPr>
          <w:p>
            <w:pPr>
              <w:spacing w:after="0" w:line="177"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408</w:t>
            </w:r>
          </w:p>
        </w:tc>
        <w:tc>
          <w:tcPr>
            <w:tcW w:w="780" w:type="dxa"/>
            <w:vAlign w:val="bottom"/>
          </w:tcPr>
          <w:p>
            <w:pPr>
              <w:spacing w:after="0"/>
              <w:rPr>
                <w:sz w:val="15"/>
                <w:szCs w:val="15"/>
                <w:color w:val="auto"/>
              </w:rPr>
            </w:pPr>
          </w:p>
        </w:tc>
        <w:tc>
          <w:tcPr>
            <w:tcW w:w="16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77" w:lineRule="exact"/>
              <w:rPr>
                <w:sz w:val="20"/>
                <w:szCs w:val="20"/>
                <w:color w:val="auto"/>
              </w:rPr>
            </w:pPr>
            <w:r>
              <w:rPr>
                <w:rFonts w:ascii="Arial" w:cs="Arial" w:eastAsia="Arial" w:hAnsi="Arial"/>
                <w:sz w:val="18"/>
                <w:szCs w:val="18"/>
                <w:color w:val="auto"/>
              </w:rPr>
              <w:t>397</w:t>
            </w:r>
          </w:p>
        </w:tc>
        <w:tc>
          <w:tcPr>
            <w:tcW w:w="780" w:type="dxa"/>
            <w:vAlign w:val="bottom"/>
          </w:tcPr>
          <w:p>
            <w:pPr>
              <w:spacing w:after="0"/>
              <w:rPr>
                <w:sz w:val="15"/>
                <w:szCs w:val="15"/>
                <w:color w:val="auto"/>
              </w:rPr>
            </w:pPr>
          </w:p>
        </w:tc>
        <w:tc>
          <w:tcPr>
            <w:tcW w:w="220" w:type="dxa"/>
            <w:vAlign w:val="bottom"/>
          </w:tcPr>
          <w:p>
            <w:pPr>
              <w:spacing w:after="0" w:line="177"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77" w:lineRule="exact"/>
              <w:rPr>
                <w:sz w:val="20"/>
                <w:szCs w:val="20"/>
                <w:color w:val="auto"/>
              </w:rPr>
            </w:pPr>
            <w:r>
              <w:rPr>
                <w:rFonts w:ascii="Arial" w:cs="Arial" w:eastAsia="Arial" w:hAnsi="Arial"/>
                <w:sz w:val="18"/>
                <w:szCs w:val="18"/>
                <w:color w:val="auto"/>
              </w:rPr>
              <w:t>384</w:t>
            </w: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82</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115</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118</w:t>
            </w:r>
          </w:p>
        </w:tc>
      </w:tr>
      <w:tr>
        <w:trPr>
          <w:trHeight w:val="221"/>
        </w:trPr>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10"/>
        </w:trPr>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633</w:t>
            </w:r>
          </w:p>
        </w:tc>
        <w:tc>
          <w:tcPr>
            <w:tcW w:w="7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7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-693420</wp:posOffset>
            </wp:positionV>
            <wp:extent cx="587184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71845" cy="137160"/>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-427990</wp:posOffset>
            </wp:positionV>
            <wp:extent cx="587184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71845" cy="128905"/>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-153670</wp:posOffset>
            </wp:positionV>
            <wp:extent cx="587184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71845" cy="128905"/>
                    </a:xfrm>
                    <a:prstGeom prst="rect">
                      <a:avLst/>
                    </a:prstGeom>
                    <a:noFill/>
                  </pic:spPr>
                </pic:pic>
              </a:graphicData>
            </a:graphic>
          </wp:anchor>
        </w:drawing>
      </w:r>
    </w:p>
    <w:p>
      <w:pPr>
        <w:sectPr>
          <w:pgSz w:w="11900" w:h="16838" w:orient="portrait"/>
          <w:cols w:equalWidth="0" w:num="2">
            <w:col w:w="4884" w:space="720"/>
            <w:col w:w="5340"/>
          </w:cols>
          <w:pgMar w:left="436" w:top="269" w:right="519" w:bottom="1440" w:gutter="0" w:footer="0" w:header="0"/>
          <w:type w:val="continuous"/>
        </w:sectPr>
      </w:pPr>
    </w:p>
    <w:bookmarkStart w:id="24" w:name="page25"/>
    <w:bookmarkEnd w:id="24"/>
    <w:p>
      <w:pPr>
        <w:ind w:left="444" w:right="22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components of depreciation and amortization expense for the first six months of 2025 and the first six months of 2024 were as follows:</w:t>
      </w:r>
    </w:p>
    <w:p>
      <w:pPr>
        <w:sectPr>
          <w:pgSz w:w="11900" w:h="16838" w:orient="portrait"/>
          <w:cols w:equalWidth="0" w:num="1">
            <w:col w:w="11024"/>
          </w:cols>
          <w:pgMar w:left="436" w:top="269" w:right="4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Depreciation of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-118745</wp:posOffset>
            </wp:positionV>
            <wp:extent cx="474916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Amortization of intangibleassets</w:t>
      </w:r>
    </w:p>
    <w:p>
      <w:pPr>
        <w:ind w:left="1764"/>
        <w:spacing w:after="0" w:line="234" w:lineRule="auto"/>
        <w:rPr>
          <w:sz w:val="20"/>
          <w:szCs w:val="20"/>
          <w:color w:val="auto"/>
        </w:rPr>
      </w:pPr>
      <w:r>
        <w:rPr>
          <w:rFonts w:ascii="Arial" w:cs="Arial" w:eastAsia="Arial" w:hAnsi="Arial"/>
          <w:sz w:val="18"/>
          <w:szCs w:val="18"/>
          <w:color w:val="auto"/>
        </w:rPr>
        <w:t>Amortization of APS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-127000</wp:posOffset>
            </wp:positionV>
            <wp:extent cx="474916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49165" cy="128905"/>
                    </a:xfrm>
                    <a:prstGeom prst="rect">
                      <a:avLst/>
                    </a:prstGeom>
                    <a:noFill/>
                  </pic:spPr>
                </pic:pic>
              </a:graphicData>
            </a:graphic>
          </wp:anchor>
        </w:drawing>
      </w:r>
    </w:p>
    <w:p>
      <w:pPr>
        <w:ind w:left="1764"/>
        <w:spacing w:after="0"/>
        <w:rPr>
          <w:sz w:val="20"/>
          <w:szCs w:val="20"/>
          <w:color w:val="auto"/>
        </w:rPr>
      </w:pPr>
      <w:r>
        <w:rPr>
          <w:rFonts w:ascii="Arial" w:cs="Arial" w:eastAsia="Arial" w:hAnsi="Arial"/>
          <w:sz w:val="17"/>
          <w:szCs w:val="17"/>
          <w:color w:val="auto"/>
        </w:rPr>
        <w:t>Amortization of exploration data costs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22225</wp:posOffset>
            </wp:positionV>
            <wp:extent cx="474916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4916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4"/>
          </w:tcPr>
          <w:p>
            <w:pPr>
              <w:jc w:val="right"/>
              <w:ind w:right="20"/>
              <w:spacing w:after="0"/>
              <w:rPr>
                <w:sz w:val="20"/>
                <w:szCs w:val="20"/>
                <w:color w:val="auto"/>
              </w:rPr>
            </w:pPr>
            <w:r>
              <w:rPr>
                <w:rFonts w:ascii="Arial" w:cs="Arial" w:eastAsia="Arial" w:hAnsi="Arial"/>
                <w:sz w:val="14"/>
                <w:szCs w:val="14"/>
                <w:color w:val="auto"/>
              </w:rPr>
              <w:t>(Stated in mi</w:t>
            </w:r>
            <w:r>
              <w:rPr>
                <w:rFonts w:ascii="Arial" w:cs="Arial" w:eastAsia="Arial" w:hAnsi="Arial"/>
                <w:sz w:val="14"/>
                <w:szCs w:val="14"/>
                <w:b w:val="1"/>
                <w:bCs w:val="1"/>
                <w:color w:val="auto"/>
              </w:rPr>
              <w:t>l</w:t>
            </w:r>
            <w:r>
              <w:rPr>
                <w:rFonts w:ascii="Arial" w:cs="Arial" w:eastAsia="Arial" w:hAnsi="Arial"/>
                <w:sz w:val="14"/>
                <w:szCs w:val="14"/>
                <w:color w:val="auto"/>
              </w:rPr>
              <w:t>ions)</w:t>
            </w:r>
          </w:p>
        </w:tc>
      </w:tr>
      <w:tr>
        <w:trPr>
          <w:trHeight w:val="162"/>
        </w:trPr>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Six Months</w:t>
            </w:r>
          </w:p>
        </w:tc>
        <w:tc>
          <w:tcPr>
            <w:tcW w:w="520" w:type="dxa"/>
            <w:vAlign w:val="bottom"/>
          </w:tcPr>
          <w:p>
            <w:pPr>
              <w:spacing w:after="0"/>
              <w:rPr>
                <w:sz w:val="14"/>
                <w:szCs w:val="1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w w:val="98"/>
              </w:rPr>
              <w:t>Six Months</w:t>
            </w:r>
          </w:p>
        </w:tc>
      </w:tr>
      <w:tr>
        <w:trPr>
          <w:trHeight w:val="171"/>
        </w:trPr>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2024</w:t>
            </w:r>
          </w:p>
        </w:tc>
        <w:tc>
          <w:tcPr>
            <w:tcW w:w="2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40" w:type="dxa"/>
            <w:vAlign w:val="bottom"/>
          </w:tcPr>
          <w:p>
            <w:pPr>
              <w:spacing w:after="0" w:line="195" w:lineRule="exact"/>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805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761</w:t>
            </w:r>
          </w:p>
        </w:tc>
        <w:tc>
          <w:tcPr>
            <w:tcW w:w="20" w:type="dxa"/>
            <w:vAlign w:val="bottom"/>
          </w:tcPr>
          <w:p>
            <w:pPr>
              <w:spacing w:after="0"/>
              <w:rPr>
                <w:sz w:val="16"/>
                <w:szCs w:val="16"/>
                <w:color w:val="auto"/>
              </w:rPr>
            </w:pPr>
          </w:p>
        </w:tc>
      </w:tr>
    </w:tbl>
    <w:p>
      <w:pPr>
        <w:ind w:left="1760" w:hanging="1300"/>
        <w:spacing w:after="0"/>
        <w:tabs>
          <w:tab w:leader="none" w:pos="176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163</w:t>
      </w:r>
    </w:p>
    <w:p>
      <w:pPr>
        <w:spacing w:after="0" w:line="7" w:lineRule="exact"/>
        <w:rPr>
          <w:sz w:val="20"/>
          <w:szCs w:val="20"/>
          <w:color w:val="auto"/>
        </w:rPr>
      </w:pPr>
    </w:p>
    <w:p>
      <w:pPr>
        <w:ind w:left="1760" w:hanging="1300"/>
        <w:spacing w:after="0"/>
        <w:tabs>
          <w:tab w:leader="none" w:pos="1760" w:val="left"/>
        </w:tabs>
        <w:numPr>
          <w:ilvl w:val="0"/>
          <w:numId w:val="22"/>
        </w:numPr>
        <w:rPr>
          <w:rFonts w:ascii="Arial" w:cs="Arial" w:eastAsia="Arial" w:hAnsi="Arial"/>
          <w:sz w:val="17"/>
          <w:szCs w:val="17"/>
          <w:b w:val="1"/>
          <w:bCs w:val="1"/>
          <w:color w:val="auto"/>
        </w:rPr>
      </w:pPr>
      <w:r>
        <w:rPr>
          <w:rFonts w:ascii="Arial" w:cs="Arial" w:eastAsia="Arial" w:hAnsi="Arial"/>
          <w:sz w:val="17"/>
          <w:szCs w:val="17"/>
          <w:color w:val="auto"/>
        </w:rPr>
        <w:t>231</w:t>
      </w:r>
    </w:p>
    <w:p>
      <w:pPr>
        <w:spacing w:after="0" w:line="7" w:lineRule="exact"/>
        <w:rPr>
          <w:rFonts w:ascii="Arial" w:cs="Arial" w:eastAsia="Arial" w:hAnsi="Arial"/>
          <w:sz w:val="17"/>
          <w:szCs w:val="17"/>
          <w:b w:val="1"/>
          <w:bCs w:val="1"/>
          <w:color w:val="auto"/>
        </w:rPr>
      </w:pPr>
    </w:p>
    <w:p>
      <w:pPr>
        <w:ind w:left="1860" w:hanging="1300"/>
        <w:spacing w:after="0"/>
        <w:tabs>
          <w:tab w:leader="none" w:pos="1860"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4883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8315" cy="8255"/>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5080</wp:posOffset>
            </wp:positionV>
            <wp:extent cx="4540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13" w:lineRule="exact"/>
        <w:rPr>
          <w:sz w:val="20"/>
          <w:szCs w:val="20"/>
          <w:color w:val="auto"/>
        </w:rPr>
      </w:pPr>
    </w:p>
    <w:p>
      <w:pPr>
        <w:spacing w:after="0"/>
        <w:tabs>
          <w:tab w:leader="none" w:pos="280" w:val="left"/>
          <w:tab w:leader="none" w:pos="1340" w:val="left"/>
          <w:tab w:leader="none" w:pos="1600" w:val="left"/>
        </w:tabs>
        <w:rPr>
          <w:sz w:val="20"/>
          <w:szCs w:val="20"/>
          <w:color w:val="auto"/>
        </w:rPr>
      </w:pPr>
      <w:r>
        <w:rPr>
          <w:rFonts w:ascii="Arial" w:cs="Arial" w:eastAsia="Arial" w:hAnsi="Arial"/>
          <w:sz w:val="18"/>
          <w:szCs w:val="18"/>
          <w:b w:val="1"/>
          <w:bCs w:val="1"/>
          <w:u w:val="single" w:color="auto"/>
          <w:color w:val="auto"/>
        </w:rPr>
        <w:t>$</w:t>
        <w:tab/>
        <w:t>1,273</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7"/>
          <w:szCs w:val="17"/>
          <w:u w:val="single" w:color="auto"/>
          <w:color w:val="auto"/>
        </w:rPr>
        <w:t>1,231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4883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8315" cy="8255"/>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15240</wp:posOffset>
            </wp:positionV>
            <wp:extent cx="4540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04" w:space="720"/>
            <w:col w:w="3900"/>
          </w:cols>
          <w:pgMar w:left="436" w:top="269" w:right="439" w:bottom="1440" w:gutter="0" w:footer="0" w:header="0"/>
          <w:type w:val="continuous"/>
        </w:sectPr>
      </w:pPr>
    </w:p>
    <w:p>
      <w:pPr>
        <w:spacing w:after="0" w:line="75" w:lineRule="exact"/>
        <w:rPr>
          <w:sz w:val="20"/>
          <w:szCs w:val="20"/>
          <w:color w:val="auto"/>
        </w:rPr>
      </w:pPr>
    </w:p>
    <w:p>
      <w:pPr>
        <w:ind w:left="424" w:right="340" w:hanging="424"/>
        <w:spacing w:after="0" w:line="281" w:lineRule="auto"/>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Divisions comprise SLB’s Core business and what were their revenue and pretax operating income for the second quarter of 2025, the first quarter of 2025, and the second quarter of 2024?</w:t>
      </w:r>
    </w:p>
    <w:p>
      <w:pPr>
        <w:spacing w:after="0" w:line="28" w:lineRule="exact"/>
        <w:rPr>
          <w:rFonts w:ascii="Arial" w:cs="Arial" w:eastAsia="Arial" w:hAnsi="Arial"/>
          <w:sz w:val="18"/>
          <w:szCs w:val="18"/>
          <w:b w:val="1"/>
          <w:bCs w:val="1"/>
          <w:color w:val="auto"/>
        </w:rPr>
      </w:pPr>
    </w:p>
    <w:p>
      <w:pPr>
        <w:ind w:left="444" w:right="280"/>
        <w:spacing w:after="0" w:line="259" w:lineRule="auto"/>
        <w:rPr>
          <w:rFonts w:ascii="Arial" w:cs="Arial" w:eastAsia="Arial" w:hAnsi="Arial"/>
          <w:sz w:val="18"/>
          <w:szCs w:val="18"/>
          <w:b w:val="1"/>
          <w:bCs w:val="1"/>
          <w:color w:val="auto"/>
        </w:rPr>
      </w:pPr>
      <w:r>
        <w:rPr>
          <w:rFonts w:ascii="Arial" w:cs="Arial" w:eastAsia="Arial" w:hAnsi="Arial"/>
          <w:sz w:val="17"/>
          <w:szCs w:val="17"/>
          <w:color w:val="auto"/>
        </w:rPr>
        <w:t>SLB’s Core business comprises the Reservoir Performance, Well Construction, and Production Systems Divisions. SLB’s Core business revenue and pretax operating income for the second quarter of 2025, the first quarter of 2025, and the second quarter of</w:t>
      </w:r>
    </w:p>
    <w:p>
      <w:pPr>
        <w:spacing w:after="0" w:line="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2024 are calculated as follows:</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75"/>
        </w:trPr>
        <w:tc>
          <w:tcPr>
            <w:tcW w:w="6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gridSpan w:val="4"/>
          </w:tcPr>
          <w:p>
            <w:pPr>
              <w:jc w:val="right"/>
              <w:ind w:right="60"/>
              <w:spacing w:after="0"/>
              <w:rPr>
                <w:sz w:val="20"/>
                <w:szCs w:val="20"/>
                <w:color w:val="auto"/>
              </w:rPr>
            </w:pPr>
            <w:r>
              <w:rPr>
                <w:rFonts w:ascii="Arial" w:cs="Arial" w:eastAsia="Arial" w:hAnsi="Arial"/>
                <w:sz w:val="14"/>
                <w:szCs w:val="14"/>
                <w:color w:val="auto"/>
              </w:rPr>
              <w:t>(Stated in m i</w:t>
            </w:r>
            <w:r>
              <w:rPr>
                <w:rFonts w:ascii="Arial" w:cs="Arial" w:eastAsia="Arial" w:hAnsi="Arial"/>
                <w:sz w:val="14"/>
                <w:szCs w:val="14"/>
                <w:b w:val="1"/>
                <w:bCs w:val="1"/>
                <w:color w:val="auto"/>
              </w:rPr>
              <w:t>l</w:t>
            </w:r>
            <w:r>
              <w:rPr>
                <w:rFonts w:ascii="Arial" w:cs="Arial" w:eastAsia="Arial" w:hAnsi="Arial"/>
                <w:sz w:val="14"/>
                <w:szCs w:val="14"/>
                <w:color w:val="auto"/>
              </w:rPr>
              <w:t>ions)</w:t>
            </w: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4"/>
          </w:tcPr>
          <w:p>
            <w:pPr>
              <w:ind w:lef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6240" w:type="dxa"/>
            <w:vAlign w:val="bottom"/>
          </w:tcPr>
          <w:p>
            <w:pPr>
              <w:spacing w:after="0"/>
              <w:rPr>
                <w:sz w:val="12"/>
                <w:szCs w:val="12"/>
                <w:color w:val="auto"/>
              </w:rPr>
            </w:pPr>
          </w:p>
        </w:tc>
        <w:tc>
          <w:tcPr>
            <w:tcW w:w="960" w:type="dxa"/>
            <w:vAlign w:val="bottom"/>
            <w:tcBorders>
              <w:top w:val="single" w:sz="8" w:color="auto"/>
            </w:tcBorders>
            <w:gridSpan w:val="3"/>
          </w:tcPr>
          <w:p>
            <w:pPr>
              <w:jc w:val="center"/>
              <w:ind w:right="420"/>
              <w:spacing w:after="0" w:line="147" w:lineRule="exact"/>
              <w:rPr>
                <w:sz w:val="20"/>
                <w:szCs w:val="20"/>
                <w:color w:val="auto"/>
              </w:rPr>
            </w:pPr>
            <w:r>
              <w:rPr>
                <w:rFonts w:ascii="Arial" w:cs="Arial" w:eastAsia="Arial" w:hAnsi="Arial"/>
                <w:sz w:val="14"/>
                <w:szCs w:val="14"/>
                <w:b w:val="1"/>
                <w:bCs w:val="1"/>
                <w:color w:val="auto"/>
              </w:rPr>
              <w:t>Jun.30,</w:t>
            </w:r>
          </w:p>
        </w:tc>
        <w:tc>
          <w:tcPr>
            <w:tcW w:w="980" w:type="dxa"/>
            <w:vAlign w:val="bottom"/>
            <w:tcBorders>
              <w:top w:val="single" w:sz="8" w:color="auto"/>
            </w:tcBorders>
            <w:gridSpan w:val="3"/>
          </w:tcPr>
          <w:p>
            <w:pPr>
              <w:jc w:val="center"/>
              <w:ind w:right="420"/>
              <w:spacing w:after="0" w:line="147" w:lineRule="exact"/>
              <w:rPr>
                <w:sz w:val="20"/>
                <w:szCs w:val="20"/>
                <w:color w:val="auto"/>
              </w:rPr>
            </w:pPr>
            <w:r>
              <w:rPr>
                <w:rFonts w:ascii="Arial" w:cs="Arial" w:eastAsia="Arial" w:hAnsi="Arial"/>
                <w:sz w:val="14"/>
                <w:szCs w:val="14"/>
                <w:color w:val="auto"/>
              </w:rPr>
              <w:t>Mar.31,</w:t>
            </w: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Jun.30,</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1"/>
              <w:spacing w:after="0"/>
              <w:rPr>
                <w:sz w:val="20"/>
                <w:szCs w:val="20"/>
                <w:color w:val="auto"/>
              </w:rPr>
            </w:pPr>
            <w:r>
              <w:rPr>
                <w:rFonts w:ascii="Arial" w:cs="Arial" w:eastAsia="Arial" w:hAnsi="Arial"/>
                <w:sz w:val="14"/>
                <w:szCs w:val="14"/>
                <w:color w:val="auto"/>
                <w:w w:val="96"/>
              </w:rPr>
              <w:t>2025</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2024</w:t>
            </w:r>
          </w:p>
        </w:tc>
        <w:tc>
          <w:tcPr>
            <w:tcW w:w="4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Sequential</w:t>
            </w:r>
          </w:p>
        </w:tc>
        <w:tc>
          <w:tcPr>
            <w:tcW w:w="2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83"/>
        </w:trPr>
        <w:tc>
          <w:tcPr>
            <w:tcW w:w="62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1,691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1,700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1,819</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2,963</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2,977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3,411</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3,036</w:t>
            </w: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2,938</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w w:val="97"/>
              </w:rPr>
              <w:t>3,025</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w w:val="97"/>
              </w:rPr>
              <w:t>7,690</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7,615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w w:val="97"/>
              </w:rPr>
              <w:t>8,255</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9"/>
              </w:rPr>
              <w:t>1%</w:t>
            </w:r>
          </w:p>
        </w:tc>
        <w:tc>
          <w:tcPr>
            <w:tcW w:w="1080" w:type="dxa"/>
            <w:vAlign w:val="bottom"/>
            <w:gridSpan w:val="2"/>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314</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376</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551</w:t>
            </w:r>
          </w:p>
        </w:tc>
        <w:tc>
          <w:tcPr>
            <w:tcW w:w="12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589</w:t>
            </w:r>
          </w:p>
        </w:tc>
        <w:tc>
          <w:tcPr>
            <w:tcW w:w="100" w:type="dxa"/>
            <w:vAlign w:val="bottom"/>
          </w:tcPr>
          <w:p>
            <w:pPr>
              <w:spacing w:after="0"/>
              <w:rPr>
                <w:sz w:val="17"/>
                <w:szCs w:val="17"/>
                <w:color w:val="auto"/>
              </w:rPr>
            </w:pPr>
          </w:p>
        </w:tc>
        <w:tc>
          <w:tcPr>
            <w:tcW w:w="8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742</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b w:val="1"/>
                <w:bCs w:val="1"/>
                <w:color w:val="auto"/>
              </w:rPr>
              <w:t>499</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473</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1,364</w:t>
            </w:r>
          </w:p>
        </w:tc>
        <w:tc>
          <w:tcPr>
            <w:tcW w:w="4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1,346</w:t>
            </w:r>
          </w:p>
        </w:tc>
        <w:tc>
          <w:tcPr>
            <w:tcW w:w="4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1,591</w:t>
            </w:r>
          </w:p>
        </w:tc>
        <w:tc>
          <w:tcPr>
            <w:tcW w:w="4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w:t>
            </w:r>
          </w:p>
        </w:tc>
        <w:tc>
          <w:tcPr>
            <w:tcW w:w="2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Pretax Operating Margin</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Reservoir Performance</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18.6%</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16.6%</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20.6%</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Well Construction</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18.6%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21.7%</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Production Systems</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16.4%</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16.2%</w:t>
            </w:r>
          </w:p>
        </w:tc>
        <w:tc>
          <w:tcPr>
            <w:tcW w:w="10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15.6%</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rPr>
              <w:t>17.7%</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19.3%</w:t>
            </w:r>
          </w:p>
        </w:tc>
        <w:tc>
          <w:tcPr>
            <w:tcW w:w="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7"/>
              </w:rPr>
              <w:t>8 bps</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-152 bps</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4"/>
          </w:cols>
          <w:pgMar w:left="436" w:top="269" w:right="439" w:bottom="1440" w:gutter="0" w:footer="0" w:header="0"/>
          <w:type w:val="continuous"/>
        </w:sectPr>
      </w:pPr>
    </w:p>
    <w:bookmarkStart w:id="25" w:name="page26"/>
    <w:bookmarkEnd w:id="2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SLB</w:t>
      </w:r>
    </w:p>
    <w:p>
      <w:pPr>
        <w:spacing w:after="0" w:line="104" w:lineRule="exact"/>
        <w:rPr>
          <w:sz w:val="20"/>
          <w:szCs w:val="20"/>
          <w:color w:val="auto"/>
        </w:rPr>
      </w:pPr>
    </w:p>
    <w:p>
      <w:pPr>
        <w:ind w:left="4" w:right="200"/>
        <w:spacing w:after="0" w:line="247" w:lineRule="auto"/>
        <w:rPr>
          <w:sz w:val="20"/>
          <w:szCs w:val="20"/>
          <w:color w:val="auto"/>
        </w:rPr>
      </w:pPr>
      <w:r>
        <w:rPr>
          <w:rFonts w:ascii="Arial" w:cs="Arial" w:eastAsia="Arial" w:hAnsi="Arial"/>
          <w:sz w:val="18"/>
          <w:szCs w:val="18"/>
          <w:color w:val="auto"/>
        </w:rPr>
        <w:t>SLB (NYSE: SLB) is a global technology company driving energy innovation for a balanced planet.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Conference Call Information</w:t>
      </w:r>
    </w:p>
    <w:p>
      <w:pPr>
        <w:spacing w:after="0" w:line="104" w:lineRule="exact"/>
        <w:rPr>
          <w:sz w:val="20"/>
          <w:szCs w:val="20"/>
          <w:color w:val="auto"/>
        </w:rPr>
      </w:pPr>
    </w:p>
    <w:p>
      <w:pPr>
        <w:ind w:left="4" w:right="60"/>
        <w:spacing w:after="0" w:line="259" w:lineRule="auto"/>
        <w:rPr>
          <w:sz w:val="20"/>
          <w:szCs w:val="20"/>
          <w:color w:val="auto"/>
        </w:rPr>
      </w:pPr>
      <w:r>
        <w:rPr>
          <w:rFonts w:ascii="Arial" w:cs="Arial" w:eastAsia="Arial" w:hAnsi="Arial"/>
          <w:sz w:val="17"/>
          <w:szCs w:val="17"/>
          <w:color w:val="auto"/>
        </w:rPr>
        <w:t>SLB will hold a conference call to discuss the earnings press release and business outlook on Friday, July 18, 2025. The call is scheduled to begin at 9:30 a.m. U.S. Eastern time. To access the call, which is open to the public, please contact the conference call operator at +1</w:t>
      </w:r>
    </w:p>
    <w:p>
      <w:pPr>
        <w:spacing w:after="0" w:line="1" w:lineRule="exact"/>
        <w:rPr>
          <w:sz w:val="20"/>
          <w:szCs w:val="20"/>
          <w:color w:val="auto"/>
        </w:rPr>
      </w:pPr>
    </w:p>
    <w:p>
      <w:pPr>
        <w:ind w:left="4" w:right="100" w:hanging="4"/>
        <w:spacing w:after="0" w:line="239" w:lineRule="auto"/>
        <w:tabs>
          <w:tab w:leader="none" w:pos="474" w:val="left"/>
        </w:tabs>
        <w:numPr>
          <w:ilvl w:val="0"/>
          <w:numId w:val="25"/>
        </w:numPr>
        <w:rPr>
          <w:rFonts w:ascii="Arial" w:cs="Arial" w:eastAsia="Arial" w:hAnsi="Arial"/>
          <w:sz w:val="18"/>
          <w:szCs w:val="18"/>
          <w:color w:val="auto"/>
        </w:rPr>
      </w:pPr>
      <w:r>
        <w:rPr>
          <w:rFonts w:ascii="Arial" w:cs="Arial" w:eastAsia="Arial" w:hAnsi="Arial"/>
          <w:sz w:val="18"/>
          <w:szCs w:val="18"/>
          <w:color w:val="auto"/>
        </w:rPr>
        <w:t>470-1428 within North America, or +1 (404) 975-4839 outside of North America, approximately 10 minutes prior to the call’s scheduled start time, and provide the access code 719185. At the conclusion of the conference call, an audio replay will be available until July 25, 2025, by dialling +1 (866) 813-9403 within North America, or +1 (929) 458-6194 outside of North America, and providing the access code 672413. The conference call will be webcasted simultaneously at https://events.q4inc.com/attendee/492107617 on a listen-only basis. A replay of the webcast will also be available at the same website until July 25, 2025.</w:t>
      </w:r>
    </w:p>
    <w:p>
      <w:pPr>
        <w:sectPr>
          <w:pgSz w:w="11900" w:h="16838" w:orient="portrait"/>
          <w:cols w:equalWidth="0" w:num="1">
            <w:col w:w="11004"/>
          </w:cols>
          <w:pgMar w:left="436" w:top="269" w:right="459" w:bottom="1440" w:gutter="0" w:footer="0" w:header="0"/>
        </w:sectPr>
      </w:pP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Investors</w:t>
      </w:r>
    </w:p>
    <w:p>
      <w:pPr>
        <w:spacing w:after="0" w:line="14" w:lineRule="exact"/>
        <w:rPr>
          <w:sz w:val="20"/>
          <w:szCs w:val="20"/>
          <w:color w:val="auto"/>
        </w:rPr>
      </w:pPr>
    </w:p>
    <w:p>
      <w:pPr>
        <w:ind w:left="4"/>
        <w:spacing w:after="0"/>
        <w:rPr>
          <w:sz w:val="20"/>
          <w:szCs w:val="20"/>
          <w:color w:val="auto"/>
        </w:rPr>
      </w:pPr>
      <w:r>
        <w:rPr>
          <w:rFonts w:ascii="Arial" w:cs="Arial" w:eastAsia="Arial" w:hAnsi="Arial"/>
          <w:sz w:val="17"/>
          <w:szCs w:val="17"/>
          <w:color w:val="auto"/>
        </w:rPr>
        <w:t>James R. McDonald – SVP, Investor Relations &amp; Industry Affairs, SLB</w:t>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Joy V. Domingo – Director of Investor Relations, SLB</w:t>
      </w:r>
    </w:p>
    <w:p>
      <w:pPr>
        <w:ind w:left="4"/>
        <w:spacing w:after="0" w:line="234" w:lineRule="auto"/>
        <w:rPr>
          <w:sz w:val="20"/>
          <w:szCs w:val="20"/>
          <w:color w:val="auto"/>
        </w:rPr>
      </w:pPr>
      <w:r>
        <w:rPr>
          <w:rFonts w:ascii="Arial" w:cs="Arial" w:eastAsia="Arial" w:hAnsi="Arial"/>
          <w:sz w:val="18"/>
          <w:szCs w:val="18"/>
          <w:color w:val="auto"/>
        </w:rPr>
        <w:t>Tel: +1 (713) 375-3535</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investor-relations@slb.com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Josh Byerly – SVP of Communications, SLB</w:t>
      </w:r>
    </w:p>
    <w:p>
      <w:pPr>
        <w:spacing w:after="0"/>
        <w:rPr>
          <w:sz w:val="20"/>
          <w:szCs w:val="20"/>
          <w:color w:val="auto"/>
        </w:rPr>
      </w:pPr>
      <w:r>
        <w:rPr>
          <w:rFonts w:ascii="Arial" w:cs="Arial" w:eastAsia="Arial" w:hAnsi="Arial"/>
          <w:sz w:val="17"/>
          <w:szCs w:val="17"/>
          <w:color w:val="auto"/>
        </w:rPr>
        <w:t>Moira Duff – Director of External Communications, SLB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Tel: +1 (713) 375-3407</w:t>
      </w:r>
    </w:p>
    <w:p>
      <w:pPr>
        <w:spacing w:after="0"/>
        <w:rPr>
          <w:sz w:val="20"/>
          <w:szCs w:val="20"/>
          <w:color w:val="auto"/>
        </w:rPr>
      </w:pPr>
      <w:r>
        <w:rPr>
          <w:rFonts w:ascii="Arial" w:cs="Arial" w:eastAsia="Arial" w:hAnsi="Arial"/>
          <w:sz w:val="18"/>
          <w:szCs w:val="18"/>
          <w:color w:val="auto"/>
        </w:rPr>
        <w:t>Email: media@slb.com</w:t>
      </w:r>
    </w:p>
    <w:p>
      <w:pPr>
        <w:spacing w:after="0" w:line="200" w:lineRule="exact"/>
        <w:rPr>
          <w:sz w:val="20"/>
          <w:szCs w:val="20"/>
          <w:color w:val="auto"/>
        </w:rPr>
      </w:pPr>
    </w:p>
    <w:p>
      <w:pPr>
        <w:sectPr>
          <w:pgSz w:w="11900" w:h="16838" w:orient="portrait"/>
          <w:cols w:equalWidth="0" w:num="2">
            <w:col w:w="5544" w:space="200"/>
            <w:col w:w="5260"/>
          </w:cols>
          <w:pgMar w:left="436" w:top="269" w:right="459" w:bottom="1440" w:gutter="0" w:footer="0" w:header="0"/>
          <w:type w:val="continuous"/>
        </w:sectPr>
      </w:pPr>
    </w:p>
    <w:p>
      <w:pPr>
        <w:spacing w:after="0" w:line="10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ind w:left="4"/>
        <w:spacing w:after="0" w:line="236" w:lineRule="auto"/>
        <w:rPr>
          <w:sz w:val="20"/>
          <w:szCs w:val="20"/>
          <w:color w:val="auto"/>
        </w:rPr>
      </w:pPr>
      <w:r>
        <w:rPr>
          <w:rFonts w:ascii="Arial" w:cs="Arial" w:eastAsia="Arial" w:hAnsi="Arial"/>
          <w:sz w:val="18"/>
          <w:szCs w:val="18"/>
          <w:color w:val="auto"/>
        </w:rPr>
        <w:t>This second-quarter 2025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the benefits of the ChampionX acquisition, including the ability of SLB to integrate the ChampionX business successfully and to achieve anticipated synergies and value creation from the acquisition;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the ongoing or escalating conflicts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foreign currency risk; inflation; changes in monetary policy by governments; tariffs;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(the “SEC”).</w:t>
      </w:r>
    </w:p>
    <w:p>
      <w:pPr>
        <w:sectPr>
          <w:pgSz w:w="11900" w:h="16838" w:orient="portrait"/>
          <w:cols w:equalWidth="0" w:num="1">
            <w:col w:w="11004"/>
          </w:cols>
          <w:pgMar w:left="436" w:top="269" w:right="4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SLB disclaims any intention or obligation to update publicly or revise such statements, whether as a result of new information, future events, or otherwise.</w:t>
      </w:r>
    </w:p>
    <w:sectPr>
      <w:pgSz w:w="11900" w:h="16838" w:orient="portrait"/>
      <w:cols w:equalWidth="0" w:num="1">
        <w:col w:w="10980"/>
      </w:cols>
      <w:pgMar w:left="440" w:top="26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lowerLetter"/>
      <w:start w:val="4"/>
    </w:lvl>
  </w:abstractNum>
  <w:abstractNum w:abstractNumId="2">
    <w:nsid w:val="DED7263"/>
    <w:multiLevelType w:val="hybridMultilevel"/>
    <w:lvl w:ilvl="0">
      <w:lvlJc w:val="left"/>
      <w:lvlText w:val="%1"/>
      <w:numFmt w:val="decimal"/>
      <w:start w:val="99"/>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4"/>
    </w:lvl>
  </w:abstractNum>
  <w:abstractNum w:abstractNumId="17">
    <w:nsid w:val="333AB105"/>
    <w:multiLevelType w:val="hybridMultilevel"/>
    <w:lvl w:ilvl="0">
      <w:lvlJc w:val="left"/>
      <w:lvlText w:val="%1)"/>
      <w:numFmt w:val="decimal"/>
      <w:start w:val="8"/>
    </w:lvl>
  </w:abstractNum>
  <w:abstractNum w:abstractNumId="18">
    <w:nsid w:val="721DA317"/>
    <w:multiLevelType w:val="hybridMultilevel"/>
    <w:lvl w:ilvl="0">
      <w:lvlJc w:val="left"/>
      <w:lvlText w:val="%1)"/>
      <w:numFmt w:val="decimal"/>
      <w:start w:val="9"/>
    </w:lvl>
  </w:abstractNum>
  <w:abstractNum w:abstractNumId="19">
    <w:nsid w:val="2443A858"/>
    <w:multiLevelType w:val="hybridMultilevel"/>
    <w:lvl w:ilvl="0">
      <w:lvlJc w:val="left"/>
      <w:lvlText w:val="%1)"/>
      <w:numFmt w:val="decimal"/>
      <w:start w:val="10"/>
    </w:lvl>
  </w:abstractNum>
  <w:abstractNum w:abstractNumId="20">
    <w:nsid w:val="2D1D5AE9"/>
    <w:multiLevelType w:val="hybridMultilevel"/>
    <w:lvl w:ilvl="0">
      <w:lvlJc w:val="left"/>
      <w:lvlText w:val="%1"/>
      <w:numFmt w:val="decimal"/>
      <w:start w:val="164"/>
    </w:lvl>
  </w:abstractNum>
  <w:abstractNum w:abstractNumId="21">
    <w:nsid w:val="6763845E"/>
    <w:multiLevelType w:val="hybridMultilevel"/>
    <w:lvl w:ilvl="0">
      <w:lvlJc w:val="left"/>
      <w:lvlText w:val="%1"/>
      <w:numFmt w:val="decimal"/>
      <w:start w:val="225"/>
    </w:lvl>
  </w:abstractNum>
  <w:abstractNum w:abstractNumId="22">
    <w:nsid w:val="75A2A8D4"/>
    <w:multiLevelType w:val="hybridMultilevel"/>
    <w:lvl w:ilvl="0">
      <w:lvlJc w:val="left"/>
      <w:lvlText w:val="%1"/>
      <w:numFmt w:val="decimal"/>
      <w:start w:val="79"/>
    </w:lvl>
  </w:abstractNum>
  <w:abstractNum w:abstractNumId="23">
    <w:nsid w:val="8EDBDAB"/>
    <w:multiLevelType w:val="hybridMultilevel"/>
    <w:lvl w:ilvl="0">
      <w:lvlJc w:val="left"/>
      <w:lvlText w:val="%1)"/>
      <w:numFmt w:val="decimal"/>
      <w:start w:val="11"/>
    </w:lvl>
  </w:abstractNum>
  <w:abstractNum w:abstractNumId="24">
    <w:nsid w:val="79838CB2"/>
    <w:multiLevelType w:val="hybridMultilevel"/>
    <w:lvl w:ilvl="0">
      <w:lvlJc w:val="left"/>
      <w:lvlText w:val="(%1)"/>
      <w:numFmt w:val="decimal"/>
      <w:start w:val="83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2025-07-18T06:10:56Z</dcterms:created>
  <dcterms:modified xsi:type="dcterms:W3CDTF">2025-07-18T06:10:56Z</dcterms:modified>
</cp:coreProperties>
</file>