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2"/>
          <w:szCs w:val="42"/>
          <w:b w:val="1"/>
          <w:bCs w:val="1"/>
          <w:color w:val="auto"/>
        </w:rPr>
        <w:t>SCHLUMBERGER N.V. (SCHLUMBERGER LIMITED)</w:t>
      </w:r>
    </w:p>
    <w:p>
      <w:pPr>
        <w:spacing w:after="0" w:line="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52-0684746</w:t>
      </w:r>
    </w:p>
    <w:p>
      <w:pPr>
        <w:spacing w:after="0" w:line="12" w:lineRule="exact"/>
        <w:rPr>
          <w:sz w:val="24"/>
          <w:szCs w:val="24"/>
          <w:color w:val="auto"/>
        </w:rPr>
      </w:pPr>
    </w:p>
    <w:p>
      <w:pPr>
        <w:sectPr>
          <w:pgSz w:w="11900" w:h="16838" w:orient="portrait"/>
          <w:cols w:equalWidth="0" w:num="3">
            <w:col w:w="4860" w:space="720"/>
            <w:col w:w="2860" w:space="720"/>
            <w:col w:w="2140"/>
          </w:cols>
          <w:pgMar w:left="240" w:top="362" w:right="35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5599 San Felipe, 17</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Houston, Texas 77056</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62 Buckingham Gate, London SW1E 6AJ</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Parkstraat 83, The Hague, The Netherlands 2514JG</w:t>
      </w:r>
    </w:p>
    <w:p>
      <w:pPr>
        <w:spacing w:after="0" w:line="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300"/>
          </w:cols>
          <w:pgMar w:left="240" w:top="362" w:right="359" w:bottom="1440" w:gutter="0" w:footer="0" w:header="0"/>
          <w:type w:val="continuous"/>
        </w:sectPr>
      </w:pP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On January 19, 2017, the Board of Directors (the “Board”) of Schlumberger Limited (Schlumberger N.V.). (the “Company”) amended the Company’s Amended and Restated By-laws </w:t>
      </w:r>
      <w:r>
        <w:rPr>
          <w:rFonts w:ascii="Times New Roman" w:cs="Times New Roman" w:eastAsia="Times New Roman" w:hAnsi="Times New Roman"/>
          <w:sz w:val="18"/>
          <w:szCs w:val="18"/>
          <w:i w:val="1"/>
          <w:iCs w:val="1"/>
          <w:color w:val="auto"/>
        </w:rPr>
        <w:t>(Reglement)</w:t>
      </w:r>
      <w:r>
        <w:rPr>
          <w:rFonts w:ascii="Times New Roman" w:cs="Times New Roman" w:eastAsia="Times New Roman" w:hAnsi="Times New Roman"/>
          <w:sz w:val="18"/>
          <w:szCs w:val="18"/>
          <w:color w:val="auto"/>
        </w:rPr>
        <w:t xml:space="preserve"> (the “By-laws”) to provide for proxy access and to include advance notice provisions addressing the nomination of persons for election to the Board and other business proposed to be considered at annual and special general meetings of stockholders, and to make other clarifying, conforming or minor amendments. Regarding these amendments:</w:t>
      </w:r>
    </w:p>
    <w:p>
      <w:pPr>
        <w:spacing w:after="0" w:line="86" w:lineRule="exact"/>
        <w:rPr>
          <w:sz w:val="20"/>
          <w:szCs w:val="20"/>
          <w:color w:val="auto"/>
        </w:rPr>
      </w:pPr>
    </w:p>
    <w:p>
      <w:pPr>
        <w:ind w:left="440" w:right="160" w:hanging="324"/>
        <w:spacing w:after="0" w:line="261"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access provisions, set forth in Section 1.10 of the By-laws, permit a stockholder, or a group of up to 20 stockholders, owning at least 3% of the Company’s outstanding common stock continuously for at least three years, to nominate and include in the Company’s annual meeting proxy materials director nominees constituting up to the greater of two nominees or 20% of the Board, provided that the stockholder(s) and the director nominee(s) satisfy the requirements specified in the By-laws.</w:t>
      </w:r>
    </w:p>
    <w:p>
      <w:pPr>
        <w:spacing w:after="0" w:line="85" w:lineRule="exact"/>
        <w:rPr>
          <w:rFonts w:ascii="Times New Roman" w:cs="Times New Roman" w:eastAsia="Times New Roman" w:hAnsi="Times New Roman"/>
          <w:sz w:val="18"/>
          <w:szCs w:val="18"/>
          <w:color w:val="auto"/>
        </w:rPr>
      </w:pPr>
    </w:p>
    <w:p>
      <w:pPr>
        <w:ind w:left="440" w:right="40" w:hanging="324"/>
        <w:spacing w:after="0" w:line="258"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notice provisions, set forth in Section 1.9 of the By-laws, set forth information and timing provisions for stockholders to nominate persons for election to the Board and propose other business to be considered at annual and special general meetings of stockholders. For annual meetings, the By-laws require a stockholder to provide certain information about the stockholder and the nominee or item of business generally not later than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nor earlier than the close of business on the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first anniversary of the preceding year’s annual general meeting of stockholders of the Company.</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By-laws became effective immediately upon their adoption by the Board. This description of the amendments to the By-laws is qualified in its entirety by reference to the text of the By-laws, a copy of which is included as Exhibit 3.1 to this Current Report on Form 8-K.</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filed pursuant to Item 9.01 of this Form 8-K.</w:t>
      </w:r>
    </w:p>
    <w:p>
      <w:pPr>
        <w:spacing w:after="0" w:line="23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By-laws (</w:t>
      </w:r>
      <w:r>
        <w:rPr>
          <w:rFonts w:ascii="Times New Roman" w:cs="Times New Roman" w:eastAsia="Times New Roman" w:hAnsi="Times New Roman"/>
          <w:sz w:val="17"/>
          <w:szCs w:val="17"/>
          <w:i w:val="1"/>
          <w:iCs w:val="1"/>
          <w:color w:val="auto"/>
        </w:rPr>
        <w:t>Reglement</w:t>
      </w:r>
      <w:r>
        <w:rPr>
          <w:rFonts w:ascii="Times New Roman" w:cs="Times New Roman" w:eastAsia="Times New Roman" w:hAnsi="Times New Roman"/>
          <w:sz w:val="17"/>
          <w:szCs w:val="17"/>
          <w:color w:val="auto"/>
        </w:rPr>
        <w:t>) of Schlumberger Limited (Schlumberger N.V.).</w:t>
      </w:r>
    </w:p>
    <w:p>
      <w:pPr>
        <w:sectPr>
          <w:pgSz w:w="11900" w:h="16838" w:orient="portrait"/>
          <w:cols w:equalWidth="0" w:num="1">
            <w:col w:w="11400"/>
          </w:cols>
          <w:pgMar w:left="240" w:top="266"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19, 2017</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SCHLUMBERGER N.V.</w:t>
            </w:r>
          </w:p>
        </w:tc>
      </w:tr>
      <w:tr>
        <w:trPr>
          <w:trHeight w:val="234"/>
        </w:trPr>
        <w:tc>
          <w:tcPr>
            <w:tcW w:w="374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(SCHLUMBERGER LIMITED)</w:t>
            </w:r>
          </w:p>
        </w:tc>
      </w:tr>
      <w:tr>
        <w:trPr>
          <w:trHeight w:val="446"/>
        </w:trPr>
        <w:tc>
          <w:tcPr>
            <w:tcW w:w="374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R. Laureles</w:t>
            </w:r>
          </w:p>
        </w:tc>
      </w:tr>
      <w:tr>
        <w:trPr>
          <w:trHeight w:val="205"/>
        </w:trPr>
        <w:tc>
          <w:tcPr>
            <w:tcW w:w="3740" w:type="dxa"/>
            <w:vAlign w:val="bottom"/>
          </w:tcPr>
          <w:p>
            <w:pPr>
              <w:spacing w:after="0"/>
              <w:rPr>
                <w:sz w:val="17"/>
                <w:szCs w:val="17"/>
                <w:color w:val="auto"/>
              </w:rPr>
            </w:pPr>
          </w:p>
        </w:tc>
        <w:tc>
          <w:tcPr>
            <w:tcW w:w="266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Saul R. Laureles</w:t>
            </w:r>
          </w:p>
        </w:tc>
      </w:tr>
      <w:tr>
        <w:trPr>
          <w:trHeight w:val="234"/>
        </w:trPr>
        <w:tc>
          <w:tcPr>
            <w:tcW w:w="374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bl>
    <w:p>
      <w:pPr>
        <w:sectPr>
          <w:pgSz w:w="11900" w:h="16838" w:orient="portrait"/>
          <w:cols w:equalWidth="0" w:num="1">
            <w:col w:w="11420"/>
          </w:cols>
          <w:pgMar w:left="240" w:top="266" w:right="239" w:bottom="1440" w:gutter="0" w:footer="0" w:header="0"/>
        </w:sectPr>
      </w:pPr>
    </w:p>
    <w:bookmarkStart w:id="3" w:name="page4"/>
    <w:bookmarkEnd w:id="3"/>
    <w:p>
      <w:pPr>
        <w:ind w:left="5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40"/>
        <w:spacing w:after="0" w:line="185" w:lineRule="auto"/>
        <w:tabs>
          <w:tab w:leader="none" w:pos="1100" w:val="left"/>
        </w:tabs>
        <w:rPr>
          <w:sz w:val="20"/>
          <w:szCs w:val="20"/>
          <w:color w:val="auto"/>
        </w:rPr>
      </w:pPr>
      <w:r>
        <w:rPr>
          <w:rFonts w:ascii="Times New Roman" w:cs="Times New Roman" w:eastAsia="Times New Roman" w:hAnsi="Times New Roman"/>
          <w:sz w:val="22"/>
          <w:szCs w:val="22"/>
          <w:b w:val="1"/>
          <w:bCs w:val="1"/>
          <w:color w:val="auto"/>
          <w:vertAlign w:val="superscript"/>
        </w:rPr>
        <w:t>No.</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By-laws (</w:t>
      </w:r>
      <w:r>
        <w:rPr>
          <w:rFonts w:ascii="Times New Roman" w:cs="Times New Roman" w:eastAsia="Times New Roman" w:hAnsi="Times New Roman"/>
          <w:sz w:val="17"/>
          <w:szCs w:val="17"/>
          <w:i w:val="1"/>
          <w:iCs w:val="1"/>
          <w:color w:val="auto"/>
        </w:rPr>
        <w:t>Reglement</w:t>
      </w:r>
      <w:r>
        <w:rPr>
          <w:rFonts w:ascii="Times New Roman" w:cs="Times New Roman" w:eastAsia="Times New Roman" w:hAnsi="Times New Roman"/>
          <w:sz w:val="17"/>
          <w:szCs w:val="17"/>
          <w:color w:val="auto"/>
        </w:rPr>
        <w:t>) of Schlumberger Limited (Schlumberger N.V.).</w:t>
      </w:r>
    </w:p>
    <w:p>
      <w:pPr>
        <w:sectPr>
          <w:pgSz w:w="11900" w:h="16838" w:orient="portrait"/>
          <w:cols w:equalWidth="0" w:num="1">
            <w:col w:w="10219"/>
          </w:cols>
          <w:pgMar w:left="2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 (</w:t>
      </w:r>
      <w:r>
        <w:rPr>
          <w:rFonts w:ascii="Times New Roman" w:cs="Times New Roman" w:eastAsia="Times New Roman" w:hAnsi="Times New Roman"/>
          <w:sz w:val="18"/>
          <w:szCs w:val="18"/>
          <w:b w:val="1"/>
          <w:bCs w:val="1"/>
          <w:i w:val="1"/>
          <w:iCs w:val="1"/>
          <w:u w:val="single" w:color="auto"/>
          <w:color w:val="auto"/>
        </w:rPr>
        <w:t>REGLEMENT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39" w:lineRule="exact"/>
        <w:rPr>
          <w:sz w:val="20"/>
          <w:szCs w:val="20"/>
          <w:color w:val="auto"/>
        </w:rPr>
      </w:pPr>
    </w:p>
    <w:p>
      <w:pPr>
        <w:ind w:left="460" w:right="20"/>
        <w:spacing w:after="0" w:line="268" w:lineRule="auto"/>
        <w:rPr>
          <w:sz w:val="20"/>
          <w:szCs w:val="20"/>
          <w:color w:val="auto"/>
        </w:rPr>
      </w:pPr>
      <w:r>
        <w:rPr>
          <w:rFonts w:ascii="Times New Roman" w:cs="Times New Roman" w:eastAsia="Times New Roman" w:hAnsi="Times New Roman"/>
          <w:sz w:val="18"/>
          <w:szCs w:val="18"/>
          <w:color w:val="auto"/>
        </w:rPr>
        <w:t>(Certain provisions of these By-Laws correspond to provisions contained in the Company’s Articles of Incorporation, as amended (the “</w:t>
      </w:r>
      <w:r>
        <w:rPr>
          <w:rFonts w:ascii="Times New Roman" w:cs="Times New Roman" w:eastAsia="Times New Roman" w:hAnsi="Times New Roman"/>
          <w:sz w:val="18"/>
          <w:szCs w:val="18"/>
          <w:b w:val="1"/>
          <w:bCs w:val="1"/>
          <w:i w:val="1"/>
          <w:iCs w:val="1"/>
          <w:color w:val="auto"/>
        </w:rPr>
        <w:t>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and any amendment of such provisions of the By-Laws is subject to an appropriate amendment of the Articles of Incorporation.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By-Laws constitute a </w:t>
      </w:r>
      <w:r>
        <w:rPr>
          <w:rFonts w:ascii="Times New Roman" w:cs="Times New Roman" w:eastAsia="Times New Roman" w:hAnsi="Times New Roman"/>
          <w:sz w:val="18"/>
          <w:szCs w:val="18"/>
          <w:i w:val="1"/>
          <w:iCs w:val="1"/>
          <w:color w:val="auto"/>
        </w:rPr>
        <w:t>reglement</w:t>
      </w:r>
      <w:r>
        <w:rPr>
          <w:rFonts w:ascii="Times New Roman" w:cs="Times New Roman" w:eastAsia="Times New Roman" w:hAnsi="Times New Roman"/>
          <w:sz w:val="18"/>
          <w:szCs w:val="18"/>
          <w:color w:val="auto"/>
        </w:rPr>
        <w:t xml:space="preserve"> as referred to in Article 2:1.6 of the Curaçao Civil Code.)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Place of Meetings: Chairmanship of Meetings</w:t>
      </w:r>
    </w:p>
    <w:p>
      <w:pPr>
        <w:spacing w:after="0" w:line="117"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color w:val="auto"/>
        </w:rPr>
        <w:t>All annual general meetings of stockholders (“</w:t>
      </w:r>
      <w:r>
        <w:rPr>
          <w:rFonts w:ascii="Times New Roman" w:cs="Times New Roman" w:eastAsia="Times New Roman" w:hAnsi="Times New Roman"/>
          <w:sz w:val="18"/>
          <w:szCs w:val="18"/>
          <w:b w:val="1"/>
          <w:bCs w:val="1"/>
          <w:i w:val="1"/>
          <w:iCs w:val="1"/>
          <w:color w:val="auto"/>
        </w:rPr>
        <w:t>Annual Meetings</w:t>
      </w:r>
      <w:r>
        <w:rPr>
          <w:rFonts w:ascii="Times New Roman" w:cs="Times New Roman" w:eastAsia="Times New Roman" w:hAnsi="Times New Roman"/>
          <w:sz w:val="18"/>
          <w:szCs w:val="18"/>
          <w:color w:val="auto"/>
        </w:rPr>
        <w:t>”) and all special general meetings of stockholders (“</w:t>
      </w:r>
      <w:r>
        <w:rPr>
          <w:rFonts w:ascii="Times New Roman" w:cs="Times New Roman" w:eastAsia="Times New Roman" w:hAnsi="Times New Roman"/>
          <w:sz w:val="18"/>
          <w:szCs w:val="18"/>
          <w:b w:val="1"/>
          <w:bCs w:val="1"/>
          <w:i w:val="1"/>
          <w:iCs w:val="1"/>
          <w:color w:val="auto"/>
        </w:rPr>
        <w:t>Special Meetings</w:t>
      </w:r>
      <w:r>
        <w:rPr>
          <w:rFonts w:ascii="Times New Roman" w:cs="Times New Roman" w:eastAsia="Times New Roman" w:hAnsi="Times New Roman"/>
          <w:sz w:val="18"/>
          <w:szCs w:val="18"/>
          <w:color w:val="auto"/>
        </w:rPr>
        <w:t>”) shall be held in Curaçao. All such meetings shall be presided over by the Chairman or, in his absence or disability, by a Chair designated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in the absence of such designation, by a Chair chosen at the meeting.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Annual Meetings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Annual Meetings shall be held within the period required by applicable law, on a date determined from year to year by the Board,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u w:val="single" w:color="auto"/>
          <w:color w:val="auto"/>
        </w:rPr>
        <w:t>Special Meetings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Special Meetings may be called at any time by the Company (upon the direction of the Chairman, the Vice Chairman, the Chief Executive Officer, the President or the Board), or in the manner provided in Article 2:130 of the Civil Code of Curaçao, or by one or more stockholders who (a) meet the requirements of Article 11.3 of the Articles of Incorporation, and (b) deliver to the Secretary of the Company one or more written requests setting forth the information required under Section 1.9(b) of these By-Laws (each a “</w:t>
      </w:r>
      <w:r>
        <w:rPr>
          <w:rFonts w:ascii="Times New Roman" w:cs="Times New Roman" w:eastAsia="Times New Roman" w:hAnsi="Times New Roman"/>
          <w:sz w:val="18"/>
          <w:szCs w:val="18"/>
          <w:b w:val="1"/>
          <w:bCs w:val="1"/>
          <w:i w:val="1"/>
          <w:iCs w:val="1"/>
          <w:color w:val="auto"/>
        </w:rPr>
        <w:t>Special Meeting Request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Times New Roman" w:cs="Times New Roman" w:eastAsia="Times New Roman" w:hAnsi="Times New Roman"/>
          <w:sz w:val="18"/>
          <w:szCs w:val="18"/>
          <w:b w:val="1"/>
          <w:bCs w:val="1"/>
          <w:u w:val="single" w:color="auto"/>
          <w:color w:val="auto"/>
        </w:rPr>
        <w:t>Notice of Meeting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notices of Annual Meetings and of Special Meetings shall state the matters to be considered at the meeting. Written notice of general meetings of stockholders, whether Annual Meetings or Special Meetings, stating the time and place of the meeting, shall be given not fewer than 20 and not more than 60 days prior to the date of the meeting in question.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b w:val="1"/>
          <w:bCs w:val="1"/>
          <w:u w:val="single" w:color="auto"/>
          <w:color w:val="auto"/>
        </w:rPr>
        <w:t>Closing of Transfer Books or Fixing of Record Date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purpose of determining stockholders entitled to notice of, or to vote at, any general meeting of stockholders, or entitled to receive payment of any dividend or other distribution or allotment of any rights, or the stockholders entitled to exercise any rights with respect to any change, conversion or exchange of shares, or in order to make a determination of stockholders for any other proper purpose, the Board may provide that the stock transfer books shall be closed for a stated period or that a record date be fixed. If the stock transfer books are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may fix in advance a date as the record date for any such determination of stockholders, such date in any case to be not more than 60 days and, in case of a general meeting of stockholders, not fewer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u w:val="single" w:color="auto"/>
          <w:color w:val="auto"/>
        </w:rPr>
        <w:t>Quorum</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Except as otherwise provided herein, no action may be taken at any general meeting of stockholders unless a quorum consisting of the holders of at least one-half of the outstanding shares entitling the holders thereof to vote at such meeting is present at such meeting in person or by proxy.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66"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 </w:t>
      </w:r>
      <w:r>
        <w:rPr>
          <w:rFonts w:ascii="Times New Roman" w:cs="Times New Roman" w:eastAsia="Times New Roman" w:hAnsi="Times New Roman"/>
          <w:sz w:val="18"/>
          <w:szCs w:val="18"/>
          <w:b w:val="1"/>
          <w:bCs w:val="1"/>
          <w:u w:val="single" w:color="auto"/>
          <w:color w:val="auto"/>
        </w:rPr>
        <w:t>Buy Out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Curaçao.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or directors, any notice given by the Company will be effective if given by a form of electronic transmission.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Whenever a notice or any other communication is required to be delivered under these By-Laws to the Secretary of the Company, such delivery will be effective if delivered to the Secretary at the principal executive office of the Company in Houston, Texas. All notices will be deemed given: (a) if by facsimile telecommunication, when transmitted to a number at which the recipient has consented to receive notice; (b) if by electronic mail, when sent or transmitted to an electronic mail address at which the recipient has consented to receive notice; (c) if by a posting on an electronic network together with separate notice to the recipient of such specific posting, upon the later of (i) such posting and (ii) the giving of such separate notice; and (d) if by any other form of electronic transmission, when sent or transmitted to the recipient. An affidavit that the notice has been given by a form of electronic transmission will, in the absence of fraud or bad faith,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Any notice that is delivered by mail shall be deemed to be given when deposited in the mail, postage pre-paid, and directed to the recipient at his or her address as it appears on the records of the Company.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b w:val="1"/>
          <w:bCs w:val="1"/>
          <w:u w:val="single" w:color="auto"/>
          <w:color w:val="auto"/>
        </w:rPr>
        <w:t>Notice of Stockholder Business and Nominations</w:t>
      </w:r>
    </w:p>
    <w:p>
      <w:pPr>
        <w:spacing w:after="0" w:line="121"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492"/>
        <w:spacing w:after="0" w:line="256" w:lineRule="auto"/>
        <w:tabs>
          <w:tab w:leader="none" w:pos="183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business other than nominations to be considered by the stockholders may be made at an Annual Meeting only (A) by or at the direction of the Board, (B) by any stockholder of the Company who is a stockholder of record at the time the notice provided for in this Section 1.9(a) is delivered to the Secretary of the Company, who is entitled to vote at the meeting and who complies with the notice procedures set forth in this Section 1.9(a), or (C) in the case of stockholder nominations to be included in the Company’s proxy statement for an Annual Meeting, by an Eligible Stockholder (as defined below) who satisfies the notice, ownership and other requirements of Section 1.10 below.</w:t>
      </w:r>
    </w:p>
    <w:p>
      <w:pPr>
        <w:spacing w:after="0" w:line="187" w:lineRule="exact"/>
        <w:rPr>
          <w:rFonts w:ascii="Times New Roman" w:cs="Times New Roman" w:eastAsia="Times New Roman" w:hAnsi="Times New Roman"/>
          <w:sz w:val="18"/>
          <w:szCs w:val="18"/>
          <w:color w:val="auto"/>
        </w:rPr>
      </w:pPr>
    </w:p>
    <w:p>
      <w:pPr>
        <w:ind w:right="160" w:firstLine="1492"/>
        <w:spacing w:after="0" w:line="282" w:lineRule="auto"/>
        <w:tabs>
          <w:tab w:leader="none" w:pos="18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stockholder pursuant to Section 1.9(a)(i) (B), the stockholder must have given timely notice thereof in writing to the Secretary of the Company and, in the case of business other than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6" w:right="259" w:bottom="1440" w:gutter="0" w:footer="0" w:header="0"/>
        </w:sectPr>
      </w:pPr>
    </w:p>
    <w:bookmarkStart w:id="7" w:name="page8"/>
    <w:bookmarkEnd w:id="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nominations, such business must be a proper subject for stockholder action. To be timely under this Section 1.9(a)(ii), a stockholder’s notice must be delivered to and received by the Secretary, by hand or by certified or registered mail, return receipt requested, not later than the close of business (as defined in Section 1.9(c)(ii) below)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nor earlier than the close of business on the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date of the Annual Meeting is more than 30 days before or more than 30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in Section 1.9(c)(ii) below) of the date of such meeting is first made by the Company. In no event will an adjournment or recess of an Annual Meeting, or a postponement of an Annual Meeting for which notice of the meeting has already been given to stockholders or with respect to which there has been a public announcement of the date of the meeting, commence a new time period (or extend any time period) for the giving of a stockholder’s notice as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stockholder’s notice shall set forth:</w:t>
      </w:r>
    </w:p>
    <w:p>
      <w:pPr>
        <w:spacing w:after="0" w:line="225" w:lineRule="exact"/>
        <w:rPr>
          <w:sz w:val="20"/>
          <w:szCs w:val="20"/>
          <w:color w:val="auto"/>
        </w:rPr>
      </w:pPr>
    </w:p>
    <w:p>
      <w:pPr>
        <w:ind w:right="140" w:firstLine="921"/>
        <w:spacing w:after="0" w:line="252" w:lineRule="auto"/>
        <w:tabs>
          <w:tab w:leader="none" w:pos="1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(1) the name, birth date and year, principal occupation, citizenship and country of residence of such person, and all other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(2) a written representation and agreement of each director nominee, which shall be signed by each nominee and wherein such nominee shall represent and agree that such nominee: (a) consents to being named as a nominee (and, if nominated pursuant to Section 1.10 below, to being named in the Company’s proxy statement and form of proxy as a nominee) and to serving as a director if elected, and intends to serve as a director for the full term for which such person is standing for election if elected, (b) is not and will not become a party to any agreement, arrangement or understanding with, and has not given any commitment or assurance to, any person or entity (i) as to how the nominee, if elected as a director, shall act or vote on any issue or question that has not been disclosed to the Company in such representation,</w:t>
      </w:r>
    </w:p>
    <w:p>
      <w:pPr>
        <w:spacing w:after="0" w:line="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that could limit or interfere with the nominee’s ability to comply, if elected as a director, with the nominee’s fiduciary duties under applicable law, (c) is not and will not become a party to any agreement, arrangement or understanding with any person or entity with respect to any direct or indirect compensation, reimbursement or indemnification in connection with service or action as a stockholder nominee that has not been disclosed to the Company, and is not and will not become a party to any agreement, arrangement or understanding with any person or entity other than the Company with respect to any direct or indirect compensation, reimbursement or indemnification in connection with service or action as a director, and (d) if elected as a director, shall comply with all of the Company’s corporate governance, conflict of interest, confidentiality, and stock ownership and trading policies and guidelines, and any other Company policies and guidelines applicable to directors; (3) all information required by the Company to determine whether each nominee: (a) is independent under New York Stock Exchange (the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listing standards, any applicable rules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the Company’s Corporate Governance Guidelines; (b) qualifies as independent under the audit committee independence requirements set forth in the rules of the NYSE, as a “non-employee director” under Exchange Act Rule 16b-3 (or any successor provision), or as an “outside director” for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8" w:name="page9"/>
    <w:bookmarkEnd w:id="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purposes of Section 162(m) of the Internal Revenue Code (or any successor provision); (c) is or has been, within the past three years, an officer, director or employee of a competitor, as defined in Section 8 of the Clayton Antitrust Act of 1914, as amended; (d) is a named subject of a pending criminal proceeding (excluding traffic violations and other minor offenses) or has been convicted in a criminal proceeding (excluding traffic violations and other minor offenses) within the past ten years; and (e) is subject to any order of the type specified in Rule 506(d) of Regulation D promulgated under the Securities Act of 1933, as amended; and (4) any such additional information as may be reasonably required by the Company to determine the eligibility of such person to serve as a director of the Company;</w:t>
      </w:r>
    </w:p>
    <w:p>
      <w:pPr>
        <w:spacing w:after="0" w:line="188" w:lineRule="exact"/>
        <w:rPr>
          <w:sz w:val="20"/>
          <w:szCs w:val="20"/>
          <w:color w:val="auto"/>
        </w:rPr>
      </w:pPr>
    </w:p>
    <w:p>
      <w:pPr>
        <w:ind w:firstLine="921"/>
        <w:spacing w:after="0" w:line="258" w:lineRule="auto"/>
        <w:tabs>
          <w:tab w:leader="none" w:pos="13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(or any successor provision) under the Exchange Act) in such business of such stockholder and the beneficial owner (within the meaning of Section 13(d) of the Exchange Act), if any, on whose behalf the proposal is made;</w:t>
      </w:r>
    </w:p>
    <w:p>
      <w:pPr>
        <w:spacing w:after="0" w:line="183" w:lineRule="exact"/>
        <w:rPr>
          <w:rFonts w:ascii="Times New Roman" w:cs="Times New Roman" w:eastAsia="Times New Roman" w:hAnsi="Times New Roman"/>
          <w:sz w:val="18"/>
          <w:szCs w:val="18"/>
          <w:color w:val="auto"/>
        </w:rPr>
      </w:pPr>
    </w:p>
    <w:p>
      <w:pPr>
        <w:ind w:left="1340" w:hanging="419"/>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is made or the other business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w:t>
      </w:r>
    </w:p>
    <w:p>
      <w:pPr>
        <w:spacing w:after="0" w:line="206"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Company’s books, and the name and address of such beneficial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w:t>
      </w:r>
    </w:p>
    <w:p>
      <w:pPr>
        <w:spacing w:after="0" w:line="206" w:lineRule="exact"/>
        <w:rPr>
          <w:rFonts w:ascii="Times New Roman" w:cs="Times New Roman" w:eastAsia="Times New Roman" w:hAnsi="Times New Roman"/>
          <w:sz w:val="18"/>
          <w:szCs w:val="18"/>
          <w:color w:val="auto"/>
        </w:rPr>
      </w:pPr>
    </w:p>
    <w:p>
      <w:pPr>
        <w:jc w:val="both"/>
        <w:ind w:right="80" w:firstLine="1492"/>
        <w:spacing w:after="0" w:line="261" w:lineRule="auto"/>
        <w:tabs>
          <w:tab w:leader="none" w:pos="18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Company that are owned of record by such stockholder and such beneficial owner as of the date of the notice, and a representation that the stockholder will notify the Company in writing within five business days after the record date for such meeting of the class or series and number of shares of stock of the Company owned of record by the stockholder and such beneficial owner as of the record date for the meeting (except as otherwise provided in Section 1.9(a)(iii) below), and</w:t>
      </w:r>
    </w:p>
    <w:p>
      <w:pPr>
        <w:spacing w:after="0" w:line="180" w:lineRule="exact"/>
        <w:rPr>
          <w:rFonts w:ascii="Times New Roman" w:cs="Times New Roman" w:eastAsia="Times New Roman" w:hAnsi="Times New Roman"/>
          <w:sz w:val="18"/>
          <w:szCs w:val="18"/>
          <w:color w:val="auto"/>
        </w:rPr>
      </w:pPr>
    </w:p>
    <w:p>
      <w:pPr>
        <w:ind w:right="40" w:firstLine="1492"/>
        <w:spacing w:after="0" w:line="282" w:lineRule="auto"/>
        <w:tabs>
          <w:tab w:leader="none" w:pos="18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stockholder (or a qualified representative (as defined in Section 1.9(c)(i) below) of the stockholder) intends to appear in person or by proxy at the meeting to make such nomination or propose such business;</w:t>
      </w:r>
    </w:p>
    <w:p>
      <w:pPr>
        <w:spacing w:after="0" w:line="161" w:lineRule="exact"/>
        <w:rPr>
          <w:rFonts w:ascii="Times New Roman" w:cs="Times New Roman" w:eastAsia="Times New Roman" w:hAnsi="Times New Roman"/>
          <w:sz w:val="18"/>
          <w:szCs w:val="18"/>
          <w:color w:val="auto"/>
        </w:rPr>
      </w:pPr>
    </w:p>
    <w:p>
      <w:pPr>
        <w:jc w:val="both"/>
        <w:ind w:right="120" w:firstLine="921"/>
        <w:spacing w:after="0" w:line="266" w:lineRule="auto"/>
        <w:tabs>
          <w:tab w:leader="none" w:pos="13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director, executive, managing member or control person of such entity (any such individual or control person, a “</w:t>
      </w:r>
      <w:r>
        <w:rPr>
          <w:rFonts w:ascii="Times New Roman" w:cs="Times New Roman" w:eastAsia="Times New Roman" w:hAnsi="Times New Roman"/>
          <w:sz w:val="18"/>
          <w:szCs w:val="18"/>
          <w:b w:val="1"/>
          <w:bCs w:val="1"/>
          <w:i w:val="1"/>
          <w:iCs w:val="1"/>
          <w:color w:val="auto"/>
        </w:rPr>
        <w:t>control person</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220" w:firstLine="1492"/>
        <w:spacing w:after="0" w:line="258" w:lineRule="auto"/>
        <w:tabs>
          <w:tab w:leader="none" w:pos="18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Company that are beneficially owned (as defined in Section 1.9(c)(iii) below) by such stockholder or beneficial owner and by any control person as of the date of the notice, and a written representation that the stockholder will notify the Company in writing within five business days after the record date for such meeting of the class or series and number of shares of stock of the Company beneficially owned by such stockholder or beneficial owner and by any control person as of the record date for the meeting (except as otherwise provided in Section 1.9(a)(iii) below);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9" w:name="page10"/>
    <w:bookmarkEnd w:id="9"/>
    <w:p>
      <w:pPr>
        <w:ind w:left="-8" w:firstLine="1492"/>
        <w:spacing w:after="0" w:line="258" w:lineRule="auto"/>
        <w:tabs>
          <w:tab w:leader="none" w:pos="186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description of any agreement, arrangement or understanding with respect to the nomination or other business between or among such stockholder, beneficial owner or control person and any other person, including without limitation any agreements that would be required to be disclosed pursuant to Item 5 or Item 6 of Exchange Act Schedule 13D (regardless of whether the requirement to file a Schedule 13D is applicable) and a written representation that the stockholder will notify the Company in writing within five business days after the record date for such meeting of any such agreement, arrangement or understanding in effect as of the record date for the meeting (except as otherwise provided in Section 1.9(a)(iii) below);</w:t>
      </w:r>
    </w:p>
    <w:p>
      <w:pPr>
        <w:spacing w:after="0" w:line="183" w:lineRule="exact"/>
        <w:rPr>
          <w:rFonts w:ascii="Times New Roman" w:cs="Times New Roman" w:eastAsia="Times New Roman" w:hAnsi="Times New Roman"/>
          <w:sz w:val="18"/>
          <w:szCs w:val="18"/>
          <w:color w:val="auto"/>
        </w:rPr>
      </w:pPr>
    </w:p>
    <w:p>
      <w:pPr>
        <w:ind w:left="-8" w:firstLine="1492"/>
        <w:spacing w:after="0" w:line="255" w:lineRule="auto"/>
        <w:tabs>
          <w:tab w:leader="none" w:pos="186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beneficial owner or control person, the effect or intent of which is to mitigate loss, manage risk or benefit from changes in the share price of any class or series of the Company’s stock, or maintain, increase or decrease the voting power of the stockholder, beneficial owner or control person with respect to securities of the Company, and a written representation that the stockholder will notify the Company in writing within five business days after the record date for such meeting of any such agreement, arrangement or understanding in effect as of the record date for the meeting (except as otherwise provided in Section 1.9(a)(iii) below); and</w:t>
      </w:r>
    </w:p>
    <w:p>
      <w:pPr>
        <w:spacing w:after="0" w:line="189" w:lineRule="exact"/>
        <w:rPr>
          <w:rFonts w:ascii="Times New Roman" w:cs="Times New Roman" w:eastAsia="Times New Roman" w:hAnsi="Times New Roman"/>
          <w:sz w:val="18"/>
          <w:szCs w:val="18"/>
          <w:color w:val="auto"/>
        </w:rPr>
      </w:pPr>
    </w:p>
    <w:p>
      <w:pPr>
        <w:ind w:left="-8" w:right="140" w:firstLine="1492"/>
        <w:spacing w:after="0" w:line="261" w:lineRule="auto"/>
        <w:tabs>
          <w:tab w:leader="none" w:pos="186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whether the stockholder or the beneficial owner, if any, will engage in a solicitation with respect to the nomination or other business and, if so, the name of each participant in such solicitation (as defined in Item 4 of Schedule 14A under the Exchange Act) and whether such person intends, or is part of a group that intends, to deliver a proxy statement or form of proxy to holders of at least a majority of the shares authorized to vote on any such matter.</w:t>
      </w:r>
    </w:p>
    <w:p>
      <w:pPr>
        <w:spacing w:after="0" w:line="180" w:lineRule="exact"/>
        <w:rPr>
          <w:rFonts w:ascii="Times New Roman" w:cs="Times New Roman" w:eastAsia="Times New Roman" w:hAnsi="Times New Roman"/>
          <w:sz w:val="18"/>
          <w:szCs w:val="18"/>
          <w:color w:val="auto"/>
        </w:rPr>
      </w:pPr>
    </w:p>
    <w:p>
      <w:pPr>
        <w:ind w:left="-8" w:right="340" w:firstLine="464"/>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1.9(a) shall not apply to a stockholder (A) if the stockholder has notified the Company of his, her or its intention to present a stockholder proposal at an Annual Meeting or Special Meeting only pursuant to and in compliance with Rule 14a-8 under the Exchange Act and (B) such stockholder proposal has been included in a proxy statement that has been prepared by the Company to solicit proxies for such meeting.</w:t>
      </w:r>
    </w:p>
    <w:p>
      <w:pPr>
        <w:spacing w:after="0" w:line="176"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40" w:firstLine="464"/>
        <w:spacing w:after="0" w:line="254" w:lineRule="auto"/>
        <w:tabs>
          <w:tab w:leader="none" w:pos="7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such business shall be conducted at a Special Meeting as shall have been brought before the meeting pursuant to the Company’s notice of meeting. A Special Meeting Request delivered to the Secretary of the Company pursuant to Section 1.3 shall: (A) state the business (including the identity of nominees for election as a director, if any) proposed to be acted on at the meeting; (B) bear the date of signature of each stockholder (or duly authorized agent) submitting the Special Meeting Request; (C) set forth the information required by Section 1.9(a)(ii) with respect to director nominations and any other business proposed to be presented at the Special Meeting, and with respect to each stockholder requesting the meeting and each other person (including any beneficial owner) on whose behalf the stockholder is acting, other than stockholders or beneficial owners who have provided such request solely in response to solicitation materials filed with the SEC pursuant to Exchange Act Rule 14a-6; (D) include documentary evidence that the requesting stockholders own the requisite percentage as of the ownership record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requesting stockholders are not the beneficial owners of the shares representing the requisite percentage, then to be valid, the Special Meeting Request must also include documentary evidence of the number of shares owned by the beneficial owners on whose behalf the Special Meeting Request is made as of the ownership record date;</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92"/>
          </w:cols>
          <w:pgMar w:left="248" w:top="270" w:right="259" w:bottom="1440" w:gutter="0" w:footer="0" w:header="0"/>
        </w:sectPr>
      </w:pPr>
    </w:p>
    <w:bookmarkStart w:id="10" w:name="page11"/>
    <w:bookmarkEnd w:id="1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 be updated and supplemented as of the record date within five business days after the record date for determining the stockholders entitled to vote at the stockholder-requested Special Meeting (or by the opening of business on the date of the meeting, whichever is earlier, if the record date for determining the stockholders entitled to vote at the meeting is different from the record date for determining the stockholders entitled to notice of the meeting).</w:t>
      </w:r>
    </w:p>
    <w:p>
      <w:pPr>
        <w:spacing w:after="0" w:line="176" w:lineRule="exact"/>
        <w:rPr>
          <w:sz w:val="20"/>
          <w:szCs w:val="20"/>
          <w:color w:val="auto"/>
        </w:rPr>
      </w:pPr>
    </w:p>
    <w:p>
      <w:pPr>
        <w:ind w:firstLine="464"/>
        <w:spacing w:after="0" w:line="254" w:lineRule="auto"/>
        <w:tabs>
          <w:tab w:leader="none" w:pos="85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calls a Special Meeting (other than a stockholder-requested Special Meeting) for the purpose of electing one or more directors to the Board, any stockholder entitled to vote in such election of directors may nominate a person or persons (as the case may be) for election to such position(s) as specified in the Company’s notice of meeting, if the stockholder delivers a notice setting forth the information required by Section 1.9(a)(ii) with respect to the director nomination(s), and as to such stockholder and each other person (including any beneficial owner) on whose behalf the stockholder is acting, and such notice is delivered to the Secretary (A) not earlier than the close of business on the 120th day prior to such Special Meeting and not later than the close of business on the later of the 90th day prior to such Special Meeting or (B) the 10th day following the day on which public announcement is first made of the date of the Special Meeting and of the nominees proposed by the Board to be elected at such meeting. In no event will an adjournment, recess or postponement of a Special Meeting commence a new time period (or extend any time period) for the giving of a stockholder’s notice as described above.</w:t>
      </w:r>
    </w:p>
    <w:p>
      <w:pPr>
        <w:spacing w:after="0" w:line="189" w:lineRule="exact"/>
        <w:rPr>
          <w:rFonts w:ascii="Times New Roman" w:cs="Times New Roman" w:eastAsia="Times New Roman" w:hAnsi="Times New Roman"/>
          <w:sz w:val="18"/>
          <w:szCs w:val="18"/>
          <w:color w:val="auto"/>
        </w:rPr>
      </w:pPr>
    </w:p>
    <w:p>
      <w:pPr>
        <w:ind w:right="180" w:firstLine="464"/>
        <w:spacing w:after="0" w:line="266" w:lineRule="auto"/>
        <w:tabs>
          <w:tab w:leader="none" w:pos="90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By-Laws, in the case of a stockholder-requested Special Meeting, no stockholder may nominate a person for election to the Board or propose any other business to be considered at the meeting, except pursuant to the written request(s) delivered for such meeting pursuant to Section 1.3.</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464"/>
        <w:spacing w:after="0" w:line="252" w:lineRule="auto"/>
        <w:tabs>
          <w:tab w:leader="none" w:pos="8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only such persons who are nominated in accordance with the procedures set forth in this Section 1.9 or Section 1.10 shall be eligible to be elected at any general meeting of stockholders of the Company to serve as directors and only such other business shall be conducted at such meeting of stockholders as shall have been brought before the meeting in accordance with the procedures set forth in this Section 1.9. Except as otherwise required by law, each of the Chairman or the chairman of the meeting shall have the power to determine whether a nomination or any other business proposed to be brought before the meeting was made or proposed, as the case may be, in accordance with the procedures set forth in this Section 1.9 or Section 1.10, as applicable (including whether a stockholder or beneficial owner solicited (or is part of a group which solicited) or did not so solicit, as the case may be, proxies in compliance with such stockholder’s representation as required by clause (a)(ii)(D)(4) of this Section 1.9). If any proposed nomination or other business is not in compliance with this Section 1.9 or Section 1.10, as applicable, then except as otherwise required by law, the chairman of the meeting shall have the power to declare that such nomination shall be disregarded or that such other business shall not be transacted. Notwithstanding the foregoing provisions of this Section 1.9 or Section 1.10, unless otherwise required by law, or otherwise determined by the Chairman or the chairman of the meeting, if the stockholder does not provide the information required under clauses (a)(ii)(C)(2) and (a)(ii)(D)(1)-(3) of this Section 1.9 to the Company within the time frames specified herein, or if the stockholder (or a qualified representative of the stockholder) does not appear at the Annual Meeting or Special Meeting to present a nomination or other business, such nomination shall be disregarded and such other business shall not be transacted, notwithstanding that proxies with respect to such vote may have been received by the Company. To be considered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a person must provide evidence that they are a duly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11" w:name="page12"/>
    <w:bookmarkEnd w:id="11"/>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officer, manager or partner of such stockholder or authorized by a writing executed by such stockholder (or a reliable reproduction or electronic transmission of the writing) and delivered to the Secretary of the Company or to the chairman of the meeting prior to the making of such nomination or proposal at such meeting by such stockholder stating that such person is authorized to act for such stockholder as proxy at such general meeting of stockholders.</w:t>
      </w:r>
    </w:p>
    <w:p>
      <w:pPr>
        <w:spacing w:after="0" w:line="176" w:lineRule="exact"/>
        <w:rPr>
          <w:sz w:val="20"/>
          <w:szCs w:val="20"/>
          <w:color w:val="auto"/>
        </w:rPr>
      </w:pPr>
    </w:p>
    <w:p>
      <w:pPr>
        <w:ind w:right="200" w:firstLine="464"/>
        <w:spacing w:after="0" w:line="262" w:lineRule="auto"/>
        <w:tabs>
          <w:tab w:leader="none" w:pos="8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1.9, “</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means 6:00 p.m. local time at the principal executive office of the Company in Houston, Texas on any calendar day, whether or not the day is a business day, and a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means disclosure in a press release reported by the Dow Jones News Service, Associated Press or a comparable national news service or in a document publicly filed by the Company with the SEC pursuant to Sections 13, 14 or 15(d) of the Exchange Act.</w:t>
      </w:r>
    </w:p>
    <w:p>
      <w:pPr>
        <w:spacing w:after="0" w:line="176" w:lineRule="exact"/>
        <w:rPr>
          <w:rFonts w:ascii="Times New Roman" w:cs="Times New Roman" w:eastAsia="Times New Roman" w:hAnsi="Times New Roman"/>
          <w:sz w:val="18"/>
          <w:szCs w:val="18"/>
          <w:color w:val="auto"/>
        </w:rPr>
      </w:pPr>
    </w:p>
    <w:p>
      <w:pPr>
        <w:ind w:firstLine="464"/>
        <w:spacing w:after="0" w:line="259" w:lineRule="auto"/>
        <w:tabs>
          <w:tab w:leader="none" w:pos="9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(a)(ii)(D)(1) of this Section 1.9, shares shall be treated as “</w:t>
      </w:r>
      <w:r>
        <w:rPr>
          <w:rFonts w:ascii="Times New Roman" w:cs="Times New Roman" w:eastAsia="Times New Roman" w:hAnsi="Times New Roman"/>
          <w:sz w:val="18"/>
          <w:szCs w:val="18"/>
          <w:b w:val="1"/>
          <w:bCs w:val="1"/>
          <w:i w:val="1"/>
          <w:iCs w:val="1"/>
          <w:color w:val="auto"/>
        </w:rPr>
        <w:t>beneficially owned</w:t>
      </w:r>
      <w:r>
        <w:rPr>
          <w:rFonts w:ascii="Times New Roman" w:cs="Times New Roman" w:eastAsia="Times New Roman" w:hAnsi="Times New Roman"/>
          <w:sz w:val="18"/>
          <w:szCs w:val="18"/>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or (C) investment power with respect to such shares, including the power to dispose of, or to direct the disposition of, such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b w:val="1"/>
          <w:bCs w:val="1"/>
          <w:u w:val="single" w:color="auto"/>
          <w:color w:val="auto"/>
        </w:rPr>
        <w:t>Proxy Access for Director Nominations</w:t>
      </w:r>
    </w:p>
    <w:p>
      <w:pPr>
        <w:spacing w:after="0" w:line="121" w:lineRule="exact"/>
        <w:rPr>
          <w:sz w:val="20"/>
          <w:szCs w:val="20"/>
          <w:color w:val="auto"/>
        </w:rPr>
      </w:pPr>
    </w:p>
    <w:p>
      <w:pPr>
        <w:ind w:firstLine="8"/>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Subject to the terms and conditions of these By-Laws, in connection with an Annual Meeting at which directors are to be elected, the Company shall include (i) in its proxy statement for an Annual Meeting following the 2017 Annual Meeting and on its form of proxy the names of, and (ii) in its proxy statement for an Annual Meeting following the 2017 Annual Meeting, the “</w:t>
      </w:r>
      <w:r>
        <w:rPr>
          <w:rFonts w:ascii="Times New Roman" w:cs="Times New Roman" w:eastAsia="Times New Roman" w:hAnsi="Times New Roman"/>
          <w:sz w:val="18"/>
          <w:szCs w:val="18"/>
          <w:b w:val="1"/>
          <w:bCs w:val="1"/>
          <w:i w:val="1"/>
          <w:iCs w:val="1"/>
          <w:color w:val="auto"/>
        </w:rPr>
        <w:t>Required Information</w:t>
      </w:r>
      <w:r>
        <w:rPr>
          <w:rFonts w:ascii="Times New Roman" w:cs="Times New Roman" w:eastAsia="Times New Roman" w:hAnsi="Times New Roman"/>
          <w:sz w:val="18"/>
          <w:szCs w:val="18"/>
          <w:color w:val="auto"/>
        </w:rPr>
        <w:t>” (as defined in Section 1.10(b)(iv) below) relating to an Authorized Number (as defined in Section 1.10(b)(i) below) of nominees for election to the Board submitted pursuant to this Section 1.10 (each, a “</w:t>
      </w:r>
      <w:r>
        <w:rPr>
          <w:rFonts w:ascii="Times New Roman" w:cs="Times New Roman" w:eastAsia="Times New Roman" w:hAnsi="Times New Roman"/>
          <w:sz w:val="18"/>
          <w:szCs w:val="18"/>
          <w:b w:val="1"/>
          <w:bCs w:val="1"/>
          <w:i w:val="1"/>
          <w:iCs w:val="1"/>
          <w:color w:val="auto"/>
        </w:rPr>
        <w:t>Stockholder Nominee</w:t>
      </w:r>
      <w:r>
        <w:rPr>
          <w:rFonts w:ascii="Times New Roman" w:cs="Times New Roman" w:eastAsia="Times New Roman" w:hAnsi="Times New Roman"/>
          <w:sz w:val="18"/>
          <w:szCs w:val="18"/>
          <w:color w:val="auto"/>
        </w:rPr>
        <w:t>”), if:</w:t>
      </w:r>
    </w:p>
    <w:p>
      <w:pPr>
        <w:spacing w:after="0" w:line="183" w:lineRule="exact"/>
        <w:rPr>
          <w:rFonts w:ascii="Times New Roman" w:cs="Times New Roman" w:eastAsia="Times New Roman" w:hAnsi="Times New Roman"/>
          <w:sz w:val="18"/>
          <w:szCs w:val="18"/>
          <w:color w:val="auto"/>
        </w:rPr>
      </w:pPr>
    </w:p>
    <w:p>
      <w:pPr>
        <w:ind w:left="820" w:hanging="356"/>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Nominee satisfies the eligibility requirements in this Section 1.10;</w:t>
      </w:r>
    </w:p>
    <w:p>
      <w:pPr>
        <w:spacing w:after="0" w:line="221" w:lineRule="exact"/>
        <w:rPr>
          <w:rFonts w:ascii="Times New Roman" w:cs="Times New Roman" w:eastAsia="Times New Roman" w:hAnsi="Times New Roman"/>
          <w:sz w:val="18"/>
          <w:szCs w:val="18"/>
          <w:color w:val="auto"/>
        </w:rPr>
      </w:pPr>
    </w:p>
    <w:p>
      <w:pPr>
        <w:ind w:right="240" w:firstLine="464"/>
        <w:spacing w:after="0" w:line="286" w:lineRule="auto"/>
        <w:tabs>
          <w:tab w:leader="none" w:pos="8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Nominee is identified in a timely written notice that satisfies this Section 1.10 (the “</w:t>
      </w:r>
      <w:r>
        <w:rPr>
          <w:rFonts w:ascii="Times New Roman" w:cs="Times New Roman" w:eastAsia="Times New Roman" w:hAnsi="Times New Roman"/>
          <w:sz w:val="18"/>
          <w:szCs w:val="18"/>
          <w:b w:val="1"/>
          <w:bCs w:val="1"/>
          <w:i w:val="1"/>
          <w:iCs w:val="1"/>
          <w:color w:val="auto"/>
        </w:rPr>
        <w:t>Stockholder Notice</w:t>
      </w:r>
      <w:r>
        <w:rPr>
          <w:rFonts w:ascii="Times New Roman" w:cs="Times New Roman" w:eastAsia="Times New Roman" w:hAnsi="Times New Roman"/>
          <w:sz w:val="18"/>
          <w:szCs w:val="18"/>
          <w:color w:val="auto"/>
        </w:rPr>
        <w:t>”) and is delivered by a stockholder that qualifies as, or is acting on behalf of, an Eligible Stockholder (as defined in Section 1.10(b)(ii) below);</w:t>
      </w:r>
    </w:p>
    <w:p>
      <w:pPr>
        <w:spacing w:after="0" w:line="158" w:lineRule="exact"/>
        <w:rPr>
          <w:rFonts w:ascii="Times New Roman" w:cs="Times New Roman" w:eastAsia="Times New Roman" w:hAnsi="Times New Roman"/>
          <w:sz w:val="18"/>
          <w:szCs w:val="18"/>
          <w:color w:val="auto"/>
        </w:rPr>
      </w:pPr>
    </w:p>
    <w:p>
      <w:pPr>
        <w:ind w:right="160" w:firstLine="464"/>
        <w:spacing w:after="0" w:line="282" w:lineRule="auto"/>
        <w:tabs>
          <w:tab w:leader="none" w:pos="9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satisfies the requirements in this Section 1.10 and expressly elects at the time of the delivery of the Stockholder Notice to have the Stockholder Nominee included in the Company’s proxy materials; and</w:t>
      </w:r>
    </w:p>
    <w:p>
      <w:pPr>
        <w:spacing w:after="0" w:line="161" w:lineRule="exact"/>
        <w:rPr>
          <w:rFonts w:ascii="Times New Roman" w:cs="Times New Roman" w:eastAsia="Times New Roman" w:hAnsi="Times New Roman"/>
          <w:sz w:val="18"/>
          <w:szCs w:val="18"/>
          <w:color w:val="auto"/>
        </w:rPr>
      </w:pPr>
    </w:p>
    <w:p>
      <w:pPr>
        <w:ind w:left="900" w:hanging="436"/>
        <w:spacing w:after="0"/>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requirements of these By-Laws are met.</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80" w:firstLine="464"/>
        <w:spacing w:after="0" w:line="261" w:lineRule="auto"/>
        <w:tabs>
          <w:tab w:leader="none" w:pos="8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Number</w:t>
      </w:r>
      <w:r>
        <w:rPr>
          <w:rFonts w:ascii="Times New Roman" w:cs="Times New Roman" w:eastAsia="Times New Roman" w:hAnsi="Times New Roman"/>
          <w:sz w:val="18"/>
          <w:szCs w:val="18"/>
          <w:color w:val="auto"/>
        </w:rPr>
        <w:t>. The maximum number of Stockholder Nominees that may be included in the Company’s proxy materials pursuant to this Section 1.10 with respect to an Annual Meeting (the “</w:t>
      </w:r>
      <w:r>
        <w:rPr>
          <w:rFonts w:ascii="Times New Roman" w:cs="Times New Roman" w:eastAsia="Times New Roman" w:hAnsi="Times New Roman"/>
          <w:sz w:val="18"/>
          <w:szCs w:val="18"/>
          <w:b w:val="1"/>
          <w:bCs w:val="1"/>
          <w:i w:val="1"/>
          <w:iCs w:val="1"/>
          <w:color w:val="auto"/>
        </w:rPr>
        <w:t>Authorized Number</w:t>
      </w:r>
      <w:r>
        <w:rPr>
          <w:rFonts w:ascii="Times New Roman" w:cs="Times New Roman" w:eastAsia="Times New Roman" w:hAnsi="Times New Roman"/>
          <w:sz w:val="18"/>
          <w:szCs w:val="18"/>
          <w:color w:val="auto"/>
        </w:rPr>
        <w:t xml:space="preserve">”) must not exceed the greater of (A) two (2) or (B) twenty percent (20%) of the number of directors in office as of the last day on which a Stockholder Notice may be delivered pursuant to this Section 1.10 with respect to the Annual Meeting, or if such amount is not a whole number, the closest whole number (rounding down) below twenty percent (20%); </w:t>
      </w:r>
      <w:r>
        <w:rPr>
          <w:rFonts w:ascii="Times New Roman" w:cs="Times New Roman" w:eastAsia="Times New Roman" w:hAnsi="Times New Roman"/>
          <w:sz w:val="18"/>
          <w:szCs w:val="18"/>
          <w:i w:val="1"/>
          <w:iCs w:val="1"/>
          <w:color w:val="auto"/>
        </w:rPr>
        <w:t>provided,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however, </w:t>
      </w:r>
      <w:r>
        <w:rPr>
          <w:rFonts w:ascii="Times New Roman" w:cs="Times New Roman" w:eastAsia="Times New Roman" w:hAnsi="Times New Roman"/>
          <w:sz w:val="18"/>
          <w:szCs w:val="18"/>
          <w:color w:val="auto"/>
        </w:rPr>
        <w:t>that the Authorized Number shall be reduced (A) by the number of directors in office or director nominees that in either case will be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proxy materials with respect to the Annual Meeting as an unopposed (by the Company) nominee pursuant to an agreement, arrangement or other understanding between the Company and a stockholder or group of stockholders (other than any such agreement, arrangement or understanding entered into in connection with an acquisition of capital stock, by the stockholder or group of stockholders, from the Company), provided that the Authorized Number shall not be reduced below one (1) pursuant to this clause (A), and (B) by any nominees who were previously elected to the Board as Stockholder Nominees at any of the preceding two Annual Meeting and who are nominated for election at the Annual Meeting by the Board as a Board nominee. In the event that one or more vacancies for any reason occurs after the date of the Stockholder Notice but before the Annual Meeting and the Board resolves to reduce the size of the Board in connection therewith, the Authorized Number shall be calculated based on the number of directors in office as so reduced.</w:t>
      </w:r>
    </w:p>
    <w:p>
      <w:pPr>
        <w:spacing w:after="0" w:line="187" w:lineRule="exact"/>
        <w:rPr>
          <w:sz w:val="20"/>
          <w:szCs w:val="20"/>
          <w:color w:val="auto"/>
        </w:rPr>
      </w:pPr>
    </w:p>
    <w:p>
      <w:pPr>
        <w:ind w:left="860" w:hanging="39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Stockholder</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340" w:hanging="419"/>
        <w:spacing w:after="0"/>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as an “</w:t>
      </w:r>
      <w:r>
        <w:rPr>
          <w:rFonts w:ascii="Times New Roman" w:cs="Times New Roman" w:eastAsia="Times New Roman" w:hAnsi="Times New Roman"/>
          <w:sz w:val="18"/>
          <w:szCs w:val="18"/>
          <w:b w:val="1"/>
          <w:bCs w:val="1"/>
          <w:i w:val="1"/>
          <w:iCs w:val="1"/>
          <w:color w:val="auto"/>
        </w:rPr>
        <w:t>Eligible Stockholder</w:t>
      </w:r>
      <w:r>
        <w:rPr>
          <w:rFonts w:ascii="Times New Roman" w:cs="Times New Roman" w:eastAsia="Times New Roman" w:hAnsi="Times New Roman"/>
          <w:sz w:val="18"/>
          <w:szCs w:val="18"/>
          <w:color w:val="auto"/>
        </w:rPr>
        <w:t>,” a stockholder or a group as described in this Section 1.10 must:</w:t>
      </w:r>
    </w:p>
    <w:p>
      <w:pPr>
        <w:spacing w:after="0" w:line="229" w:lineRule="exact"/>
        <w:rPr>
          <w:rFonts w:ascii="Times New Roman" w:cs="Times New Roman" w:eastAsia="Times New Roman" w:hAnsi="Times New Roman"/>
          <w:sz w:val="18"/>
          <w:szCs w:val="18"/>
          <w:color w:val="auto"/>
        </w:rPr>
      </w:pPr>
    </w:p>
    <w:p>
      <w:pPr>
        <w:ind w:right="260" w:firstLine="1492"/>
        <w:spacing w:after="0" w:line="266" w:lineRule="auto"/>
        <w:tabs>
          <w:tab w:leader="none" w:pos="187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and have Owned (each as defined in Section 1.10(b)(iii) below), continuously for at least three years as of the date of the Stockholder Notice, a number of shares that represents at least three percent (3%) of the issued and outstanding shares of the Company that are entitled to vote generally in the election of directors as of the date of the Stockholder Notice (the “</w:t>
      </w:r>
      <w:r>
        <w:rPr>
          <w:rFonts w:ascii="Times New Roman" w:cs="Times New Roman" w:eastAsia="Times New Roman" w:hAnsi="Times New Roman"/>
          <w:sz w:val="18"/>
          <w:szCs w:val="18"/>
          <w:b w:val="1"/>
          <w:bCs w:val="1"/>
          <w:i w:val="1"/>
          <w:iCs w:val="1"/>
          <w:color w:val="auto"/>
        </w:rPr>
        <w:t>Required Shares</w:t>
      </w:r>
      <w:r>
        <w:rPr>
          <w:rFonts w:ascii="Times New Roman" w:cs="Times New Roman" w:eastAsia="Times New Roman" w:hAnsi="Times New Roman"/>
          <w:sz w:val="18"/>
          <w:szCs w:val="18"/>
          <w:color w:val="auto"/>
        </w:rPr>
        <w:t>”), and</w:t>
      </w:r>
    </w:p>
    <w:p>
      <w:pPr>
        <w:spacing w:after="0" w:line="176" w:lineRule="exact"/>
        <w:rPr>
          <w:rFonts w:ascii="Times New Roman" w:cs="Times New Roman" w:eastAsia="Times New Roman" w:hAnsi="Times New Roman"/>
          <w:sz w:val="18"/>
          <w:szCs w:val="18"/>
          <w:color w:val="auto"/>
        </w:rPr>
      </w:pPr>
    </w:p>
    <w:p>
      <w:pPr>
        <w:ind w:right="700" w:firstLine="1492"/>
        <w:spacing w:after="0" w:line="282" w:lineRule="auto"/>
        <w:tabs>
          <w:tab w:leader="none" w:pos="187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continue to Own the Required Shares through such Annual Meeting and satisfy the notice, ownership and other requirements of this Section 1.10.</w:t>
      </w:r>
    </w:p>
    <w:p>
      <w:pPr>
        <w:spacing w:after="0" w:line="161" w:lineRule="exact"/>
        <w:rPr>
          <w:rFonts w:ascii="Times New Roman" w:cs="Times New Roman" w:eastAsia="Times New Roman" w:hAnsi="Times New Roman"/>
          <w:sz w:val="18"/>
          <w:szCs w:val="18"/>
          <w:color w:val="auto"/>
        </w:rPr>
      </w:pPr>
    </w:p>
    <w:p>
      <w:pPr>
        <w:ind w:right="100" w:firstLine="921"/>
        <w:spacing w:after="0" w:line="256" w:lineRule="auto"/>
        <w:tabs>
          <w:tab w:leader="none" w:pos="13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satisfying the ownership requirements of this Section 1.10(b)(ii), a group of not more than 20 stockholders and beneficial owners may aggregate the number of shares of the Company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1.10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1.10.</w:t>
      </w:r>
    </w:p>
    <w:p>
      <w:pPr>
        <w:spacing w:after="0" w:line="187" w:lineRule="exact"/>
        <w:rPr>
          <w:rFonts w:ascii="Times New Roman" w:cs="Times New Roman" w:eastAsia="Times New Roman" w:hAnsi="Times New Roman"/>
          <w:sz w:val="18"/>
          <w:szCs w:val="18"/>
          <w:color w:val="auto"/>
        </w:rPr>
      </w:pPr>
    </w:p>
    <w:p>
      <w:pPr>
        <w:ind w:right="20" w:firstLine="921"/>
        <w:spacing w:after="0" w:line="259" w:lineRule="auto"/>
        <w:tabs>
          <w:tab w:leader="none" w:pos="132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of any two or more funds shall be treated as only one stockholder or beneficial owner for this purpose if they are (1) under common management and investment control, (2) under common management and funded primarily by the same employer, or (3) part of a “group of investment companies,” as such term is defined in Section 12(d)(1)(G)(ii) of the Investment Company Act of 1940, as amended. For purposes of this Section 1.10, the terms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have the meanings ascribed to such terms under the rules and regulations promulgated under the Exchange Act.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920" w:hanging="456"/>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Ownership</w:t>
      </w:r>
      <w:r>
        <w:rPr>
          <w:rFonts w:ascii="Times New Roman" w:cs="Times New Roman" w:eastAsia="Times New Roman" w:hAnsi="Times New Roman"/>
          <w:sz w:val="18"/>
          <w:szCs w:val="18"/>
          <w:color w:val="auto"/>
        </w:rPr>
        <w:t>. For purposes of this Section 1.10 of the By-Laws:</w:t>
      </w:r>
    </w:p>
    <w:p>
      <w:pPr>
        <w:spacing w:after="0" w:line="221" w:lineRule="exact"/>
        <w:rPr>
          <w:rFonts w:ascii="Times New Roman" w:cs="Times New Roman" w:eastAsia="Times New Roman" w:hAnsi="Times New Roman"/>
          <w:sz w:val="18"/>
          <w:szCs w:val="18"/>
          <w:color w:val="auto"/>
        </w:rPr>
      </w:pPr>
    </w:p>
    <w:p>
      <w:pPr>
        <w:ind w:right="60" w:firstLine="921"/>
        <w:spacing w:after="0" w:line="286" w:lineRule="auto"/>
        <w:tabs>
          <w:tab w:leader="none" w:pos="13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or beneficial owner is deemed to “</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only those outstanding shares of the Company that are entitled to vote generally in the election of directors as to which the person possesses both (A) the full voting and investment rights pertaining to the shares and (B) the full</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268" w:right="319" w:bottom="1440" w:gutter="0" w:footer="0" w:header="0"/>
        </w:sectPr>
      </w:pPr>
    </w:p>
    <w:bookmarkStart w:id="13" w:name="page14"/>
    <w:bookmarkEnd w:id="13"/>
    <w:p>
      <w:pPr>
        <w:ind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 interest in (including the opportunity for profit and risk of loss on) such shares, except that the number of shares calculated in accordance with clauses (A) and (B) will not include any shares (1) sold by such person in any transaction that has not been settled or closed, including any short sale,</w:t>
      </w:r>
    </w:p>
    <w:p>
      <w:pPr>
        <w:ind w:firstLine="8"/>
        <w:spacing w:after="0" w:line="25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by the person for any purposes or purchased by the person pursuant to an agreement to resell, or (3)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Company that are entitled to vote generally in the election of directors, if the instrument or agreement has, or is intended to have, or if exercised would have, the purpose or effect of either (x) reducing in any manner, to any extent or at any time in the future, the person’s full right to vote or direct the voting of the shares, or (y) hedging, offsetting or altering to any degree any gain or loss arising from the full economic ownership of the shares by the person. The terms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Owning</w:t>
      </w:r>
      <w:r>
        <w:rPr>
          <w:rFonts w:ascii="Times New Roman" w:cs="Times New Roman" w:eastAsia="Times New Roman" w:hAnsi="Times New Roman"/>
          <w:sz w:val="18"/>
          <w:szCs w:val="18"/>
          <w:color w:val="auto"/>
        </w:rPr>
        <w:t>” and other variations of the word “Own,” when used with respect to a stockholder or beneficial owner, have correlative meanings. For purposes of clauses (1) through (3), 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includes his, her or its affiliates.</w:t>
      </w:r>
    </w:p>
    <w:p>
      <w:pPr>
        <w:spacing w:after="0" w:line="183" w:lineRule="exact"/>
        <w:rPr>
          <w:rFonts w:ascii="Times New Roman" w:cs="Times New Roman" w:eastAsia="Times New Roman" w:hAnsi="Times New Roman"/>
          <w:sz w:val="18"/>
          <w:szCs w:val="18"/>
          <w:color w:val="auto"/>
        </w:rPr>
      </w:pPr>
    </w:p>
    <w:p>
      <w:pPr>
        <w:ind w:left="1340" w:hanging="419"/>
        <w:spacing w:after="0"/>
        <w:tabs>
          <w:tab w:leader="none" w:pos="13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or beneficial owner “</w:t>
      </w:r>
      <w:r>
        <w:rPr>
          <w:rFonts w:ascii="Times New Roman" w:cs="Times New Roman" w:eastAsia="Times New Roman" w:hAnsi="Times New Roman"/>
          <w:sz w:val="18"/>
          <w:szCs w:val="18"/>
          <w:b w:val="1"/>
          <w:bCs w:val="1"/>
          <w:i w:val="1"/>
          <w:iCs w:val="1"/>
          <w:color w:val="auto"/>
        </w:rPr>
        <w:t>Owns</w:t>
      </w:r>
      <w:r>
        <w:rPr>
          <w:rFonts w:ascii="Times New Roman" w:cs="Times New Roman" w:eastAsia="Times New Roman" w:hAnsi="Times New Roman"/>
          <w:sz w:val="18"/>
          <w:szCs w:val="18"/>
          <w:color w:val="auto"/>
        </w:rPr>
        <w:t>” shares held in the name of a nominee or other intermediary so long as the person retains both</w:t>
      </w:r>
    </w:p>
    <w:p>
      <w:pPr>
        <w:spacing w:after="0" w:line="31" w:lineRule="exact"/>
        <w:rPr>
          <w:rFonts w:ascii="Times New Roman" w:cs="Times New Roman" w:eastAsia="Times New Roman" w:hAnsi="Times New Roman"/>
          <w:sz w:val="18"/>
          <w:szCs w:val="18"/>
          <w:color w:val="auto"/>
        </w:rPr>
      </w:pPr>
    </w:p>
    <w:p>
      <w:pPr>
        <w:ind w:right="20" w:firstLine="8"/>
        <w:spacing w:after="0" w:line="255"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186" w:lineRule="exact"/>
        <w:rPr>
          <w:rFonts w:ascii="Times New Roman" w:cs="Times New Roman" w:eastAsia="Times New Roman" w:hAnsi="Times New Roman"/>
          <w:sz w:val="18"/>
          <w:szCs w:val="18"/>
          <w:color w:val="auto"/>
        </w:rPr>
      </w:pPr>
    </w:p>
    <w:p>
      <w:pPr>
        <w:ind w:right="40" w:firstLine="1948"/>
        <w:spacing w:after="0" w:line="261" w:lineRule="auto"/>
        <w:tabs>
          <w:tab w:leader="none" w:pos="235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or beneficial owner’s Ownership of shares shall be deemed to continue during any period in which the person has loaned the shares in the ordinary course of business if the person has the power to recall the loaned shares on not more than five business days’ notice and</w:t>
      </w:r>
    </w:p>
    <w:p>
      <w:pPr>
        <w:jc w:val="both"/>
        <w:ind w:right="140" w:firstLine="8"/>
        <w:spacing w:after="0" w:line="290" w:lineRule="auto"/>
        <w:tabs>
          <w:tab w:leader="none" w:pos="2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recalls the loaned shares within five business days of being notified that its Stockholder Nominee is expected to be included in the Company’s proxy materials for the relevant Annual Meeting and (2) the person continuously holds the recalled shares through and as of the date of the Annual Meeting.</w:t>
      </w:r>
    </w:p>
    <w:p>
      <w:pPr>
        <w:spacing w:after="0" w:line="153" w:lineRule="exact"/>
        <w:rPr>
          <w:rFonts w:ascii="Times New Roman" w:cs="Times New Roman" w:eastAsia="Times New Roman" w:hAnsi="Times New Roman"/>
          <w:sz w:val="17"/>
          <w:szCs w:val="17"/>
          <w:color w:val="auto"/>
        </w:rPr>
      </w:pPr>
    </w:p>
    <w:p>
      <w:pPr>
        <w:ind w:right="560" w:firstLine="464"/>
        <w:spacing w:after="0" w:line="286"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Information</w:t>
      </w:r>
      <w:r>
        <w:rPr>
          <w:rFonts w:ascii="Times New Roman" w:cs="Times New Roman" w:eastAsia="Times New Roman" w:hAnsi="Times New Roman"/>
          <w:sz w:val="18"/>
          <w:szCs w:val="18"/>
          <w:color w:val="auto"/>
        </w:rPr>
        <w:t>. For purposes of this Section 1.10, the “</w:t>
      </w:r>
      <w:r>
        <w:rPr>
          <w:rFonts w:ascii="Times New Roman" w:cs="Times New Roman" w:eastAsia="Times New Roman" w:hAnsi="Times New Roman"/>
          <w:sz w:val="18"/>
          <w:szCs w:val="18"/>
          <w:b w:val="1"/>
          <w:bCs w:val="1"/>
          <w:i w:val="1"/>
          <w:iCs w:val="1"/>
          <w:color w:val="auto"/>
        </w:rPr>
        <w:t>Required Information</w:t>
      </w:r>
      <w:r>
        <w:rPr>
          <w:rFonts w:ascii="Times New Roman" w:cs="Times New Roman" w:eastAsia="Times New Roman" w:hAnsi="Times New Roman"/>
          <w:sz w:val="18"/>
          <w:szCs w:val="18"/>
          <w:color w:val="auto"/>
        </w:rPr>
        <w:t>” referred to in Section 1.10(a) that the Company will include in its proxy statement is:</w:t>
      </w:r>
    </w:p>
    <w:p>
      <w:pPr>
        <w:spacing w:after="0" w:line="158" w:lineRule="exact"/>
        <w:rPr>
          <w:rFonts w:ascii="Times New Roman" w:cs="Times New Roman" w:eastAsia="Times New Roman" w:hAnsi="Times New Roman"/>
          <w:sz w:val="18"/>
          <w:szCs w:val="18"/>
          <w:color w:val="auto"/>
        </w:rPr>
      </w:pPr>
    </w:p>
    <w:p>
      <w:pPr>
        <w:ind w:right="20" w:firstLine="921"/>
        <w:spacing w:after="0" w:line="266" w:lineRule="auto"/>
        <w:tabs>
          <w:tab w:leader="none" w:pos="1343"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Schedule 14N provided with the Stockholder Notice concerning each Stockholder Nominee and the Eligible Stockholder that is required to be disclosed in the Company’s proxy statement by the applicable requirements of the Exchange Act and the rules and regulations thereunder, and</w:t>
      </w:r>
    </w:p>
    <w:p>
      <w:pPr>
        <w:spacing w:after="0" w:line="176" w:lineRule="exact"/>
        <w:rPr>
          <w:rFonts w:ascii="Times New Roman" w:cs="Times New Roman" w:eastAsia="Times New Roman" w:hAnsi="Times New Roman"/>
          <w:sz w:val="18"/>
          <w:szCs w:val="18"/>
          <w:color w:val="auto"/>
        </w:rPr>
      </w:pPr>
    </w:p>
    <w:p>
      <w:pPr>
        <w:jc w:val="both"/>
        <w:ind w:right="440" w:firstLine="1948"/>
        <w:spacing w:after="0" w:line="266" w:lineRule="auto"/>
        <w:tabs>
          <w:tab w:leader="none" w:pos="236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Company’s proxy statement for the Annual Meeting (the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Notwithstanding anything to the contrary contained in this Section 1.10, the Company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1.10 shall limit the Company’s ability to solicit against and include in its proxy materials its own statements relating to any Eligible Stockholder or Stockholder Nominee.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14" w:name="page15"/>
    <w:bookmarkEnd w:id="14"/>
    <w:p>
      <w:pPr>
        <w:ind w:left="372" w:hanging="372"/>
        <w:spacing w:after="0"/>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Notice and Other Information Requirements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right="420" w:firstLine="464"/>
        <w:spacing w:after="0" w:line="261" w:lineRule="auto"/>
        <w:tabs>
          <w:tab w:leader="none" w:pos="7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Notice shall set forth all information, representations and agreements required under Section 1.9(a)(ii),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1.10. In addition, such Stockholder Notice must include:</w:t>
      </w:r>
    </w:p>
    <w:p>
      <w:pPr>
        <w:spacing w:after="0" w:line="180" w:lineRule="exact"/>
        <w:rPr>
          <w:rFonts w:ascii="Times New Roman" w:cs="Times New Roman" w:eastAsia="Times New Roman" w:hAnsi="Times New Roman"/>
          <w:sz w:val="18"/>
          <w:szCs w:val="18"/>
          <w:color w:val="auto"/>
        </w:rPr>
      </w:pPr>
    </w:p>
    <w:p>
      <w:pPr>
        <w:ind w:left="1352" w:hanging="439"/>
        <w:spacing w:after="0"/>
        <w:tabs>
          <w:tab w:leader="none" w:pos="135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that has been or concurrently is filed with the SEC under the Exchange Act;</w:t>
      </w:r>
    </w:p>
    <w:p>
      <w:pPr>
        <w:spacing w:after="0" w:line="225" w:lineRule="exact"/>
        <w:rPr>
          <w:rFonts w:ascii="Times New Roman" w:cs="Times New Roman" w:eastAsia="Times New Roman" w:hAnsi="Times New Roman"/>
          <w:sz w:val="18"/>
          <w:szCs w:val="18"/>
          <w:color w:val="auto"/>
        </w:rPr>
      </w:pPr>
    </w:p>
    <w:p>
      <w:pPr>
        <w:ind w:left="-8" w:right="20" w:firstLine="1948"/>
        <w:spacing w:after="0" w:line="258" w:lineRule="auto"/>
        <w:tabs>
          <w:tab w:leader="none" w:pos="2352"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(1) setting forth and certifying to the number of shares of the Company that are entitled to vote generally in the election of directors the Eligible Stockholder Owns and has Owned (as defined in Section 1.10(b)(iii)) continuously for at least three years as of the date of the Stockholder Notice, and (2) agreeing to continue to Own such shares through the Annual Meeting;</w:t>
      </w:r>
    </w:p>
    <w:p>
      <w:pPr>
        <w:spacing w:after="0" w:line="184" w:lineRule="exact"/>
        <w:rPr>
          <w:sz w:val="20"/>
          <w:szCs w:val="20"/>
          <w:color w:val="auto"/>
        </w:rPr>
      </w:pPr>
    </w:p>
    <w:p>
      <w:pPr>
        <w:ind w:left="-8" w:right="20" w:firstLine="921"/>
        <w:spacing w:after="0" w:line="266" w:lineRule="auto"/>
        <w:tabs>
          <w:tab w:leader="none" w:pos="132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1.10;</w:t>
      </w:r>
    </w:p>
    <w:p>
      <w:pPr>
        <w:spacing w:after="0" w:line="176" w:lineRule="exact"/>
        <w:rPr>
          <w:rFonts w:ascii="Times New Roman" w:cs="Times New Roman" w:eastAsia="Times New Roman" w:hAnsi="Times New Roman"/>
          <w:sz w:val="18"/>
          <w:szCs w:val="18"/>
          <w:color w:val="auto"/>
        </w:rPr>
      </w:pPr>
    </w:p>
    <w:p>
      <w:pPr>
        <w:ind w:left="-8" w:right="320" w:firstLine="921"/>
        <w:spacing w:after="0" w:line="266" w:lineRule="auto"/>
        <w:tabs>
          <w:tab w:leader="none" w:pos="13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agreement of the Eligible Stockholder (and in the case of a group, the written agreement of each stockholder or beneficial owner whose shares are aggregated for purposes of constituting an Eligible Stockholder) addressed to the Company, setting forth the following additional agreements, representations and warranties:</w:t>
      </w:r>
    </w:p>
    <w:p>
      <w:pPr>
        <w:spacing w:after="0" w:line="176" w:lineRule="exact"/>
        <w:rPr>
          <w:rFonts w:ascii="Times New Roman" w:cs="Times New Roman" w:eastAsia="Times New Roman" w:hAnsi="Times New Roman"/>
          <w:sz w:val="18"/>
          <w:szCs w:val="18"/>
          <w:color w:val="auto"/>
        </w:rPr>
      </w:pPr>
    </w:p>
    <w:p>
      <w:pPr>
        <w:ind w:left="-8" w:firstLine="2404"/>
        <w:spacing w:after="0" w:line="261" w:lineRule="auto"/>
        <w:tabs>
          <w:tab w:leader="none" w:pos="277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provide (a) within five business days after the record date for the Annual Meeting both the information required under Section 1.9(a)(ii)(C) and Section 1.9(a)(ii)(D) and a statement in writing certifying the Eligible Stockholder’s continuous Ownership of the Required Shares, in each case, as of such date, and (b) immediate notice to the Company if the Eligible Stockholder ceases to Own any of the Required Shares prior to the Annual Meeting,</w:t>
      </w:r>
    </w:p>
    <w:p>
      <w:pPr>
        <w:spacing w:after="0" w:line="180" w:lineRule="exact"/>
        <w:rPr>
          <w:rFonts w:ascii="Times New Roman" w:cs="Times New Roman" w:eastAsia="Times New Roman" w:hAnsi="Times New Roman"/>
          <w:sz w:val="18"/>
          <w:szCs w:val="18"/>
          <w:color w:val="auto"/>
        </w:rPr>
      </w:pPr>
    </w:p>
    <w:p>
      <w:pPr>
        <w:ind w:left="-8" w:right="40" w:firstLine="2404"/>
        <w:spacing w:after="0" w:line="269" w:lineRule="auto"/>
        <w:tabs>
          <w:tab w:leader="none" w:pos="2778"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(a) acquired the Required Shares in the ordinary course of business and not with the intent to change or influence control at the Company, and does not currently have this intent, (b) has not nominated and shall not nominate for election to the Board at the Annual Meeting any person other than the Stockholder Nominee(s) being nominated pursuant to this Section 1.10, (c)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and</w:t>
      </w:r>
    </w:p>
    <w:p>
      <w:pPr>
        <w:spacing w:after="0" w:line="3"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distribute to any stockholder any form of proxy for the Annual Meeting other than the form distributed by the Company, and</w:t>
      </w:r>
    </w:p>
    <w:p>
      <w:pPr>
        <w:spacing w:after="0" w:line="206" w:lineRule="exact"/>
        <w:rPr>
          <w:rFonts w:ascii="Times New Roman" w:cs="Times New Roman" w:eastAsia="Times New Roman" w:hAnsi="Times New Roman"/>
          <w:sz w:val="18"/>
          <w:szCs w:val="18"/>
          <w:color w:val="auto"/>
        </w:rPr>
      </w:pPr>
    </w:p>
    <w:p>
      <w:pPr>
        <w:ind w:left="-8" w:right="80" w:firstLine="2404"/>
        <w:spacing w:after="0" w:line="282" w:lineRule="auto"/>
        <w:tabs>
          <w:tab w:leader="none" w:pos="277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(a) assume all liability for any legal or regulatory violation, and indemnify and hold harmless the Company and each of its directors, officers and employees individually against any liability, loss or damages in connection with any threatened or</w:t>
      </w:r>
    </w:p>
    <w:p>
      <w:pPr>
        <w:spacing w:after="0" w:line="9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72"/>
          </w:cols>
          <w:pgMar w:left="248" w:top="270" w:right="279" w:bottom="1440" w:gutter="0" w:footer="0" w:header="0"/>
        </w:sectPr>
      </w:pPr>
    </w:p>
    <w:bookmarkStart w:id="15" w:name="page16"/>
    <w:bookmarkEnd w:id="1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pending action, suit or proceeding, whether legal, administrative or investigative, against the Company or any of its directors, officers or employees, in each case arising out of stemming from the Eligible Stockholder’s communications with the stockholders of the Company or out of the information that the Eligible Stockholder provided to the Company, (b) comply with all laws, rules, regulations and listing standards applicable to its nomination or any solicitation in connection with the Annual Meeting, (c) file with the SEC any solicitation or other communication by or on behalf of the Eligible Stockholder relating to the Company’s Annual Meeting, one or more of the Company’s directors or director nominees or any Stockholder Nominee, regardless of whether the filing is required under Exchange Act Regulation 14A, or whether any exemption from filing is available for the materials under Exchange Act Regulation 14A, and (d) at the request of the Company, promptly, but in any event within five business days after such request (or by the day prior to the day of the Annual Meeting, if earlier), provide to the Company such additional information as reasonably requested by the Company.</w:t>
      </w:r>
    </w:p>
    <w:p>
      <w:pPr>
        <w:spacing w:after="0" w:line="185" w:lineRule="exact"/>
        <w:rPr>
          <w:sz w:val="20"/>
          <w:szCs w:val="20"/>
          <w:color w:val="auto"/>
        </w:rPr>
      </w:pPr>
    </w:p>
    <w:p>
      <w:pPr>
        <w:ind w:right="60" w:firstLine="921"/>
        <w:spacing w:after="0" w:line="258" w:lineRule="auto"/>
        <w:tabs>
          <w:tab w:leader="none" w:pos="1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Company demonstrating that the number of stockholders or beneficial owners, or both, within such group does not exceed 20, including whether a group of funds qualifies as one stockholder or beneficial owner within the meaning of Section 1.10(b)(ii).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information provided pursuant to this Section 1.10(c)(i) shall be deemed part of the Stockholder Notice for purposes of this Section 1.10.</w:t>
      </w:r>
    </w:p>
    <w:p>
      <w:pPr>
        <w:spacing w:after="0" w:line="131" w:lineRule="exact"/>
        <w:rPr>
          <w:sz w:val="20"/>
          <w:szCs w:val="20"/>
          <w:color w:val="auto"/>
        </w:rPr>
      </w:pPr>
    </w:p>
    <w:p>
      <w:pPr>
        <w:ind w:left="900" w:right="220" w:hanging="446"/>
        <w:spacing w:after="0" w:line="253"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under this Section 1.10, the Stockholder Notice must be delivered by a stockholder to the Secretary of the Company not later than the close of business (as defined in Section 1.9(c)(ii) above)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nor earlier than the close of business on the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first anniversary of the date (as stated in the Company’s proxy materials) the definitive proxy statement was first released to stockholders in connection with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the Annual Meeting is more than 30 days before or after the anniversary of the previous year’s Annual Meeting, or if no Annual Meeting was held in the preceding year, to be timely, the Stockholder Notice must be so delivered not earlier than the close of business on the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such Annual Meeting and not later than the close of business on the later of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such meeting or the 10th day following the day on which public announcement (as defined in Section 1.9(c)(ii) above) of the date of such meeting is first made by the Company.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w:t>
      </w:r>
    </w:p>
    <w:p>
      <w:pPr>
        <w:spacing w:after="0" w:line="192" w:lineRule="exact"/>
        <w:rPr>
          <w:rFonts w:ascii="Times New Roman" w:cs="Times New Roman" w:eastAsia="Times New Roman" w:hAnsi="Times New Roman"/>
          <w:sz w:val="18"/>
          <w:szCs w:val="18"/>
          <w:color w:val="auto"/>
        </w:rPr>
      </w:pPr>
    </w:p>
    <w:p>
      <w:pPr>
        <w:ind w:right="80" w:firstLine="464"/>
        <w:spacing w:after="0" w:line="261" w:lineRule="auto"/>
        <w:tabs>
          <w:tab w:leader="none" w:pos="8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Company, the Stockholder Nominee must promptly, but in any event within five business days after such request, submit all completed and signed questionnaires required of the Company’s nominees and provide to the Company such other information as it may reasonably request. The Company may request such additional information as necessary to permit the Board to determine if each Stockholder Nominee satisfies the requirements of this Section 1.10.</w:t>
      </w:r>
    </w:p>
    <w:p>
      <w:pPr>
        <w:spacing w:after="0" w:line="180" w:lineRule="exact"/>
        <w:rPr>
          <w:rFonts w:ascii="Times New Roman" w:cs="Times New Roman" w:eastAsia="Times New Roman" w:hAnsi="Times New Roman"/>
          <w:sz w:val="18"/>
          <w:szCs w:val="18"/>
          <w:color w:val="auto"/>
        </w:rPr>
      </w:pPr>
    </w:p>
    <w:p>
      <w:pPr>
        <w:ind w:left="900" w:hanging="436"/>
        <w:spacing w:after="0"/>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information or communications provided by the Eligible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0" w:right="23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or any Stockholder Nominees to the Company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Company’s right to omit a Stockholder Nominee from its proxy materials as provided in this Section 1.10.</w:t>
      </w:r>
    </w:p>
    <w:p>
      <w:pPr>
        <w:spacing w:after="0" w:line="184"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Access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464"/>
        <w:spacing w:after="0" w:line="266" w:lineRule="auto"/>
        <w:tabs>
          <w:tab w:leader="none" w:pos="8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1.10, the Company may omit from its proxy materials any Stockholder Nominee, and such nomination shall be disregarded and no vote on such Stockholder Nominee shall occur, notwithstanding that proxies with respect to such vote may have been received by the Company, if:</w:t>
      </w:r>
    </w:p>
    <w:p>
      <w:pPr>
        <w:spacing w:after="0" w:line="176" w:lineRule="exact"/>
        <w:rPr>
          <w:rFonts w:ascii="Times New Roman" w:cs="Times New Roman" w:eastAsia="Times New Roman" w:hAnsi="Times New Roman"/>
          <w:sz w:val="18"/>
          <w:szCs w:val="18"/>
          <w:color w:val="auto"/>
        </w:rPr>
      </w:pPr>
    </w:p>
    <w:p>
      <w:pPr>
        <w:ind w:right="80" w:firstLine="921"/>
        <w:spacing w:after="0" w:line="261" w:lineRule="auto"/>
        <w:tabs>
          <w:tab w:leader="none" w:pos="134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or Stockholder Nominee breaches any of its agreements, representations or warranties set forth in the Stockholder Notice or otherwise submitted pursuant to this Section 1.10, any of the information in the Stockholder Notice or otherwise submitted pursuant to this Section 1.10 was not, when provided, true, correct and complete, or the Eligible Stockholder or applicable Stockholder Nominee otherwise fails to comply with its obligations pursuant to these By-Laws, including, but not limited to, its obligations under this Section 1.10,</w:t>
      </w:r>
    </w:p>
    <w:p>
      <w:pPr>
        <w:spacing w:after="0" w:line="180" w:lineRule="exact"/>
        <w:rPr>
          <w:rFonts w:ascii="Times New Roman" w:cs="Times New Roman" w:eastAsia="Times New Roman" w:hAnsi="Times New Roman"/>
          <w:sz w:val="18"/>
          <w:szCs w:val="18"/>
          <w:color w:val="auto"/>
        </w:rPr>
      </w:pPr>
    </w:p>
    <w:p>
      <w:pPr>
        <w:ind w:right="100" w:firstLine="921"/>
        <w:spacing w:after="0" w:line="255" w:lineRule="auto"/>
        <w:tabs>
          <w:tab w:leader="none" w:pos="133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Nominee (1) is not independent under NYSE listing standards, any applicable rules of the SEC or the Company’s Corporate Governance Guidelines; (2) does not qualify as independent under the audit committee independence requirements set forth in the rules of the NYSE, as a “non-employee director” under Exchange Act Rule 16b-3 (or any successor provision), or as an “outside director” for the purposes of Section 162(m) of the Internal Revenue Code (or any successor provision); (3) is or has been, within the past three years, an officer or director of a competitor, as defined in Section 8 of the Clayton Antitrust Act of 1914, as amended; (4) is or has been, within the past three years, an officer, director or employee of the Eligible Stockholder nominating such person; (5) is a named subject of a pending criminal proceeding (excluding traffic violations and other minor offenses) or has been convicted in a criminal proceeding (excluding traffic violations and other minor offenses) within the past ten years; or (6) is subject to any order of the type specified in Rule 506(d) of Regulation D promulgated under the Securities Act of 1933, as amended,</w:t>
      </w:r>
    </w:p>
    <w:p>
      <w:pPr>
        <w:spacing w:after="0" w:line="185" w:lineRule="exact"/>
        <w:rPr>
          <w:rFonts w:ascii="Times New Roman" w:cs="Times New Roman" w:eastAsia="Times New Roman" w:hAnsi="Times New Roman"/>
          <w:sz w:val="18"/>
          <w:szCs w:val="18"/>
          <w:color w:val="auto"/>
        </w:rPr>
      </w:pPr>
    </w:p>
    <w:p>
      <w:pPr>
        <w:ind w:right="460" w:firstLine="921"/>
        <w:spacing w:after="0" w:line="282" w:lineRule="auto"/>
        <w:tabs>
          <w:tab w:leader="none" w:pos="133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 notice (whether or not subsequently withdrawn) that a stockholder intends to nominate any candidate for election to the Board pursuant to the advance notice requirements for stockholder nominees for director in Section 1.9(a), or</w:t>
      </w:r>
    </w:p>
    <w:p>
      <w:pPr>
        <w:spacing w:after="0" w:line="161" w:lineRule="exact"/>
        <w:rPr>
          <w:rFonts w:ascii="Times New Roman" w:cs="Times New Roman" w:eastAsia="Times New Roman" w:hAnsi="Times New Roman"/>
          <w:sz w:val="18"/>
          <w:szCs w:val="18"/>
          <w:color w:val="auto"/>
        </w:rPr>
      </w:pPr>
    </w:p>
    <w:p>
      <w:pPr>
        <w:ind w:right="100" w:firstLine="921"/>
        <w:spacing w:after="0" w:line="282" w:lineRule="auto"/>
        <w:tabs>
          <w:tab w:leader="none" w:pos="134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Stockholder Nominee to the Board would cause the Company to violate its Articles of Incorporation, these By-Laws, or any applicable law, rule, regulation or listing standard.</w:t>
      </w:r>
    </w:p>
    <w:p>
      <w:pPr>
        <w:spacing w:after="0" w:line="161" w:lineRule="exact"/>
        <w:rPr>
          <w:rFonts w:ascii="Times New Roman" w:cs="Times New Roman" w:eastAsia="Times New Roman" w:hAnsi="Times New Roman"/>
          <w:sz w:val="18"/>
          <w:szCs w:val="18"/>
          <w:color w:val="auto"/>
        </w:rPr>
      </w:pPr>
    </w:p>
    <w:p>
      <w:pPr>
        <w:ind w:right="100" w:firstLine="1492"/>
        <w:spacing w:after="0" w:line="261" w:lineRule="auto"/>
        <w:tabs>
          <w:tab w:leader="none" w:pos="1873"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Stockholder submitting more than one Stockholder Nominee for inclusion in the Company’s proxy materials pursuant to this Section 1.10 shall rank such Stockholder Nominees based on the order that the Eligible Stockholder desires such Stockholder Nominees to be selected for inclusion in the Company’s proxy materials, and include such assigned rank in its Stockholder Notice submitted to the Company. If the number of Stockholder Nominees submitted by all Eligible Stockholders pursuant to this Section 1.10 for a particular Annual Meeting exceeds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Number, the Stockholder Nominees to be included in the Company’s proxy materials shall be determined in accordance with the following provisions: one Stockholder Nominee who satisfies the eligibility requirements of this Section 1.10 shall be selected from each Eligible Stockholder for inclusion in the Company’s proxy materials until the Authorized Number is reached, going in order of the number (largest to smallest) of shares of the Company each Eligible Stockholder disclosed as Owned in its Stockholder Notice submitted to the Company and going in the order of the rank (highest to lowest) assigned to each Stockholder Nominee by such Eligible Stockholder. If the Authorized Number is not reached after one Stockholder Nominee who satisfies the eligibility requirements in this Section 1.10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1.10 thereafter is nominated by the Board, but thereafter is not included in the Company’s proxy materials or thereafter is not submitted for director election for any reason (including the Eligible Stockholder’s or Stockholder Nominee’s failure to comply with this Section 1.10), no other nominee or nominees shall be included in the Company’s proxy materials or otherwise submitted for election as a director at the applicable Annual Meeting in substitution for such Stockholder Nominee.</w:t>
      </w:r>
    </w:p>
    <w:p>
      <w:pPr>
        <w:spacing w:after="0" w:line="193" w:lineRule="exact"/>
        <w:rPr>
          <w:sz w:val="20"/>
          <w:szCs w:val="20"/>
          <w:color w:val="auto"/>
        </w:rPr>
      </w:pPr>
    </w:p>
    <w:p>
      <w:pPr>
        <w:ind w:left="1940" w:hanging="448"/>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Nominee who is included in the Company’s proxy materials for a particular Annual Meeting but either</w:t>
      </w:r>
    </w:p>
    <w:p>
      <w:pPr>
        <w:spacing w:after="0" w:line="27" w:lineRule="exact"/>
        <w:rPr>
          <w:rFonts w:ascii="Times New Roman" w:cs="Times New Roman" w:eastAsia="Times New Roman" w:hAnsi="Times New Roman"/>
          <w:sz w:val="18"/>
          <w:szCs w:val="18"/>
          <w:color w:val="auto"/>
        </w:rPr>
      </w:pPr>
    </w:p>
    <w:p>
      <w:pPr>
        <w:ind w:right="60" w:firstLine="8"/>
        <w:spacing w:after="0" w:line="253" w:lineRule="auto"/>
        <w:tabs>
          <w:tab w:leader="none" w:pos="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at least equal to twenty-five percent (25%) of the shares present in person or represented by proxy and entitled to vote in the election of directors, shall be ineligible to be a Stockholder Nominee pursuant to this Section 1.10 for the next two Annual Meetings.</w:t>
      </w:r>
    </w:p>
    <w:p>
      <w:pPr>
        <w:spacing w:after="0" w:line="187" w:lineRule="exact"/>
        <w:rPr>
          <w:rFonts w:ascii="Times New Roman" w:cs="Times New Roman" w:eastAsia="Times New Roman" w:hAnsi="Times New Roman"/>
          <w:sz w:val="18"/>
          <w:szCs w:val="18"/>
          <w:color w:val="auto"/>
        </w:rPr>
      </w:pPr>
    </w:p>
    <w:p>
      <w:pPr>
        <w:ind w:right="60" w:firstLine="464"/>
        <w:spacing w:after="0" w:line="261" w:lineRule="auto"/>
        <w:tabs>
          <w:tab w:leader="none" w:pos="8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1.10, unless otherwise required by law or otherwise determined by the chairman of the meeting or the Board, if the stockholder delivering the Stockholder Notice (or a qualified representative of the stockholder, as defined in Section 1.9(c)(i)) does not appear at the Annual Meeting to present its Stockholder Nominee or Stockholder Nominees, such nomination or nominations shall be disregarded, notwithstanding that proxies with respect to the election of the Stockholder Nominee or Stockholder Nominees may have been received by the Company.</w:t>
      </w:r>
    </w:p>
    <w:p>
      <w:pPr>
        <w:spacing w:after="0" w:line="180" w:lineRule="exact"/>
        <w:rPr>
          <w:rFonts w:ascii="Times New Roman" w:cs="Times New Roman" w:eastAsia="Times New Roman" w:hAnsi="Times New Roman"/>
          <w:sz w:val="18"/>
          <w:szCs w:val="18"/>
          <w:color w:val="auto"/>
        </w:rPr>
      </w:pPr>
    </w:p>
    <w:p>
      <w:pPr>
        <w:jc w:val="both"/>
        <w:ind w:right="200" w:firstLine="464"/>
        <w:spacing w:after="0" w:line="266" w:lineRule="auto"/>
        <w:tabs>
          <w:tab w:leader="none" w:pos="84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Board’s power and authority to interpret any other provisions of these By-Laws, the Board (and any other person or body authorized by the Board) shall have the power and authority to interpret this Section 1.10 and to make any and all determinations necessary or advisable to apply this Section 1.10 to any persons, facts or circumstances, in each case acting in good faith.</w:t>
      </w:r>
    </w:p>
    <w:p>
      <w:pPr>
        <w:spacing w:after="0" w:line="176" w:lineRule="exact"/>
        <w:rPr>
          <w:rFonts w:ascii="Times New Roman" w:cs="Times New Roman" w:eastAsia="Times New Roman" w:hAnsi="Times New Roman"/>
          <w:sz w:val="18"/>
          <w:szCs w:val="18"/>
          <w:color w:val="auto"/>
        </w:rPr>
      </w:pPr>
    </w:p>
    <w:p>
      <w:pPr>
        <w:ind w:right="20" w:firstLine="464"/>
        <w:spacing w:after="0" w:line="282" w:lineRule="auto"/>
        <w:tabs>
          <w:tab w:leader="none" w:pos="8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this Section 1.10 shall be the exclusive method for stockholders to include nominees for director election in the Company’s proxy materials.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270" w:right="31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u w:val="single" w:color="auto"/>
          <w:color w:val="auto"/>
        </w:rPr>
        <w:t>General Powers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overall management of all the affairs, property and business of the Company, including the supervision of the officers of the Company who shall directly manage the daily course of affairs of the Company, shall be vested in a Board who shall have and may exercise all powers except such as are exclusively conferred upon stockholders by law or by the Articles of Incorporation of the Company as from time to time amended. The Board may delegate such of its powers as it deems appropriate to committees consisting of one or more members of the Board and to the officers and other agents of the Company.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u w:val="single" w:color="auto"/>
          <w:color w:val="auto"/>
        </w:rPr>
        <w:t>Chairman; Vice Chairman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Chairman shall be elected by the Board from among the directors. The Chairman shall preside at all meetings of the Board, and shall exercise such other powers and discharge such other responsibilities as may be assigned by the Board. The Chairman may but need not be an officer of, or employed in an executive or other capacity by, the Company. The Board may also elect a director of the Company to be Vice Chairman. The Vice Chairman shall perform such duties as may be assigned by the Chairman or by the Board, and shall, in the absence or disability of the Chairman, act for the Chairman. The Vice Chairman may but need not be an officer of, or employed in an executive or other capacity by,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u w:val="single" w:color="auto"/>
          <w:color w:val="auto"/>
        </w:rPr>
        <w:t>Number, Tenure and Qualifications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directors shall, except as set forth in Section 1.9 above, be elected at an Annual Meeting by a majority of the votes cast, in person or by proxy, by the stockholders entitled to vote, except as provided in the Articles of Incorporation when the number of nominees exceeds the number of directors to be elected. The number of persons constituting the whole Board shall not be fewer than five nor more than 24, as fixed from time to time by the Board, subject to approval of stockholders of the Company at the Annual Meeting. The maximum number of persons constituting the whole Board shall, until changed at any succeeding Annual Meeting, be the number so fixed.</w:t>
      </w:r>
    </w:p>
    <w:p>
      <w:pPr>
        <w:spacing w:after="0" w:line="18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If the number of directors elected by stockholders is smaller than the maximum number of directors as fixed in accordance with the Articles of Incorporation, the Board shall be authorized, but not obligated, to appoint additional directors such that the total number of directors does not exceed the maximum number of directors as fixed by the Board and approved by stockholders of the Company, any such appointment to be effective until the next Annual Meeting.</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Directors may be suspended or dismissed at any general meeting of stockholders. A suspension automatically terminates if the person concerned has not been dismissed within two (2) months after the day of suspension. At any general meeting of stockholders at which action is taken to increase the number of the whole Board or to suspend or dismiss a director, or at any subsequent general meeting of stockholders, the stockholders may fill any vacancy or vacancies created by such action. Each director shall be elected to serve until the next Annual Meeting and until his or her successor shall be elected and qualified or until his or her death, resignation or removal. Directors need not be residents of Curaçao or stockholders of the Company.</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266"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2.4 </w:t>
      </w:r>
      <w:r>
        <w:rPr>
          <w:rFonts w:ascii="Times New Roman" w:cs="Times New Roman" w:eastAsia="Times New Roman" w:hAnsi="Times New Roman"/>
          <w:sz w:val="18"/>
          <w:szCs w:val="18"/>
          <w:b w:val="1"/>
          <w:bCs w:val="1"/>
          <w:u w:val="single" w:color="auto"/>
          <w:color w:val="auto"/>
        </w:rPr>
        <w:t>Meetings of the Board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directors may hold their meetings in or outside Curaçao.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Chairman or, in the absence or disability of the Chairman, the Vice Chairman shall preside at their meetings. In the absence or disability of both the Chairman and the Vice Chairman, such meetings shall be presided over by such person as may be chosen by the Board. Regular meetings of the Board shall be held at such times as may from time to time be fixed by the Board. Notice need not be given of regular meetings of the Board held at the time fixed by the Board.</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Special meetings of the Board may be held at any time upon the call of the Chairman or the Vice Chairman or of three directors by oral, electronic or written notice duly served on, sent or mailed to each director not less than three days before such meeting.</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first meeting of the Board following an Annual Meeting, whether a regular or special meeting of the Board, shall be an organizational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b w:val="1"/>
          <w:bCs w:val="1"/>
          <w:u w:val="single" w:color="auto"/>
          <w:color w:val="auto"/>
        </w:rPr>
        <w:t>Action by Directors Without Meeting</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When action by the Board is required or permitted to be taken, action at a meeting may be dispensed with if all commercially reasonable efforts have been taken to notify all the directors and if three-fourths of the directors consent in writing, by telefax, electronic mail or other communication device to such action taken or being taken, and provided that all directors are promptly notified of such action taken or having been taken.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b w:val="1"/>
          <w:bCs w:val="1"/>
          <w:u w:val="single" w:color="auto"/>
          <w:color w:val="auto"/>
        </w:rPr>
        <w:t>Quorum</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A majority of the whole Board shall constitute a quorum for the conduct of any business, provided that such quorum consists of more directors who are not citizens of the United States than directors who are citizens of the United States. The action of the majority of the directors present in person or by proxy, as hereinafter provided, at a meeting at which a quorum is so present shall constitute the action of the Board. Directors may in writing, by telefax, electronic mail or other communication device, appoint a proxy to act at any meeting of the Board, such proxy to be restricted, however, to the particular meeting specified therein. Such proxy must be another director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any meeting of the Board a director may not act as proxy for more than one director.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6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2.7 </w:t>
      </w:r>
      <w:r>
        <w:rPr>
          <w:rFonts w:ascii="Times New Roman" w:cs="Times New Roman" w:eastAsia="Times New Roman" w:hAnsi="Times New Roman"/>
          <w:sz w:val="18"/>
          <w:szCs w:val="18"/>
          <w:b w:val="1"/>
          <w:bCs w:val="1"/>
          <w:u w:val="single" w:color="auto"/>
          <w:color w:val="auto"/>
        </w:rPr>
        <w:t>Vacancies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the event that the office of any director becomes vacant for any reason, the remaining directors (or the remaining director, if there should be only one) may appoint one or more persons to fill the vacancy or vacancies thereby created on the Board until the next Annual Meeting,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at any time the number of directors then in office shall be reduced to less than a majority of the number constituting the whole Board, the remaining directors or director shall forthwith call a general meeting of stockholders for the purpose of filling the vacancies on the Board,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event that all of the directors are prevented from or are incapable of acting as directors, the Company shall be temporarily managed by any person or persons previously appointed by the Board so to act, who shall forthwith call a general meeting of stockholders for the purpose of electing a Board. Until such general meeting of stockholders is held, the person so designated shall only take such acts of management that cannot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b w:val="1"/>
          <w:bCs w:val="1"/>
          <w:u w:val="single" w:color="auto"/>
          <w:color w:val="auto"/>
        </w:rPr>
        <w:t>Committees</w:t>
      </w:r>
    </w:p>
    <w:p>
      <w:pPr>
        <w:spacing w:after="0" w:line="121" w:lineRule="exact"/>
        <w:rPr>
          <w:sz w:val="20"/>
          <w:szCs w:val="20"/>
          <w:color w:val="auto"/>
        </w:rPr>
      </w:pPr>
    </w:p>
    <w:p>
      <w:pPr>
        <w:ind w:firstLine="8"/>
        <w:spacing w:after="0" w:line="254"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telefax, electronic mail or other communication device, appoint a proxy to act at any meeting of the committee, such proxy to be restricted, however, to the particular meeting specified therein. Such proxy must be a director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any committee meeting a director may not act as proxy for more than one committee member.</w:t>
      </w:r>
    </w:p>
    <w:p>
      <w:pPr>
        <w:spacing w:after="0" w:line="18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power at any time to change the members of any committee, to fill vacancies thereon, and to discharge any committee.</w:t>
      </w:r>
    </w:p>
    <w:p>
      <w:pPr>
        <w:spacing w:after="0" w:line="225" w:lineRule="exact"/>
        <w:rPr>
          <w:rFonts w:ascii="Times New Roman" w:cs="Times New Roman" w:eastAsia="Times New Roman" w:hAnsi="Times New Roman"/>
          <w:sz w:val="18"/>
          <w:szCs w:val="18"/>
          <w:color w:val="auto"/>
        </w:rPr>
      </w:pPr>
    </w:p>
    <w:p>
      <w:pPr>
        <w:ind w:right="580" w:firstLine="8"/>
        <w:spacing w:after="0" w:line="282" w:lineRule="auto"/>
        <w:tabs>
          <w:tab w:leader="none" w:pos="3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a standing Audit Committee, Compensation Committee, Finance Committee, Nominating and Governance Committee, and Science and Technology Committee.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adopt a charter for each committee for regulating the conduct of its affairs. Such charters must be consistent with these By-Laws and the Articles of Incorporation.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b w:val="1"/>
          <w:bCs w:val="1"/>
          <w:u w:val="single" w:color="auto"/>
          <w:color w:val="auto"/>
        </w:rPr>
        <w:t>Certain Claims Involving Directors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the Board receives a written demand by a stockholder requesting the Board to bring a legal claim on behalf of the Company against one or more directors of the Company for breach of 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66" w:right="239" w:bottom="1440" w:gutter="0" w:footer="0" w:header="0"/>
        </w:sectPr>
      </w:pPr>
    </w:p>
    <w:bookmarkStart w:id="21" w:name="page22"/>
    <w:bookmarkEnd w:id="21"/>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duty to the Company under applicable law, and if the demand gives notice to the Board, of evidence of the facts necessary to support each of the claims made therein, the Board shall conduct a review and evaluation of the demand to determine whether the bringing of a legal claim as requested in the demand would be in the best interests of the Company. The following procedural standards shall apply to the review and evaluation of the demand and determination of best interest by the Board:</w:t>
      </w:r>
    </w:p>
    <w:p>
      <w:pPr>
        <w:spacing w:after="0" w:line="180" w:lineRule="exact"/>
        <w:rPr>
          <w:sz w:val="20"/>
          <w:szCs w:val="20"/>
          <w:color w:val="auto"/>
        </w:rPr>
      </w:pPr>
    </w:p>
    <w:p>
      <w:pPr>
        <w:ind w:right="40" w:firstLine="464"/>
        <w:spacing w:after="0" w:line="276" w:lineRule="auto"/>
        <w:tabs>
          <w:tab w:leader="none" w:pos="8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director interested in one or more of the claims of breach of duty shall participate other than as described in clause (c) below, and if any of the directors interested in a claim is an officer of the Company, no director who is an officer of the Company shall participate other than as described in clause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w:t>
      </w:r>
    </w:p>
    <w:p>
      <w:pPr>
        <w:spacing w:after="0" w:line="206" w:lineRule="exact"/>
        <w:rPr>
          <w:rFonts w:ascii="Times New Roman" w:cs="Times New Roman" w:eastAsia="Times New Roman" w:hAnsi="Times New Roman"/>
          <w:sz w:val="17"/>
          <w:szCs w:val="17"/>
          <w:color w:val="auto"/>
        </w:rPr>
      </w:pPr>
    </w:p>
    <w:p>
      <w:pPr>
        <w:ind w:right="220" w:firstLine="464"/>
        <w:spacing w:after="0" w:line="282" w:lineRule="auto"/>
        <w:tabs>
          <w:tab w:leader="none" w:pos="8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161" w:lineRule="exact"/>
        <w:rPr>
          <w:rFonts w:ascii="Times New Roman" w:cs="Times New Roman" w:eastAsia="Times New Roman" w:hAnsi="Times New Roman"/>
          <w:sz w:val="18"/>
          <w:szCs w:val="18"/>
          <w:color w:val="auto"/>
        </w:rPr>
      </w:pPr>
    </w:p>
    <w:p>
      <w:pPr>
        <w:ind w:right="580" w:firstLine="464"/>
        <w:spacing w:after="0" w:line="282" w:lineRule="auto"/>
        <w:tabs>
          <w:tab w:leader="none" w:pos="8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interested in a claim shall have an adequate opportunity to present evidence and be heard by the directors making the review, evaluation and determination.</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u w:val="single" w:color="auto"/>
          <w:color w:val="auto"/>
        </w:rPr>
        <w:t>Election and Term of Office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officers of the Company shall be elected or appointed by the Board and shall be a Chief Executive Officer, a Secretary and a Treasurer. The Board from time to time may also elect or appoint a President, a Chief Financial Officer, a Chief Accounting Officer,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Officers may but need not be directors of the Company. Two or more offices may be held by the same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officer shall execute, acknowledge or verify any instrument in more than one capacity if such instrument is required by law or by these By-Laws to be executed, acknowledged or verified by any two or more officers. The Board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appointment or election, as the case may be, of their successors or until the elimination of such offices or committees.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270"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b w:val="1"/>
          <w:bCs w:val="1"/>
          <w:u w:val="single" w:color="auto"/>
          <w:color w:val="auto"/>
        </w:rPr>
        <w:t>Chief Executive Officer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Board shall at least annually elect or appoint a Chief Executive Officer of the Company. The Chief Executive Officer shall have general executive powers, be delegated the overall responsibility for the day-to-day management of the business of the Company and the implementation of the decisions taken by the Board as they relate to the strategic and operational direction of the Company. The Chief Executive shall determine which duties regarding the operational management of the Company and the business enterprises connected therewith will be carried out under his or her responsibility by one or more officers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b w:val="1"/>
          <w:bCs w:val="1"/>
          <w:u w:val="single" w:color="auto"/>
          <w:color w:val="auto"/>
        </w:rPr>
        <w:t>President</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Board may, from time to time, designate an officer of the Company to be the President of the Company. The President shall exercise such powers and discharge such responsibilities as may be assigned by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b w:val="1"/>
          <w:bCs w:val="1"/>
          <w:u w:val="single" w:color="auto"/>
          <w:color w:val="auto"/>
        </w:rPr>
        <w:t>Chief Operating Officer</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Board may, from time to time, designate an officer of the Company to be the Chief Operating Officer of the Company. The Chief Operating Officer shall have general executive powers and responsibility for the day-to-day management of the operations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b w:val="1"/>
          <w:bCs w:val="1"/>
          <w:u w:val="single" w:color="auto"/>
          <w:color w:val="auto"/>
        </w:rPr>
        <w:t>Chief Financial Officer</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Board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generally appertaining to the office of chief financial officer of a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b w:val="1"/>
          <w:bCs w:val="1"/>
          <w:u w:val="single" w:color="auto"/>
          <w:color w:val="auto"/>
        </w:rPr>
        <w:t>Vice Presidents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several Vice Presidents shall do and perform all such duties and services as shall be assigned to or required of them, from time to time, by the Board, the Chairman, the Vice Chairman or the Chief Executive Officer, and except as otherwise prescribed by the Board, shall have such powers and duties as generally pertain to the office of a vice president of a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b w:val="1"/>
          <w:bCs w:val="1"/>
          <w:u w:val="single" w:color="auto"/>
          <w:color w:val="auto"/>
        </w:rPr>
        <w:t>Secretary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Secretary shall attend to the giving of notice of all general meetings of stockholders and of the Board and shall keep and attest true records of all proceedings thereat. The Secretary shall have charge of the corporate seal and have authority to attest to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66"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3.8 </w:t>
      </w:r>
      <w:r>
        <w:rPr>
          <w:rFonts w:ascii="Times New Roman" w:cs="Times New Roman" w:eastAsia="Times New Roman" w:hAnsi="Times New Roman"/>
          <w:sz w:val="18"/>
          <w:szCs w:val="18"/>
          <w:b w:val="1"/>
          <w:bCs w:val="1"/>
          <w:u w:val="single" w:color="auto"/>
          <w:color w:val="auto"/>
        </w:rPr>
        <w:t>Treasurer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Treasurer shall have the care and custody of all monies, funds and securities of the Company and shall deposit or cause to be deposited all funds of the Company in and with such depositories as the Board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b w:val="1"/>
          <w:bCs w:val="1"/>
          <w:u w:val="single" w:color="auto"/>
          <w:color w:val="auto"/>
        </w:rPr>
        <w:t>Salaries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salaries of the officers of the Company shall be fixed from time to time by the Compensation Committee of the Board or, in absence thereof, by the Board. No officer shall be prevented from receiving such salary by reason of the fact that he or she is also a director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b w:val="1"/>
          <w:bCs w:val="1"/>
          <w:u w:val="single" w:color="auto"/>
          <w:color w:val="auto"/>
        </w:rPr>
        <w:t>Checks, Notes, etc.</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checks, drafts, notes, bills of exchange, acceptances and other instruments for the payment of money shall be signed by such officer or officers, person or persons, as may from time to time be thereunto authorized by the Board.</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SHARES OF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u w:val="single" w:color="auto"/>
          <w:color w:val="auto"/>
        </w:rPr>
        <w:t>Registrar and Stock Certificates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interest of each stockholder of the Company shall be evidenced by certificates or by registration in book-entry accounts without certificates for shares of stock in such form as the appropriate officers of the Company may from time to time prescribe; provided that every stockholder shall be entitled to a certificate representing the stockholder’s ownership of shares of the Company. A register, which, provided a printed record can be produced therefrom, may be in electronic form (the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shall be kept by the Board or by a Registrar designated thereto by the Board. Each entry shall mention the name and address of the stockholder, the number of shares held and the numbers of the share certificates, if applicable, and such other information required to be included under Article 2:109 of the Civil Code of Curaçao.</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transfer and devolution of a share shall be entered in the Register and every such entry shall</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20"/>
          </w:cols>
          <w:pgMar w:left="240" w:top="266" w:right="339" w:bottom="1440" w:gutter="0" w:footer="0" w:header="0"/>
        </w:sectPr>
      </w:pPr>
    </w:p>
    <w:bookmarkStart w:id="24" w:name="page25"/>
    <w:bookmarkEnd w:id="24"/>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signed or otherwise acknowledged by or on behalf of the Board or by the Registrar. The shares of the stock of the Company shall be transferred on the books of the Company by the holder thereof in person or by his or her attorney, (a) upon surrender for cancellation of certificates for the same number of shares, with an assignment and power of transfer endorsed thereon or attached thereto, duly executed, with such proof of the authenticity of the transfer and payment of any applicable transfer taxes as the Company or its agents may reasonably require, or (b) by appropriate book-entry procedures.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Each certificate shall be signed by the Chairman or the Vice Chairman or the President or any Vice President and by the Secretary, Assistant Secretary or the Treasurer, and bear the corporate seal or a facsimile thereof, certifying the number of shares owned by the stockholder in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b w:val="1"/>
          <w:bCs w:val="1"/>
          <w:u w:val="single" w:color="auto"/>
          <w:color w:val="auto"/>
        </w:rPr>
        <w:t>Lost Certificates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case any certificate of stock shall be lost, stolen or destroyed, the Board or any officer of the Company to whom the Board has delegated authority may authorize the Registrar to issue and register a substitute certificate in place of the certificate of stock alleged to have been lost, stolen or destroyed, and may cause such substitute certificate to be countersigned and registered by the appropriate Registrar;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u w:val="single" w:color="auto"/>
          <w:color w:val="auto"/>
        </w:rPr>
        <w:t>Indemnification in Actions by Third Party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a director of any subsidiary of the Company or an officer appointed or elected by the board of directors of the Company or of a subsidiary, or is or was any such officer or director of the Company or of a subsidiary of the Company serving at the request of the Company as a director, officer, employee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0" w:right="23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with respect to proceedings to enforce rights to indemnification and advancement, the Company shall indemnify any such person in connection with a proceeding (or part thereof) initiated by such person (including claims and counterclaims, whether such counterclaims are asserted by (a) such person, or (b) the Company in a proceeding initiated by such person) only if such proceeding (or part thereof) was authorized by the Board. The Company shall indemnify any present or former officer or director of the Company to the fullest extent allowed by the preceding provisions of this Section 5.1 in the event of a “Change of Control.”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in office immediately prior to such entity, person or organization attaining such percentage interest; (ii) the Company is a party to a merger, consolidation, share exchange, sale of assets or other reorganization, or a proxy contest, as a consequence of which members of the Board in office immediately prior to such transaction or event constitute less than a majority of the Board thereafter; or (iii) during any 15-month period, individuals who at the beginning of such period constituted the Board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u w:val="single" w:color="auto"/>
          <w:color w:val="auto"/>
        </w:rPr>
        <w:t>Indemnification In Actions by or in the Right of the Company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applicable law, the Company shall indemnify any current or former, director or officer of the Company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with respect to any claim, issue or matter as to which such person shall have been finally adjudged to be liable to the Company for improper conduct unless and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0" w:right="259" w:bottom="1440" w:gutter="0" w:footer="0" w:header="0"/>
        </w:sectPr>
      </w:pPr>
    </w:p>
    <w:bookmarkStart w:id="26" w:name="page27"/>
    <w:bookmarkEnd w:id="26"/>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b w:val="1"/>
          <w:bCs w:val="1"/>
          <w:u w:val="single" w:color="auto"/>
          <w:color w:val="auto"/>
        </w:rPr>
        <w:t>Extension of Indemnification to Employees and Agents of the Company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indemnification under Sections 5.1 and 5.2 (unless ordered by a court) may be extended to current or former employees or agents of the Company or a subsidiary of the Company only as authorized by the Chief Executive Officer or by contract approved, or by-laws, resolution or other action adopted or taken, by the Board or by the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b w:val="1"/>
          <w:bCs w:val="1"/>
          <w:u w:val="single" w:color="auto"/>
          <w:color w:val="auto"/>
        </w:rPr>
        <w:t>Advance of Reimbursement of Expenses and Undertaking</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Expenses (including attorneys’ fees) incurred by a present or former director or a present officer of the Company or any subsidiary of the Company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b w:val="1"/>
          <w:bCs w:val="1"/>
          <w:u w:val="single" w:color="auto"/>
          <w:color w:val="auto"/>
        </w:rPr>
        <w:t>Non-Exclusivity of By-Laws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b w:val="1"/>
          <w:bCs w:val="1"/>
          <w:u w:val="single" w:color="auto"/>
          <w:color w:val="auto"/>
        </w:rPr>
        <w:t>Insurance for Indemnification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70"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5.7 </w:t>
      </w:r>
      <w:r>
        <w:rPr>
          <w:rFonts w:ascii="Times New Roman" w:cs="Times New Roman" w:eastAsia="Times New Roman" w:hAnsi="Times New Roman"/>
          <w:sz w:val="18"/>
          <w:szCs w:val="18"/>
          <w:b w:val="1"/>
          <w:bCs w:val="1"/>
          <w:u w:val="single" w:color="auto"/>
          <w:color w:val="auto"/>
        </w:rPr>
        <w:t>Definition of the Company</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purposes of this Article V,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b w:val="1"/>
          <w:bCs w:val="1"/>
          <w:u w:val="single" w:color="auto"/>
          <w:color w:val="auto"/>
        </w:rPr>
        <w:t>Other Definitions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b w:val="1"/>
          <w:bCs w:val="1"/>
          <w:u w:val="single" w:color="auto"/>
          <w:color w:val="auto"/>
        </w:rPr>
        <w:t>Good Faith Reliance</w:t>
      </w:r>
    </w:p>
    <w:p>
      <w:pPr>
        <w:spacing w:after="0" w:line="12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 member of the Board, or a member of any committee designated by the Board,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or by any other person as to matters the member reasonably believes are within such other person’s professional or expert competence and who has been selected with reasonable care by or on behalf of the Company.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u w:val="single" w:color="auto"/>
          <w:color w:val="auto"/>
        </w:rPr>
        <w:t>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Company shall be the calendar year.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66"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6.2 </w:t>
      </w:r>
      <w:r>
        <w:rPr>
          <w:rFonts w:ascii="Times New Roman" w:cs="Times New Roman" w:eastAsia="Times New Roman" w:hAnsi="Times New Roman"/>
          <w:sz w:val="18"/>
          <w:szCs w:val="18"/>
          <w:b w:val="1"/>
          <w:bCs w:val="1"/>
          <w:u w:val="single" w:color="auto"/>
          <w:color w:val="auto"/>
        </w:rPr>
        <w:t>Corporate Seal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have a corporate seal that shall have inscribed thereon the name of the Company, the word, “Curaçao”, and the year of its organization.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b w:val="1"/>
          <w:bCs w:val="1"/>
          <w:u w:val="single" w:color="auto"/>
          <w:color w:val="auto"/>
        </w:rPr>
        <w:t>Amendments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By-Laws may be altered, amended or repealed at any regular or special meeting of the Board,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lvl w:ilvl="1">
      <w:lvlJc w:val="left"/>
      <w:lvlText w:val="(%2)"/>
      <w:numFmt w:val="lowerRoman"/>
      <w:start w:val="1"/>
    </w:lvl>
  </w:abstractNum>
  <w:abstractNum w:abstractNumId="3">
    <w:nsid w:val="1BEFD79F"/>
    <w:multiLevelType w:val="hybridMultilevel"/>
    <w:lvl w:ilvl="0">
      <w:lvlJc w:val="left"/>
      <w:lvlText w:val="(%1)"/>
      <w:numFmt w:val="upperLetter"/>
      <w:start w:val="1"/>
    </w:lvl>
  </w:abstractNum>
  <w:abstractNum w:abstractNumId="4">
    <w:nsid w:val="41A7C4C9"/>
    <w:multiLevelType w:val="hybridMultilevel"/>
    <w:lvl w:ilvl="0">
      <w:lvlJc w:val="left"/>
      <w:lvlText w:val="(%1)"/>
      <w:numFmt w:val="upperLetter"/>
      <w:start w:val="2"/>
    </w:lvl>
    <w:lvl w:ilvl="1">
      <w:lvlJc w:val="left"/>
      <w:lvlText w:val="(%2)"/>
      <w:numFmt w:val="decimal"/>
      <w:start w:val="1"/>
    </w:lvl>
  </w:abstractNum>
  <w:abstractNum w:abstractNumId="5">
    <w:nsid w:val="6B68079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6">
    <w:nsid w:val="4E6AFB66"/>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7">
    <w:nsid w:val="25E45D32"/>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8">
    <w:nsid w:val="519B500D"/>
    <w:multiLevelType w:val="hybridMultilevel"/>
    <w:lvl w:ilvl="0">
      <w:lvlJc w:val="left"/>
      <w:lvlText w:val="%1"/>
      <w:numFmt w:val="lowerLetter"/>
      <w:start w:val="1"/>
    </w:lvl>
    <w:lvl w:ilvl="1">
      <w:lvlJc w:val="left"/>
      <w:lvlText w:val="(%2)"/>
      <w:numFmt w:val="lowerRoman"/>
      <w:start w:val="2"/>
    </w:lvl>
  </w:abstractNum>
  <w:abstractNum w:abstractNumId="9">
    <w:nsid w:val="431BD7B7"/>
    <w:multiLevelType w:val="hybridMultilevel"/>
    <w:lvl w:ilvl="0">
      <w:lvlJc w:val="left"/>
      <w:lvlText w:val="(%1)"/>
      <w:numFmt w:val="lowerLetter"/>
      <w:start w:val="3"/>
    </w:lvl>
    <w:lvl w:ilvl="1">
      <w:lvlJc w:val="left"/>
      <w:lvlText w:val="(%2)"/>
      <w:numFmt w:val="lowerRoman"/>
      <w:start w:val="1"/>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1)"/>
      <w:numFmt w:val="lowerLetter"/>
      <w:start w:val="1"/>
    </w:lvl>
    <w:lvl w:ilvl="1">
      <w:lvlJc w:val="left"/>
      <w:lvlText w:val="(%2)"/>
      <w:numFmt w:val="lowerRoman"/>
      <w:start w:val="1"/>
    </w:lvl>
  </w:abstractNum>
  <w:abstractNum w:abstractNumId="12">
    <w:nsid w:val="257130A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3">
    <w:nsid w:val="62BBD95A"/>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2"/>
    </w:lvl>
    <w:lvl w:ilvl="3">
      <w:lvlJc w:val="left"/>
      <w:lvlText w:val="%4"/>
      <w:numFmt w:val="upperLetter"/>
      <w:start w:val="1"/>
    </w:lvl>
  </w:abstractNum>
  <w:abstractNum w:abstractNumId="14">
    <w:nsid w:val="436C612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4)"/>
      <w:numFmt w:val="upperLetter"/>
      <w:start w:val="3"/>
    </w:lvl>
  </w:abstractNum>
  <w:abstractNum w:abstractNumId="15">
    <w:nsid w:val="628C895D"/>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lvl w:ilvl="3">
      <w:lvlJc w:val="left"/>
      <w:lvlText w:val="(%4)"/>
      <w:numFmt w:val="upperLetter"/>
      <w:start w:val="2"/>
    </w:lvl>
  </w:abstractNum>
  <w:abstractNum w:abstractNumId="16">
    <w:nsid w:val="333AB10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17">
    <w:nsid w:val="721DA317"/>
    <w:multiLevelType w:val="hybridMultilevel"/>
    <w:lvl w:ilvl="0">
      <w:lvlJc w:val="left"/>
      <w:lvlText w:val="%1"/>
      <w:numFmt w:val="lowerLetter"/>
      <w:start w:val="1"/>
    </w:lvl>
    <w:lvl w:ilvl="1">
      <w:lvlJc w:val="left"/>
      <w:lvlText w:val="(%2)"/>
      <w:numFmt w:val="upperLetter"/>
      <w:start w:val="3"/>
    </w:lvl>
    <w:lvl w:ilvl="2">
      <w:lvlJc w:val="left"/>
      <w:lvlText w:val="(%3)"/>
      <w:numFmt w:val="decimal"/>
      <w:start w:val="1"/>
    </w:lvl>
  </w:abstractNum>
  <w:abstractNum w:abstractNumId="18">
    <w:nsid w:val="2443A858"/>
    <w:multiLevelType w:val="hybridMultilevel"/>
    <w:lvl w:ilvl="0">
      <w:lvlJc w:val="left"/>
      <w:lvlText w:val="(%1)"/>
      <w:numFmt w:val="lowerLetter"/>
      <w:start w:val="4"/>
    </w:lvl>
    <w:lvl w:ilvl="1">
      <w:lvlJc w:val="left"/>
      <w:lvlText w:val="%2"/>
      <w:numFmt w:val="upperLetter"/>
      <w:start w:val="1"/>
    </w:lvl>
    <w:lvl w:ilvl="2">
      <w:lvlJc w:val="left"/>
      <w:lvlText w:val="(%3)"/>
      <w:numFmt w:val="decimal"/>
      <w:start w:val="3"/>
    </w:lvl>
  </w:abstractNum>
  <w:abstractNum w:abstractNumId="19">
    <w:nsid w:val="2D1D5AE9"/>
    <w:multiLevelType w:val="hybridMultilevel"/>
    <w:lvl w:ilvl="0">
      <w:lvlJc w:val="left"/>
      <w:lvlText w:val="(%1)"/>
      <w:numFmt w:val="upperLetter"/>
      <w:start w:val="5"/>
    </w:lvl>
  </w:abstractNum>
  <w:abstractNum w:abstractNumId="20">
    <w:nsid w:val="6763845E"/>
    <w:multiLevelType w:val="hybridMultilevel"/>
    <w:lvl w:ilvl="0">
      <w:lvlJc w:val="left"/>
      <w:lvlText w:val="(%1)"/>
      <w:numFmt w:val="lowerRoman"/>
      <w:start w:val="2"/>
    </w:lvl>
    <w:lvl w:ilvl="1">
      <w:lvlJc w:val="left"/>
      <w:lvlText w:val="(%2)"/>
      <w:numFmt w:val="lowerRoman"/>
      <w:start w:val="3"/>
    </w:lvl>
  </w:abstractNum>
  <w:abstractNum w:abstractNumId="21">
    <w:nsid w:val="75A2A8D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lowerLetter"/>
      <w:start w:val="35"/>
    </w:lvl>
  </w:abstractNum>
  <w:abstractNum w:abstractNumId="22">
    <w:nsid w:val="8EDBDA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23">
    <w:nsid w:val="79838CB2"/>
    <w:multiLevelType w:val="hybridMultilevel"/>
    <w:lvl w:ilvl="0">
      <w:lvlJc w:val="left"/>
      <w:lvlText w:val="(%1)"/>
      <w:numFmt w:val="upperLetter"/>
      <w:start w:val="1"/>
    </w:lvl>
    <w:lvl w:ilvl="1">
      <w:lvlJc w:val="left"/>
      <w:lvlText w:val="(%2)"/>
      <w:numFmt w:val="lowerRoman"/>
      <w:start w:val="4"/>
    </w:lvl>
    <w:lvl w:ilvl="2">
      <w:lvlJc w:val="left"/>
      <w:lvlText w:val="%3"/>
      <w:numFmt w:val="lowerRoman"/>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2019-12-05T06:47:30Z</dcterms:created>
  <dcterms:modified xsi:type="dcterms:W3CDTF">2019-12-05T06:47:30Z</dcterms:modified>
</cp:coreProperties>
</file>