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14, 2013</w:t>
      </w:r>
    </w:p>
    <w:p>
      <w:pPr>
        <w:spacing w:after="0" w:line="23" w:lineRule="exact"/>
        <w:rPr>
          <w:sz w:val="24"/>
          <w:szCs w:val="24"/>
          <w:color w:val="auto"/>
        </w:rPr>
      </w:pPr>
    </w:p>
    <w:p>
      <w:pPr>
        <w:ind w:left="894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1"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43"/>
          <w:szCs w:val="43"/>
          <w:b w:val="1"/>
          <w:bCs w:val="1"/>
          <w:color w:val="auto"/>
        </w:rPr>
        <w:t>SCHLUMBERGER N.V.</w:t>
      </w:r>
    </w:p>
    <w:p>
      <w:pPr>
        <w:spacing w:after="0" w:line="63"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43"/>
          <w:szCs w:val="43"/>
          <w:b w:val="1"/>
          <w:bCs w:val="1"/>
          <w:color w:val="auto"/>
        </w:rPr>
        <w:t>(Schlumberger Limited)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tbl>
      <w:tblPr>
        <w:tblLayout w:type="fixed"/>
        <w:tblInd w:w="1340" w:type="dxa"/>
        <w:tblCellMar>
          <w:top w:w="0" w:type="dxa"/>
          <w:left w:w="0" w:type="dxa"/>
          <w:bottom w:w="0" w:type="dxa"/>
          <w:right w:w="0" w:type="dxa"/>
        </w:tblCellMar>
      </w:tblPr>
      <w:tr>
        <w:trPr>
          <w:trHeight w:val="216"/>
        </w:trPr>
        <w:tc>
          <w:tcPr>
            <w:tcW w:w="4940" w:type="dxa"/>
            <w:vAlign w:val="bottom"/>
          </w:tcPr>
          <w:p>
            <w:pPr>
              <w:jc w:val="center"/>
              <w:ind w:right="1758"/>
              <w:spacing w:after="0"/>
              <w:rPr>
                <w:sz w:val="20"/>
                <w:szCs w:val="20"/>
                <w:color w:val="auto"/>
              </w:rPr>
            </w:pPr>
            <w:r>
              <w:rPr>
                <w:rFonts w:ascii="Times New Roman" w:cs="Times New Roman" w:eastAsia="Times New Roman" w:hAnsi="Times New Roman"/>
                <w:sz w:val="18"/>
                <w:szCs w:val="18"/>
                <w:b w:val="1"/>
                <w:bCs w:val="1"/>
                <w:color w:val="auto"/>
                <w:w w:val="99"/>
              </w:rPr>
              <w:t>Curaçao</w:t>
            </w:r>
          </w:p>
        </w:tc>
        <w:tc>
          <w:tcPr>
            <w:tcW w:w="2900" w:type="dxa"/>
            <w:vAlign w:val="bottom"/>
          </w:tcPr>
          <w:p>
            <w:pPr>
              <w:jc w:val="center"/>
              <w:ind w:left="1761"/>
              <w:spacing w:after="0"/>
              <w:rPr>
                <w:sz w:val="20"/>
                <w:szCs w:val="20"/>
                <w:color w:val="auto"/>
              </w:rPr>
            </w:pPr>
            <w:r>
              <w:rPr>
                <w:rFonts w:ascii="Times New Roman" w:cs="Times New Roman" w:eastAsia="Times New Roman" w:hAnsi="Times New Roman"/>
                <w:sz w:val="18"/>
                <w:szCs w:val="18"/>
                <w:b w:val="1"/>
                <w:bCs w:val="1"/>
                <w:color w:val="auto"/>
                <w:w w:val="98"/>
              </w:rPr>
              <w:t>52-0684746</w:t>
            </w:r>
          </w:p>
        </w:tc>
      </w:tr>
      <w:tr>
        <w:trPr>
          <w:trHeight w:val="149"/>
        </w:trPr>
        <w:tc>
          <w:tcPr>
            <w:tcW w:w="4940" w:type="dxa"/>
            <w:vAlign w:val="bottom"/>
          </w:tcPr>
          <w:p>
            <w:pPr>
              <w:jc w:val="center"/>
              <w:ind w:right="1758"/>
              <w:spacing w:after="0" w:line="149" w:lineRule="exact"/>
              <w:rPr>
                <w:sz w:val="20"/>
                <w:szCs w:val="20"/>
                <w:color w:val="auto"/>
              </w:rPr>
            </w:pPr>
            <w:r>
              <w:rPr>
                <w:rFonts w:ascii="Times New Roman" w:cs="Times New Roman" w:eastAsia="Times New Roman" w:hAnsi="Times New Roman"/>
                <w:sz w:val="14"/>
                <w:szCs w:val="14"/>
                <w:b w:val="1"/>
                <w:bCs w:val="1"/>
                <w:color w:val="auto"/>
                <w:w w:val="97"/>
              </w:rPr>
              <w:t>(State or other jurisdiction of</w:t>
            </w:r>
          </w:p>
        </w:tc>
        <w:tc>
          <w:tcPr>
            <w:tcW w:w="2900" w:type="dxa"/>
            <w:vAlign w:val="bottom"/>
          </w:tcPr>
          <w:p>
            <w:pPr>
              <w:jc w:val="center"/>
              <w:ind w:left="1761"/>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(I.R.S. Employer</w:t>
            </w:r>
          </w:p>
        </w:tc>
      </w:tr>
      <w:tr>
        <w:trPr>
          <w:trHeight w:val="178"/>
        </w:trPr>
        <w:tc>
          <w:tcPr>
            <w:tcW w:w="4940" w:type="dxa"/>
            <w:vAlign w:val="bottom"/>
          </w:tcPr>
          <w:p>
            <w:pPr>
              <w:jc w:val="center"/>
              <w:ind w:right="1738"/>
              <w:spacing w:after="0"/>
              <w:rPr>
                <w:sz w:val="20"/>
                <w:szCs w:val="20"/>
                <w:color w:val="auto"/>
              </w:rPr>
            </w:pPr>
            <w:r>
              <w:rPr>
                <w:rFonts w:ascii="Times New Roman" w:cs="Times New Roman" w:eastAsia="Times New Roman" w:hAnsi="Times New Roman"/>
                <w:sz w:val="14"/>
                <w:szCs w:val="14"/>
                <w:b w:val="1"/>
                <w:bCs w:val="1"/>
                <w:color w:val="auto"/>
                <w:w w:val="96"/>
              </w:rPr>
              <w:t>incorporation or organization)</w:t>
            </w:r>
          </w:p>
        </w:tc>
        <w:tc>
          <w:tcPr>
            <w:tcW w:w="2900" w:type="dxa"/>
            <w:vAlign w:val="bottom"/>
          </w:tcPr>
          <w:p>
            <w:pPr>
              <w:jc w:val="center"/>
              <w:ind w:left="1761"/>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416"/>
        </w:trPr>
        <w:tc>
          <w:tcPr>
            <w:tcW w:w="4940" w:type="dxa"/>
            <w:vAlign w:val="bottom"/>
          </w:tcPr>
          <w:p>
            <w:pPr>
              <w:jc w:val="center"/>
              <w:ind w:right="1738"/>
              <w:spacing w:after="0"/>
              <w:rPr>
                <w:sz w:val="20"/>
                <w:szCs w:val="20"/>
                <w:color w:val="auto"/>
              </w:rPr>
            </w:pPr>
            <w:r>
              <w:rPr>
                <w:rFonts w:ascii="Times New Roman" w:cs="Times New Roman" w:eastAsia="Times New Roman" w:hAnsi="Times New Roman"/>
                <w:sz w:val="18"/>
                <w:szCs w:val="18"/>
                <w:b w:val="1"/>
                <w:bCs w:val="1"/>
                <w:color w:val="auto"/>
                <w:w w:val="97"/>
              </w:rPr>
              <w:t>42, rue Saint-Dominique</w:t>
            </w:r>
          </w:p>
        </w:tc>
        <w:tc>
          <w:tcPr>
            <w:tcW w:w="2900" w:type="dxa"/>
            <w:vAlign w:val="bottom"/>
          </w:tcPr>
          <w:p>
            <w:pPr>
              <w:spacing w:after="0"/>
              <w:rPr>
                <w:sz w:val="24"/>
                <w:szCs w:val="24"/>
                <w:color w:val="auto"/>
              </w:rPr>
            </w:pPr>
          </w:p>
        </w:tc>
      </w:tr>
      <w:tr>
        <w:trPr>
          <w:trHeight w:val="244"/>
        </w:trPr>
        <w:tc>
          <w:tcPr>
            <w:tcW w:w="4940" w:type="dxa"/>
            <w:vAlign w:val="bottom"/>
          </w:tcPr>
          <w:p>
            <w:pPr>
              <w:jc w:val="center"/>
              <w:ind w:right="1758"/>
              <w:spacing w:after="0"/>
              <w:rPr>
                <w:sz w:val="20"/>
                <w:szCs w:val="20"/>
                <w:color w:val="auto"/>
              </w:rPr>
            </w:pPr>
            <w:r>
              <w:rPr>
                <w:rFonts w:ascii="Times New Roman" w:cs="Times New Roman" w:eastAsia="Times New Roman" w:hAnsi="Times New Roman"/>
                <w:sz w:val="18"/>
                <w:szCs w:val="18"/>
                <w:b w:val="1"/>
                <w:bCs w:val="1"/>
                <w:color w:val="auto"/>
                <w:w w:val="99"/>
              </w:rPr>
              <w:t>Paris, France</w:t>
            </w:r>
          </w:p>
        </w:tc>
        <w:tc>
          <w:tcPr>
            <w:tcW w:w="2900" w:type="dxa"/>
            <w:vAlign w:val="bottom"/>
          </w:tcPr>
          <w:p>
            <w:pPr>
              <w:jc w:val="center"/>
              <w:ind w:left="1781"/>
              <w:spacing w:after="0"/>
              <w:rPr>
                <w:sz w:val="20"/>
                <w:szCs w:val="20"/>
                <w:color w:val="auto"/>
              </w:rPr>
            </w:pPr>
            <w:r>
              <w:rPr>
                <w:rFonts w:ascii="Times New Roman" w:cs="Times New Roman" w:eastAsia="Times New Roman" w:hAnsi="Times New Roman"/>
                <w:sz w:val="18"/>
                <w:szCs w:val="18"/>
                <w:b w:val="1"/>
                <w:bCs w:val="1"/>
                <w:color w:val="auto"/>
                <w:w w:val="97"/>
              </w:rPr>
              <w:t>75007</w:t>
            </w:r>
          </w:p>
        </w:tc>
      </w:tr>
      <w:tr>
        <w:trPr>
          <w:trHeight w:val="418"/>
        </w:trPr>
        <w:tc>
          <w:tcPr>
            <w:tcW w:w="4940" w:type="dxa"/>
            <w:vAlign w:val="bottom"/>
          </w:tcPr>
          <w:p>
            <w:pPr>
              <w:jc w:val="center"/>
              <w:ind w:right="1738"/>
              <w:spacing w:after="0"/>
              <w:rPr>
                <w:sz w:val="20"/>
                <w:szCs w:val="20"/>
                <w:color w:val="auto"/>
              </w:rPr>
            </w:pPr>
            <w:r>
              <w:rPr>
                <w:rFonts w:ascii="Times New Roman" w:cs="Times New Roman" w:eastAsia="Times New Roman" w:hAnsi="Times New Roman"/>
                <w:sz w:val="18"/>
                <w:szCs w:val="18"/>
                <w:b w:val="1"/>
                <w:bCs w:val="1"/>
                <w:color w:val="auto"/>
                <w:w w:val="97"/>
              </w:rPr>
              <w:t>5599 San Felipe, 17</w:t>
            </w:r>
            <w:r>
              <w:rPr>
                <w:rFonts w:ascii="Times New Roman" w:cs="Times New Roman" w:eastAsia="Times New Roman" w:hAnsi="Times New Roman"/>
                <w:sz w:val="11"/>
                <w:szCs w:val="11"/>
                <w:b w:val="1"/>
                <w:bCs w:val="1"/>
                <w:color w:val="auto"/>
                <w:w w:val="97"/>
              </w:rPr>
              <w:t>th</w:t>
            </w:r>
            <w:r>
              <w:rPr>
                <w:rFonts w:ascii="Times New Roman" w:cs="Times New Roman" w:eastAsia="Times New Roman" w:hAnsi="Times New Roman"/>
                <w:sz w:val="18"/>
                <w:szCs w:val="18"/>
                <w:b w:val="1"/>
                <w:bCs w:val="1"/>
                <w:color w:val="auto"/>
                <w:w w:val="97"/>
              </w:rPr>
              <w:t xml:space="preserve"> Floor</w:t>
            </w:r>
          </w:p>
        </w:tc>
        <w:tc>
          <w:tcPr>
            <w:tcW w:w="2900" w:type="dxa"/>
            <w:vAlign w:val="bottom"/>
          </w:tcPr>
          <w:p>
            <w:pPr>
              <w:spacing w:after="0"/>
              <w:rPr>
                <w:sz w:val="24"/>
                <w:szCs w:val="24"/>
                <w:color w:val="auto"/>
              </w:rPr>
            </w:pPr>
          </w:p>
        </w:tc>
      </w:tr>
      <w:tr>
        <w:trPr>
          <w:trHeight w:val="244"/>
        </w:trPr>
        <w:tc>
          <w:tcPr>
            <w:tcW w:w="4940" w:type="dxa"/>
            <w:vAlign w:val="bottom"/>
          </w:tcPr>
          <w:p>
            <w:pPr>
              <w:jc w:val="center"/>
              <w:ind w:right="1758"/>
              <w:spacing w:after="0"/>
              <w:rPr>
                <w:sz w:val="20"/>
                <w:szCs w:val="20"/>
                <w:color w:val="auto"/>
              </w:rPr>
            </w:pPr>
            <w:r>
              <w:rPr>
                <w:rFonts w:ascii="Times New Roman" w:cs="Times New Roman" w:eastAsia="Times New Roman" w:hAnsi="Times New Roman"/>
                <w:sz w:val="18"/>
                <w:szCs w:val="18"/>
                <w:b w:val="1"/>
                <w:bCs w:val="1"/>
                <w:color w:val="auto"/>
                <w:w w:val="96"/>
              </w:rPr>
              <w:t>Houston, Texas, United States of America</w:t>
            </w:r>
          </w:p>
        </w:tc>
        <w:tc>
          <w:tcPr>
            <w:tcW w:w="2900" w:type="dxa"/>
            <w:vAlign w:val="bottom"/>
          </w:tcPr>
          <w:p>
            <w:pPr>
              <w:jc w:val="center"/>
              <w:ind w:left="1781"/>
              <w:spacing w:after="0"/>
              <w:rPr>
                <w:sz w:val="20"/>
                <w:szCs w:val="20"/>
                <w:color w:val="auto"/>
              </w:rPr>
            </w:pPr>
            <w:r>
              <w:rPr>
                <w:rFonts w:ascii="Times New Roman" w:cs="Times New Roman" w:eastAsia="Times New Roman" w:hAnsi="Times New Roman"/>
                <w:sz w:val="18"/>
                <w:szCs w:val="18"/>
                <w:b w:val="1"/>
                <w:bCs w:val="1"/>
                <w:color w:val="auto"/>
                <w:w w:val="97"/>
              </w:rPr>
              <w:t>77056</w:t>
            </w:r>
          </w:p>
        </w:tc>
      </w:tr>
      <w:tr>
        <w:trPr>
          <w:trHeight w:val="418"/>
        </w:trPr>
        <w:tc>
          <w:tcPr>
            <w:tcW w:w="4940" w:type="dxa"/>
            <w:vAlign w:val="bottom"/>
          </w:tcPr>
          <w:p>
            <w:pPr>
              <w:jc w:val="center"/>
              <w:ind w:right="1758"/>
              <w:spacing w:after="0"/>
              <w:rPr>
                <w:sz w:val="20"/>
                <w:szCs w:val="20"/>
                <w:color w:val="auto"/>
              </w:rPr>
            </w:pPr>
            <w:r>
              <w:rPr>
                <w:rFonts w:ascii="Times New Roman" w:cs="Times New Roman" w:eastAsia="Times New Roman" w:hAnsi="Times New Roman"/>
                <w:sz w:val="18"/>
                <w:szCs w:val="18"/>
                <w:b w:val="1"/>
                <w:bCs w:val="1"/>
                <w:color w:val="auto"/>
                <w:w w:val="97"/>
              </w:rPr>
              <w:t>Parkstraat 83, The Hague</w:t>
            </w:r>
          </w:p>
        </w:tc>
        <w:tc>
          <w:tcPr>
            <w:tcW w:w="2900" w:type="dxa"/>
            <w:vAlign w:val="bottom"/>
          </w:tcPr>
          <w:p>
            <w:pPr>
              <w:spacing w:after="0"/>
              <w:rPr>
                <w:sz w:val="24"/>
                <w:szCs w:val="24"/>
                <w:color w:val="auto"/>
              </w:rPr>
            </w:pPr>
          </w:p>
        </w:tc>
      </w:tr>
      <w:tr>
        <w:trPr>
          <w:trHeight w:val="229"/>
        </w:trPr>
        <w:tc>
          <w:tcPr>
            <w:tcW w:w="4940" w:type="dxa"/>
            <w:vAlign w:val="bottom"/>
          </w:tcPr>
          <w:p>
            <w:pPr>
              <w:jc w:val="center"/>
              <w:ind w:right="1758"/>
              <w:spacing w:after="0"/>
              <w:rPr>
                <w:sz w:val="20"/>
                <w:szCs w:val="20"/>
                <w:color w:val="auto"/>
              </w:rPr>
            </w:pPr>
            <w:r>
              <w:rPr>
                <w:rFonts w:ascii="Times New Roman" w:cs="Times New Roman" w:eastAsia="Times New Roman" w:hAnsi="Times New Roman"/>
                <w:sz w:val="18"/>
                <w:szCs w:val="18"/>
                <w:b w:val="1"/>
                <w:bCs w:val="1"/>
                <w:color w:val="auto"/>
                <w:w w:val="98"/>
              </w:rPr>
              <w:t>The Netherlands</w:t>
            </w:r>
          </w:p>
        </w:tc>
        <w:tc>
          <w:tcPr>
            <w:tcW w:w="2900" w:type="dxa"/>
            <w:vAlign w:val="bottom"/>
          </w:tcPr>
          <w:p>
            <w:pPr>
              <w:jc w:val="center"/>
              <w:ind w:left="1761"/>
              <w:spacing w:after="0"/>
              <w:rPr>
                <w:sz w:val="20"/>
                <w:szCs w:val="20"/>
                <w:color w:val="auto"/>
              </w:rPr>
            </w:pPr>
            <w:r>
              <w:rPr>
                <w:rFonts w:ascii="Times New Roman" w:cs="Times New Roman" w:eastAsia="Times New Roman" w:hAnsi="Times New Roman"/>
                <w:sz w:val="18"/>
                <w:szCs w:val="18"/>
                <w:b w:val="1"/>
                <w:bCs w:val="1"/>
                <w:color w:val="auto"/>
                <w:w w:val="97"/>
              </w:rPr>
              <w:t>2514 JG</w:t>
            </w:r>
          </w:p>
        </w:tc>
      </w:tr>
      <w:tr>
        <w:trPr>
          <w:trHeight w:val="178"/>
        </w:trPr>
        <w:tc>
          <w:tcPr>
            <w:tcW w:w="4940" w:type="dxa"/>
            <w:vAlign w:val="bottom"/>
          </w:tcPr>
          <w:p>
            <w:pPr>
              <w:jc w:val="center"/>
              <w:ind w:right="1758"/>
              <w:spacing w:after="0"/>
              <w:rPr>
                <w:sz w:val="20"/>
                <w:szCs w:val="20"/>
                <w:color w:val="auto"/>
              </w:rPr>
            </w:pPr>
            <w:r>
              <w:rPr>
                <w:rFonts w:ascii="Times New Roman" w:cs="Times New Roman" w:eastAsia="Times New Roman" w:hAnsi="Times New Roman"/>
                <w:sz w:val="14"/>
                <w:szCs w:val="14"/>
                <w:b w:val="1"/>
                <w:bCs w:val="1"/>
                <w:color w:val="auto"/>
                <w:w w:val="96"/>
              </w:rPr>
              <w:t>(Addresses of Principal Executive Offices)</w:t>
            </w:r>
          </w:p>
        </w:tc>
        <w:tc>
          <w:tcPr>
            <w:tcW w:w="2900" w:type="dxa"/>
            <w:vAlign w:val="bottom"/>
          </w:tcPr>
          <w:p>
            <w:pPr>
              <w:jc w:val="center"/>
              <w:ind w:left="1781"/>
              <w:spacing w:after="0"/>
              <w:rPr>
                <w:sz w:val="20"/>
                <w:szCs w:val="20"/>
                <w:color w:val="auto"/>
              </w:rPr>
            </w:pPr>
            <w:r>
              <w:rPr>
                <w:rFonts w:ascii="Times New Roman" w:cs="Times New Roman" w:eastAsia="Times New Roman" w:hAnsi="Times New Roman"/>
                <w:sz w:val="14"/>
                <w:szCs w:val="14"/>
                <w:b w:val="1"/>
                <w:bCs w:val="1"/>
                <w:color w:val="auto"/>
                <w:w w:val="96"/>
              </w:rPr>
              <w:t>(Zip Codes)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DISCOUNTED STOCK PURCHASE PLAN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Saul R. Laureles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Deputy General Counsel,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Governance and Securities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5599 San Felipe, 17th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Texas 77056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 375-3400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1040" w:type="dxa"/>
            <w:vAlign w:val="bottom"/>
          </w:tcPr>
          <w:p>
            <w:pPr>
              <w:spacing w:after="0"/>
              <w:rPr>
                <w:sz w:val="23"/>
                <w:szCs w:val="23"/>
                <w:color w:val="auto"/>
              </w:rPr>
            </w:pP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140" w:type="dxa"/>
            <w:vAlign w:val="bottom"/>
            <w:gridSpan w:val="5"/>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1360" w:type="dxa"/>
            <w:vAlign w:val="bottom"/>
          </w:tcPr>
          <w:p>
            <w:pPr>
              <w:spacing w:after="0"/>
              <w:rPr>
                <w:sz w:val="24"/>
                <w:szCs w:val="24"/>
                <w:color w:val="auto"/>
              </w:rPr>
            </w:pPr>
          </w:p>
        </w:tc>
        <w:tc>
          <w:tcPr>
            <w:tcW w:w="29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50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70"/>
        </w:trPr>
        <w:tc>
          <w:tcPr>
            <w:tcW w:w="2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0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Borders>
              <w:right w:val="single" w:sz="8" w:color="auto"/>
            </w:tcBorders>
          </w:tcPr>
          <w:p>
            <w:pPr>
              <w:jc w:val="center"/>
              <w:ind w:right="70"/>
              <w:spacing w:after="0" w:line="113"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600" w:type="dxa"/>
            <w:vAlign w:val="bottom"/>
            <w:tcBorders>
              <w:right w:val="single" w:sz="8" w:color="auto"/>
            </w:tcBorders>
          </w:tcPr>
          <w:p>
            <w:pPr>
              <w:jc w:val="center"/>
              <w:ind w:left="25"/>
              <w:spacing w:after="0" w:line="113"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7"/>
              <w:spacing w:after="0" w:line="149"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maximum</w:t>
            </w:r>
          </w:p>
        </w:tc>
        <w:tc>
          <w:tcPr>
            <w:tcW w:w="1600" w:type="dxa"/>
            <w:vAlign w:val="bottom"/>
            <w:tcBorders>
              <w:right w:val="single" w:sz="8" w:color="auto"/>
            </w:tcBorders>
          </w:tcPr>
          <w:p>
            <w:pPr>
              <w:jc w:val="center"/>
              <w:ind w:left="25"/>
              <w:spacing w:after="0" w:line="149" w:lineRule="exact"/>
              <w:rPr>
                <w:sz w:val="20"/>
                <w:szCs w:val="20"/>
                <w:color w:val="auto"/>
              </w:rPr>
            </w:pPr>
            <w:r>
              <w:rPr>
                <w:rFonts w:ascii="Times New Roman" w:cs="Times New Roman" w:eastAsia="Times New Roman" w:hAnsi="Times New Roman"/>
                <w:sz w:val="14"/>
                <w:szCs w:val="14"/>
                <w:b w:val="1"/>
                <w:bCs w:val="1"/>
                <w:color w:val="auto"/>
                <w:w w:val="95"/>
              </w:rPr>
              <w:t>maximum</w:t>
            </w: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7"/>
              <w:spacing w:after="0" w:line="149" w:lineRule="exact"/>
              <w:rPr>
                <w:sz w:val="20"/>
                <w:szCs w:val="20"/>
                <w:color w:val="auto"/>
              </w:rPr>
            </w:pPr>
            <w:r>
              <w:rPr>
                <w:rFonts w:ascii="Times New Roman" w:cs="Times New Roman" w:eastAsia="Times New Roman" w:hAnsi="Times New Roman"/>
                <w:sz w:val="14"/>
                <w:szCs w:val="14"/>
                <w:b w:val="1"/>
                <w:bCs w:val="1"/>
                <w:color w:val="auto"/>
                <w:w w:val="95"/>
              </w:rPr>
              <w:t>to be</w:t>
            </w: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offering price</w:t>
            </w:r>
          </w:p>
        </w:tc>
        <w:tc>
          <w:tcPr>
            <w:tcW w:w="1600" w:type="dxa"/>
            <w:vAlign w:val="bottom"/>
            <w:tcBorders>
              <w:right w:val="single" w:sz="8" w:color="auto"/>
            </w:tcBorders>
          </w:tcPr>
          <w:p>
            <w:pPr>
              <w:jc w:val="center"/>
              <w:ind w:left="5"/>
              <w:spacing w:after="0" w:line="149" w:lineRule="exact"/>
              <w:rPr>
                <w:sz w:val="20"/>
                <w:szCs w:val="20"/>
                <w:color w:val="auto"/>
              </w:rPr>
            </w:pPr>
            <w:r>
              <w:rPr>
                <w:rFonts w:ascii="Times New Roman" w:cs="Times New Roman" w:eastAsia="Times New Roman" w:hAnsi="Times New Roman"/>
                <w:sz w:val="14"/>
                <w:szCs w:val="14"/>
                <w:b w:val="1"/>
                <w:bCs w:val="1"/>
                <w:color w:val="auto"/>
                <w:w w:val="95"/>
              </w:rPr>
              <w:t>aggregate</w:t>
            </w:r>
          </w:p>
        </w:tc>
        <w:tc>
          <w:tcPr>
            <w:tcW w:w="2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of</w:t>
            </w:r>
          </w:p>
        </w:tc>
        <w:tc>
          <w:tcPr>
            <w:tcW w:w="240" w:type="dxa"/>
            <w:vAlign w:val="bottom"/>
          </w:tcPr>
          <w:p>
            <w:pPr>
              <w:spacing w:after="0"/>
              <w:rPr>
                <w:sz w:val="12"/>
                <w:szCs w:val="12"/>
                <w:color w:val="auto"/>
              </w:rPr>
            </w:pPr>
          </w:p>
        </w:tc>
      </w:tr>
      <w:tr>
        <w:trPr>
          <w:trHeight w:val="165"/>
        </w:trPr>
        <w:tc>
          <w:tcPr>
            <w:tcW w:w="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Title of securities to be registered</w:t>
            </w:r>
          </w:p>
        </w:tc>
        <w:tc>
          <w:tcPr>
            <w:tcW w:w="76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jc w:val="center"/>
              <w:ind w:left="7"/>
              <w:spacing w:after="0"/>
              <w:rPr>
                <w:sz w:val="20"/>
                <w:szCs w:val="20"/>
                <w:color w:val="auto"/>
              </w:rPr>
            </w:pPr>
            <w:r>
              <w:rPr>
                <w:rFonts w:ascii="Times New Roman" w:cs="Times New Roman" w:eastAsia="Times New Roman" w:hAnsi="Times New Roman"/>
                <w:sz w:val="14"/>
                <w:szCs w:val="14"/>
                <w:b w:val="1"/>
                <w:bCs w:val="1"/>
                <w:color w:val="auto"/>
                <w:w w:val="95"/>
              </w:rPr>
              <w:t>registered (2)</w:t>
            </w: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4"/>
              </w:rPr>
              <w:t>per share (1)</w:t>
            </w:r>
          </w:p>
        </w:tc>
        <w:tc>
          <w:tcPr>
            <w:tcW w:w="1600" w:type="dxa"/>
            <w:vAlign w:val="bottom"/>
            <w:tcBorders>
              <w:bottom w:val="single" w:sz="8" w:color="auto"/>
              <w:right w:val="single" w:sz="8" w:color="auto"/>
            </w:tcBorders>
          </w:tcPr>
          <w:p>
            <w:pPr>
              <w:jc w:val="center"/>
              <w:ind w:left="25"/>
              <w:spacing w:after="0"/>
              <w:rPr>
                <w:sz w:val="20"/>
                <w:szCs w:val="20"/>
                <w:color w:val="auto"/>
              </w:rPr>
            </w:pPr>
            <w:r>
              <w:rPr>
                <w:rFonts w:ascii="Times New Roman" w:cs="Times New Roman" w:eastAsia="Times New Roman" w:hAnsi="Times New Roman"/>
                <w:sz w:val="14"/>
                <w:szCs w:val="14"/>
                <w:b w:val="1"/>
                <w:bCs w:val="1"/>
                <w:color w:val="auto"/>
                <w:w w:val="96"/>
              </w:rPr>
              <w:t>offering price (1)</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registration fee</w:t>
            </w:r>
          </w:p>
        </w:tc>
        <w:tc>
          <w:tcPr>
            <w:tcW w:w="240" w:type="dxa"/>
            <w:vAlign w:val="bottom"/>
            <w:tcBorders>
              <w:bottom w:val="single" w:sz="8" w:color="auto"/>
            </w:tcBorders>
          </w:tcPr>
          <w:p>
            <w:pPr>
              <w:spacing w:after="0"/>
              <w:rPr>
                <w:sz w:val="14"/>
                <w:szCs w:val="14"/>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Common stock, par value $0.01 per share (2)</w:t>
            </w:r>
          </w:p>
        </w:tc>
        <w:tc>
          <w:tcPr>
            <w:tcW w:w="76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ind w:left="7"/>
              <w:spacing w:after="0"/>
              <w:rPr>
                <w:sz w:val="20"/>
                <w:szCs w:val="20"/>
                <w:color w:val="auto"/>
              </w:rPr>
            </w:pPr>
            <w:r>
              <w:rPr>
                <w:rFonts w:ascii="Times New Roman" w:cs="Times New Roman" w:eastAsia="Times New Roman" w:hAnsi="Times New Roman"/>
                <w:sz w:val="18"/>
                <w:szCs w:val="18"/>
                <w:color w:val="auto"/>
                <w:w w:val="98"/>
              </w:rPr>
              <w:t>22,000,000 shares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5"/>
              </w:rPr>
              <w:t>$76.435</w:t>
            </w:r>
          </w:p>
        </w:tc>
        <w:tc>
          <w:tcPr>
            <w:tcW w:w="1600" w:type="dxa"/>
            <w:vAlign w:val="bottom"/>
            <w:tcBorders>
              <w:bottom w:val="single" w:sz="8" w:color="auto"/>
              <w:right w:val="single" w:sz="8" w:color="auto"/>
            </w:tcBorders>
          </w:tcPr>
          <w:p>
            <w:pPr>
              <w:jc w:val="center"/>
              <w:ind w:left="25"/>
              <w:spacing w:after="0"/>
              <w:rPr>
                <w:sz w:val="20"/>
                <w:szCs w:val="20"/>
                <w:color w:val="auto"/>
              </w:rPr>
            </w:pPr>
            <w:r>
              <w:rPr>
                <w:rFonts w:ascii="Times New Roman" w:cs="Times New Roman" w:eastAsia="Times New Roman" w:hAnsi="Times New Roman"/>
                <w:sz w:val="18"/>
                <w:szCs w:val="18"/>
                <w:color w:val="auto"/>
                <w:w w:val="97"/>
              </w:rPr>
              <w:t>$1,681,570,000</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$229,367</w:t>
            </w:r>
          </w:p>
        </w:tc>
        <w:tc>
          <w:tcPr>
            <w:tcW w:w="24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20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40" w:type="dxa"/>
            <w:vAlign w:val="bottom"/>
          </w:tcPr>
          <w:p>
            <w:pPr>
              <w:spacing w:after="0"/>
              <w:rPr>
                <w:sz w:val="7"/>
                <w:szCs w:val="7"/>
                <w:color w:val="auto"/>
              </w:rPr>
            </w:pPr>
          </w:p>
        </w:tc>
      </w:tr>
    </w:tbl>
    <w:p>
      <w:pPr>
        <w:spacing w:after="0" w:line="13" w:lineRule="exact"/>
        <w:rPr>
          <w:sz w:val="24"/>
          <w:szCs w:val="24"/>
          <w:color w:val="auto"/>
        </w:rPr>
      </w:pPr>
    </w:p>
    <w:p>
      <w:pPr>
        <w:ind w:left="460" w:right="40" w:hanging="452"/>
        <w:spacing w:after="0" w:line="257"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457(c) and 457(h)(1), based on the average of the high and low prices for the common stock of Schlumberger Limited reported on the New York Stock Exchange on May 10, 2013.</w:t>
      </w:r>
    </w:p>
    <w:p>
      <w:pPr>
        <w:spacing w:after="0" w:line="1" w:lineRule="exact"/>
        <w:rPr>
          <w:rFonts w:ascii="Times New Roman" w:cs="Times New Roman" w:eastAsia="Times New Roman" w:hAnsi="Times New Roman"/>
          <w:sz w:val="18"/>
          <w:szCs w:val="18"/>
          <w:color w:val="auto"/>
        </w:rPr>
      </w:pPr>
    </w:p>
    <w:p>
      <w:pPr>
        <w:ind w:left="460" w:right="40" w:hanging="452"/>
        <w:spacing w:after="0" w:line="255"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this Registration Statement shall also include such additional indeterminate number of shares of common stock that may become issuable under the Schlumberger Discounted Stock Purchase Plan as a result of stock splits, stock dividends or similar transactions.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1" w:right="239" w:bottom="431"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OF ADDITIONAL SECURITIES</w:t>
      </w:r>
    </w:p>
    <w:p>
      <w:pPr>
        <w:spacing w:after="0" w:line="173" w:lineRule="exact"/>
        <w:rPr>
          <w:sz w:val="20"/>
          <w:szCs w:val="20"/>
          <w:color w:val="auto"/>
        </w:rPr>
      </w:pPr>
    </w:p>
    <w:p>
      <w:pPr>
        <w:ind w:right="20" w:firstLine="913"/>
        <w:spacing w:after="0" w:line="254" w:lineRule="auto"/>
        <w:rPr>
          <w:sz w:val="20"/>
          <w:szCs w:val="20"/>
          <w:color w:val="auto"/>
        </w:rPr>
      </w:pPr>
      <w:r>
        <w:rPr>
          <w:rFonts w:ascii="Times New Roman" w:cs="Times New Roman" w:eastAsia="Times New Roman" w:hAnsi="Times New Roman"/>
          <w:sz w:val="18"/>
          <w:szCs w:val="18"/>
          <w:color w:val="auto"/>
        </w:rPr>
        <w:t>Under General Instruction E on Form S-8, Schlumberger Limited (Schlumberger N.V.), a Curaçao corporation (“Schlumberger” or the “Registrant”), files this Registration Statement to register an additional 22,000,000 shares of common stock, par value $0.01 per share, of Schlumberger (“Common Stock”) issuable under the Schlumberger Discounted Stock Purchase Plan (the “DSPP”), as amended and restated effective January 1, 2013. At the recommendation of the Schlumberger Board of Directors, the Registrant’s stockholders approved an amendment and restatement of the DSPP at the annual general meeting of stockholders on April 10, 2013, thereby increasing the number of shares available for purchase under the DSPP by 22,000,000 shares of Common Stock. Schlumberger incorporates by reference in this Registration Statement its previous registration statements (Nos. 333-21355, 333-47592, 333-36364, 333-124534 and 333-173055) on Form S-8 relating to the DSPP.</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Incorporation of Documents by Reference.</w:t>
      </w:r>
    </w:p>
    <w:p>
      <w:pPr>
        <w:spacing w:after="0" w:line="94" w:lineRule="exact"/>
        <w:rPr>
          <w:sz w:val="20"/>
          <w:szCs w:val="20"/>
          <w:color w:val="auto"/>
        </w:rPr>
      </w:pPr>
    </w:p>
    <w:p>
      <w:pPr>
        <w:ind w:firstLine="913"/>
        <w:spacing w:after="0" w:line="275" w:lineRule="auto"/>
        <w:rPr>
          <w:sz w:val="20"/>
          <w:szCs w:val="20"/>
          <w:color w:val="auto"/>
        </w:rPr>
      </w:pPr>
      <w:r>
        <w:rPr>
          <w:rFonts w:ascii="Times New Roman" w:cs="Times New Roman" w:eastAsia="Times New Roman" w:hAnsi="Times New Roman"/>
          <w:sz w:val="18"/>
          <w:szCs w:val="18"/>
          <w:color w:val="auto"/>
        </w:rPr>
        <w:t>This Registration Statement incorporates herein by reference the following documents, which have been filed with the Commission by the Registrant (SEC File No. 001-04601) pursuant to the Securities Act and the Securities Exchange Act of 1934, as amended (the “Exchange Act”):</w:t>
      </w:r>
    </w:p>
    <w:p>
      <w:pPr>
        <w:spacing w:after="0" w:line="39" w:lineRule="exact"/>
        <w:rPr>
          <w:sz w:val="20"/>
          <w:szCs w:val="20"/>
          <w:color w:val="auto"/>
        </w:rPr>
      </w:pPr>
    </w:p>
    <w:p>
      <w:pPr>
        <w:ind w:left="1480" w:hanging="567"/>
        <w:spacing w:after="0"/>
        <w:tabs>
          <w:tab w:leader="none" w:pos="1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Annual Report on Form 10-K for the fiscal year ended December 31, 2012, filed on January 31, 2013;</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Quarterly Report on Form 10-Q for the quarter ended March 31, 2013, filed on April 24, 2013;</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Current Reports on Form 8-K filed on February 11, 2013 and April 11, 2013; and</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Registrant’s Common Stock contained in the Registrant’s Current Report on Form 8-K filed on April 29, 2005.</w:t>
      </w:r>
    </w:p>
    <w:p>
      <w:pPr>
        <w:spacing w:after="0" w:line="171" w:lineRule="exact"/>
        <w:rPr>
          <w:sz w:val="20"/>
          <w:szCs w:val="20"/>
          <w:color w:val="auto"/>
        </w:rPr>
      </w:pPr>
    </w:p>
    <w:p>
      <w:pPr>
        <w:ind w:right="40" w:firstLine="913"/>
        <w:spacing w:after="0" w:line="310" w:lineRule="auto"/>
        <w:rPr>
          <w:sz w:val="20"/>
          <w:szCs w:val="20"/>
          <w:color w:val="auto"/>
        </w:rPr>
      </w:pPr>
      <w:r>
        <w:rPr>
          <w:rFonts w:ascii="Times New Roman" w:cs="Times New Roman" w:eastAsia="Times New Roman" w:hAnsi="Times New Roman"/>
          <w:sz w:val="16"/>
          <w:szCs w:val="16"/>
          <w:color w:val="auto"/>
        </w:rPr>
        <w:t>Each document filed by the Registrant pursuant to Sections 13(a), 13(c), 14 or 15(d) of the Exchange Act, subsequent to the date of this Registration Statement and prior to the filing of a post-effective amendment that indicates that all securities offered have been sold or that deregisters all securities then remaining unsold, shall be deemed to be incorporated by reference in this Registration Statement and to be a part hereof from the date of filing such documents.</w:t>
      </w:r>
    </w:p>
    <w:p>
      <w:pPr>
        <w:spacing w:after="0" w:line="97"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Any statement contained in this Registration Statement, in an amendment hereto or in a document incorporated by reference herein shall be deemed to be modified or superseded for purposes of this Registration Statement to the extent that a statement contained herein or in any subsequently filed amendment to this Registration Statement or in any document that also is incorporated by reference herein modifies or supersedes such statement. Any statement so modified or superseded shall not be deemed, except as so modified or superseded, to constitute a part of this Registration Statement.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Description of Securities.</w:t>
      </w:r>
    </w:p>
    <w:p>
      <w:pPr>
        <w:spacing w:after="0" w:line="9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Interests of Named Experts and Counsel.</w:t>
      </w:r>
    </w:p>
    <w:p>
      <w:pPr>
        <w:spacing w:after="0" w:line="9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Indemnification of Directors and Officers.</w:t>
      </w:r>
    </w:p>
    <w:p>
      <w:pPr>
        <w:spacing w:after="0" w:line="94" w:lineRule="exact"/>
        <w:rPr>
          <w:sz w:val="20"/>
          <w:szCs w:val="20"/>
          <w:color w:val="auto"/>
        </w:rPr>
      </w:pPr>
    </w:p>
    <w:p>
      <w:pPr>
        <w:ind w:right="40" w:firstLine="913"/>
        <w:spacing w:after="0" w:line="255" w:lineRule="auto"/>
        <w:rPr>
          <w:sz w:val="20"/>
          <w:szCs w:val="20"/>
          <w:color w:val="auto"/>
        </w:rPr>
      </w:pPr>
      <w:r>
        <w:rPr>
          <w:rFonts w:ascii="Times New Roman" w:cs="Times New Roman" w:eastAsia="Times New Roman" w:hAnsi="Times New Roman"/>
          <w:sz w:val="18"/>
          <w:szCs w:val="18"/>
          <w:color w:val="auto"/>
        </w:rPr>
        <w:t>Article 10 of the Registrant’s Articles of Incorporation and Article V of the Registrant’s Amended and Restated By-laws contain provisions providing for indemnification of the Registrant’s directors, officers, employees and agents. Article 10 of the Articles of Incorporation permits (but does not require) the Registrant to indemnify directors, officers, employees and agents, except that indemnification is mandatory with respect to a current or former officer or director in the event of a “Change of Control” (as defined below) or if such current or former officer or director has been successful on the merits or otherwise in the defense of any action, suit or proceeding. Article V of the Registrant’s Amended and Restated By-laws contains mandatory indemnification for current and former directors and officers as described below.</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- 1 -</w:t>
      </w:r>
    </w:p>
    <w:p>
      <w:pPr>
        <w:sectPr>
          <w:pgSz w:w="11900" w:h="16838" w:orient="portrait"/>
          <w:cols w:equalWidth="0" w:num="1">
            <w:col w:w="11400"/>
          </w:cols>
          <w:pgMar w:left="240" w:top="272" w:right="259" w:bottom="1440" w:gutter="0" w:footer="0" w:header="0"/>
        </w:sectPr>
      </w:pPr>
    </w:p>
    <w:bookmarkStart w:id="2" w:name="page3"/>
    <w:bookmarkEnd w:id="2"/>
    <w:p>
      <w:pPr>
        <w:ind w:firstLine="913"/>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fullest extent permitted by applicable law, the Registrant will indemnify any person who was or is a party or is threatened to be made a party to any threatened, pending or completed action, suit or proceeding, whether civil, criminal, administrative or investigative (other than an action by or in the right of the Registrant) by reason of the fact that he or she is or was a director, officer, employee or agent of the Registrant, or is or was serving at the request of the Registrant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Registrant, and, with respect to any criminal action or proceeding, had no reasonable cause to believe that such person’s conduct was unlawful. The termination of any action, suit or proceeding by judgment, order, settlement, conviction, or upon a plea of nolo contendere or its equivalent, does not, of itself, create a presumption that the person did not act in good faith and in a manner which such person reasonably believed to be in or not opposed to the best interests of the Registrant, and, with respect to any criminal action or proceeding, had reasonable cause to believe that such person’s conduct was unlawful.</w:t>
      </w:r>
    </w:p>
    <w:p>
      <w:pPr>
        <w:spacing w:after="0" w:line="141" w:lineRule="exact"/>
        <w:rPr>
          <w:sz w:val="20"/>
          <w:szCs w:val="20"/>
          <w:color w:val="auto"/>
        </w:rPr>
      </w:pPr>
    </w:p>
    <w:p>
      <w:pPr>
        <w:ind w:right="120" w:firstLine="913"/>
        <w:spacing w:after="0" w:line="262" w:lineRule="auto"/>
        <w:rPr>
          <w:sz w:val="20"/>
          <w:szCs w:val="20"/>
          <w:color w:val="auto"/>
        </w:rPr>
      </w:pPr>
      <w:r>
        <w:rPr>
          <w:rFonts w:ascii="Times New Roman" w:cs="Times New Roman" w:eastAsia="Times New Roman" w:hAnsi="Times New Roman"/>
          <w:sz w:val="18"/>
          <w:szCs w:val="18"/>
          <w:color w:val="auto"/>
        </w:rPr>
        <w:t>The Registrant is required to indemnify any current or former officer or director of the Regsitrant to the fullest extent allowed by the preceding paragraphs in the event of a “Change of Control.” “Change of Control” means a change in control of the Registrant, which will be deemed to have occurred if at any time:</w:t>
      </w:r>
    </w:p>
    <w:p>
      <w:pPr>
        <w:spacing w:after="0" w:line="51" w:lineRule="exact"/>
        <w:rPr>
          <w:sz w:val="20"/>
          <w:szCs w:val="20"/>
          <w:color w:val="auto"/>
        </w:rPr>
      </w:pPr>
    </w:p>
    <w:p>
      <w:pPr>
        <w:ind w:left="1480" w:right="300" w:hanging="567"/>
        <w:spacing w:after="0" w:line="258" w:lineRule="auto"/>
        <w:tabs>
          <w:tab w:leader="none" w:pos="1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person or organization is or becomes the legal or beneficial owner, directly or indirectly, of securities of the Registrant representing 30% or more of the combined voting power of the Registrant’s then outstanding shares without the prior approval of at least two-thirds of the members of our board of directors in office immediately prior to such entity, person or organization attaining such percentage interest;</w:t>
      </w:r>
    </w:p>
    <w:p>
      <w:pPr>
        <w:spacing w:after="0" w:line="55" w:lineRule="exact"/>
        <w:rPr>
          <w:rFonts w:ascii="Times New Roman" w:cs="Times New Roman" w:eastAsia="Times New Roman" w:hAnsi="Times New Roman"/>
          <w:sz w:val="18"/>
          <w:szCs w:val="18"/>
          <w:color w:val="auto"/>
        </w:rPr>
      </w:pPr>
    </w:p>
    <w:p>
      <w:pPr>
        <w:ind w:left="1480" w:right="500" w:hanging="567"/>
        <w:spacing w:after="0" w:line="262" w:lineRule="auto"/>
        <w:tabs>
          <w:tab w:leader="none" w:pos="1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a party to a merger, consolidation, share exchange, sale of assets or other reorganization, or a proxy contest, as a consequence of which members of our board of directors in office immediately prior to such transaction or event constitute less than a majority of our board of directors thereafter; or</w:t>
      </w:r>
    </w:p>
    <w:p>
      <w:pPr>
        <w:spacing w:after="0" w:line="51" w:lineRule="exact"/>
        <w:rPr>
          <w:rFonts w:ascii="Times New Roman" w:cs="Times New Roman" w:eastAsia="Times New Roman" w:hAnsi="Times New Roman"/>
          <w:sz w:val="18"/>
          <w:szCs w:val="18"/>
          <w:color w:val="auto"/>
        </w:rPr>
      </w:pPr>
    </w:p>
    <w:p>
      <w:pPr>
        <w:ind w:left="1480" w:right="100" w:hanging="567"/>
        <w:spacing w:after="0" w:line="258" w:lineRule="auto"/>
        <w:tabs>
          <w:tab w:leader="none" w:pos="1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15-month period, individuals who at the beginning of such period constituted our board of directors (including for this purpose any new director whose election or nomination for election by the Registrant’s stockholders was approved by a vote of at least two-thirds of the directors then still in office who were directors at the beginning of such period) cease for any reason to constitute at least a majority of our board of directors.</w:t>
      </w:r>
    </w:p>
    <w:p>
      <w:pPr>
        <w:spacing w:after="0" w:line="136" w:lineRule="exact"/>
        <w:rPr>
          <w:sz w:val="20"/>
          <w:szCs w:val="20"/>
          <w:color w:val="auto"/>
        </w:rPr>
      </w:pPr>
    </w:p>
    <w:p>
      <w:pPr>
        <w:ind w:firstLine="913"/>
        <w:spacing w:after="0" w:line="252" w:lineRule="auto"/>
        <w:rPr>
          <w:sz w:val="20"/>
          <w:szCs w:val="20"/>
          <w:color w:val="auto"/>
        </w:rPr>
      </w:pPr>
      <w:r>
        <w:rPr>
          <w:rFonts w:ascii="Times New Roman" w:cs="Times New Roman" w:eastAsia="Times New Roman" w:hAnsi="Times New Roman"/>
          <w:sz w:val="18"/>
          <w:szCs w:val="18"/>
          <w:color w:val="auto"/>
        </w:rPr>
        <w:t>To the fullest extent permitted by applicable law, the Registrant shall indemnify any current or former director or officer who was or is a party or is threatened to be made a party to any threatened, pending or completed action or suit by or in the right of the Registrant to procure a judgment in the Registrant’s favor by reason of the fact that such person is or was a director, officer, employee or agent of the Registrant, or is or was serving at the request of the Registrant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Registrant and except that no indemnification may be made with respect to any claim, issue or matter as to which such person has been finally adjudged to be liable to the Registrant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The Registrant is required to indemnify any present or former officer or director to the fullest extent allowed by this paragraph in the event of a Change of Control (as defined above).</w:t>
      </w:r>
    </w:p>
    <w:p>
      <w:pPr>
        <w:spacing w:after="0" w:line="147" w:lineRule="exact"/>
        <w:rPr>
          <w:sz w:val="20"/>
          <w:szCs w:val="20"/>
          <w:color w:val="auto"/>
        </w:rPr>
      </w:pPr>
    </w:p>
    <w:p>
      <w:pPr>
        <w:ind w:right="120" w:firstLine="913"/>
        <w:spacing w:after="0" w:line="262" w:lineRule="auto"/>
        <w:rPr>
          <w:sz w:val="20"/>
          <w:szCs w:val="20"/>
          <w:color w:val="auto"/>
        </w:rPr>
      </w:pPr>
      <w:r>
        <w:rPr>
          <w:rFonts w:ascii="Times New Roman" w:cs="Times New Roman" w:eastAsia="Times New Roman" w:hAnsi="Times New Roman"/>
          <w:sz w:val="18"/>
          <w:szCs w:val="18"/>
          <w:color w:val="auto"/>
        </w:rPr>
        <w:t>Any indemnification under the preceding three paragraphs (unless ordered by a court) may be extended to current or former employees or agents of the Registrant only as authorized by the Chief Executive Officer or by contract approved, or by-laws, resolution or other action adopted or taken, by the Registrant’s board of directors or by the Registrant’s stockholders.</w:t>
      </w:r>
    </w:p>
    <w:p>
      <w:pPr>
        <w:spacing w:after="0" w:line="132" w:lineRule="exact"/>
        <w:rPr>
          <w:sz w:val="20"/>
          <w:szCs w:val="20"/>
          <w:color w:val="auto"/>
        </w:rPr>
      </w:pPr>
    </w:p>
    <w:p>
      <w:pPr>
        <w:ind w:right="20" w:firstLine="913"/>
        <w:spacing w:after="0" w:line="310" w:lineRule="auto"/>
        <w:rPr>
          <w:sz w:val="20"/>
          <w:szCs w:val="20"/>
          <w:color w:val="auto"/>
        </w:rPr>
      </w:pPr>
      <w:r>
        <w:rPr>
          <w:rFonts w:ascii="Times New Roman" w:cs="Times New Roman" w:eastAsia="Times New Roman" w:hAnsi="Times New Roman"/>
          <w:sz w:val="16"/>
          <w:szCs w:val="16"/>
          <w:color w:val="auto"/>
        </w:rPr>
        <w:t>Expenses (including attorneys’ fees) incurred by a current or former director or a current officer in defending any civil or criminal, administrative or investigative action, suit or proceeding will be paid by the Registrant in advance of the final disposition of such action, suit or proceeding upon receipt of an undertaking by or on behalf of such person to repay such amount if it is ultimately determined that such person is not entitled to be indemnified by the Registrant.</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1400"/>
          </w:cols>
          <w:pgMar w:left="240" w:top="274" w:right="259" w:bottom="1440" w:gutter="0" w:footer="0" w:header="0"/>
        </w:sectPr>
      </w:pPr>
    </w:p>
    <w:bookmarkStart w:id="3" w:name="page4"/>
    <w:bookmarkEnd w:id="3"/>
    <w:p>
      <w:pPr>
        <w:ind w:right="260" w:firstLine="913"/>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Registrant may pay such expenses (including attorneys’ fees) incurred by former officers or other employees and agents upon such terms and conditions, if any, it deems appropriate.</w:t>
      </w:r>
    </w:p>
    <w:p>
      <w:pPr>
        <w:spacing w:after="0" w:line="120" w:lineRule="exact"/>
        <w:rPr>
          <w:sz w:val="20"/>
          <w:szCs w:val="20"/>
          <w:color w:val="auto"/>
        </w:rPr>
      </w:pPr>
    </w:p>
    <w:p>
      <w:pPr>
        <w:ind w:right="40" w:firstLine="913"/>
        <w:spacing w:after="0" w:line="301" w:lineRule="auto"/>
        <w:rPr>
          <w:sz w:val="20"/>
          <w:szCs w:val="20"/>
          <w:color w:val="auto"/>
        </w:rPr>
      </w:pPr>
      <w:r>
        <w:rPr>
          <w:rFonts w:ascii="Times New Roman" w:cs="Times New Roman" w:eastAsia="Times New Roman" w:hAnsi="Times New Roman"/>
          <w:sz w:val="16"/>
          <w:szCs w:val="16"/>
          <w:color w:val="auto"/>
        </w:rPr>
        <w:t>The indemnification and advancement of expenses described above are not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w:t>
      </w:r>
    </w:p>
    <w:p>
      <w:pPr>
        <w:spacing w:after="0" w:line="103" w:lineRule="exact"/>
        <w:rPr>
          <w:sz w:val="20"/>
          <w:szCs w:val="20"/>
          <w:color w:val="auto"/>
        </w:rPr>
      </w:pPr>
    </w:p>
    <w:p>
      <w:pPr>
        <w:ind w:right="20" w:firstLine="913"/>
        <w:spacing w:after="0" w:line="258" w:lineRule="auto"/>
        <w:rPr>
          <w:sz w:val="20"/>
          <w:szCs w:val="20"/>
          <w:color w:val="auto"/>
        </w:rPr>
      </w:pPr>
      <w:r>
        <w:rPr>
          <w:rFonts w:ascii="Times New Roman" w:cs="Times New Roman" w:eastAsia="Times New Roman" w:hAnsi="Times New Roman"/>
          <w:sz w:val="18"/>
          <w:szCs w:val="18"/>
          <w:color w:val="auto"/>
        </w:rPr>
        <w:t>The Registrant has the power to purchase and maintain insurance on behalf of any person who is or was a director, officer, employee or agent of the Registrant, or is or was serving at the request of the Registrant in such a capacity for another corporation, partnership, joint venture, trust or other enterprise or entity against any liability asserted against that person and incurred by that person in any of those capacities or arising out of such person’s status as such, whether or not the Registrant would have the power to indemnify such person against such liability.</w:t>
      </w:r>
    </w:p>
    <w:p>
      <w:pPr>
        <w:spacing w:after="0" w:line="136" w:lineRule="exact"/>
        <w:rPr>
          <w:sz w:val="20"/>
          <w:szCs w:val="20"/>
          <w:color w:val="auto"/>
        </w:rPr>
      </w:pPr>
    </w:p>
    <w:p>
      <w:pPr>
        <w:ind w:right="80" w:firstLine="913"/>
        <w:spacing w:after="0" w:line="255" w:lineRule="auto"/>
        <w:rPr>
          <w:sz w:val="20"/>
          <w:szCs w:val="20"/>
          <w:color w:val="auto"/>
        </w:rPr>
      </w:pPr>
      <w:r>
        <w:rPr>
          <w:rFonts w:ascii="Times New Roman" w:cs="Times New Roman" w:eastAsia="Times New Roman" w:hAnsi="Times New Roman"/>
          <w:sz w:val="18"/>
          <w:szCs w:val="18"/>
          <w:color w:val="auto"/>
        </w:rPr>
        <w:t>References to the Registrant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stands in the same position with respect to the resulting or surviving corporation as such person would have had with respect to such constituent corporation if its separate existence had continued.</w:t>
      </w:r>
    </w:p>
    <w:p>
      <w:pPr>
        <w:spacing w:after="0" w:line="139"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References to “other enterprises” includes employee benefit plans; references to “fines” includes any excise taxes assessed on a person with respect to any employee benefit plan; and references to “serving at the request of the Registrant” includes any service as a director, officer, employee or agent of the Registrant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Registrant.”</w:t>
      </w:r>
    </w:p>
    <w:p>
      <w:pPr>
        <w:spacing w:after="0" w:line="139" w:lineRule="exact"/>
        <w:rPr>
          <w:sz w:val="20"/>
          <w:szCs w:val="20"/>
          <w:color w:val="auto"/>
        </w:rPr>
      </w:pPr>
    </w:p>
    <w:p>
      <w:pPr>
        <w:ind w:right="120" w:firstLine="913"/>
        <w:spacing w:after="0" w:line="256" w:lineRule="auto"/>
        <w:rPr>
          <w:sz w:val="20"/>
          <w:szCs w:val="20"/>
          <w:color w:val="auto"/>
        </w:rPr>
      </w:pPr>
      <w:r>
        <w:rPr>
          <w:rFonts w:ascii="Times New Roman" w:cs="Times New Roman" w:eastAsia="Times New Roman" w:hAnsi="Times New Roman"/>
          <w:sz w:val="18"/>
          <w:szCs w:val="18"/>
          <w:color w:val="auto"/>
        </w:rPr>
        <w:t>A member of the Board of Directors, or a member of any committee designated by the Board of Directors, will, in the performance of such member’s duties, be fully protected in relying in good faith upon the records of the Registrant and upon such information, opinions, reports or statements presented to the Registrant by any of the Registrant’s officers or employees, or committees of the Board of Directors, or by any other person as to matters the member reasonably believes are within such other person’s professional or expert competence and who has been selected with reasonable care by or on behalf of the Registrant.</w:t>
      </w:r>
    </w:p>
    <w:p>
      <w:pPr>
        <w:spacing w:after="0" w:line="139" w:lineRule="exact"/>
        <w:rPr>
          <w:sz w:val="20"/>
          <w:szCs w:val="20"/>
          <w:color w:val="auto"/>
        </w:rPr>
      </w:pPr>
    </w:p>
    <w:p>
      <w:pPr>
        <w:ind w:right="80" w:firstLine="913"/>
        <w:spacing w:after="0" w:line="275" w:lineRule="auto"/>
        <w:rPr>
          <w:sz w:val="20"/>
          <w:szCs w:val="20"/>
          <w:color w:val="auto"/>
        </w:rPr>
      </w:pPr>
      <w:r>
        <w:rPr>
          <w:rFonts w:ascii="Times New Roman" w:cs="Times New Roman" w:eastAsia="Times New Roman" w:hAnsi="Times New Roman"/>
          <w:sz w:val="18"/>
          <w:szCs w:val="18"/>
          <w:color w:val="auto"/>
        </w:rPr>
        <w:t>In addition, the Registrant maintains directors’ and officers’ liability insurance that insures against certain liabilities that the officers and directors of the Registrant may incur in such capacities.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Exemption from Registration Claimed.</w:t>
      </w:r>
    </w:p>
    <w:p>
      <w:pPr>
        <w:spacing w:after="0" w:line="9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Exhibits.</w:t>
      </w:r>
    </w:p>
    <w:p>
      <w:pPr>
        <w:spacing w:after="0" w:line="9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following documents are filed as a part of this Registration Statement or incorporated by reference herein: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Exhibit No.</w:t>
            </w:r>
          </w:p>
        </w:tc>
        <w:tc>
          <w:tcPr>
            <w:tcW w:w="740" w:type="dxa"/>
            <w:vAlign w:val="bottom"/>
          </w:tcPr>
          <w:p>
            <w:pPr>
              <w:spacing w:after="0"/>
              <w:rPr>
                <w:sz w:val="14"/>
                <w:szCs w:val="14"/>
                <w:color w:val="auto"/>
              </w:rPr>
            </w:pPr>
          </w:p>
        </w:tc>
        <w:tc>
          <w:tcPr>
            <w:tcW w:w="9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96"/>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7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Articles of Incorporation of Schlumberger Limited (Schlumberger N.V.), as last amended on April 6, 2011 (incorporated by reference to</w:t>
            </w:r>
          </w:p>
        </w:tc>
      </w:tr>
      <w:tr>
        <w:trPr>
          <w:trHeight w:val="228"/>
        </w:trPr>
        <w:tc>
          <w:tcPr>
            <w:tcW w:w="720" w:type="dxa"/>
            <w:vAlign w:val="bottom"/>
          </w:tcPr>
          <w:p>
            <w:pPr>
              <w:spacing w:after="0"/>
              <w:rPr>
                <w:sz w:val="19"/>
                <w:szCs w:val="19"/>
                <w:color w:val="auto"/>
              </w:rPr>
            </w:pPr>
          </w:p>
        </w:tc>
        <w:tc>
          <w:tcPr>
            <w:tcW w:w="107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Exhibit 3.1 to Schlumberger’s Current Report on 8-K filed on April 7, 2011).</w:t>
            </w:r>
          </w:p>
        </w:tc>
      </w:tr>
      <w:tr>
        <w:trPr>
          <w:trHeight w:val="312"/>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7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w w:val="98"/>
              </w:rPr>
              <w:t>Amended and Restated Bylaws of Schlumberger Limited (Schlumberger N.V.), as last amended on July 19, 2012 (incorporated by reference</w:t>
            </w:r>
          </w:p>
        </w:tc>
      </w:tr>
      <w:tr>
        <w:trPr>
          <w:trHeight w:val="228"/>
        </w:trPr>
        <w:tc>
          <w:tcPr>
            <w:tcW w:w="720" w:type="dxa"/>
            <w:vAlign w:val="bottom"/>
          </w:tcPr>
          <w:p>
            <w:pPr>
              <w:spacing w:after="0"/>
              <w:rPr>
                <w:sz w:val="19"/>
                <w:szCs w:val="19"/>
                <w:color w:val="auto"/>
              </w:rPr>
            </w:pPr>
          </w:p>
        </w:tc>
        <w:tc>
          <w:tcPr>
            <w:tcW w:w="107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to Exhibit 3.1 to Schlumberger’s Current Report on Form 8-K filed July 19, 2012).</w:t>
            </w:r>
          </w:p>
        </w:tc>
      </w:tr>
      <w:tr>
        <w:trPr>
          <w:trHeight w:val="312"/>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7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w w:val="99"/>
              </w:rPr>
              <w:t>Schlumberger Discounted Stock Purchase Plan (incorporated by reference to Appendix B to Schlumberger’s definitive proxy statement for</w:t>
            </w:r>
          </w:p>
        </w:tc>
      </w:tr>
      <w:tr>
        <w:trPr>
          <w:trHeight w:val="228"/>
        </w:trPr>
        <w:tc>
          <w:tcPr>
            <w:tcW w:w="720" w:type="dxa"/>
            <w:vAlign w:val="bottom"/>
          </w:tcPr>
          <w:p>
            <w:pPr>
              <w:spacing w:after="0"/>
              <w:rPr>
                <w:sz w:val="19"/>
                <w:szCs w:val="19"/>
                <w:color w:val="auto"/>
              </w:rPr>
            </w:pPr>
          </w:p>
        </w:tc>
        <w:tc>
          <w:tcPr>
            <w:tcW w:w="107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the 2013 Annual General Meeting of Stockholders held on April 10, 2013).</w:t>
            </w:r>
          </w:p>
        </w:tc>
      </w:tr>
    </w:tbl>
    <w:p>
      <w:pPr>
        <w:spacing w:after="0" w:line="96" w:lineRule="exact"/>
        <w:rPr>
          <w:sz w:val="20"/>
          <w:szCs w:val="20"/>
          <w:color w:val="auto"/>
        </w:rPr>
      </w:pPr>
    </w:p>
    <w:p>
      <w:pPr>
        <w:ind w:left="1460" w:hanging="1145"/>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of STvB Advocaten (Curaçao), N.V. as to the legality of the shares of common stock being registered (filed herewith).</w:t>
      </w:r>
    </w:p>
    <w:p>
      <w:pPr>
        <w:spacing w:after="0" w:line="117"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78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rPr>
              <w:t>23.1</w:t>
            </w:r>
          </w:p>
        </w:tc>
        <w:tc>
          <w:tcPr>
            <w:tcW w:w="78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6"/>
              </w:rPr>
              <w:t>Consent of PricewaterhouseCoopers LLP, independent registered public accounting firm (filed herewith).</w:t>
            </w:r>
          </w:p>
        </w:tc>
      </w:tr>
      <w:tr>
        <w:trPr>
          <w:trHeight w:val="324"/>
        </w:trPr>
        <w:tc>
          <w:tcPr>
            <w:tcW w:w="78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rPr>
              <w:t>23.2</w:t>
            </w:r>
          </w:p>
        </w:tc>
        <w:tc>
          <w:tcPr>
            <w:tcW w:w="7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Consent of STvB Advocaten (Curaçao), N.V. (included in Exhibit 5).</w:t>
            </w:r>
          </w:p>
        </w:tc>
      </w:tr>
      <w:tr>
        <w:trPr>
          <w:trHeight w:val="324"/>
        </w:trPr>
        <w:tc>
          <w:tcPr>
            <w:tcW w:w="78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88"/>
              </w:rPr>
              <w:t>24</w:t>
            </w:r>
          </w:p>
        </w:tc>
        <w:tc>
          <w:tcPr>
            <w:tcW w:w="7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Powers of Attorney (filed herewith).</w:t>
            </w:r>
          </w:p>
        </w:tc>
      </w:tr>
      <w:tr>
        <w:trPr>
          <w:trHeight w:val="365"/>
        </w:trPr>
        <w:tc>
          <w:tcPr>
            <w:tcW w:w="780" w:type="dxa"/>
            <w:vAlign w:val="bottom"/>
          </w:tcPr>
          <w:p>
            <w:pPr>
              <w:spacing w:after="0"/>
              <w:rPr>
                <w:sz w:val="24"/>
                <w:szCs w:val="24"/>
                <w:color w:val="auto"/>
              </w:rPr>
            </w:pPr>
          </w:p>
        </w:tc>
        <w:tc>
          <w:tcPr>
            <w:tcW w:w="7880" w:type="dxa"/>
            <w:vAlign w:val="bottom"/>
          </w:tcPr>
          <w:p>
            <w:pPr>
              <w:jc w:val="right"/>
              <w:ind w:right="2912"/>
              <w:spacing w:after="0"/>
              <w:rPr>
                <w:sz w:val="20"/>
                <w:szCs w:val="20"/>
                <w:color w:val="auto"/>
              </w:rPr>
            </w:pPr>
            <w:r>
              <w:rPr>
                <w:rFonts w:ascii="Times New Roman" w:cs="Times New Roman" w:eastAsia="Times New Roman" w:hAnsi="Times New Roman"/>
                <w:sz w:val="18"/>
                <w:szCs w:val="18"/>
                <w:color w:val="auto"/>
              </w:rPr>
              <w:t>- 3 -</w:t>
            </w:r>
          </w:p>
        </w:tc>
      </w:tr>
    </w:tbl>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Item 9. </w:t>
      </w:r>
      <w:r>
        <w:rPr>
          <w:rFonts w:ascii="Times New Roman" w:cs="Times New Roman" w:eastAsia="Times New Roman" w:hAnsi="Times New Roman"/>
          <w:sz w:val="18"/>
          <w:szCs w:val="18"/>
          <w:b w:val="1"/>
          <w:bCs w:val="1"/>
          <w:i w:val="1"/>
          <w:iCs w:val="1"/>
          <w:color w:val="auto"/>
        </w:rPr>
        <w:t>Undertakings.</w:t>
      </w:r>
    </w:p>
    <w:p>
      <w:pPr>
        <w:spacing w:after="0" w:line="94" w:lineRule="exact"/>
        <w:rPr>
          <w:sz w:val="20"/>
          <w:szCs w:val="20"/>
          <w:color w:val="auto"/>
        </w:rPr>
      </w:pPr>
    </w:p>
    <w:p>
      <w:pPr>
        <w:ind w:left="700" w:hanging="236"/>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90"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90" w:lineRule="exact"/>
        <w:rPr>
          <w:rFonts w:ascii="Times New Roman" w:cs="Times New Roman" w:eastAsia="Times New Roman" w:hAnsi="Times New Roman"/>
          <w:sz w:val="18"/>
          <w:szCs w:val="18"/>
          <w:color w:val="auto"/>
        </w:rPr>
      </w:pPr>
    </w:p>
    <w:p>
      <w:pPr>
        <w:ind w:left="1560" w:hanging="219"/>
        <w:spacing w:after="0"/>
        <w:tabs>
          <w:tab w:leader="none" w:pos="156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90" w:lineRule="exact"/>
        <w:rPr>
          <w:rFonts w:ascii="Times New Roman" w:cs="Times New Roman" w:eastAsia="Times New Roman" w:hAnsi="Times New Roman"/>
          <w:sz w:val="18"/>
          <w:szCs w:val="18"/>
          <w:color w:val="auto"/>
        </w:rPr>
      </w:pPr>
    </w:p>
    <w:p>
      <w:pPr>
        <w:ind w:left="920" w:firstLine="421"/>
        <w:spacing w:after="0" w:line="254" w:lineRule="auto"/>
        <w:tabs>
          <w:tab w:leader="none" w:pos="1598"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of the Securities Act of 1933 if, in the aggregate, the changes in volume and price represent no more than a 20% change in the maximum aggregate offering price set forth in the “Calculation of Registration Fee” table in the effective registration statement; and</w:t>
      </w:r>
    </w:p>
    <w:p>
      <w:pPr>
        <w:spacing w:after="0" w:line="60" w:lineRule="exact"/>
        <w:rPr>
          <w:rFonts w:ascii="Times New Roman" w:cs="Times New Roman" w:eastAsia="Times New Roman" w:hAnsi="Times New Roman"/>
          <w:sz w:val="18"/>
          <w:szCs w:val="18"/>
          <w:color w:val="auto"/>
        </w:rPr>
      </w:pPr>
    </w:p>
    <w:p>
      <w:pPr>
        <w:ind w:left="920" w:right="260" w:firstLine="421"/>
        <w:spacing w:after="0" w:line="275" w:lineRule="auto"/>
        <w:tabs>
          <w:tab w:leader="none" w:pos="1647"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37" w:lineRule="exact"/>
        <w:rPr>
          <w:sz w:val="20"/>
          <w:szCs w:val="20"/>
          <w:color w:val="auto"/>
        </w:rPr>
      </w:pPr>
    </w:p>
    <w:p>
      <w:pPr>
        <w:ind w:left="460" w:right="2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the undertakings set forth in paragraphs (a)(1)(i) and (a)(1)(ii) above do not apply if the information required to be included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post-effective amendment by those paragraphs is contained in reports filed with or furnished to the Commission by the Registrant pursuant to Section 13 or Section 15(d) of the Securities Exchange Act of 1934 that are incorporated by reference in the registration statement.</w:t>
      </w:r>
    </w:p>
    <w:p>
      <w:pPr>
        <w:spacing w:after="0" w:line="48" w:lineRule="exact"/>
        <w:rPr>
          <w:sz w:val="20"/>
          <w:szCs w:val="20"/>
          <w:color w:val="auto"/>
        </w:rPr>
      </w:pPr>
    </w:p>
    <w:p>
      <w:pPr>
        <w:ind w:left="460" w:firstLine="443"/>
        <w:spacing w:after="0" w:line="262" w:lineRule="auto"/>
        <w:tabs>
          <w:tab w:leader="none" w:pos="114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51" w:lineRule="exact"/>
        <w:rPr>
          <w:rFonts w:ascii="Times New Roman" w:cs="Times New Roman" w:eastAsia="Times New Roman" w:hAnsi="Times New Roman"/>
          <w:sz w:val="18"/>
          <w:szCs w:val="18"/>
          <w:color w:val="auto"/>
        </w:rPr>
      </w:pPr>
    </w:p>
    <w:p>
      <w:pPr>
        <w:ind w:left="460" w:right="800" w:firstLine="443"/>
        <w:spacing w:after="0" w:line="275" w:lineRule="auto"/>
        <w:tabs>
          <w:tab w:leader="none" w:pos="114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19" w:lineRule="exact"/>
        <w:rPr>
          <w:rFonts w:ascii="Times New Roman" w:cs="Times New Roman" w:eastAsia="Times New Roman" w:hAnsi="Times New Roman"/>
          <w:sz w:val="18"/>
          <w:szCs w:val="18"/>
          <w:color w:val="auto"/>
        </w:rPr>
      </w:pPr>
    </w:p>
    <w:p>
      <w:pPr>
        <w:ind w:right="180" w:firstLine="464"/>
        <w:spacing w:after="0" w:line="256" w:lineRule="auto"/>
        <w:tabs>
          <w:tab w:leader="none" w:pos="7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38" w:lineRule="exact"/>
        <w:rPr>
          <w:rFonts w:ascii="Times New Roman" w:cs="Times New Roman" w:eastAsia="Times New Roman" w:hAnsi="Times New Roman"/>
          <w:sz w:val="18"/>
          <w:szCs w:val="18"/>
          <w:color w:val="auto"/>
        </w:rPr>
      </w:pPr>
    </w:p>
    <w:p>
      <w:pPr>
        <w:ind w:right="180" w:firstLine="464"/>
        <w:spacing w:after="0" w:line="254" w:lineRule="auto"/>
        <w:tabs>
          <w:tab w:leader="none" w:pos="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provisions described under Item 6 above, or otherwise, the Registrant has been advised that in the opinion of the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24" w:lineRule="exact"/>
        <w:rPr>
          <w:rFonts w:ascii="Times New Roman" w:cs="Times New Roman" w:eastAsia="Times New Roman" w:hAnsi="Times New Roman"/>
          <w:sz w:val="18"/>
          <w:szCs w:val="18"/>
          <w:color w:val="auto"/>
        </w:rPr>
      </w:pPr>
    </w:p>
    <w:p>
      <w:pPr>
        <w:ind w:left="5680" w:hanging="112"/>
        <w:spacing w:after="0"/>
        <w:tabs>
          <w:tab w:leader="none" w:pos="56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1400"/>
          </w:cols>
          <w:pgMar w:left="240" w:top="270" w:right="259" w:bottom="1440" w:gutter="0" w:footer="0" w:header="0"/>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3" w:lineRule="exact"/>
        <w:rPr>
          <w:sz w:val="20"/>
          <w:szCs w:val="20"/>
          <w:color w:val="auto"/>
        </w:rPr>
      </w:pPr>
    </w:p>
    <w:p>
      <w:pPr>
        <w:ind w:right="140" w:firstLine="913"/>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Houston, State of Texas, on May 14, 2013.</w:t>
      </w:r>
    </w:p>
    <w:p>
      <w:pPr>
        <w:spacing w:after="0" w:line="17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SCHLUMBERGER N.V.</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213" w:lineRule="exact"/>
        <w:rPr>
          <w:sz w:val="20"/>
          <w:szCs w:val="20"/>
          <w:color w:val="auto"/>
        </w:rPr>
      </w:pPr>
    </w:p>
    <w:p>
      <w:pPr>
        <w:ind w:left="6860"/>
        <w:spacing w:after="0"/>
        <w:tabs>
          <w:tab w:leader="none" w:pos="7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Howard Guild</w:t>
      </w:r>
    </w:p>
    <w:p>
      <w:pPr>
        <w:spacing w:after="0" w:line="2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-130175</wp:posOffset>
            </wp:positionV>
            <wp:extent cx="27273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159" w:lineRule="exact"/>
        <w:rPr>
          <w:sz w:val="20"/>
          <w:szCs w:val="20"/>
          <w:color w:val="auto"/>
        </w:rPr>
      </w:pPr>
    </w:p>
    <w:p>
      <w:pPr>
        <w:ind w:firstLine="913"/>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on May 14, 2013 in the capacities indicated.</w:t>
      </w:r>
    </w:p>
    <w:p>
      <w:pPr>
        <w:sectPr>
          <w:pgSz w:w="11900" w:h="16838" w:orient="portrait"/>
          <w:cols w:equalWidth="0" w:num="1">
            <w:col w:w="11360"/>
          </w:cols>
          <w:pgMar w:left="240" w:top="272" w:right="299" w:bottom="1440" w:gutter="0" w:footer="0" w:header="0"/>
        </w:sectPr>
      </w:pP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963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Paal Kibsgaard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963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Simon Ayat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Executive Vice President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963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Howard Guild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963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L.S. Currie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963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Tony Isaac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963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Vaman Kamath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963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Nikolay Kudryavtsev</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Adrian Lajous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427355</wp:posOffset>
            </wp:positionV>
            <wp:extent cx="34048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Michael E. Marks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Lubna S. Olayan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Leo Rafael Reif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Tore I. Sandvold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Henri Seydoux</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1104" w:lineRule="exact"/>
        <w:rPr>
          <w:sz w:val="20"/>
          <w:szCs w:val="20"/>
          <w:color w:val="auto"/>
        </w:rPr>
      </w:pPr>
    </w:p>
    <w:p>
      <w:pPr>
        <w:sectPr>
          <w:pgSz w:w="11900" w:h="16838" w:orient="portrait"/>
          <w:cols w:equalWidth="0" w:num="2">
            <w:col w:w="5340" w:space="720"/>
            <w:col w:w="5300"/>
          </w:cols>
          <w:pgMar w:left="240" w:top="272" w:right="299" w:bottom="1440" w:gutter="0" w:footer="0" w:header="0"/>
          <w:type w:val="continuous"/>
        </w:sectPr>
      </w:pPr>
    </w:p>
    <w:p>
      <w:pPr>
        <w:spacing w:after="0" w:line="1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Howard Guild</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-130175</wp:posOffset>
            </wp:positionV>
            <wp:extent cx="26327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Attorney-in-Fact</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- 5 -</w:t>
      </w:r>
    </w:p>
    <w:p>
      <w:pPr>
        <w:sectPr>
          <w:pgSz w:w="11900" w:h="16838" w:orient="portrait"/>
          <w:cols w:equalWidth="0" w:num="1">
            <w:col w:w="11360"/>
          </w:cols>
          <w:pgMar w:left="240" w:top="272" w:right="29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960" w:type="dxa"/>
            <w:vAlign w:val="bottom"/>
          </w:tcPr>
          <w:p>
            <w:pPr>
              <w:ind w:left="35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0"/>
        </w:trPr>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Exhibit No.</w:t>
            </w:r>
          </w:p>
        </w:tc>
        <w:tc>
          <w:tcPr>
            <w:tcW w:w="740" w:type="dxa"/>
            <w:vAlign w:val="bottom"/>
          </w:tcPr>
          <w:p>
            <w:pPr>
              <w:spacing w:after="0"/>
              <w:rPr>
                <w:sz w:val="24"/>
                <w:szCs w:val="24"/>
                <w:color w:val="auto"/>
              </w:rPr>
            </w:pPr>
          </w:p>
        </w:tc>
        <w:tc>
          <w:tcPr>
            <w:tcW w:w="9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96"/>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7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Articles of Incorporation of Schlumberger Limited (Schlumberger N.V.), as last amended on April 6, 2011 (incorporated by reference to</w:t>
            </w:r>
          </w:p>
        </w:tc>
      </w:tr>
      <w:tr>
        <w:trPr>
          <w:trHeight w:val="228"/>
        </w:trPr>
        <w:tc>
          <w:tcPr>
            <w:tcW w:w="720" w:type="dxa"/>
            <w:vAlign w:val="bottom"/>
          </w:tcPr>
          <w:p>
            <w:pPr>
              <w:spacing w:after="0"/>
              <w:rPr>
                <w:sz w:val="19"/>
                <w:szCs w:val="19"/>
                <w:color w:val="auto"/>
              </w:rPr>
            </w:pPr>
          </w:p>
        </w:tc>
        <w:tc>
          <w:tcPr>
            <w:tcW w:w="107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Exhibit 3.1 to Schlumberger’s Current Report on 8-K filed on April 7, 2011).</w:t>
            </w:r>
          </w:p>
        </w:tc>
      </w:tr>
      <w:tr>
        <w:trPr>
          <w:trHeight w:val="312"/>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7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w w:val="98"/>
              </w:rPr>
              <w:t>Amended and Restated Bylaws of Schlumberger Limited (Schlumberger N.V.), as last amended on July 19, 2012 (incorporated by reference</w:t>
            </w:r>
          </w:p>
        </w:tc>
      </w:tr>
      <w:tr>
        <w:trPr>
          <w:trHeight w:val="228"/>
        </w:trPr>
        <w:tc>
          <w:tcPr>
            <w:tcW w:w="720" w:type="dxa"/>
            <w:vAlign w:val="bottom"/>
          </w:tcPr>
          <w:p>
            <w:pPr>
              <w:spacing w:after="0"/>
              <w:rPr>
                <w:sz w:val="19"/>
                <w:szCs w:val="19"/>
                <w:color w:val="auto"/>
              </w:rPr>
            </w:pPr>
          </w:p>
        </w:tc>
        <w:tc>
          <w:tcPr>
            <w:tcW w:w="107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to Exhibit 3.1 to Schlumberger’s Current Report on Form 8-K filed July 19, 2012).</w:t>
            </w:r>
          </w:p>
        </w:tc>
      </w:tr>
      <w:tr>
        <w:trPr>
          <w:trHeight w:val="312"/>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7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w w:val="99"/>
              </w:rPr>
              <w:t>Schlumberger Discounted Stock Purchase Plan (incorporated by reference to Appendix B to Schlumberger’s definitive proxy statement for</w:t>
            </w:r>
          </w:p>
        </w:tc>
      </w:tr>
      <w:tr>
        <w:trPr>
          <w:trHeight w:val="228"/>
        </w:trPr>
        <w:tc>
          <w:tcPr>
            <w:tcW w:w="720" w:type="dxa"/>
            <w:vAlign w:val="bottom"/>
          </w:tcPr>
          <w:p>
            <w:pPr>
              <w:spacing w:after="0"/>
              <w:rPr>
                <w:sz w:val="19"/>
                <w:szCs w:val="19"/>
                <w:color w:val="auto"/>
              </w:rPr>
            </w:pPr>
          </w:p>
        </w:tc>
        <w:tc>
          <w:tcPr>
            <w:tcW w:w="107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the 2013 Annual General Meeting of Stockholders held on April 10, 2013).</w:t>
            </w:r>
          </w:p>
        </w:tc>
      </w:tr>
    </w:tbl>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460" w:hanging="1145"/>
        <w:spacing w:after="0"/>
        <w:tabs>
          <w:tab w:leader="none" w:pos="1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of STvB Advocaten (Curaçao), N.V. as to the legality of the shares of common stock being registered (filed herewith).</w:t>
      </w:r>
    </w:p>
    <w:p>
      <w:pPr>
        <w:spacing w:after="0" w:line="117"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78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rPr>
              <w:t>23.1</w:t>
            </w:r>
          </w:p>
        </w:tc>
        <w:tc>
          <w:tcPr>
            <w:tcW w:w="78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6"/>
              </w:rPr>
              <w:t>Consent of PricewaterhouseCoopers LLP, independent registered public accounting firm (filed herewith).</w:t>
            </w:r>
          </w:p>
        </w:tc>
      </w:tr>
      <w:tr>
        <w:trPr>
          <w:trHeight w:val="324"/>
        </w:trPr>
        <w:tc>
          <w:tcPr>
            <w:tcW w:w="78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rPr>
              <w:t>23.2</w:t>
            </w:r>
          </w:p>
        </w:tc>
        <w:tc>
          <w:tcPr>
            <w:tcW w:w="7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Consent of STvB Advocaten (Curaçao), N.V. (included in Exhibit 5).</w:t>
            </w:r>
          </w:p>
        </w:tc>
      </w:tr>
      <w:tr>
        <w:trPr>
          <w:trHeight w:val="324"/>
        </w:trPr>
        <w:tc>
          <w:tcPr>
            <w:tcW w:w="78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88"/>
              </w:rPr>
              <w:t>24</w:t>
            </w:r>
          </w:p>
        </w:tc>
        <w:tc>
          <w:tcPr>
            <w:tcW w:w="7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Powers of Attorney (filed herewith)</w:t>
            </w:r>
          </w:p>
        </w:tc>
      </w:tr>
      <w:tr>
        <w:trPr>
          <w:trHeight w:val="365"/>
        </w:trPr>
        <w:tc>
          <w:tcPr>
            <w:tcW w:w="780" w:type="dxa"/>
            <w:vAlign w:val="bottom"/>
          </w:tcPr>
          <w:p>
            <w:pPr>
              <w:spacing w:after="0"/>
              <w:rPr>
                <w:sz w:val="24"/>
                <w:szCs w:val="24"/>
                <w:color w:val="auto"/>
              </w:rPr>
            </w:pPr>
          </w:p>
        </w:tc>
        <w:tc>
          <w:tcPr>
            <w:tcW w:w="7880" w:type="dxa"/>
            <w:vAlign w:val="bottom"/>
          </w:tcPr>
          <w:p>
            <w:pPr>
              <w:jc w:val="right"/>
              <w:ind w:right="2912"/>
              <w:spacing w:after="0"/>
              <w:rPr>
                <w:sz w:val="20"/>
                <w:szCs w:val="20"/>
                <w:color w:val="auto"/>
              </w:rPr>
            </w:pPr>
            <w:r>
              <w:rPr>
                <w:rFonts w:ascii="Times New Roman" w:cs="Times New Roman" w:eastAsia="Times New Roman" w:hAnsi="Times New Roman"/>
                <w:sz w:val="18"/>
                <w:szCs w:val="18"/>
                <w:color w:val="auto"/>
              </w:rPr>
              <w:t>- 6 -</w:t>
            </w:r>
          </w:p>
        </w:tc>
      </w:tr>
    </w:tbl>
    <w:p>
      <w:pPr>
        <w:sectPr>
          <w:pgSz w:w="11900" w:h="16838" w:orient="portrait"/>
          <w:cols w:equalWidth="0" w:num="1">
            <w:col w:w="11420"/>
          </w:cols>
          <w:pgMar w:left="240" w:top="272" w:right="2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N.V.</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5599 San Felipe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Curaçao, May 14, 2013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7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have acted as Curaçao legal counsel for Schlumberger N.V. (also referred to as Schlumberger Limited), a corporation with limited liability organized and existing under the laws of Curaçao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registration of 22,000,000 shares of the Company’s common stock, par value $0.01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issuable pursuant to the Schlumberger Discounted Stock Purchase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We understand that a registration statement on Form S-8 relating to the Plan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is being filed by the Company with the Securities and Exchange Commission under the Securities Act of 1933, as amended, on May 14, 2013.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Curaçao legal counsel for the Company we have examined and relied upon the following documents in original, photo static or facsimile form:</w:t>
      </w:r>
    </w:p>
    <w:p>
      <w:pPr>
        <w:spacing w:after="0" w:line="90"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Registration Statement;</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Plan;</w:t>
      </w:r>
    </w:p>
    <w:p>
      <w:pPr>
        <w:spacing w:after="0" w:line="8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copy of the articles of incorporation of the Company (the “</w:t>
      </w:r>
      <w:r>
        <w:rPr>
          <w:rFonts w:ascii="Times New Roman" w:cs="Times New Roman" w:eastAsia="Times New Roman" w:hAnsi="Times New Roman"/>
          <w:sz w:val="18"/>
          <w:szCs w:val="18"/>
          <w:b w:val="1"/>
          <w:bCs w:val="1"/>
          <w:color w:val="auto"/>
        </w:rPr>
        <w:t>Articles of Incorporation</w:t>
      </w:r>
      <w:r>
        <w:rPr>
          <w:rFonts w:ascii="Times New Roman" w:cs="Times New Roman" w:eastAsia="Times New Roman" w:hAnsi="Times New Roman"/>
          <w:sz w:val="18"/>
          <w:szCs w:val="18"/>
          <w:color w:val="auto"/>
        </w:rPr>
        <w:t>”), as presently in effect;</w:t>
      </w:r>
    </w:p>
    <w:p>
      <w:pPr>
        <w:spacing w:after="0" w:line="92"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extract obtained online on May 14, 2013 from the Curaçao Commercial Register, relating to the registration of the Company; and</w:t>
      </w:r>
    </w:p>
    <w:p>
      <w:pPr>
        <w:spacing w:after="0" w:line="88" w:lineRule="exact"/>
        <w:rPr>
          <w:rFonts w:ascii="Times New Roman" w:cs="Times New Roman" w:eastAsia="Times New Roman" w:hAnsi="Times New Roman"/>
          <w:sz w:val="18"/>
          <w:szCs w:val="18"/>
          <w:color w:val="auto"/>
        </w:rPr>
      </w:pPr>
    </w:p>
    <w:p>
      <w:pPr>
        <w:ind w:left="460" w:right="920" w:hanging="452"/>
        <w:spacing w:after="0" w:line="277"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copy of the resolutions of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providing for the issuance of the Shares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our examination of the documents referred to above and in expressing our opinion, we have assumed without independent verification of any kind:</w:t>
      </w:r>
    </w:p>
    <w:p>
      <w:pPr>
        <w:spacing w:after="0" w:line="90"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of all signatures on all documents we have reviewed;</w:t>
      </w:r>
    </w:p>
    <w:p>
      <w:pPr>
        <w:spacing w:after="0" w:line="90" w:lineRule="exact"/>
        <w:rPr>
          <w:rFonts w:ascii="Times New Roman" w:cs="Times New Roman" w:eastAsia="Times New Roman" w:hAnsi="Times New Roman"/>
          <w:sz w:val="18"/>
          <w:szCs w:val="18"/>
          <w:color w:val="auto"/>
        </w:rPr>
      </w:pPr>
    </w:p>
    <w:p>
      <w:pPr>
        <w:ind w:left="460" w:right="220" w:hanging="452"/>
        <w:spacing w:after="0" w:line="275"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authenticity of all such documents submitted to us as originals, and that each of the documents has been duly executed in the form, or substantially in the form submitted to us as execution copies; and</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conformity with originals of all documents submitted to us as copies.</w:t>
      </w:r>
    </w:p>
    <w:p>
      <w:pPr>
        <w:sectPr>
          <w:pgSz w:w="11900" w:h="16838" w:orient="portrait"/>
          <w:cols w:equalWidth="0" w:num="1">
            <w:col w:w="11420"/>
          </w:cols>
          <w:pgMar w:left="240" w:top="123" w:right="2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14, 2013</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w:t>
      </w:r>
    </w:p>
    <w:p>
      <w:pPr>
        <w:spacing w:after="0" w:line="159" w:lineRule="exact"/>
        <w:rPr>
          <w:sz w:val="20"/>
          <w:szCs w:val="20"/>
          <w:color w:val="auto"/>
        </w:rPr>
      </w:pPr>
    </w:p>
    <w:p>
      <w:pPr>
        <w:ind w:right="240"/>
        <w:spacing w:after="0" w:line="339" w:lineRule="auto"/>
        <w:rPr>
          <w:sz w:val="20"/>
          <w:szCs w:val="20"/>
          <w:color w:val="auto"/>
        </w:rPr>
      </w:pPr>
      <w:r>
        <w:rPr>
          <w:rFonts w:ascii="Times New Roman" w:cs="Times New Roman" w:eastAsia="Times New Roman" w:hAnsi="Times New Roman"/>
          <w:sz w:val="16"/>
          <w:szCs w:val="16"/>
          <w:color w:val="auto"/>
        </w:rPr>
        <w:t>In rendering the following, we are opining on the matters hereinafter referred to, only insofar as they are governed by the laws of Curaçao as currently in effect and as they are interpreted under presently published case law of Curaçao, including the Supreme Court of the Netherlands (</w:t>
      </w:r>
      <w:r>
        <w:rPr>
          <w:rFonts w:ascii="Times New Roman" w:cs="Times New Roman" w:eastAsia="Times New Roman" w:hAnsi="Times New Roman"/>
          <w:sz w:val="16"/>
          <w:szCs w:val="16"/>
          <w:i w:val="1"/>
          <w:iCs w:val="1"/>
          <w:u w:val="single" w:color="auto"/>
          <w:color w:val="auto"/>
        </w:rPr>
        <w:t>Hoge Raad der Nederlanden</w:t>
      </w:r>
      <w:r>
        <w:rPr>
          <w:rFonts w:ascii="Times New Roman" w:cs="Times New Roman" w:eastAsia="Times New Roman" w:hAnsi="Times New Roman"/>
          <w:sz w:val="16"/>
          <w:szCs w:val="16"/>
          <w:color w:val="auto"/>
        </w:rPr>
        <w:t>).</w:t>
      </w:r>
    </w:p>
    <w:p>
      <w:pPr>
        <w:spacing w:after="0" w:line="7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Based upon and subject to the foregoing and subject to the qualifications set forth below and having due regard for such legal considerations as we deem relevant, we are of the opinion that:</w:t>
      </w:r>
    </w:p>
    <w:p>
      <w:pPr>
        <w:spacing w:after="0" w:line="39" w:lineRule="exact"/>
        <w:rPr>
          <w:sz w:val="20"/>
          <w:szCs w:val="20"/>
          <w:color w:val="auto"/>
        </w:rPr>
      </w:pPr>
    </w:p>
    <w:p>
      <w:pPr>
        <w:ind w:left="460" w:right="20" w:hanging="452"/>
        <w:spacing w:after="0" w:line="262"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under the laws of the former Netherlands Antilles, is currently validly existing under the laws of Curaçao and has all requisite corporate power and authority to own its properties and to conduct its business within the limits of its objects clause as set forth in article 2 of the Articles of Incorporation. The Company has been duly registered with the Curaçao Commercial Register under number 1674.</w:t>
      </w:r>
    </w:p>
    <w:p>
      <w:pPr>
        <w:spacing w:after="0" w:line="51" w:lineRule="exact"/>
        <w:rPr>
          <w:rFonts w:ascii="Times New Roman" w:cs="Times New Roman" w:eastAsia="Times New Roman" w:hAnsi="Times New Roman"/>
          <w:sz w:val="18"/>
          <w:szCs w:val="18"/>
          <w:color w:val="auto"/>
        </w:rPr>
      </w:pPr>
    </w:p>
    <w:p>
      <w:pPr>
        <w:ind w:left="460" w:right="160" w:hanging="452"/>
        <w:spacing w:after="0" w:line="275"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issuance and delivery of the Shares from time to time pursuant to and in accordance with the terms of the Plan for consideration at least equal to the par value thereof, such Shares will be validly issued, fully paid and non-assessable.</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personal liability will attach to the holders of the Shares under the laws of Curaçao by reason of their being stockholders of the Company.</w:t>
      </w:r>
    </w:p>
    <w:p>
      <w:pPr>
        <w:spacing w:after="0" w:line="90" w:lineRule="exact"/>
        <w:rPr>
          <w:rFonts w:ascii="Times New Roman" w:cs="Times New Roman" w:eastAsia="Times New Roman" w:hAnsi="Times New Roman"/>
          <w:sz w:val="18"/>
          <w:szCs w:val="18"/>
          <w:color w:val="auto"/>
        </w:rPr>
      </w:pPr>
    </w:p>
    <w:p>
      <w:pPr>
        <w:ind w:left="460" w:right="560" w:hanging="452"/>
        <w:spacing w:after="0" w:line="275"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consents, approvals, authorizations or other orders of Curaçao governmental authorities are legally required for the issuance of the Shares by the Company.</w:t>
      </w:r>
    </w:p>
    <w:p>
      <w:pPr>
        <w:spacing w:after="0" w:line="120" w:lineRule="exact"/>
        <w:rPr>
          <w:sz w:val="20"/>
          <w:szCs w:val="20"/>
          <w:color w:val="auto"/>
        </w:rPr>
      </w:pPr>
    </w:p>
    <w:p>
      <w:pPr>
        <w:ind w:right="640"/>
        <w:spacing w:after="0" w:line="275" w:lineRule="auto"/>
        <w:rPr>
          <w:sz w:val="20"/>
          <w:szCs w:val="20"/>
          <w:color w:val="auto"/>
        </w:rPr>
      </w:pPr>
      <w:r>
        <w:rPr>
          <w:rFonts w:ascii="Times New Roman" w:cs="Times New Roman" w:eastAsia="Times New Roman" w:hAnsi="Times New Roman"/>
          <w:sz w:val="18"/>
          <w:szCs w:val="18"/>
          <w:color w:val="auto"/>
        </w:rPr>
        <w:t>This opinion is strictly limited to the matters stated herein and may not read as extending by implication to any matters not specifically referred to herein, including tax matters.</w:t>
      </w:r>
    </w:p>
    <w:p>
      <w:pPr>
        <w:spacing w:after="0" w:line="120" w:lineRule="exact"/>
        <w:rPr>
          <w:sz w:val="20"/>
          <w:szCs w:val="20"/>
          <w:color w:val="auto"/>
        </w:rPr>
      </w:pPr>
    </w:p>
    <w:p>
      <w:pPr>
        <w:jc w:val="both"/>
        <w:ind w:right="440"/>
        <w:spacing w:after="0" w:line="262"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In giving such consent, we do not thereby concede that we are within the category of persons whose consent is required under Section 7 of the Securities Act or the rules and regulations of the Securities and Exchange Commission promulgated thereunder.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STvB Advocaten (Curaçao) N.V.</w:t>
      </w:r>
    </w:p>
    <w:p>
      <w:pPr>
        <w:sectPr>
          <w:pgSz w:w="11900" w:h="16838" w:orient="portrait"/>
          <w:cols w:equalWidth="0" w:num="1">
            <w:col w:w="11420"/>
          </w:cols>
          <w:pgMar w:left="240" w:top="274" w:right="2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73" w:lineRule="exact"/>
        <w:rPr>
          <w:sz w:val="20"/>
          <w:szCs w:val="20"/>
          <w:color w:val="auto"/>
        </w:rPr>
      </w:pPr>
    </w:p>
    <w:p>
      <w:pPr>
        <w:ind w:right="600" w:firstLine="913"/>
        <w:spacing w:after="0" w:line="262"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Schlumberger Limited of our report dated January 31, 2013 relating to the consolidated financial statements and the effectiveness of internal control over financial reporting, which appears in Schlumberger Limited’s Annual Report on Form 10-K for the year ended December 31, 2012.</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PricewaterhouseCoopers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14, 2013</w:t>
      </w:r>
    </w:p>
    <w:p>
      <w:pPr>
        <w:sectPr>
          <w:pgSz w:w="11900" w:h="16838" w:orient="portrait"/>
          <w:cols w:equalWidth="0" w:num="1">
            <w:col w:w="11420"/>
          </w:cols>
          <w:pgMar w:left="240" w:top="123" w:right="2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3" w:lineRule="exact"/>
        <w:rPr>
          <w:sz w:val="20"/>
          <w:szCs w:val="20"/>
          <w:color w:val="auto"/>
        </w:rPr>
      </w:pPr>
    </w:p>
    <w:p>
      <w:pPr>
        <w:ind w:right="60" w:firstLine="913"/>
        <w:spacing w:after="0" w:line="288" w:lineRule="auto"/>
        <w:rPr>
          <w:sz w:val="20"/>
          <w:szCs w:val="20"/>
          <w:color w:val="auto"/>
        </w:rPr>
      </w:pPr>
      <w:r>
        <w:rPr>
          <w:rFonts w:ascii="Times New Roman" w:cs="Times New Roman" w:eastAsia="Times New Roman" w:hAnsi="Times New Roman"/>
          <w:sz w:val="16"/>
          <w:szCs w:val="16"/>
          <w:color w:val="auto"/>
        </w:rPr>
        <w:t>Each of the undersigned, being a director or officer of Schlumberger Limited, a Curaçao corporation (the “Corporation”), hereby constitutes and appoints Alexander C. Juden, Howard Guild, or Saul R. Laureles, and each of them, his or her true and lawful attorney-in-fact and agent, with full and several power of substitution and resubstitution and to act with or without the others, for him or her and in his or her name, place and stead in any and all capacities to execute one or more registration statements (whether on Form S-8 or such other form as may be required), with respect to the registration of 22,000,000 shares of common stock, par value $0.01 per share, of the Corporation to be offered and issued under the Schlumberger Discounted Stock Purchase Plan, together with any and all amendments thereto (including post-effective amendments), and to file such registration statements and amendments, with any exhibits thereto and other documents in connection therewith, with the Securities and Exchange Commission, in each case, in such forms as they or any one of them may approve, granting unto said attorneys-in-fact and agents, and each of them, full power and authority to do and perform each and every act and thing requisite and necessary to be done to enable the Corporation to comply with the Securities Act of 1933, as amended, and the applicable Rules and Regulations adopted or issued pursuant thereto, as fully and to all intents and purposes as he or she might or could do in person, hereby ratifying and confirming all that said attorneys-in-fact and agents, or any of them or their substitute or resubstitute, may lawfully do or cause to be done by virtue hereof.</w:t>
      </w:r>
    </w:p>
    <w:p>
      <w:pPr>
        <w:sectPr>
          <w:pgSz w:w="11900" w:h="16838" w:orient="portrait"/>
          <w:cols w:equalWidth="0" w:num="1">
            <w:col w:w="11420"/>
          </w:cols>
          <w:pgMar w:left="240" w:top="123" w:right="239" w:bottom="1440" w:gutter="0" w:footer="0" w:header="0"/>
        </w:sect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Paal Kibsgaard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963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Paal Kibsgaard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963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Simon Ayat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963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Howard Guild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L.S. Currie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963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L.S. Currie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Tony Isaac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963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Tony Isaac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 Vaman Kamath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963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Vaman Kamath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Nikolay Kudryavstev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963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Nikolay Kudryavtsev</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18, 2013</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Adrian Lajous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Adrian Lajous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427355</wp:posOffset>
            </wp:positionV>
            <wp:extent cx="34048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E. Marks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Lubna S. Olayan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34048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Lubna S. Olayan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Leo Rafael Reif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Leo Rafael Reif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Tore I. Sandvold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34048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Tore I. Sandvold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Henri Seydoux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Henri Seydoux</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sectPr>
      <w:pgSz w:w="11900" w:h="16838" w:orient="portrait"/>
      <w:cols w:equalWidth="0" w:num="2">
        <w:col w:w="5340" w:space="720"/>
        <w:col w:w="5360"/>
      </w:cols>
      <w:pgMar w:left="240" w:top="123"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5"/>
      <w:numFmt w:val="bullet"/>
      <w:start w:val="1"/>
    </w:lvl>
  </w:abstractNum>
  <w:abstractNum w:abstractNumId="4">
    <w:nsid w:val="7545E14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515F007C"/>
    <w:multiLevelType w:val="hybridMultilevel"/>
    <w:lvl w:ilvl="0">
      <w:lvlJc w:val="left"/>
      <w:lvlText w:val="%1"/>
      <w:numFmt w:val="lowerLetter"/>
      <w:start w:val="1"/>
    </w:lvl>
    <w:lvl w:ilvl="1">
      <w:lvlJc w:val="left"/>
      <w:lvlText w:val="(%2)"/>
      <w:numFmt w:val="decimal"/>
      <w:start w:val="2"/>
    </w:lvl>
    <w:lvl w:ilvl="2">
      <w:lvlJc w:val="left"/>
      <w:lvlText w:val="-"/>
      <w:numFmt w:val="bullet"/>
      <w:start w:val="1"/>
    </w:lvl>
  </w:abstractNum>
  <w:abstractNum w:abstractNumId="6">
    <w:nsid w:val="5BD062C2"/>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7">
    <w:nsid w:val="12200854"/>
    <w:multiLevelType w:val="hybridMultilevel"/>
    <w:lvl w:ilvl="0">
      <w:lvlJc w:val="left"/>
      <w:lvlText w:val="5"/>
      <w:numFmt w:val="bullet"/>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Roman"/>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2019-12-05T14:53:31Z</dcterms:created>
  <dcterms:modified xsi:type="dcterms:W3CDTF">2019-12-05T14:53:31Z</dcterms:modified>
</cp:coreProperties>
</file>